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قاعدة لا ضرر و لا ضرار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0828_65377670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70830_65377670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70832_653776707">
            <w:r>
              <w:rPr>
                <w:webHidden/>
                <w:rStyle w:val="IndexLink"/>
                <w:rtl w:val="true"/>
              </w:rPr>
              <w:t>كلمة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1770834_653776707">
            <w:r>
              <w:rPr>
                <w:webHidden/>
                <w:rStyle w:val="IndexLink"/>
                <w:rtl w:val="true"/>
              </w:rPr>
              <w:t>المقام الأول</w:t>
            </w:r>
            <w:r>
              <w:rPr>
                <w:rStyle w:val="IndexLink"/>
                <w:rtl w:val="true"/>
              </w:rPr>
              <w:t xml:space="preserve">: </w:t>
            </w:r>
            <w:r>
              <w:rPr>
                <w:rStyle w:val="IndexLink"/>
                <w:rtl w:val="true"/>
              </w:rPr>
              <w:t>مدرك القاعدة</w:t>
            </w:r>
            <w:r>
              <w:rPr>
                <w:rStyle w:val="IndexLink"/>
                <w:rtl w:val="true"/>
              </w:rPr>
              <w:tab/>
            </w:r>
            <w:r>
              <w:rPr>
                <w:rStyle w:val="IndexLink"/>
              </w:rPr>
              <w:t>14</w:t>
            </w:r>
          </w:hyperlink>
        </w:p>
        <w:p>
          <w:pPr>
            <w:pStyle w:val="Contents3"/>
            <w:tabs>
              <w:tab w:val="clear" w:pos="8459"/>
              <w:tab w:val="right" w:pos="9026" w:leader="dot"/>
            </w:tabs>
            <w:rPr/>
          </w:pPr>
          <w:hyperlink w:anchor="__RefHeading___Toc1770836_65377670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770838_653776707">
            <w:r>
              <w:rPr>
                <w:webHidden/>
                <w:rStyle w:val="IndexLink"/>
                <w:rtl w:val="true"/>
              </w:rPr>
              <w:t>الطائفة الثانية</w:t>
            </w:r>
            <w:r>
              <w:rPr>
                <w:rStyle w:val="IndexLink"/>
                <w:rtl w:val="true"/>
              </w:rPr>
              <w:t xml:space="preserve">: </w:t>
            </w:r>
            <w:r>
              <w:rPr>
                <w:rStyle w:val="IndexLink"/>
                <w:rtl w:val="true"/>
              </w:rPr>
              <w:t>النصوص الواردة في باب الشفعة</w:t>
            </w:r>
            <w:r>
              <w:rPr>
                <w:rStyle w:val="IndexLink"/>
                <w:rtl w:val="true"/>
              </w:rPr>
              <w:t>:</w:t>
              <w:tab/>
            </w:r>
            <w:r>
              <w:rPr>
                <w:rStyle w:val="IndexLink"/>
              </w:rPr>
              <w:t>17</w:t>
            </w:r>
          </w:hyperlink>
        </w:p>
        <w:p>
          <w:pPr>
            <w:pStyle w:val="Contents3"/>
            <w:tabs>
              <w:tab w:val="clear" w:pos="8459"/>
              <w:tab w:val="right" w:pos="9026" w:leader="dot"/>
            </w:tabs>
            <w:rPr/>
          </w:pPr>
          <w:hyperlink w:anchor="__RefHeading___Toc1770840_653776707">
            <w:r>
              <w:rPr>
                <w:webHidden/>
                <w:rStyle w:val="IndexLink"/>
                <w:rtl w:val="true"/>
              </w:rPr>
              <w:t>الطائفة الثالثة</w:t>
            </w:r>
            <w:r>
              <w:rPr>
                <w:rStyle w:val="IndexLink"/>
                <w:rtl w:val="true"/>
              </w:rPr>
              <w:t xml:space="preserve">: </w:t>
            </w:r>
            <w:r>
              <w:rPr>
                <w:rStyle w:val="IndexLink"/>
                <w:rtl w:val="true"/>
              </w:rPr>
              <w:t>ما ورد في منع فضل الماء</w:t>
            </w:r>
            <w:r>
              <w:rPr>
                <w:rStyle w:val="IndexLink"/>
                <w:rtl w:val="true"/>
              </w:rPr>
              <w:t>:</w:t>
              <w:tab/>
            </w:r>
            <w:r>
              <w:rPr>
                <w:rStyle w:val="IndexLink"/>
              </w:rPr>
              <w:t>18</w:t>
            </w:r>
          </w:hyperlink>
        </w:p>
        <w:p>
          <w:pPr>
            <w:pStyle w:val="Contents3"/>
            <w:tabs>
              <w:tab w:val="clear" w:pos="8459"/>
              <w:tab w:val="right" w:pos="9026" w:leader="dot"/>
            </w:tabs>
            <w:rPr/>
          </w:pPr>
          <w:hyperlink w:anchor="__RefHeading___Toc1770842_653776707">
            <w:r>
              <w:rPr>
                <w:webHidden/>
                <w:rStyle w:val="IndexLink"/>
                <w:rtl w:val="true"/>
              </w:rPr>
              <w:t>الطائفة الرابعة</w:t>
            </w:r>
            <w:r>
              <w:rPr>
                <w:rStyle w:val="IndexLink"/>
                <w:rtl w:val="true"/>
              </w:rPr>
              <w:t xml:space="preserve">: </w:t>
            </w:r>
            <w:r>
              <w:rPr>
                <w:rStyle w:val="IndexLink"/>
                <w:rtl w:val="true"/>
              </w:rPr>
              <w:t>ما ورد في هدم الجدار</w:t>
            </w:r>
            <w:r>
              <w:rPr>
                <w:rStyle w:val="IndexLink"/>
                <w:rtl w:val="true"/>
              </w:rPr>
              <w:t>:</w:t>
              <w:tab/>
            </w:r>
            <w:r>
              <w:rPr>
                <w:rStyle w:val="IndexLink"/>
              </w:rPr>
              <w:t>19</w:t>
            </w:r>
          </w:hyperlink>
        </w:p>
        <w:p>
          <w:pPr>
            <w:pStyle w:val="Contents3"/>
            <w:tabs>
              <w:tab w:val="clear" w:pos="8459"/>
              <w:tab w:val="right" w:pos="9026" w:leader="dot"/>
            </w:tabs>
            <w:rPr/>
          </w:pPr>
          <w:hyperlink w:anchor="__RefHeading___Toc1770844_653776707">
            <w:r>
              <w:rPr>
                <w:webHidden/>
                <w:rStyle w:val="IndexLink"/>
                <w:rtl w:val="true"/>
              </w:rPr>
              <w:t>الطائفة الخامسة</w:t>
            </w:r>
            <w:r>
              <w:rPr>
                <w:rStyle w:val="IndexLink"/>
                <w:rtl w:val="true"/>
              </w:rPr>
              <w:t xml:space="preserve">: </w:t>
            </w:r>
            <w:r>
              <w:rPr>
                <w:rStyle w:val="IndexLink"/>
                <w:rtl w:val="true"/>
              </w:rPr>
              <w:t>ما ورد في حكم الدابّة إذا جنت على أخرى</w:t>
            </w:r>
            <w:r>
              <w:rPr>
                <w:rStyle w:val="IndexLink"/>
                <w:rtl w:val="true"/>
              </w:rPr>
              <w:t>:</w:t>
              <w:tab/>
            </w:r>
            <w:r>
              <w:rPr>
                <w:rStyle w:val="IndexLink"/>
              </w:rPr>
              <w:t>19</w:t>
            </w:r>
          </w:hyperlink>
        </w:p>
        <w:p>
          <w:pPr>
            <w:pStyle w:val="Contents3"/>
            <w:tabs>
              <w:tab w:val="clear" w:pos="8459"/>
              <w:tab w:val="right" w:pos="9026" w:leader="dot"/>
            </w:tabs>
            <w:rPr/>
          </w:pPr>
          <w:hyperlink w:anchor="__RefHeading___Toc1770846_653776707">
            <w:r>
              <w:rPr>
                <w:webHidden/>
                <w:rStyle w:val="IndexLink"/>
                <w:rtl w:val="true"/>
              </w:rPr>
              <w:t>الطائفة السادسة</w:t>
            </w:r>
            <w:r>
              <w:rPr>
                <w:rStyle w:val="IndexLink"/>
                <w:rtl w:val="true"/>
              </w:rPr>
              <w:t xml:space="preserve">: </w:t>
            </w:r>
            <w:r>
              <w:rPr>
                <w:rStyle w:val="IndexLink"/>
                <w:rtl w:val="true"/>
              </w:rPr>
              <w:t>ما ورد بنحو مستقلّ</w:t>
            </w:r>
            <w:r>
              <w:rPr>
                <w:rStyle w:val="IndexLink"/>
                <w:rtl w:val="true"/>
              </w:rPr>
              <w:t>:</w:t>
              <w:tab/>
            </w:r>
            <w:r>
              <w:rPr>
                <w:rStyle w:val="IndexLink"/>
              </w:rPr>
              <w:t>20</w:t>
            </w:r>
          </w:hyperlink>
        </w:p>
        <w:p>
          <w:pPr>
            <w:pStyle w:val="Contents2"/>
            <w:tabs>
              <w:tab w:val="clear" w:pos="8743"/>
              <w:tab w:val="right" w:pos="9026" w:leader="dot"/>
            </w:tabs>
            <w:rPr/>
          </w:pPr>
          <w:hyperlink w:anchor="__RefHeading___Toc1770848_653776707">
            <w:r>
              <w:rPr>
                <w:webHidden/>
                <w:rStyle w:val="IndexLink"/>
                <w:rtl w:val="true"/>
              </w:rPr>
              <w:t>المقام الثاني</w:t>
            </w:r>
            <w:r>
              <w:rPr>
                <w:rStyle w:val="IndexLink"/>
                <w:rtl w:val="true"/>
              </w:rPr>
              <w:t xml:space="preserve">: </w:t>
            </w:r>
            <w:r>
              <w:rPr>
                <w:rStyle w:val="IndexLink"/>
                <w:rtl w:val="true"/>
              </w:rPr>
              <w:t>سند الأحاديث</w:t>
            </w:r>
            <w:r>
              <w:rPr>
                <w:rStyle w:val="IndexLink"/>
                <w:rtl w:val="true"/>
              </w:rPr>
              <w:tab/>
            </w:r>
            <w:r>
              <w:rPr>
                <w:rStyle w:val="IndexLink"/>
              </w:rPr>
              <w:t>21</w:t>
            </w:r>
          </w:hyperlink>
        </w:p>
        <w:p>
          <w:pPr>
            <w:pStyle w:val="Contents2"/>
            <w:tabs>
              <w:tab w:val="clear" w:pos="8743"/>
              <w:tab w:val="right" w:pos="9026" w:leader="dot"/>
            </w:tabs>
            <w:rPr/>
          </w:pPr>
          <w:hyperlink w:anchor="__RefHeading___Toc1770850_653776707">
            <w:r>
              <w:rPr>
                <w:webHidden/>
                <w:rStyle w:val="IndexLink"/>
                <w:rtl w:val="true"/>
              </w:rPr>
              <w:t>أسانيد الطائفة الأولی</w:t>
            </w:r>
            <w:r>
              <w:rPr>
                <w:rStyle w:val="IndexLink"/>
                <w:rtl w:val="true"/>
              </w:rPr>
              <w:tab/>
            </w:r>
            <w:r>
              <w:rPr>
                <w:rStyle w:val="IndexLink"/>
              </w:rPr>
              <w:t>23</w:t>
            </w:r>
          </w:hyperlink>
        </w:p>
        <w:p>
          <w:pPr>
            <w:pStyle w:val="Contents2"/>
            <w:tabs>
              <w:tab w:val="clear" w:pos="8743"/>
              <w:tab w:val="right" w:pos="9026" w:leader="dot"/>
            </w:tabs>
            <w:rPr/>
          </w:pPr>
          <w:hyperlink w:anchor="__RefHeading___Toc1770852_653776707">
            <w:r>
              <w:rPr>
                <w:webHidden/>
                <w:rStyle w:val="IndexLink"/>
                <w:rtl w:val="true"/>
              </w:rPr>
              <w:t>أسانيد الطائفة الثانية</w:t>
            </w:r>
            <w:r>
              <w:rPr>
                <w:rStyle w:val="IndexLink"/>
                <w:rtl w:val="true"/>
              </w:rPr>
              <w:tab/>
            </w:r>
            <w:r>
              <w:rPr>
                <w:rStyle w:val="IndexLink"/>
              </w:rPr>
              <w:t>25</w:t>
            </w:r>
          </w:hyperlink>
        </w:p>
        <w:p>
          <w:pPr>
            <w:pStyle w:val="Contents2"/>
            <w:tabs>
              <w:tab w:val="clear" w:pos="8743"/>
              <w:tab w:val="right" w:pos="9026" w:leader="dot"/>
            </w:tabs>
            <w:rPr/>
          </w:pPr>
          <w:hyperlink w:anchor="__RefHeading___Toc1770854_653776707">
            <w:r>
              <w:rPr>
                <w:webHidden/>
                <w:rStyle w:val="IndexLink"/>
                <w:rtl w:val="true"/>
              </w:rPr>
              <w:t>أسانيد الطائفة الثالثة</w:t>
            </w:r>
            <w:r>
              <w:rPr>
                <w:rStyle w:val="IndexLink"/>
                <w:rtl w:val="true"/>
              </w:rPr>
              <w:tab/>
            </w:r>
            <w:r>
              <w:rPr>
                <w:rStyle w:val="IndexLink"/>
              </w:rPr>
              <w:t>28</w:t>
            </w:r>
          </w:hyperlink>
        </w:p>
        <w:p>
          <w:pPr>
            <w:pStyle w:val="Contents2"/>
            <w:tabs>
              <w:tab w:val="clear" w:pos="8743"/>
              <w:tab w:val="right" w:pos="9026" w:leader="dot"/>
            </w:tabs>
            <w:rPr/>
          </w:pPr>
          <w:hyperlink w:anchor="__RefHeading___Toc1770856_653776707">
            <w:r>
              <w:rPr>
                <w:webHidden/>
                <w:rStyle w:val="IndexLink"/>
                <w:rtl w:val="true"/>
              </w:rPr>
              <w:t>أسانيد الطائفة الرابعة</w:t>
            </w:r>
            <w:r>
              <w:rPr>
                <w:rStyle w:val="IndexLink"/>
                <w:rtl w:val="true"/>
              </w:rPr>
              <w:tab/>
            </w:r>
            <w:r>
              <w:rPr>
                <w:rStyle w:val="IndexLink"/>
              </w:rPr>
              <w:t>28</w:t>
            </w:r>
          </w:hyperlink>
        </w:p>
        <w:p>
          <w:pPr>
            <w:pStyle w:val="Contents2"/>
            <w:tabs>
              <w:tab w:val="clear" w:pos="8743"/>
              <w:tab w:val="right" w:pos="9026" w:leader="dot"/>
            </w:tabs>
            <w:rPr/>
          </w:pPr>
          <w:hyperlink w:anchor="__RefHeading___Toc1770858_653776707">
            <w:r>
              <w:rPr>
                <w:webHidden/>
                <w:rStyle w:val="IndexLink"/>
                <w:rtl w:val="true"/>
              </w:rPr>
              <w:t>أسانيد الطائفة الخامسة</w:t>
            </w:r>
            <w:r>
              <w:rPr>
                <w:rStyle w:val="IndexLink"/>
                <w:rtl w:val="true"/>
              </w:rPr>
              <w:tab/>
            </w:r>
            <w:r>
              <w:rPr>
                <w:rStyle w:val="IndexLink"/>
              </w:rPr>
              <w:t>29</w:t>
            </w:r>
          </w:hyperlink>
        </w:p>
        <w:p>
          <w:pPr>
            <w:pStyle w:val="Contents2"/>
            <w:tabs>
              <w:tab w:val="clear" w:pos="8743"/>
              <w:tab w:val="right" w:pos="9026" w:leader="dot"/>
            </w:tabs>
            <w:rPr/>
          </w:pPr>
          <w:hyperlink w:anchor="__RefHeading___Toc1770860_653776707">
            <w:r>
              <w:rPr>
                <w:webHidden/>
                <w:rStyle w:val="IndexLink"/>
                <w:rtl w:val="true"/>
              </w:rPr>
              <w:t>أسانيد الطائفة السادسة</w:t>
            </w:r>
            <w:r>
              <w:rPr>
                <w:rStyle w:val="IndexLink"/>
                <w:rtl w:val="true"/>
              </w:rPr>
              <w:tab/>
            </w:r>
            <w:r>
              <w:rPr>
                <w:rStyle w:val="IndexLink"/>
              </w:rPr>
              <w:t>30</w:t>
            </w:r>
          </w:hyperlink>
        </w:p>
        <w:p>
          <w:pPr>
            <w:pStyle w:val="Contents2"/>
            <w:tabs>
              <w:tab w:val="clear" w:pos="8743"/>
              <w:tab w:val="right" w:pos="9026" w:leader="dot"/>
            </w:tabs>
            <w:rPr/>
          </w:pPr>
          <w:hyperlink w:anchor="__RefHeading___Toc1770862_653776707">
            <w:r>
              <w:rPr>
                <w:webHidden/>
                <w:rStyle w:val="IndexLink"/>
                <w:rtl w:val="true"/>
              </w:rPr>
              <w:t>المقام الثالث</w:t>
            </w:r>
            <w:r>
              <w:rPr>
                <w:rStyle w:val="IndexLink"/>
                <w:rtl w:val="true"/>
              </w:rPr>
              <w:t xml:space="preserve">: </w:t>
            </w:r>
            <w:r>
              <w:rPr>
                <w:rStyle w:val="IndexLink"/>
                <w:rtl w:val="true"/>
              </w:rPr>
              <w:t>في تحديد متون الأحاديث</w:t>
            </w:r>
            <w:r>
              <w:rPr>
                <w:rStyle w:val="IndexLink"/>
                <w:rtl w:val="true"/>
              </w:rPr>
              <w:tab/>
            </w:r>
            <w:r>
              <w:rPr>
                <w:rStyle w:val="IndexLink"/>
              </w:rPr>
              <w:t>39</w:t>
            </w:r>
          </w:hyperlink>
        </w:p>
        <w:p>
          <w:pPr>
            <w:pStyle w:val="Contents2"/>
            <w:tabs>
              <w:tab w:val="clear" w:pos="8743"/>
              <w:tab w:val="right" w:pos="9026" w:leader="dot"/>
            </w:tabs>
            <w:rPr/>
          </w:pPr>
          <w:hyperlink w:anchor="__RefHeading___Toc1770864_653776707">
            <w:r>
              <w:rPr>
                <w:webHidden/>
                <w:rStyle w:val="IndexLink"/>
                <w:rtl w:val="true"/>
              </w:rPr>
              <w:t>الجهة الأولى</w:t>
            </w:r>
            <w:r>
              <w:rPr>
                <w:rStyle w:val="IndexLink"/>
                <w:rtl w:val="true"/>
              </w:rPr>
              <w:t xml:space="preserve">: </w:t>
            </w:r>
            <w:r>
              <w:rPr>
                <w:rStyle w:val="IndexLink"/>
                <w:rtl w:val="true"/>
              </w:rPr>
              <w:t xml:space="preserve">في وجود كلمة </w:t>
            </w:r>
            <w:r>
              <w:rPr>
                <w:rStyle w:val="IndexLink"/>
                <w:rtl w:val="true"/>
              </w:rPr>
              <w:t>«</w:t>
            </w:r>
            <w:r>
              <w:rPr>
                <w:rStyle w:val="IndexLink"/>
                <w:rtl w:val="true"/>
              </w:rPr>
              <w:t>الإسلام</w:t>
            </w:r>
            <w:r>
              <w:rPr>
                <w:rStyle w:val="IndexLink"/>
                <w:rtl w:val="true"/>
              </w:rPr>
              <w:t xml:space="preserve">» </w:t>
            </w:r>
            <w:r>
              <w:rPr>
                <w:rStyle w:val="IndexLink"/>
                <w:rtl w:val="true"/>
              </w:rPr>
              <w:t xml:space="preserve">أو </w:t>
            </w:r>
            <w:r>
              <w:rPr>
                <w:rStyle w:val="IndexLink"/>
                <w:rtl w:val="true"/>
              </w:rPr>
              <w:t>«</w:t>
            </w:r>
            <w:r>
              <w:rPr>
                <w:rStyle w:val="IndexLink"/>
                <w:rtl w:val="true"/>
              </w:rPr>
              <w:t>على مؤمن</w:t>
            </w:r>
            <w:r>
              <w:rPr>
                <w:rStyle w:val="IndexLink"/>
                <w:rtl w:val="true"/>
              </w:rPr>
              <w:t xml:space="preserve">» </w:t>
            </w:r>
            <w:r>
              <w:rPr>
                <w:rStyle w:val="IndexLink"/>
                <w:rtl w:val="true"/>
              </w:rPr>
              <w:t>في ذيل حديث</w:t>
            </w:r>
            <w:r>
              <w:rPr>
                <w:rStyle w:val="IndexLink"/>
                <w:rtl w:val="true"/>
              </w:rPr>
              <w:tab/>
            </w:r>
            <w:r>
              <w:rPr>
                <w:rStyle w:val="IndexLink"/>
              </w:rPr>
              <w:t>39</w:t>
            </w:r>
          </w:hyperlink>
        </w:p>
        <w:p>
          <w:pPr>
            <w:pStyle w:val="Contents2"/>
            <w:tabs>
              <w:tab w:val="clear" w:pos="8743"/>
              <w:tab w:val="right" w:pos="9026" w:leader="dot"/>
            </w:tabs>
            <w:rPr/>
          </w:pPr>
          <w:hyperlink w:anchor="__RefHeading___Toc1770866_653776707">
            <w:r>
              <w:rPr>
                <w:webHidden/>
                <w:rStyle w:val="IndexLink"/>
                <w:rtl w:val="true"/>
              </w:rPr>
              <w:t>الجهة الثانية</w:t>
            </w:r>
            <w:r>
              <w:rPr>
                <w:rStyle w:val="IndexLink"/>
                <w:rtl w:val="true"/>
              </w:rPr>
              <w:t xml:space="preserve">: </w:t>
            </w:r>
            <w:r>
              <w:rPr>
                <w:rStyle w:val="IndexLink"/>
                <w:rtl w:val="true"/>
              </w:rPr>
              <w:t>على فرض وجودهما فهل يترتب أثر عليهما؟</w:t>
            </w:r>
            <w:r>
              <w:rPr>
                <w:rStyle w:val="IndexLink"/>
                <w:rtl w:val="true"/>
              </w:rPr>
              <w:tab/>
            </w:r>
            <w:r>
              <w:rPr>
                <w:rStyle w:val="IndexLink"/>
              </w:rPr>
              <w:t>71</w:t>
            </w:r>
          </w:hyperlink>
        </w:p>
        <w:p>
          <w:pPr>
            <w:pStyle w:val="Contents2"/>
            <w:tabs>
              <w:tab w:val="clear" w:pos="8743"/>
              <w:tab w:val="right" w:pos="9026" w:leader="dot"/>
            </w:tabs>
            <w:rPr/>
          </w:pPr>
          <w:hyperlink w:anchor="__RefHeading___Toc1770868_653776707">
            <w:r>
              <w:rPr>
                <w:webHidden/>
                <w:rStyle w:val="IndexLink"/>
                <w:rtl w:val="true"/>
              </w:rPr>
              <w:t>الجهة الثالثة</w:t>
            </w:r>
            <w:r>
              <w:rPr>
                <w:rStyle w:val="IndexLink"/>
                <w:rtl w:val="true"/>
              </w:rPr>
              <w:t xml:space="preserve">: </w:t>
            </w:r>
            <w:r>
              <w:rPr>
                <w:rStyle w:val="IndexLink"/>
                <w:rtl w:val="true"/>
              </w:rPr>
              <w:t xml:space="preserve">إنّ جملة </w:t>
            </w:r>
            <w:r>
              <w:rPr>
                <w:rStyle w:val="IndexLink"/>
                <w:rtl w:val="true"/>
              </w:rPr>
              <w:t>«</w:t>
            </w:r>
            <w:r>
              <w:rPr>
                <w:rStyle w:val="IndexLink"/>
                <w:rtl w:val="true"/>
              </w:rPr>
              <w:t>لا ضرر ولا ضرار</w:t>
            </w:r>
            <w:r>
              <w:rPr>
                <w:rStyle w:val="IndexLink"/>
                <w:rtl w:val="true"/>
              </w:rPr>
              <w:t xml:space="preserve">» </w:t>
            </w:r>
            <w:r>
              <w:rPr>
                <w:rStyle w:val="IndexLink"/>
                <w:rtl w:val="true"/>
              </w:rPr>
              <w:t>هل وقعت مستقلّة، أو في ضمن قضايا؟</w:t>
            </w:r>
            <w:r>
              <w:rPr>
                <w:rStyle w:val="IndexLink"/>
                <w:rtl w:val="true"/>
              </w:rPr>
              <w:tab/>
            </w:r>
            <w:r>
              <w:rPr>
                <w:rStyle w:val="IndexLink"/>
              </w:rPr>
              <w:t>76</w:t>
            </w:r>
          </w:hyperlink>
        </w:p>
        <w:p>
          <w:pPr>
            <w:pStyle w:val="Contents2"/>
            <w:tabs>
              <w:tab w:val="clear" w:pos="8743"/>
              <w:tab w:val="right" w:pos="9026" w:leader="dot"/>
            </w:tabs>
            <w:rPr/>
          </w:pPr>
          <w:hyperlink w:anchor="__RefHeading___Toc1770870_653776707">
            <w:r>
              <w:rPr>
                <w:webHidden/>
                <w:rStyle w:val="IndexLink"/>
                <w:rtl w:val="true"/>
              </w:rPr>
              <w:t>المقام الرابع</w:t>
            </w:r>
            <w:r>
              <w:rPr>
                <w:rStyle w:val="IndexLink"/>
                <w:rtl w:val="true"/>
              </w:rPr>
              <w:t xml:space="preserve">: </w:t>
            </w:r>
            <w:r>
              <w:rPr>
                <w:rStyle w:val="IndexLink"/>
                <w:rtl w:val="true"/>
              </w:rPr>
              <w:t>في فقه الحديث</w:t>
            </w:r>
            <w:r>
              <w:rPr>
                <w:rStyle w:val="IndexLink"/>
                <w:rtl w:val="true"/>
              </w:rPr>
              <w:tab/>
            </w:r>
            <w:r>
              <w:rPr>
                <w:rStyle w:val="IndexLink"/>
              </w:rPr>
              <w:t>101</w:t>
            </w:r>
          </w:hyperlink>
        </w:p>
        <w:p>
          <w:pPr>
            <w:pStyle w:val="Contents3"/>
            <w:tabs>
              <w:tab w:val="clear" w:pos="8459"/>
              <w:tab w:val="right" w:pos="9026" w:leader="dot"/>
            </w:tabs>
            <w:rPr/>
          </w:pPr>
          <w:hyperlink w:anchor="__RefHeading___Toc1770872_653776707">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1770874_653776707">
            <w:r>
              <w:rPr>
                <w:webHidden/>
                <w:rStyle w:val="IndexLink"/>
                <w:rtl w:val="true"/>
              </w:rPr>
              <w:t>الجهة الأولى</w:t>
            </w:r>
            <w:r>
              <w:rPr>
                <w:rStyle w:val="IndexLink"/>
                <w:rtl w:val="true"/>
              </w:rPr>
              <w:t xml:space="preserve">: </w:t>
            </w:r>
            <w:r>
              <w:rPr>
                <w:rStyle w:val="IndexLink"/>
                <w:rtl w:val="true"/>
              </w:rPr>
              <w:t>في مدلول مفردات الحديث</w:t>
            </w:r>
            <w:r>
              <w:rPr>
                <w:rStyle w:val="IndexLink"/>
                <w:rtl w:val="true"/>
              </w:rPr>
              <w:t>.</w:t>
              <w:tab/>
            </w:r>
            <w:r>
              <w:rPr>
                <w:rStyle w:val="IndexLink"/>
              </w:rPr>
              <w:t>101</w:t>
            </w:r>
          </w:hyperlink>
        </w:p>
        <w:p>
          <w:pPr>
            <w:pStyle w:val="Contents2"/>
            <w:tabs>
              <w:tab w:val="clear" w:pos="8743"/>
              <w:tab w:val="right" w:pos="9026" w:leader="dot"/>
            </w:tabs>
            <w:rPr/>
          </w:pPr>
          <w:hyperlink w:anchor="__RefHeading___Toc1770876_653776707">
            <w:r>
              <w:rPr>
                <w:webHidden/>
                <w:rStyle w:val="IndexLink"/>
                <w:rtl w:val="true"/>
              </w:rPr>
              <w:t>الجهة الثانية</w:t>
            </w:r>
            <w:r>
              <w:rPr>
                <w:rStyle w:val="IndexLink"/>
                <w:rtl w:val="true"/>
              </w:rPr>
              <w:t>:</w:t>
            </w:r>
            <w:r>
              <w:rPr>
                <w:rStyle w:val="IndexLink"/>
                <w:rtl w:val="true"/>
              </w:rPr>
              <w:t>في مدلول الهيئة التركيبية و فيه مسالك</w:t>
            </w:r>
            <w:r>
              <w:rPr>
                <w:rStyle w:val="IndexLink"/>
                <w:rtl w:val="true"/>
              </w:rPr>
              <w:tab/>
            </w:r>
            <w:r>
              <w:rPr>
                <w:rStyle w:val="IndexLink"/>
              </w:rPr>
              <w:t>113</w:t>
            </w:r>
          </w:hyperlink>
        </w:p>
        <w:p>
          <w:pPr>
            <w:pStyle w:val="Contents3"/>
            <w:tabs>
              <w:tab w:val="clear" w:pos="8459"/>
              <w:tab w:val="right" w:pos="9026" w:leader="dot"/>
            </w:tabs>
            <w:rPr/>
          </w:pPr>
          <w:hyperlink w:anchor="__RefHeading___Toc1770878_653776707">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1770880_653776707">
            <w:r>
              <w:rPr>
                <w:webHidden/>
                <w:rStyle w:val="IndexLink"/>
                <w:rtl w:val="true"/>
              </w:rPr>
              <w:t>المسلك الأوّل</w:t>
            </w:r>
            <w:r>
              <w:rPr>
                <w:rStyle w:val="IndexLink"/>
                <w:rtl w:val="true"/>
              </w:rPr>
              <w:t>:</w:t>
            </w:r>
            <w:r>
              <w:rPr>
                <w:rStyle w:val="IndexLink"/>
                <w:rtl w:val="true"/>
              </w:rPr>
              <w:t>الشيخ الأنصاري</w:t>
            </w:r>
            <w:r>
              <w:rPr>
                <w:rStyle w:val="IndexLink"/>
                <w:rtl w:val="true"/>
              </w:rPr>
              <w:tab/>
            </w:r>
            <w:r>
              <w:rPr>
                <w:rStyle w:val="IndexLink"/>
              </w:rPr>
              <w:t>117</w:t>
            </w:r>
          </w:hyperlink>
        </w:p>
        <w:p>
          <w:pPr>
            <w:pStyle w:val="Contents3"/>
            <w:tabs>
              <w:tab w:val="clear" w:pos="8459"/>
              <w:tab w:val="right" w:pos="9026" w:leader="dot"/>
            </w:tabs>
            <w:rPr/>
          </w:pPr>
          <w:hyperlink w:anchor="__RefHeading___Toc1770882_653776707">
            <w:r>
              <w:rPr>
                <w:webHidden/>
                <w:rStyle w:val="IndexLink"/>
                <w:rtl w:val="true"/>
              </w:rPr>
              <w:t>المسلك الثاني</w:t>
            </w:r>
            <w:r>
              <w:rPr>
                <w:rStyle w:val="IndexLink"/>
                <w:rtl w:val="true"/>
              </w:rPr>
              <w:t>:</w:t>
            </w:r>
            <w:r>
              <w:rPr>
                <w:rStyle w:val="IndexLink"/>
                <w:rtl w:val="true"/>
              </w:rPr>
              <w:t>المحقّق الخراساني</w:t>
            </w:r>
            <w:r>
              <w:rPr>
                <w:rStyle w:val="IndexLink"/>
                <w:rtl w:val="true"/>
              </w:rPr>
              <w:tab/>
            </w:r>
            <w:r>
              <w:rPr>
                <w:rStyle w:val="IndexLink"/>
              </w:rPr>
              <w:t>118</w:t>
            </w:r>
          </w:hyperlink>
        </w:p>
        <w:p>
          <w:pPr>
            <w:pStyle w:val="Contents3"/>
            <w:tabs>
              <w:tab w:val="clear" w:pos="8459"/>
              <w:tab w:val="right" w:pos="9026" w:leader="dot"/>
            </w:tabs>
            <w:rPr/>
          </w:pPr>
          <w:hyperlink w:anchor="__RefHeading___Toc1770884_653776707">
            <w:r>
              <w:rPr>
                <w:webHidden/>
                <w:rStyle w:val="IndexLink"/>
                <w:rtl w:val="true"/>
              </w:rPr>
              <w:t>المسلك الثالث</w:t>
            </w:r>
            <w:r>
              <w:rPr>
                <w:rStyle w:val="IndexLink"/>
                <w:rtl w:val="true"/>
              </w:rPr>
              <w:t xml:space="preserve">: </w:t>
            </w:r>
            <w:r>
              <w:rPr>
                <w:rStyle w:val="IndexLink"/>
                <w:rtl w:val="true"/>
              </w:rPr>
              <w:t>لصاحب العناوين</w:t>
            </w:r>
            <w:r>
              <w:rPr>
                <w:rStyle w:val="IndexLink"/>
                <w:rtl w:val="true"/>
              </w:rPr>
              <w:tab/>
            </w:r>
            <w:r>
              <w:rPr>
                <w:rStyle w:val="IndexLink"/>
              </w:rPr>
              <w:t>120</w:t>
            </w:r>
          </w:hyperlink>
        </w:p>
        <w:p>
          <w:pPr>
            <w:pStyle w:val="Contents3"/>
            <w:tabs>
              <w:tab w:val="clear" w:pos="8459"/>
              <w:tab w:val="right" w:pos="9026" w:leader="dot"/>
            </w:tabs>
            <w:rPr/>
          </w:pPr>
          <w:hyperlink w:anchor="__RefHeading___Toc1770886_653776707">
            <w:r>
              <w:rPr>
                <w:webHidden/>
                <w:rStyle w:val="IndexLink"/>
                <w:rtl w:val="true"/>
              </w:rPr>
              <w:t>المسلك الرابع</w:t>
            </w:r>
            <w:r>
              <w:rPr>
                <w:rStyle w:val="IndexLink"/>
                <w:rtl w:val="true"/>
              </w:rPr>
              <w:t xml:space="preserve">: </w:t>
            </w:r>
            <w:r>
              <w:rPr>
                <w:rStyle w:val="IndexLink"/>
                <w:rtl w:val="true"/>
              </w:rPr>
              <w:t>للفاضل التوني</w:t>
            </w:r>
            <w:r>
              <w:rPr>
                <w:rStyle w:val="IndexLink"/>
                <w:rtl w:val="true"/>
              </w:rPr>
              <w:tab/>
            </w:r>
            <w:r>
              <w:rPr>
                <w:rStyle w:val="IndexLink"/>
              </w:rPr>
              <w:t>121</w:t>
            </w:r>
          </w:hyperlink>
        </w:p>
        <w:p>
          <w:pPr>
            <w:pStyle w:val="Contents3"/>
            <w:tabs>
              <w:tab w:val="clear" w:pos="8459"/>
              <w:tab w:val="right" w:pos="9026" w:leader="dot"/>
            </w:tabs>
            <w:rPr/>
          </w:pPr>
          <w:hyperlink w:anchor="__RefHeading___Toc1770888_653776707">
            <w:r>
              <w:rPr>
                <w:webHidden/>
                <w:rStyle w:val="IndexLink"/>
                <w:rtl w:val="true"/>
              </w:rPr>
              <w:t>المسلك الخامس</w:t>
            </w:r>
            <w:r>
              <w:rPr>
                <w:rStyle w:val="IndexLink"/>
                <w:rtl w:val="true"/>
              </w:rPr>
              <w:t xml:space="preserve">: </w:t>
            </w:r>
            <w:r>
              <w:rPr>
                <w:rStyle w:val="IndexLink"/>
                <w:rtl w:val="true"/>
              </w:rPr>
              <w:t>لبعض أعاظم العصر</w:t>
            </w:r>
            <w:r>
              <w:rPr>
                <w:rStyle w:val="IndexLink"/>
                <w:rtl w:val="true"/>
              </w:rPr>
              <w:tab/>
            </w:r>
            <w:r>
              <w:rPr>
                <w:rStyle w:val="IndexLink"/>
              </w:rPr>
              <w:t>122</w:t>
            </w:r>
          </w:hyperlink>
        </w:p>
        <w:p>
          <w:pPr>
            <w:pStyle w:val="Contents3"/>
            <w:tabs>
              <w:tab w:val="clear" w:pos="8459"/>
              <w:tab w:val="right" w:pos="9026" w:leader="dot"/>
            </w:tabs>
            <w:rPr/>
          </w:pPr>
          <w:hyperlink w:anchor="__RefHeading___Toc1770890_653776707">
            <w:r>
              <w:rPr>
                <w:webHidden/>
                <w:rStyle w:val="IndexLink"/>
                <w:rtl w:val="true"/>
              </w:rPr>
              <w:t>المسلك السادس</w:t>
            </w:r>
            <w:r>
              <w:rPr>
                <w:rStyle w:val="IndexLink"/>
                <w:rtl w:val="true"/>
              </w:rPr>
              <w:t xml:space="preserve">: </w:t>
            </w:r>
            <w:r>
              <w:rPr>
                <w:rStyle w:val="IndexLink"/>
                <w:rtl w:val="true"/>
              </w:rPr>
              <w:t>لبعض الأعلام الأجلاّء</w:t>
            </w:r>
            <w:r>
              <w:rPr>
                <w:rStyle w:val="IndexLink"/>
                <w:rtl w:val="true"/>
              </w:rPr>
              <w:tab/>
            </w:r>
            <w:r>
              <w:rPr>
                <w:rStyle w:val="IndexLink"/>
              </w:rPr>
              <w:t>124</w:t>
            </w:r>
          </w:hyperlink>
        </w:p>
        <w:p>
          <w:pPr>
            <w:pStyle w:val="Contents4"/>
            <w:tabs>
              <w:tab w:val="clear" w:pos="8176"/>
              <w:tab w:val="right" w:pos="9026" w:leader="dot"/>
            </w:tabs>
            <w:rPr/>
          </w:pPr>
          <w:hyperlink w:anchor="__RefHeading___Toc1770892_653776707">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770894_653776707">
            <w:r>
              <w:rPr>
                <w:webHidden/>
                <w:rStyle w:val="IndexLink"/>
                <w:rtl w:val="true"/>
              </w:rPr>
              <w:t xml:space="preserve">وأمّا الأمر الثالث </w:t>
            </w:r>
            <w:r>
              <w:rPr>
                <w:rStyle w:val="IndexLink"/>
                <w:rtl w:val="true"/>
              </w:rPr>
              <w:t xml:space="preserve">- </w:t>
            </w:r>
            <w:r>
              <w:rPr>
                <w:rStyle w:val="IndexLink"/>
                <w:rtl w:val="true"/>
              </w:rPr>
              <w:t xml:space="preserve">وهو بيان تقريرات المسالك وما يرد عليها </w:t>
            </w:r>
            <w:r>
              <w:rPr>
                <w:rStyle w:val="IndexLink"/>
                <w:rtl w:val="true"/>
              </w:rPr>
              <w:t xml:space="preserve">- </w:t>
            </w:r>
            <w:r>
              <w:rPr>
                <w:rStyle w:val="IndexLink"/>
                <w:rtl w:val="true"/>
              </w:rPr>
              <w:t>فنقول</w:t>
            </w:r>
            <w:r>
              <w:rPr>
                <w:rStyle w:val="IndexLink"/>
                <w:rtl w:val="true"/>
              </w:rPr>
              <w:t>:</w:t>
              <w:tab/>
            </w:r>
            <w:r>
              <w:rPr>
                <w:rStyle w:val="IndexLink"/>
              </w:rPr>
              <w:t>126</w:t>
            </w:r>
          </w:hyperlink>
        </w:p>
        <w:p>
          <w:pPr>
            <w:pStyle w:val="Contents4"/>
            <w:tabs>
              <w:tab w:val="clear" w:pos="8176"/>
              <w:tab w:val="right" w:pos="9026" w:leader="dot"/>
            </w:tabs>
            <w:rPr/>
          </w:pPr>
          <w:hyperlink w:anchor="__RefHeading___Toc1770896_653776707">
            <w:r>
              <w:rPr>
                <w:webHidden/>
                <w:rStyle w:val="IndexLink"/>
                <w:rtl w:val="true"/>
              </w:rPr>
              <w:t>تقرير المسلك الأوّل</w:t>
            </w:r>
            <w:r>
              <w:rPr>
                <w:rStyle w:val="IndexLink"/>
                <w:rtl w:val="true"/>
              </w:rPr>
              <w:tab/>
            </w:r>
            <w:r>
              <w:rPr>
                <w:rStyle w:val="IndexLink"/>
              </w:rPr>
              <w:t>126</w:t>
            </w:r>
          </w:hyperlink>
        </w:p>
        <w:p>
          <w:pPr>
            <w:pStyle w:val="Contents4"/>
            <w:tabs>
              <w:tab w:val="clear" w:pos="8176"/>
              <w:tab w:val="right" w:pos="9026" w:leader="dot"/>
            </w:tabs>
            <w:rPr/>
          </w:pPr>
          <w:hyperlink w:anchor="__RefHeading___Toc1770898_653776707">
            <w:r>
              <w:rPr>
                <w:webHidden/>
                <w:rStyle w:val="IndexLink"/>
                <w:rtl w:val="true"/>
              </w:rPr>
              <w:t>تقرير المسلك الثاني</w:t>
            </w:r>
            <w:r>
              <w:rPr>
                <w:rStyle w:val="IndexLink"/>
                <w:rtl w:val="true"/>
              </w:rPr>
              <w:tab/>
            </w:r>
            <w:r>
              <w:rPr>
                <w:rStyle w:val="IndexLink"/>
              </w:rPr>
              <w:t>139</w:t>
            </w:r>
          </w:hyperlink>
        </w:p>
        <w:p>
          <w:pPr>
            <w:pStyle w:val="Contents4"/>
            <w:tabs>
              <w:tab w:val="clear" w:pos="8176"/>
              <w:tab w:val="right" w:pos="9026" w:leader="dot"/>
            </w:tabs>
            <w:rPr/>
          </w:pPr>
          <w:hyperlink w:anchor="__RefHeading___Toc1770900_653776707">
            <w:r>
              <w:rPr>
                <w:webHidden/>
                <w:rStyle w:val="IndexLink"/>
                <w:rtl w:val="true"/>
              </w:rPr>
              <w:t>تقرير المسلك الثالث</w:t>
            </w:r>
            <w:r>
              <w:rPr>
                <w:rStyle w:val="IndexLink"/>
                <w:rtl w:val="true"/>
              </w:rPr>
              <w:tab/>
            </w:r>
            <w:r>
              <w:rPr>
                <w:rStyle w:val="IndexLink"/>
              </w:rPr>
              <w:t>150</w:t>
            </w:r>
          </w:hyperlink>
        </w:p>
        <w:p>
          <w:pPr>
            <w:pStyle w:val="Contents4"/>
            <w:tabs>
              <w:tab w:val="clear" w:pos="8176"/>
              <w:tab w:val="right" w:pos="9026" w:leader="dot"/>
            </w:tabs>
            <w:rPr/>
          </w:pPr>
          <w:hyperlink w:anchor="__RefHeading___Toc1770902_653776707">
            <w:r>
              <w:rPr>
                <w:webHidden/>
                <w:rStyle w:val="IndexLink"/>
                <w:rtl w:val="true"/>
              </w:rPr>
              <w:t>تقرير المسلك الرابع</w:t>
            </w:r>
            <w:r>
              <w:rPr>
                <w:rStyle w:val="IndexLink"/>
                <w:rtl w:val="true"/>
              </w:rPr>
              <w:tab/>
            </w:r>
            <w:r>
              <w:rPr>
                <w:rStyle w:val="IndexLink"/>
              </w:rPr>
              <w:t>161</w:t>
            </w:r>
          </w:hyperlink>
        </w:p>
        <w:p>
          <w:pPr>
            <w:pStyle w:val="Contents4"/>
            <w:tabs>
              <w:tab w:val="clear" w:pos="8176"/>
              <w:tab w:val="right" w:pos="9026" w:leader="dot"/>
            </w:tabs>
            <w:rPr/>
          </w:pPr>
          <w:hyperlink w:anchor="__RefHeading___Toc1770904_653776707">
            <w:r>
              <w:rPr>
                <w:webHidden/>
                <w:rStyle w:val="IndexLink"/>
                <w:rtl w:val="true"/>
              </w:rPr>
              <w:t>تقرير المسلك الخامس</w:t>
            </w:r>
            <w:r>
              <w:rPr>
                <w:rStyle w:val="IndexLink"/>
                <w:rtl w:val="true"/>
              </w:rPr>
              <w:tab/>
            </w:r>
            <w:r>
              <w:rPr>
                <w:rStyle w:val="IndexLink"/>
              </w:rPr>
              <w:t>172</w:t>
            </w:r>
          </w:hyperlink>
        </w:p>
        <w:p>
          <w:pPr>
            <w:pStyle w:val="Contents4"/>
            <w:tabs>
              <w:tab w:val="clear" w:pos="8176"/>
              <w:tab w:val="right" w:pos="9026" w:leader="dot"/>
            </w:tabs>
            <w:rPr/>
          </w:pPr>
          <w:hyperlink w:anchor="__RefHeading___Toc1770906_653776707">
            <w:r>
              <w:rPr>
                <w:webHidden/>
                <w:rStyle w:val="IndexLink"/>
                <w:rtl w:val="true"/>
              </w:rPr>
              <w:t>تقرير المسلك السادس</w:t>
            </w:r>
            <w:r>
              <w:rPr>
                <w:rStyle w:val="IndexLink"/>
                <w:rtl w:val="true"/>
              </w:rPr>
              <w:tab/>
            </w:r>
            <w:r>
              <w:rPr>
                <w:rStyle w:val="IndexLink"/>
              </w:rPr>
              <w:t>182</w:t>
            </w:r>
          </w:hyperlink>
        </w:p>
        <w:p>
          <w:pPr>
            <w:pStyle w:val="Contents2"/>
            <w:tabs>
              <w:tab w:val="clear" w:pos="8743"/>
              <w:tab w:val="right" w:pos="9026" w:leader="dot"/>
            </w:tabs>
            <w:rPr/>
          </w:pPr>
          <w:hyperlink w:anchor="__RefHeading___Toc1770908_653776707">
            <w:r>
              <w:rPr>
                <w:webHidden/>
                <w:rStyle w:val="IndexLink"/>
                <w:rtl w:val="true"/>
              </w:rPr>
              <w:t>المقام الخامس</w:t>
            </w:r>
            <w:r>
              <w:rPr>
                <w:rStyle w:val="IndexLink"/>
                <w:rtl w:val="true"/>
              </w:rPr>
              <w:t xml:space="preserve">: </w:t>
            </w:r>
            <w:r>
              <w:rPr>
                <w:rStyle w:val="IndexLink"/>
                <w:rtl w:val="true"/>
              </w:rPr>
              <w:t>في تنبيهات القاعدة</w:t>
            </w:r>
            <w:r>
              <w:rPr>
                <w:rStyle w:val="IndexLink"/>
                <w:rtl w:val="true"/>
              </w:rPr>
              <w:tab/>
            </w:r>
            <w:r>
              <w:rPr>
                <w:rStyle w:val="IndexLink"/>
              </w:rPr>
              <w:t>223</w:t>
            </w:r>
          </w:hyperlink>
        </w:p>
        <w:p>
          <w:pPr>
            <w:pStyle w:val="Contents3"/>
            <w:tabs>
              <w:tab w:val="clear" w:pos="8459"/>
              <w:tab w:val="right" w:pos="9026" w:leader="dot"/>
            </w:tabs>
            <w:rPr/>
          </w:pPr>
          <w:hyperlink w:anchor="__RefHeading___Toc1770910_653776707">
            <w:r>
              <w:rPr>
                <w:webHidden/>
                <w:rStyle w:val="IndexLink"/>
                <w:rtl w:val="true"/>
              </w:rPr>
              <w:t>التنبيه الأول</w:t>
            </w:r>
            <w:r>
              <w:rPr>
                <w:rStyle w:val="IndexLink"/>
                <w:rtl w:val="true"/>
              </w:rPr>
              <w:t xml:space="preserve">: </w:t>
            </w:r>
            <w:r>
              <w:rPr>
                <w:rStyle w:val="IndexLink"/>
                <w:rtl w:val="true"/>
              </w:rPr>
              <w:t>نسبة قاعدة لا ضرر مع أدلّة الأحكام الأوّلية</w:t>
            </w:r>
            <w:r>
              <w:rPr>
                <w:rStyle w:val="IndexLink"/>
                <w:rtl w:val="true"/>
              </w:rPr>
              <w:tab/>
            </w:r>
            <w:r>
              <w:rPr>
                <w:rStyle w:val="IndexLink"/>
              </w:rPr>
              <w:t>223</w:t>
            </w:r>
          </w:hyperlink>
        </w:p>
        <w:p>
          <w:pPr>
            <w:pStyle w:val="Contents3"/>
            <w:tabs>
              <w:tab w:val="clear" w:pos="8459"/>
              <w:tab w:val="right" w:pos="9026" w:leader="dot"/>
            </w:tabs>
            <w:rPr/>
          </w:pPr>
          <w:hyperlink w:anchor="__RefHeading___Toc1770912_653776707">
            <w:r>
              <w:rPr>
                <w:webHidden/>
                <w:rStyle w:val="IndexLink"/>
                <w:rtl w:val="true"/>
              </w:rPr>
              <w:t>التنبيه الثاني</w:t>
            </w:r>
            <w:r>
              <w:rPr>
                <w:rStyle w:val="IndexLink"/>
                <w:rtl w:val="true"/>
              </w:rPr>
              <w:t xml:space="preserve">: </w:t>
            </w:r>
            <w:r>
              <w:rPr>
                <w:rStyle w:val="IndexLink"/>
                <w:rtl w:val="true"/>
              </w:rPr>
              <w:t>حكومة دليل نفي الضرر على أدلّة الأحكام الترخيصية</w:t>
            </w:r>
            <w:r>
              <w:rPr>
                <w:rStyle w:val="IndexLink"/>
                <w:rtl w:val="true"/>
              </w:rPr>
              <w:tab/>
            </w:r>
            <w:r>
              <w:rPr>
                <w:rStyle w:val="IndexLink"/>
              </w:rPr>
              <w:t>230</w:t>
            </w:r>
          </w:hyperlink>
        </w:p>
        <w:p>
          <w:pPr>
            <w:pStyle w:val="Contents3"/>
            <w:tabs>
              <w:tab w:val="clear" w:pos="8459"/>
              <w:tab w:val="right" w:pos="9026" w:leader="dot"/>
            </w:tabs>
            <w:rPr/>
          </w:pPr>
          <w:hyperlink w:anchor="__RefHeading___Toc1770914_653776707">
            <w:r>
              <w:rPr>
                <w:webHidden/>
                <w:rStyle w:val="IndexLink"/>
                <w:rtl w:val="true"/>
              </w:rPr>
              <w:t>التنبيه الثالث</w:t>
            </w:r>
            <w:r>
              <w:rPr>
                <w:rStyle w:val="IndexLink"/>
                <w:rtl w:val="true"/>
              </w:rPr>
              <w:t xml:space="preserve">: </w:t>
            </w:r>
            <w:r>
              <w:rPr>
                <w:rStyle w:val="IndexLink"/>
                <w:rtl w:val="true"/>
              </w:rPr>
              <w:t>شمول القاعدة للأحكام العدمية</w:t>
            </w:r>
            <w:r>
              <w:rPr>
                <w:rStyle w:val="IndexLink"/>
                <w:rtl w:val="true"/>
              </w:rPr>
              <w:tab/>
            </w:r>
            <w:r>
              <w:rPr>
                <w:rStyle w:val="IndexLink"/>
              </w:rPr>
              <w:t>242</w:t>
            </w:r>
          </w:hyperlink>
        </w:p>
        <w:p>
          <w:pPr>
            <w:pStyle w:val="Contents3"/>
            <w:tabs>
              <w:tab w:val="clear" w:pos="8459"/>
              <w:tab w:val="right" w:pos="9026" w:leader="dot"/>
            </w:tabs>
            <w:rPr/>
          </w:pPr>
          <w:hyperlink w:anchor="__RefHeading___Toc1770916_653776707">
            <w:r>
              <w:rPr>
                <w:webHidden/>
                <w:rStyle w:val="IndexLink"/>
                <w:rtl w:val="true"/>
              </w:rPr>
              <w:t>التنبيه الرابع</w:t>
            </w:r>
            <w:r>
              <w:rPr>
                <w:rStyle w:val="IndexLink"/>
                <w:rtl w:val="true"/>
              </w:rPr>
              <w:t xml:space="preserve">: </w:t>
            </w:r>
            <w:r>
              <w:rPr>
                <w:rStyle w:val="IndexLink"/>
                <w:rtl w:val="true"/>
              </w:rPr>
              <w:t>هل المنفي هو الضرر المعلوم أو الواقعي؟</w:t>
            </w:r>
            <w:r>
              <w:rPr>
                <w:rStyle w:val="IndexLink"/>
                <w:rtl w:val="true"/>
              </w:rPr>
              <w:tab/>
            </w:r>
            <w:r>
              <w:rPr>
                <w:rStyle w:val="IndexLink"/>
              </w:rPr>
              <w:t>249</w:t>
            </w:r>
          </w:hyperlink>
        </w:p>
        <w:p>
          <w:pPr>
            <w:pStyle w:val="Contents3"/>
            <w:tabs>
              <w:tab w:val="clear" w:pos="8459"/>
              <w:tab w:val="right" w:pos="9026" w:leader="dot"/>
            </w:tabs>
            <w:rPr/>
          </w:pPr>
          <w:hyperlink w:anchor="__RefHeading___Toc1770918_653776707">
            <w:r>
              <w:rPr>
                <w:webHidden/>
                <w:rStyle w:val="IndexLink"/>
                <w:rtl w:val="true"/>
              </w:rPr>
              <w:t>التنبيه الخامس</w:t>
            </w:r>
            <w:r>
              <w:rPr>
                <w:rStyle w:val="IndexLink"/>
                <w:rtl w:val="true"/>
              </w:rPr>
              <w:t xml:space="preserve">: </w:t>
            </w:r>
            <w:r>
              <w:rPr>
                <w:rStyle w:val="IndexLink"/>
                <w:rtl w:val="true"/>
              </w:rPr>
              <w:t>هل المراد بالضرر المنفي هو الضرر الشخصي أو النوعي؟</w:t>
            </w:r>
            <w:r>
              <w:rPr>
                <w:rStyle w:val="IndexLink"/>
                <w:rtl w:val="true"/>
              </w:rPr>
              <w:tab/>
            </w:r>
            <w:r>
              <w:rPr>
                <w:rStyle w:val="IndexLink"/>
              </w:rPr>
              <w:t>274</w:t>
            </w:r>
          </w:hyperlink>
        </w:p>
        <w:p>
          <w:pPr>
            <w:pStyle w:val="Contents3"/>
            <w:tabs>
              <w:tab w:val="clear" w:pos="8459"/>
              <w:tab w:val="right" w:pos="9026" w:leader="dot"/>
            </w:tabs>
            <w:rPr/>
          </w:pPr>
          <w:hyperlink w:anchor="__RefHeading___Toc1770920_653776707">
            <w:r>
              <w:rPr>
                <w:webHidden/>
                <w:rStyle w:val="IndexLink"/>
                <w:rtl w:val="true"/>
              </w:rPr>
              <w:t>التنبيه السادس</w:t>
            </w:r>
            <w:r>
              <w:rPr>
                <w:rStyle w:val="IndexLink"/>
                <w:rtl w:val="true"/>
              </w:rPr>
              <w:t xml:space="preserve">: </w:t>
            </w:r>
            <w:r>
              <w:rPr>
                <w:rStyle w:val="IndexLink"/>
                <w:rtl w:val="true"/>
              </w:rPr>
              <w:t>هل تشمل القاعدة الضرر الاختياري وغير الاختياري؟</w:t>
            </w:r>
            <w:r>
              <w:rPr>
                <w:rStyle w:val="IndexLink"/>
                <w:rtl w:val="true"/>
              </w:rPr>
              <w:tab/>
            </w:r>
            <w:r>
              <w:rPr>
                <w:rStyle w:val="IndexLink"/>
              </w:rPr>
              <w:t>277</w:t>
            </w:r>
          </w:hyperlink>
        </w:p>
        <w:p>
          <w:pPr>
            <w:pStyle w:val="Contents3"/>
            <w:tabs>
              <w:tab w:val="clear" w:pos="8459"/>
              <w:tab w:val="right" w:pos="9026" w:leader="dot"/>
            </w:tabs>
            <w:rPr/>
          </w:pPr>
          <w:hyperlink w:anchor="__RefHeading___Toc1770922_653776707">
            <w:r>
              <w:rPr>
                <w:webHidden/>
                <w:rStyle w:val="IndexLink"/>
                <w:rtl w:val="true"/>
              </w:rPr>
              <w:t>التنبيه السابع</w:t>
            </w:r>
            <w:r>
              <w:rPr>
                <w:rStyle w:val="IndexLink"/>
                <w:rtl w:val="true"/>
              </w:rPr>
              <w:t xml:space="preserve">: </w:t>
            </w:r>
            <w:r>
              <w:rPr>
                <w:rStyle w:val="IndexLink"/>
                <w:rtl w:val="true"/>
              </w:rPr>
              <w:t>نسبة دليل لا ضرر مع أدلّة أحكام العناوين الثانوية</w:t>
            </w:r>
            <w:r>
              <w:rPr>
                <w:rStyle w:val="IndexLink"/>
                <w:rtl w:val="true"/>
              </w:rPr>
              <w:t>:</w:t>
              <w:tab/>
            </w:r>
            <w:r>
              <w:rPr>
                <w:rStyle w:val="IndexLink"/>
              </w:rPr>
              <w:t>279</w:t>
            </w:r>
          </w:hyperlink>
        </w:p>
        <w:p>
          <w:pPr>
            <w:pStyle w:val="Contents2"/>
            <w:tabs>
              <w:tab w:val="clear" w:pos="8743"/>
              <w:tab w:val="right" w:pos="9026" w:leader="dot"/>
            </w:tabs>
            <w:rPr/>
          </w:pPr>
          <w:hyperlink w:anchor="__RefHeading___Toc1770924_653776707">
            <w:r>
              <w:rPr>
                <w:webHidden/>
                <w:rStyle w:val="IndexLink"/>
                <w:rtl w:val="true"/>
              </w:rPr>
              <w:t>فهرس المصادر</w:t>
            </w:r>
            <w:r>
              <w:rPr>
                <w:rStyle w:val="IndexLink"/>
                <w:rtl w:val="true"/>
              </w:rPr>
              <w:tab/>
            </w:r>
            <w:r>
              <w:rPr>
                <w:rStyle w:val="IndexLink"/>
              </w:rPr>
              <w:t>311</w:t>
            </w:r>
          </w:hyperlink>
        </w:p>
        <w:p>
          <w:pPr>
            <w:pStyle w:val="Contents2"/>
            <w:tabs>
              <w:tab w:val="clear" w:pos="8743"/>
              <w:tab w:val="right" w:pos="9026" w:leader="dot"/>
            </w:tabs>
            <w:rPr/>
          </w:pPr>
          <w:hyperlink w:anchor="__RefHeading___Toc1770926_653776707">
            <w:r>
              <w:rPr>
                <w:webHidden/>
                <w:rStyle w:val="IndexLink"/>
                <w:rtl w:val="true"/>
              </w:rPr>
              <w:t>فهرس المحتويات</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595_75243"/>
      <w:bookmarkStart w:id="1" w:name="pg8595_75243"/>
      <w:bookmarkEnd w:id="1"/>
    </w:p>
    <w:p>
      <w:pPr>
        <w:pStyle w:val="Heading2"/>
        <w:numPr>
          <w:ilvl w:val="1"/>
          <w:numId w:val="1"/>
        </w:numPr>
        <w:rPr/>
      </w:pPr>
      <w:bookmarkStart w:id="2" w:name="pg8595_75243"/>
      <w:bookmarkStart w:id="3" w:name="__RefHeading___Toc1770828_65377670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لا ضرر و لا ضرار</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الداوري</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للبحث والتحقيق العلمي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الأنصار</w:t>
      </w:r>
    </w:p>
    <w:p>
      <w:pPr>
        <w:pStyle w:val="BookText"/>
        <w:rPr/>
      </w:pPr>
      <w:r>
        <w:rPr>
          <w:rFonts w:ascii="IRNazanin" w:hAnsi="IRNazanin" w:eastAsia="IRNazanin"/>
          <w:color w:val="111111"/>
          <w:sz w:val="28"/>
          <w:sz w:val="28"/>
          <w:szCs w:val="28"/>
          <w:rtl w:val="true"/>
          <w:lang w:bidi="fa-IR"/>
        </w:rPr>
        <w:t>صفّ الحروف والإخراج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حسن السماوي</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عدد الصفحات والقطع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الشهداء</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0830_65377670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595_75247"/>
      <w:bookmarkStart w:id="8" w:name="pg8595_75247"/>
      <w:bookmarkEnd w:id="8"/>
    </w:p>
    <w:p>
      <w:pPr>
        <w:pStyle w:val="Heading2"/>
        <w:numPr>
          <w:ilvl w:val="1"/>
          <w:numId w:val="1"/>
        </w:numPr>
        <w:rPr/>
      </w:pPr>
      <w:bookmarkStart w:id="9" w:name="pg8595_75247"/>
      <w:bookmarkStart w:id="10" w:name="__RefHeading___Toc1770832_653776707"/>
      <w:bookmarkStart w:id="11" w:name="_Toc3"/>
      <w:bookmarkEnd w:id="9"/>
      <w:bookmarkEnd w:id="10"/>
      <w:r>
        <w:rPr>
          <w:rtl w:val="true"/>
        </w:rPr>
        <w:t>كلمة المؤسسة</w:t>
      </w:r>
      <w:bookmarkEnd w:id="11"/>
    </w:p>
    <w:p>
      <w:pPr>
        <w:pStyle w:val="BookText"/>
        <w:rPr/>
      </w:pPr>
      <w:r>
        <w:rPr>
          <w:rFonts w:ascii="Amiri" w:hAnsi="Amiri" w:eastAsia="Amiri" w:cs="Amiri"/>
          <w:color w:val="111111"/>
          <w:sz w:val="28"/>
          <w:sz w:val="28"/>
          <w:szCs w:val="28"/>
          <w:rtl w:val="true"/>
          <w:lang w:bidi="ar-SA"/>
        </w:rPr>
        <w:t>الحمد لله الواحد الأحد الفرد الصمد، الذي جعل الحمد ثمناً لنعمائه، ومعاذاً من بلائه، والصلاة والسلام على رسوله النبي المبعوث رحمةً للعالمين، وعلى آله الهداة المهديين، مصابيح الظلم، وعصم الأمم، واللعنة الدائمة على أعدائهم أجمعين، الذين بهم ظهر الفساد في الأرض وعم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خفيٍّ أنّ المتكفّل لما يتعلّق بالعمل من الأحكام هو علم الفقه، والمتكفّل لتنقيح مبانيه هو علم الأصول، فلابدّ للفقيه من البحث عنه، إمّا في مقدّمة الفقه كما كان عليه دأب الفقهاء قبل زمان الشيخ الطوسي، وإمّا مستقلاًّ كما هو المتعارف في زماننا، وليس ذلك بدعة كما توهّم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 مَن فتح باب هذا العلم وفتق مسائله الإمامان محمد الباقر وجعفر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أمليا على جماعة منهم هشام بن الحكم الكوفي حيث صنّف كتاب الألفاظ ومباحثها، ثمّ أتى بعده يونس بن عبد الرحمن ومحمد بن أبي عمير بكتابيهما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الحديث</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والفضل بن شاذان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في </w:t>
      </w:r>
    </w:p>
    <w:p>
      <w:pPr>
        <w:pStyle w:val="BookText"/>
        <w:rPr/>
      </w:pP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وغيرهم من المصنّفين من الأصحاب إلى زمان الغيبة الصغرى، وأمّا في زمن الغيبة الكبرى فقد زاد الاهتمام بهذا العلم أكثر، وذلك قبل زمان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قاموا بتأليف كتب أصولية قيّمة، منها أصول الفقه للشيخ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والعدّة في أصول الفقه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علماء الإمامية، واستمرّ الأمر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محمد بن إدريس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صنّف في هذا العلم من علماء مدرسة أبناء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وكلّما بعدنا عن عصر النصّ واختلطت الأمور وتداخلت المسائل وزاد الابتلاء بالمسائل المستحدثة كانت الحاجة إلى إعمال قواعد قد رسمها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لاستخراج الفروع منها أكثر، فهي أشبه بالدليل والميزان في معرفة 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وعلم أصول الفقه هو علم الاستنباط أو منطق الفقه كما 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عنه بعض العلماء، وقد بلغ هذا العلم في المدرسة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القرون العديدة التي مرّ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الرقيّ والتطوّر، وقد شهد القرن الأخير للمدرسة الأصولية نضجاً فذّاً وآراء ونظريات أصولية عملاقة برهنت على عبقرية العقل الأصولي في المدرسة الإمامية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العلماء والمحقّقين الذين كان لهم الدور البارز في خدمة هذه </w:t>
      </w:r>
    </w:p>
    <w:p>
      <w:pPr>
        <w:pStyle w:val="BookText"/>
        <w:rPr/>
      </w:pPr>
      <w:r>
        <w:rPr>
          <w:rFonts w:ascii="Amiri" w:hAnsi="Amiri" w:eastAsia="Amiri" w:cs="Amiri"/>
          <w:color w:val="111111"/>
          <w:sz w:val="28"/>
          <w:sz w:val="28"/>
          <w:szCs w:val="28"/>
          <w:rtl w:val="true"/>
          <w:lang w:bidi="ar-SA"/>
        </w:rPr>
        <w:t>المدرسة الأصولية هو سماحة آية الله العظمى السيد أبو القاسم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تزعّم الحوزة العلمية في النجف الأشرف قرابة نصف قرن، وكان من أبرز أساتذتها، وقد تخرّج على يده المئات من العلماء والمجتهدين، وبرز من بين فضلاء درسه نخبة من الأعلام الذين انتهلوا من معين علمه، منهم الأستاذ سماحة الفقيه المحقّق آية الله الشيخ مسلم الداوري دام ظلّه، الذي له السبق في تدريسه لعدّة دورات أصولية كاملة وقيّمة، وهي في طور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توجد لسماحته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ورجالية وتفسيرية، بعضٌ منها مطبوع والآخر في حال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حفظه الله قد سار على نهج أستاذه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التعمّق في تلك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 من تلك الأبحاث الأصولية، وهي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أشهر القواعد الفقهية التي يستدل بها في كثير من أبواب الفقه في العبادات والمعاملات، وبما أنّ مفادها نفي الحكم الضرري فتكون هي المدرك الوحيد لكثيرٍ من المسائل، ولذلك يترتّب على هذه القاعدة آثار وفروع فقهية مهمّة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والجدير بالذكر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من القواعد الحاكمة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بشمولها لأبواب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المصاديق البارزة؛ لكون شريعة الإسلام شريعة سهلة سمحة كما ثبت وأشار إلى ذلك الكتاب والسنّة الشريفة، وقد أصبحت هذه القاعدة مورداً لاهتمام علمائنا الإمامية لا سيّما في العصر الأخير، حيث تطرّق لها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واهتمّ </w:t>
      </w:r>
    </w:p>
    <w:p>
      <w:pPr>
        <w:pStyle w:val="BookText"/>
        <w:rPr/>
      </w:pPr>
      <w:r>
        <w:rPr>
          <w:rFonts w:ascii="Amiri" w:hAnsi="Amiri" w:eastAsia="Amiri" w:cs="Amiri"/>
          <w:color w:val="111111"/>
          <w:sz w:val="28"/>
          <w:sz w:val="28"/>
          <w:szCs w:val="28"/>
          <w:rtl w:val="true"/>
          <w:lang w:bidi="ar-SA"/>
        </w:rPr>
        <w:t>بها وجعلها في كتاب رسائله، فانتظمت في سلك علم الأصول، وقد زاد الفقهاء المتأخّرون البحث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بحث حول هذه القاعدة في ضمن دورته الأصولية سماحةُ الشيخ الأستاذ حفظه الله تعالى، حيث ألقاها على ثلّة من الأفاضل وجملة من روّاد العلم وطلاّب الحوزة العلمية في قم المقدّسة، وقد حُرّرت هذه الأبحاث في كتاب يقع في مجلّد واحد سطّره يراع العلاّمة المحقّق حجّة الإسلام الشيخ عبد الشهيد الحوري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لا يسعنا إلاّ أن نشكر الإخوة الذين بذلوا جهداً كبيراً في تحقيق الكتاب ومراجعته وإخراجه بهذه الصورة البهيّة، منهم المحقّقان حجّة الإسلام والمسلمين الشيخ مرتضى الصالحي النجفي، وحجّة الإسلام والمسلمين الشيخ عبد المجيد عيسى، والأخ كمال زين العابدين الذي قام بالإخراج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تبارك وتعالى أن يديم لنا بقاء سماحة آية الله الشيخ الأستاذ في خير وعافية، وينفعنا بعلمه تحت رعاية سيدنا ومولانا الحجّة بن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وعجل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سميع مجيب</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يدور بحثنا حول هذه القاعدة</w:t>
      </w:r>
    </w:p>
    <w:p>
      <w:pPr>
        <w:pStyle w:val="BookText"/>
        <w:rPr/>
      </w:pPr>
      <w:r>
        <w:rPr>
          <w:rFonts w:ascii="Amiri" w:hAnsi="Amiri" w:eastAsia="Amiri" w:cs="Amiri"/>
          <w:color w:val="111111"/>
          <w:sz w:val="28"/>
          <w:sz w:val="28"/>
          <w:szCs w:val="28"/>
          <w:rtl w:val="true"/>
          <w:lang w:bidi="ar-SA"/>
        </w:rPr>
        <w:t>ضمن مقامات 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متن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الأحاديث</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القاعدة</w:t>
      </w:r>
      <w:r>
        <w:rPr>
          <w:rFonts w:eastAsia="Amiri" w:cs="Amiri" w:ascii="Amiri" w:hAnsi="Amiri"/>
          <w:color w:val="111111"/>
          <w:sz w:val="28"/>
          <w:szCs w:val="28"/>
          <w:rtl w:val="true"/>
          <w:lang w:bidi="ar-SA"/>
        </w:rPr>
        <w:t xml:space="preserve">. </w:t>
      </w:r>
      <w:bookmarkStart w:id="12" w:name="pg8595_75255"/>
    </w:p>
    <w:p>
      <w:pPr>
        <w:pStyle w:val="Heading2"/>
        <w:numPr>
          <w:ilvl w:val="1"/>
          <w:numId w:val="1"/>
        </w:numPr>
        <w:rPr/>
      </w:pPr>
      <w:bookmarkStart w:id="13" w:name="__RefHeading___Toc1770834_653776707"/>
      <w:bookmarkStart w:id="14" w:name="_Toc4"/>
      <w:bookmarkEnd w:id="12"/>
      <w:bookmarkEnd w:id="13"/>
      <w:r>
        <w:rPr>
          <w:rtl w:val="true"/>
        </w:rPr>
        <w:t>المقام الأول</w:t>
      </w:r>
      <w:r>
        <w:rPr>
          <w:rtl w:val="true"/>
        </w:rPr>
        <w:t xml:space="preserve">: </w:t>
      </w:r>
      <w:r>
        <w:rPr>
          <w:rtl w:val="true"/>
        </w:rPr>
        <w:t>مدرك القاعدة</w:t>
      </w:r>
      <w:bookmarkEnd w:id="14"/>
    </w:p>
    <w:p>
      <w:pPr>
        <w:pStyle w:val="Heading3"/>
        <w:numPr>
          <w:ilvl w:val="2"/>
          <w:numId w:val="1"/>
        </w:numPr>
        <w:rPr/>
      </w:pPr>
      <w:bookmarkStart w:id="15" w:name="__RefHeading___Toc1770836_65377670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لقد استدلّ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الكريم</w:t>
      </w:r>
      <w:r>
        <w:rPr>
          <w:rStyle w:val="FootnoteAnchor"/>
          <w:rtl w:val="true"/>
        </w:rPr>
        <w:footnoteReference w:id="4"/>
      </w:r>
      <w:r>
        <w:rPr>
          <w:rFonts w:ascii="Amiri" w:hAnsi="Amiri" w:eastAsia="Amiri" w:cs="Amiri"/>
          <w:color w:val="111111"/>
          <w:sz w:val="28"/>
          <w:sz w:val="28"/>
          <w:szCs w:val="28"/>
          <w:rtl w:val="true"/>
          <w:lang w:bidi="ar-SA"/>
        </w:rPr>
        <w:t>، والسنّة الشريفة، والإجماع، والعقل، إلاّ أنّ الأعلام من العلماء اقتصروا في بيان الدليل على هذه القاعدة بالتمسّك بالسنّة الشريفة؛ حيث إنّها تمثّل عمدة الأدلّة وأهمّها، فلذا أصبحت مثاراً للجدل والبحث من عدّة جهات كما سيتّضح ذلك من خلال الحديث في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هذه الروايات ضمن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كثيرة جدّاً، تنقسم إلى ثلاثين طائفة تقريباً، إلاّ أنّ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وعشرون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في موارد خاصّة، وأمّا الواردة بنحو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يمكن استفادة قاعدة كلّية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تنحصر في ستّ طوائف</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قضية سمرة بن جندب وقد رويت ألفاظها بثلاثة أنحاء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عدّة من أصحابنا، عن أحمد بن محمد بن خالد، عن أبيه، عن عبد الله بن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كان له عذق</w:t>
      </w:r>
      <w:r>
        <w:rPr>
          <w:rStyle w:val="FootnoteAnchor"/>
          <w:rtl w:val="true"/>
        </w:rPr>
        <w:footnoteReference w:id="5"/>
      </w:r>
      <w:r>
        <w:rPr>
          <w:rFonts w:ascii="Amiri" w:hAnsi="Amiri" w:eastAsia="Amiri" w:cs="Amiri"/>
          <w:color w:val="111111"/>
          <w:sz w:val="28"/>
          <w:sz w:val="28"/>
          <w:szCs w:val="28"/>
          <w:rtl w:val="true"/>
          <w:lang w:bidi="ar-SA"/>
        </w:rPr>
        <w:t xml:space="preserve">في حائط لرجل من الأنصار، وكان منزل الأنصاريّ بباب البستان، وكان يمرُّ به إلى نخلته ولا يستأذن، فكلّمه الأنصاريُّ أن يستأذن إذا جاء، فأبى سمرة، فلمّا تأبّى جاء الأنصاريُّ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وخبّره الخبر،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بقول الأنصاريّ وما شكا،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الدخول فاستأذن، فأبى، فلمّا أبى ساومه حتّى بلغ به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بها عذق يمدُّ لك في الجنّة، فأبى أن يقبل،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فإنّه لا ضرر ولا ضرار</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ورواه الشيخ الصدوق بإسناده عن ابن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كما رواه الشيخ أيضاً بإسناده عن أحمد بن محمد بن خالد مثله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بإسناده عن ابن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سمرة بن جندب كان له عذق في </w:t>
      </w:r>
    </w:p>
    <w:p>
      <w:pPr>
        <w:pStyle w:val="BookText"/>
        <w:rPr/>
      </w:pPr>
      <w:r>
        <w:rPr>
          <w:rFonts w:ascii="Amiri" w:hAnsi="Amiri" w:eastAsia="Amiri" w:cs="Amiri"/>
          <w:color w:val="111111"/>
          <w:sz w:val="28"/>
          <w:sz w:val="28"/>
          <w:szCs w:val="28"/>
          <w:rtl w:val="true"/>
          <w:lang w:bidi="ar-SA"/>
        </w:rPr>
        <w:t>حائط رجل من الأنصار، وكان منزل الأنصاري فيه الطريق إلى الحائط، فكان يأتيه فيدخل عليه ولا يستأذن،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تجيء وتدخل ونحن في حال نكره أن ترانا عليه، فإذا جئت فاستأذن حتّى نتحرَّز ثمَّ نأذن لك وتدخل،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هو مالي أدخل عليه ولا أستأذن، فأتى الأنصاريُّ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فشكى إليه وأخبره، فبعث إلى سمرة،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 فأبى، وقال له مثل ما قال للأنصاريِّ، فعرض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منه بالثمن، فأبى عليه، وجعل يزيده فيأبى أن يبيع، فلمّا رأى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عذق في الجنّة، فأبى أن يقبل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أن يقلع النخلة فيلقيها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علي بن محمد بن بندار، عن أحمد بن أبي عبد الله، عن أبيه، عن بعض أصحابنا، عن عبد الله بن مسكان،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سمرة بن جندب كان له عذق، وكان طريقه إليه في جوف منزل رجل من الأنصار، فكان يجيء ويدخل إلى عذقه بغير إذن من الأنصاريّ، فقال 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سمرة، لا تزال تفاجئنا على حال لا نحبّ أن تفاجئنا عليها، فإذا دخلت فاستأذن،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أستأذن في طريقي، وهو طريقي إلى عذقي،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الأنصاريُّ إلى رسول </w:t>
      </w:r>
      <w:bookmarkStart w:id="17" w:name="pg8595_75260"/>
    </w:p>
    <w:p>
      <w:pPr>
        <w:pStyle w:val="BookText"/>
        <w:rPr/>
      </w:pPr>
      <w:bookmarkEnd w:id="17"/>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قد شكاك وزعم أنّك تمرُّ عليه وعلى أهله بغير إذنه، فاستأذن عليه إذا أردت أن تدخل،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أستأذن في طريقي إلى عذقي؟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مكان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اثنان،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فلم يزل يزيده حتّى بلغ عشرة أعذاق،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عشرة في مكان كذا وكذا، فأبى،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 ولك مكانه عذق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ولا ضرر ولا ضرار على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فقلعت ثمّ رمى بها إليه، وقال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فاغرسها حيث شئت</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770838_653776707"/>
      <w:bookmarkStart w:id="19" w:name="_Toc6"/>
      <w:bookmarkEnd w:id="18"/>
      <w:r>
        <w:rPr>
          <w:rtl w:val="true"/>
        </w:rPr>
        <w:t>الطائفة الثانية</w:t>
      </w:r>
      <w:r>
        <w:rPr>
          <w:rtl w:val="true"/>
        </w:rPr>
        <w:t xml:space="preserve">: </w:t>
      </w:r>
      <w:r>
        <w:rPr>
          <w:rtl w:val="true"/>
        </w:rPr>
        <w:t>النصوص الواردة في باب الشفعة</w:t>
      </w:r>
      <w:r>
        <w:rPr>
          <w:rtl w:val="true"/>
        </w:rPr>
        <w:t>:</w:t>
      </w:r>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عبد الله بن هلال، عن عقبة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بالشفعة بين الشركاء 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رفّت</w:t>
      </w:r>
      <w:r>
        <w:rPr>
          <w:rStyle w:val="FootnoteAnchor"/>
          <w:rtl w:val="true"/>
        </w:rPr>
        <w:footnoteReference w:id="10"/>
      </w:r>
      <w:r>
        <w:rPr>
          <w:rFonts w:ascii="Amiri" w:hAnsi="Amiri" w:eastAsia="Amiri" w:cs="Amiri"/>
          <w:color w:val="111111"/>
          <w:sz w:val="28"/>
          <w:sz w:val="28"/>
          <w:szCs w:val="28"/>
          <w:rtl w:val="true"/>
          <w:lang w:bidi="ar-SA"/>
        </w:rPr>
        <w:t xml:space="preserve">الأرف وحُدَّت الحدود فلا </w:t>
      </w:r>
      <w:bookmarkStart w:id="20" w:name="pg8595_75263"/>
    </w:p>
    <w:p>
      <w:pPr>
        <w:pStyle w:val="BookText"/>
        <w:rPr/>
      </w:pPr>
      <w:bookmarkEnd w:id="20"/>
      <w:r>
        <w:rPr>
          <w:rFonts w:ascii="Amiri" w:hAnsi="Amiri" w:eastAsia="Amiri" w:cs="Amiri"/>
          <w:color w:val="111111"/>
          <w:sz w:val="28"/>
          <w:sz w:val="28"/>
          <w:szCs w:val="28"/>
          <w:rtl w:val="true"/>
          <w:lang w:bidi="ar-SA"/>
        </w:rPr>
        <w:t>شفعة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فقه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الشفعة واجبة في الشركة المشاعة وفي المجاز المقسوم وفي المجاورة والشرب الجامع وفي الأرحية</w:t>
      </w:r>
      <w:r>
        <w:rPr>
          <w:rStyle w:val="FootnoteAnchor"/>
          <w:rtl w:val="true"/>
        </w:rPr>
        <w:footnoteReference w:id="12"/>
      </w:r>
      <w:r>
        <w:rPr>
          <w:rFonts w:ascii="Amiri" w:hAnsi="Amiri" w:eastAsia="Amiri" w:cs="Amiri"/>
          <w:color w:val="111111"/>
          <w:sz w:val="28"/>
          <w:sz w:val="28"/>
          <w:szCs w:val="28"/>
          <w:rtl w:val="true"/>
          <w:lang w:bidi="ar-SA"/>
        </w:rPr>
        <w:t>وفي الحمّامات، ولا شفعة ليهودي ولا نصراني ولا مخالف، ولا شفعة في سفينة ولا طريق يجمع المسلمين، ولا حيوان، ولا ضرر في شفعة ولا ضرار، والشفعة على البائع والمشتري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770840_653776707"/>
      <w:bookmarkStart w:id="22" w:name="_Toc7"/>
      <w:bookmarkEnd w:id="21"/>
      <w:r>
        <w:rPr>
          <w:rtl w:val="true"/>
        </w:rPr>
        <w:t>الطائفة الثالثة</w:t>
      </w:r>
      <w:r>
        <w:rPr>
          <w:rtl w:val="true"/>
        </w:rPr>
        <w:t xml:space="preserve">: </w:t>
      </w:r>
      <w:r>
        <w:rPr>
          <w:rtl w:val="true"/>
        </w:rPr>
        <w:t>ما ورد في منع فضل الماء</w:t>
      </w:r>
      <w:r>
        <w:rPr>
          <w:rtl w:val="true"/>
        </w:rPr>
        <w:t>:</w:t>
      </w:r>
      <w:bookmarkEnd w:id="2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محمّد بن عبد الله بن هلال، عن عقبة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المدينة في مشارب النخل أنّه لا يمنع نفع</w:t>
      </w:r>
      <w:r>
        <w:rPr>
          <w:rStyle w:val="FootnoteAnchor"/>
          <w:rtl w:val="true"/>
        </w:rPr>
        <w:footnoteReference w:id="14"/>
      </w:r>
      <w:r>
        <w:rPr>
          <w:rFonts w:ascii="Amiri" w:hAnsi="Amiri" w:eastAsia="Amiri" w:cs="Amiri"/>
          <w:color w:val="111111"/>
          <w:sz w:val="28"/>
          <w:sz w:val="28"/>
          <w:szCs w:val="28"/>
          <w:rtl w:val="true"/>
          <w:lang w:bidi="ar-SA"/>
        </w:rPr>
        <w:t xml:space="preserve">الشيء، 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البادية أنّه لا يمنع فضل ماء ليمنع </w:t>
      </w:r>
      <w:bookmarkStart w:id="23" w:name="pg8595_75264"/>
    </w:p>
    <w:p>
      <w:pPr>
        <w:pStyle w:val="BookText"/>
        <w:rPr/>
      </w:pPr>
      <w:bookmarkEnd w:id="23"/>
      <w:r>
        <w:rPr>
          <w:rFonts w:ascii="Amiri" w:hAnsi="Amiri" w:eastAsia="Amiri" w:cs="Amiri"/>
          <w:color w:val="111111"/>
          <w:sz w:val="28"/>
          <w:sz w:val="28"/>
          <w:szCs w:val="28"/>
          <w:rtl w:val="true"/>
          <w:lang w:bidi="ar-SA"/>
        </w:rPr>
        <w:t>به فضل كلاء،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770842_653776707"/>
      <w:bookmarkStart w:id="25" w:name="_Toc8"/>
      <w:bookmarkEnd w:id="24"/>
      <w:r>
        <w:rPr>
          <w:rtl w:val="true"/>
        </w:rPr>
        <w:t>الطائفة الرابعة</w:t>
      </w:r>
      <w:r>
        <w:rPr>
          <w:rtl w:val="true"/>
        </w:rPr>
        <w:t xml:space="preserve">: </w:t>
      </w:r>
      <w:r>
        <w:rPr>
          <w:rtl w:val="true"/>
        </w:rPr>
        <w:t>ما ورد في هدم الجدار</w:t>
      </w:r>
      <w:r>
        <w:rPr>
          <w:rtl w:val="true"/>
        </w:rPr>
        <w:t>:</w:t>
      </w:r>
      <w:bookmarkEnd w:id="25"/>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المحدّث النوري عن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روينا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عن جدار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سترة بينه وبين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فامتنع من بنيانه،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يجبر على ذلك، إلاّ أن يكون وجب ذلك لصاحب الدار الأخرى بحقّ أو شرط في أصل الملك، ولكن يقال لصاحب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على نفسك في حقّك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الجدار لم يسقط، ولكنه هدمه أو أراد هدمه إضراراً بجاره، لغير حاجة منه إلى هدمه،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يترك؛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وإن هدمه كلّف أن يبنيه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770844_653776707"/>
      <w:bookmarkStart w:id="27" w:name="_Toc9"/>
      <w:bookmarkEnd w:id="26"/>
      <w:r>
        <w:rPr>
          <w:rtl w:val="true"/>
        </w:rPr>
        <w:t>الطائفة الخامسة</w:t>
      </w:r>
      <w:r>
        <w:rPr>
          <w:rtl w:val="true"/>
        </w:rPr>
        <w:t xml:space="preserve">: </w:t>
      </w:r>
      <w:r>
        <w:rPr>
          <w:rtl w:val="true"/>
        </w:rPr>
        <w:t>ما ورد في حكم الدابّة إذا جنت على أخرى</w:t>
      </w:r>
      <w:r>
        <w:rPr>
          <w:rtl w:val="true"/>
        </w:rPr>
        <w:t>:</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المقنع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ورويت أنّه جاء رجل إلى عمر بن الخطّاب ومعه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بقرة هذا شقّت بطن جملي،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قتل البهائم أنّهُ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والجبار الذي لا دية له ولا قود </w:t>
      </w:r>
      <w:r>
        <w:rPr>
          <w:rFonts w:eastAsia="Amiri" w:cs="Amiri" w:ascii="Amiri" w:hAnsi="Amiri"/>
          <w:color w:val="111111"/>
          <w:sz w:val="28"/>
          <w:szCs w:val="28"/>
          <w:rtl w:val="true"/>
          <w:lang w:bidi="ar-SA"/>
        </w:rPr>
        <w:t xml:space="preserve">- </w:t>
      </w:r>
      <w:bookmarkStart w:id="28" w:name="pg8595_75266"/>
    </w:p>
    <w:p>
      <w:pPr>
        <w:pStyle w:val="BookText"/>
        <w:rPr/>
      </w:pPr>
      <w:bookmarkEnd w:id="28"/>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 إن كان صاحب البقرة ربطها على طريق الجمل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فنظروا فإذا تلك البقرة جاء بها صاحبها من السواد، وربطها على طريق الجمل، فأخذ عمر 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وأغرم صاحب البقرة ثمن الجمل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770846_653776707"/>
      <w:bookmarkStart w:id="30" w:name="_Toc10"/>
      <w:bookmarkEnd w:id="29"/>
      <w:r>
        <w:rPr>
          <w:rtl w:val="true"/>
        </w:rPr>
        <w:t>الطائفة السادسة</w:t>
      </w:r>
      <w:r>
        <w:rPr>
          <w:rtl w:val="true"/>
        </w:rPr>
        <w:t xml:space="preserve">: </w:t>
      </w:r>
      <w:r>
        <w:rPr>
          <w:rtl w:val="true"/>
        </w:rPr>
        <w:t>ما ورد بنحو مستقلّ</w:t>
      </w:r>
      <w:r>
        <w:rPr>
          <w:rtl w:val="true"/>
        </w:rPr>
        <w:t>:</w:t>
      </w:r>
      <w:bookmarkEnd w:id="30"/>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إضرار في الإسلام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المحدّث النوري عن دعائم الإسلام،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عن أبي عبد الله، عن أبيه،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الأحاديث التي يمكن الاستدلال بها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يمكن أن يستفاد منها قاعدة كلّية</w:t>
      </w:r>
      <w:r>
        <w:rPr>
          <w:rFonts w:eastAsia="Amiri" w:cs="Amiri" w:ascii="Amiri" w:hAnsi="Amiri"/>
          <w:color w:val="111111"/>
          <w:sz w:val="28"/>
          <w:szCs w:val="28"/>
          <w:rtl w:val="true"/>
          <w:lang w:bidi="ar-SA"/>
        </w:rPr>
        <w:t xml:space="preserve">. </w:t>
      </w:r>
      <w:bookmarkStart w:id="31" w:name="pg8595_75268"/>
    </w:p>
    <w:p>
      <w:pPr>
        <w:pStyle w:val="Heading2"/>
        <w:numPr>
          <w:ilvl w:val="1"/>
          <w:numId w:val="1"/>
        </w:numPr>
        <w:rPr/>
      </w:pPr>
      <w:bookmarkStart w:id="32" w:name="__RefHeading___Toc1770848_653776707"/>
      <w:bookmarkStart w:id="33" w:name="_Toc11"/>
      <w:bookmarkEnd w:id="31"/>
      <w:bookmarkEnd w:id="32"/>
      <w:r>
        <w:rPr>
          <w:rtl w:val="true"/>
        </w:rPr>
        <w:t>المقام الثاني</w:t>
      </w:r>
      <w:r>
        <w:rPr>
          <w:rtl w:val="true"/>
        </w:rPr>
        <w:t xml:space="preserve">: </w:t>
      </w:r>
      <w:r>
        <w:rPr>
          <w:rtl w:val="true"/>
        </w:rPr>
        <w:t>سند الأحاديث</w:t>
      </w:r>
      <w:bookmarkEnd w:id="33"/>
    </w:p>
    <w:p>
      <w:pPr>
        <w:pStyle w:val="BookText"/>
        <w:rPr/>
      </w:pPr>
      <w:r>
        <w:rPr>
          <w:rFonts w:ascii="Amiri" w:hAnsi="Amiri" w:eastAsia="Amiri" w:cs="Amiri"/>
          <w:color w:val="111111"/>
          <w:sz w:val="28"/>
          <w:sz w:val="28"/>
          <w:szCs w:val="28"/>
          <w:rtl w:val="true"/>
          <w:lang w:bidi="ar-SA"/>
        </w:rPr>
        <w:t xml:space="preserve">لا إشكال في حجّية أسانيد الروايات التي استدلّ بها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الخلاف والنزاع واقع بين الأعلام في بيان وجه حجّية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تعدّدت الأقوال في المقام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بالتواتر الإجمالي، كما يظهر من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دعوى فخر الدين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الأخبار على نفي الضرر والضرار</w:t>
      </w:r>
      <w:r>
        <w:rPr>
          <w:rStyle w:val="FootnoteAnchor"/>
          <w:rtl w:val="true"/>
        </w:rPr>
        <w:footnoteReference w:id="20"/>
      </w:r>
      <w:r>
        <w:rPr>
          <w:rFonts w:ascii="Amiri" w:hAnsi="Amiri" w:eastAsia="Amiri" w:cs="Amiri"/>
          <w:color w:val="111111"/>
          <w:sz w:val="28"/>
          <w:sz w:val="28"/>
          <w:szCs w:val="28"/>
          <w:rtl w:val="true"/>
          <w:lang w:bidi="ar-SA"/>
        </w:rPr>
        <w:t>من دون تعليق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ممّا يكشف قبوله لهذه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يظهر منه القول بهذا الوجه أيضاً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أنّه ليس في دعوى التواتر كذلك جزاف</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مختار سيدنا الأستاذ</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ويترتّب على هذا القول عدم الحاجة إلى البحث السندي لإثبات اعتبار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باستفاضة هذه الأخبار وعمل المشهور بها، وهذا ما يظهر من </w:t>
      </w:r>
    </w:p>
    <w:p>
      <w:pPr>
        <w:pStyle w:val="BookText"/>
        <w:rPr/>
      </w:pPr>
      <w:r>
        <w:rPr>
          <w:rFonts w:ascii="Amiri" w:hAnsi="Amiri" w:eastAsia="Amiri" w:cs="Amiri"/>
          <w:color w:val="111111"/>
          <w:sz w:val="28"/>
          <w:sz w:val="28"/>
          <w:szCs w:val="28"/>
          <w:rtl w:val="true"/>
          <w:lang w:bidi="ar-SA"/>
        </w:rPr>
        <w:t>المحقّق النائيني</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ويترتّب على ذلك لابدّية البحث عن اعتبار روايات القاعدة؛ وذلك لعدم كون الاستفاضة من موجبات حجّية الخبر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اعتمد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اعتبارها على عمل المشهور بها، إلاّ أنّه قد قرّرنا في محلّه أنّ ذلك لا يوجب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بعضهم بأنّ روايات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أخبار آحاد؛ وذلك لعدم بلوغها حدّ الاستفاضة فضلاً عن كونها متواترة إجمالاً، خصوصاً بعد احتمال اتّحاد المرسلات مع المسانيد، ورجوع المسانيد إلى بعضها الآخر، فحينئذٍ لا يبقى منها إلاّ النزر القليل المتضمّن لمفاد القاعدة، ويترتّب على ذلك لزوم النظر والفحص في سند الروايات لإثبات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والتحقيق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لاحظنا مجموع الروايات 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والروايات الواردة في الموارد الخاصّة مع ما ورد من طرق العامّة، حيث ذكر في نصب الراية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طرق</w:t>
      </w:r>
      <w:r>
        <w:rPr>
          <w:rStyle w:val="FootnoteAnchor"/>
          <w:rtl w:val="true"/>
        </w:rPr>
        <w:footnoteReference w:id="24"/>
      </w:r>
      <w:r>
        <w:rPr>
          <w:rFonts w:ascii="Amiri" w:hAnsi="Amiri" w:eastAsia="Amiri" w:cs="Amiri"/>
          <w:color w:val="111111"/>
          <w:sz w:val="28"/>
          <w:sz w:val="28"/>
          <w:szCs w:val="28"/>
          <w:rtl w:val="true"/>
          <w:lang w:bidi="ar-SA"/>
        </w:rPr>
        <w:t>، فحينئذٍ يتعيّن القول بالتواتر المعنوي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قصرنا النظر على ما ورد في الموارد الخاصّة، فلا أقلّ من دعوى </w:t>
      </w:r>
      <w:bookmarkStart w:id="34" w:name="pg8595_75272"/>
    </w:p>
    <w:p>
      <w:pPr>
        <w:pStyle w:val="BookText"/>
        <w:rPr/>
      </w:pPr>
      <w:bookmarkEnd w:id="34"/>
      <w:r>
        <w:rPr>
          <w:rFonts w:ascii="Amiri" w:hAnsi="Amiri" w:eastAsia="Amiri" w:cs="Amiri"/>
          <w:color w:val="111111"/>
          <w:sz w:val="28"/>
          <w:sz w:val="28"/>
          <w:szCs w:val="28"/>
          <w:rtl w:val="true"/>
          <w:lang w:bidi="ar-SA"/>
        </w:rPr>
        <w:t>الاستفاضة فيها، ومع ذلك لا يكون عمل المشهور بها موجباً لحجّيتها كما بيّنا ذلك في محلّه، ومن هنا كان من اللازم علينا النظر في أسانيد روايات القاعدة، فنقول</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1770850_653776707"/>
      <w:bookmarkStart w:id="36" w:name="_Toc12"/>
      <w:bookmarkEnd w:id="35"/>
      <w:r>
        <w:rPr>
          <w:rtl w:val="true"/>
        </w:rPr>
        <w:t>أسانيد الطائفة الأولی</w:t>
      </w:r>
      <w:bookmarkEnd w:id="36"/>
    </w:p>
    <w:p>
      <w:pPr>
        <w:pStyle w:val="BookText"/>
        <w:rPr/>
      </w:pPr>
      <w:r>
        <w:rPr>
          <w:rFonts w:ascii="Amiri" w:hAnsi="Amiri" w:eastAsia="Amiri" w:cs="Amiri"/>
          <w:color w:val="111111"/>
          <w:sz w:val="28"/>
          <w:sz w:val="28"/>
          <w:szCs w:val="28"/>
          <w:rtl w:val="true"/>
          <w:lang w:bidi="ar-SA"/>
        </w:rPr>
        <w:t>أمّا أسانيد الطائفة الأولى؛ فلا إشكال في اعتبار الرواية الأولى وإن وقع في سندها محمّد بن خالد البرقي، أبو عبد الله، وقد ضعّفه الشيخ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ضعيفاً في الحديث</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إلاّ أنّ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وثّقه صريحاً في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البرقي، ثقة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الجمع بين التضعيف والتوثيق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خالد ثقة في نفسه، إلاّ أنّه يروي عن الضعفاء كثيراً ويعتمد المراسيل، ويؤيّده ما ذكره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عن ابن الغضائري في أنّ حديثه يعرف وينكر، ويروي عن الضعفاء، ويعتمد المراسيل</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فيبقى حينئذٍ توثيق الشيخ سالماً عن المعارضة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عبد الله بن بكير، فهو ابن أعين بن سنسن، أبو علي الشيباني، وقد عدّه الكشي ممّن أجمعت العصابة على تصحيح ما يصحّ عنه</w:t>
      </w:r>
      <w:r>
        <w:rPr>
          <w:rStyle w:val="FootnoteAnchor"/>
          <w:rtl w:val="true"/>
        </w:rPr>
        <w:footnoteReference w:id="28"/>
      </w:r>
      <w:r>
        <w:rPr>
          <w:rFonts w:ascii="Amiri" w:hAnsi="Amiri" w:eastAsia="Amiri" w:cs="Amiri"/>
          <w:color w:val="111111"/>
          <w:sz w:val="28"/>
          <w:sz w:val="28"/>
          <w:szCs w:val="28"/>
          <w:rtl w:val="true"/>
          <w:lang w:bidi="ar-SA"/>
        </w:rPr>
        <w:t xml:space="preserve">، كما عدّه الشيخ </w:t>
      </w:r>
    </w:p>
    <w:p>
      <w:pPr>
        <w:pStyle w:val="BookText"/>
        <w:rPr/>
      </w:pPr>
      <w:r>
        <w:rPr>
          <w:rFonts w:ascii="Amiri" w:hAnsi="Amiri" w:eastAsia="Amiri" w:cs="Amiri"/>
          <w:color w:val="111111"/>
          <w:sz w:val="28"/>
          <w:sz w:val="28"/>
          <w:szCs w:val="28"/>
          <w:rtl w:val="true"/>
          <w:lang w:bidi="ar-SA"/>
        </w:rPr>
        <w:t>المفيد في رسالته العددية من الأعلام والرؤساء المأخوذ عنهم الحلال والحرام والفتيا والأحكام، الذين لا يطعن عليهم، ولا طريق إلى ذمّ واحد منهم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الكشّي عن محمّد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بكير وجماعة من الفطحية هم فقهاء أصحابنا</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الرواية الثانية فهي معتبرة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رواتها؛ فقد رواها الشيخ الصدوق عن أبيه، عن عبد الله بن جعفر الحميري، عن أحمد بن محمّد بن عيسى، عن الحسن بن علي بن فضّال، عن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طريقاً إلى كتاب عبد الله بن بكير، فيعلم من ذلك أنّه ينقلها من كتابه، وقد شهد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ديباجة الفقيه بأنّ جميع ما فيه مستخرج من كتب مشهورة، عليها المعوّل وإليها المرجع</w:t>
      </w:r>
      <w:r>
        <w:rPr>
          <w:rStyle w:val="FootnoteAnchor"/>
          <w:rtl w:val="true"/>
        </w:rPr>
        <w:footnoteReference w:id="31"/>
      </w:r>
      <w:r>
        <w:rPr>
          <w:rFonts w:ascii="Amiri" w:hAnsi="Amiri" w:eastAsia="Amiri" w:cs="Amiri"/>
          <w:color w:val="111111"/>
          <w:sz w:val="28"/>
          <w:sz w:val="28"/>
          <w:szCs w:val="28"/>
          <w:rtl w:val="true"/>
          <w:lang w:bidi="ar-SA"/>
        </w:rPr>
        <w:t xml:space="preserve">، فبناءً على ثبوت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غير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ملاحظة سند الرواية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الرواية الثالثة فيظهر من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أصحّ روايات الباب؛ حيث صرّح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نتعرّض من الأخبار الواردة في ذلك إلاّ لما هو أصحّ ما </w:t>
      </w:r>
      <w:bookmarkStart w:id="37" w:name="pg8595_75276"/>
    </w:p>
    <w:p>
      <w:pPr>
        <w:pStyle w:val="BookText"/>
        <w:rPr/>
      </w:pPr>
      <w:bookmarkEnd w:id="37"/>
      <w:r>
        <w:rPr>
          <w:rFonts w:ascii="Amiri" w:hAnsi="Amiri" w:eastAsia="Amiri" w:cs="Amiri"/>
          <w:color w:val="111111"/>
          <w:sz w:val="28"/>
          <w:sz w:val="28"/>
          <w:szCs w:val="28"/>
          <w:rtl w:val="true"/>
          <w:lang w:bidi="ar-SA"/>
        </w:rPr>
        <w:t>في الباب سنداً</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ثمّ ذكر رواية سمرة بطولها، إلاّ أنّها ضعّفت بالإرسال؛ وذلك لأنّ محمّد بن خالد البرقي يروي عن بعض أصحابنا،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وابن أبي عمير؛ لأنهما يرويان كتاب عبد الله بن مسكان، كما في طريق الشيخ والصدوق، كما أنّ البرقي قد روى كتاب زرارة عن أبيه، عن ابن أبي عمير، عن بعض أصحابه، عن زرارة، كما ورد ذلك في طريق الشيخ والنجاشي، ففي المقام يمكن أن يروي محمّد بن خالد عن ابن أبي عمير، عن عبد الله بن مسكان،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غير مفيد؛ لأنّه مجرّد استحسان لا يوجب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بصحّتها لوجودها في الكافي، وهو دليل على اعتبارها؛ بناءً على تمامية شهادة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ديباجة كتابه الكافي بصحّة جميع رواياته،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روى جميع روايات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وقد ذكر في ترجمة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جميع رواياته بطريق صحيح، ومن جملة رواياته هذه الرواية، فيشملها الطريق الصحيح، فيتبيّن أنّ للرواية طريقاً صحيحاً</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1770852_653776707"/>
      <w:bookmarkStart w:id="39" w:name="_Toc13"/>
      <w:bookmarkEnd w:id="38"/>
      <w:r>
        <w:rPr>
          <w:rtl w:val="true"/>
        </w:rPr>
        <w:t>أسانيد الطائفة الثانية</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الطائفة الثانية؛ فقد ضعّفت الأولى منها؛ لوجود محمّد بن عبد الله بن هلال، وعقبة بن خالد، وهما لم يوثّقا، وإن روى الكشّي بعض الروايات المادحة في عقبة بن خالد، إلاّ أنّه لا يمكن الاعتماد عليها؛ لكون راويها نفس </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باعتبار الرواية بثلاثة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بن خالد ومحمّد بن عبد الله بن هلال ممّن وردا في أسانيد كتاب نوادر الحكمة في غير المستثنى</w:t>
      </w:r>
      <w:r>
        <w:rPr>
          <w:rStyle w:val="FootnoteAnchor"/>
          <w:rtl w:val="true"/>
        </w:rPr>
        <w:footnoteReference w:id="33"/>
      </w:r>
      <w:r>
        <w:rPr>
          <w:rFonts w:ascii="Amiri" w:hAnsi="Amiri" w:eastAsia="Amiri" w:cs="Amiri"/>
          <w:color w:val="111111"/>
          <w:sz w:val="28"/>
          <w:sz w:val="28"/>
          <w:szCs w:val="28"/>
          <w:rtl w:val="true"/>
          <w:lang w:bidi="ar-SA"/>
        </w:rPr>
        <w:t>، وقد بنينا في أصول علم الرجال على وثاقة مَن لم يستثنَ من أسانيد 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قد رواها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عن عقبة بن خالد، وقد شهد في أوّل الفقيه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فيه مستخرج من كتب مشهورة،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فيعلم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عقبة بن خالد من الكتب المعروفة المعوّل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لم يذكر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 طريقه إلى عقبة، إلاّ أنّ للشيخ طريقاً معتبراً في الفهرست إلى كتاب عقبة، وقد توسّطه الشيخ الصدوق، والطريق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جماعة من أصحابنا، عن محمّد بن علي بن الحسين، عن أبيه ومحمّد بن الحسن، عن سعد بن عبد الله، عن محمّد بن الحسين، عن محمّد بن عبد الله بن هلال، عنه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بسنده عن عقبة بن خالد ما يدلّ على مدحه،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والمعلّى وعثمان بن عمران على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رآنا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مرحباً بكم، وجوه تحبّنا ونحبّها، جعلكم الله معنا في الدنيا والآخرة</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وكون راويها نفس عقبة لا يمنع من الاعتماد عليها؛ وذلك لأنّ الراوي عن عقبة بن خالد هو الحسن بن علي بن فضّال المعروف بالورع والاحتياط في الحديث، فنفس روايته لهذا المدح يوجب الاطمئنان بصدورها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يطمئن بصدور الحديث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وطريق ابن فضّال لمعرفة صدور الحديث من عدمه هو عقبة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ابن فضّال لا ينحصر في عقبة؛ لتمكّنه من الاستفصال من المعلّى أو عثمان بن عمران، فتركه ذلك يوجب الاطمئنان بصدورها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رمي هذه الرواية بالضعف؛ لوجود سهل بن زياد في سندها، وهو ممّن لم تثبت وثاقته كما ذكرنا ذلك في أصول علم الرجال</w:t>
      </w:r>
      <w:r>
        <w:rPr>
          <w:rStyle w:val="FootnoteAnchor"/>
          <w:rtl w:val="true"/>
        </w:rPr>
        <w:footnoteReference w:id="37"/>
      </w:r>
      <w:r>
        <w:rPr>
          <w:rFonts w:ascii="Amiri" w:hAnsi="Amiri" w:eastAsia="Amiri" w:cs="Amiri"/>
          <w:color w:val="111111"/>
          <w:sz w:val="28"/>
          <w:sz w:val="28"/>
          <w:szCs w:val="28"/>
          <w:rtl w:val="true"/>
          <w:lang w:bidi="ar-SA"/>
        </w:rPr>
        <w:t>، ولكن ما يهوّن الخطب وجودها في الكافي، فإذا بنينا على تمامية شهادته في المقدّمة</w:t>
      </w:r>
      <w:r>
        <w:rPr>
          <w:rStyle w:val="FootnoteAnchor"/>
          <w:rtl w:val="true"/>
        </w:rPr>
        <w:footnoteReference w:id="38"/>
      </w:r>
      <w:r>
        <w:rPr>
          <w:rFonts w:ascii="Amiri" w:hAnsi="Amiri" w:eastAsia="Amiri" w:cs="Amiri"/>
          <w:color w:val="111111"/>
          <w:sz w:val="28"/>
          <w:sz w:val="28"/>
          <w:szCs w:val="28"/>
          <w:rtl w:val="true"/>
          <w:lang w:bidi="ar-SA"/>
        </w:rPr>
        <w:t>بصحّة جميع رواياته فتكون دليلاً على اعتبار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المهمّ من هذه الوجوه هو الأوّل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الواردة 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في 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وإن كان في عداد كتب الروايات، إلاّ أنّ حكمه </w:t>
      </w:r>
      <w:bookmarkStart w:id="40" w:name="pg8595_75282"/>
    </w:p>
    <w:p>
      <w:pPr>
        <w:pStyle w:val="BookText"/>
        <w:rPr/>
      </w:pPr>
      <w:bookmarkEnd w:id="40"/>
      <w:r>
        <w:rPr>
          <w:rFonts w:ascii="Amiri" w:hAnsi="Amiri" w:eastAsia="Amiri" w:cs="Amiri"/>
          <w:color w:val="111111"/>
          <w:sz w:val="28"/>
          <w:sz w:val="28"/>
          <w:szCs w:val="28"/>
          <w:rtl w:val="true"/>
          <w:lang w:bidi="ar-SA"/>
        </w:rPr>
        <w:t>الإرسال؛ لعدم ثبوت الطريق إليه</w:t>
      </w:r>
      <w:r>
        <w:rPr>
          <w:rStyle w:val="FootnoteAnchor"/>
          <w:rtl w:val="true"/>
        </w:rPr>
        <w:footnoteReference w:id="39"/>
      </w:r>
      <w:r>
        <w:rPr>
          <w:rFonts w:ascii="Amiri" w:hAnsi="Amiri" w:eastAsia="Amiri" w:cs="Amiri"/>
          <w:color w:val="111111"/>
          <w:sz w:val="28"/>
          <w:sz w:val="28"/>
          <w:szCs w:val="28"/>
          <w:rtl w:val="true"/>
          <w:lang w:bidi="ar-SA"/>
        </w:rPr>
        <w:t>، فلذا تكون هذه الرواية مرسلة، فتكون صالحة للتأييد</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770854_653776707"/>
      <w:bookmarkStart w:id="42" w:name="_Toc14"/>
      <w:bookmarkEnd w:id="41"/>
      <w:r>
        <w:rPr>
          <w:rtl w:val="true"/>
        </w:rPr>
        <w:t>أسانيد الطائفة الثالثة</w:t>
      </w:r>
      <w:bookmarkEnd w:id="42"/>
    </w:p>
    <w:p>
      <w:pPr>
        <w:pStyle w:val="BookText"/>
        <w:rPr/>
      </w:pPr>
      <w:r>
        <w:rPr>
          <w:rFonts w:ascii="Amiri" w:hAnsi="Amiri" w:eastAsia="Amiri" w:cs="Amiri"/>
          <w:color w:val="111111"/>
          <w:sz w:val="28"/>
          <w:sz w:val="28"/>
          <w:szCs w:val="28"/>
          <w:rtl w:val="true"/>
          <w:lang w:bidi="ar-SA"/>
        </w:rPr>
        <w:t>وأمّا الطائفة الثالثة؛ فقد ظهر وجه اعتبار سندها بما ذكرناه في الرواية الأولى من الطائفة الثانية، فإن سندها عين السند المتقدّم، والكلام في محمّد بن عبد الله بن هلال وعقبة بن خالد ما تقدّم آنفاً، فالرواية معتبرة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770856_653776707"/>
      <w:bookmarkStart w:id="44" w:name="_Toc15"/>
      <w:bookmarkEnd w:id="43"/>
      <w:r>
        <w:rPr>
          <w:rtl w:val="true"/>
        </w:rPr>
        <w:t>أسانيد الطائفة الرابعة</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الرابعة؛ فقد وردت في دعائم الإسلام، ومؤلّفه القاضي أبو حنيفة النعمان بن أبي عبد الله، محمّد بن منصور التميمي المغربي، وكان قاضياً في مصر في دولة الفاطميين في القرنين الثالث والرابع، وهو من الثقات، وقد شهد في مقدّمة كتابه بصحّة رواياته؛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وبالله التوفيق عند ظهور ما ذكرناه أن نبسط كتاباً جامعاً مختصراً، يسهل حفظه، ويقرب مأخذه، ويغني ما فيه من جمل الأقاويل عن الإسهاب والتطويل، نقتصر فيه على الثابت الصحيح ممّا رويناه عن الأئمّة من أهل بيت رسول الله صلّى الله عليه وآله وسلّم أجمعين، من جملة ما اختلف فيه الرواة عنهم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فالكتاب وإن كان مشهوراً عند الإسماعيلية في زمان الدولة الفاطمية، وأنّ الإسماعيلية لا يزالون يعملون بهذا الكتاب، وهو بمنزلة الرسالة العملية عندهم، إلاّ أنّه لا طريق لنا إليه، وبما أنّ تقارن الكتاب مع الدواعي السياسية والحكومية يثير الشكّ </w:t>
      </w:r>
      <w:bookmarkStart w:id="45" w:name="pg8595_75284"/>
    </w:p>
    <w:p>
      <w:pPr>
        <w:pStyle w:val="BookText"/>
        <w:rPr/>
      </w:pPr>
      <w:bookmarkEnd w:id="45"/>
      <w:r>
        <w:rPr>
          <w:rFonts w:ascii="Amiri" w:hAnsi="Amiri" w:eastAsia="Amiri" w:cs="Amiri"/>
          <w:color w:val="111111"/>
          <w:sz w:val="28"/>
          <w:sz w:val="28"/>
          <w:szCs w:val="28"/>
          <w:rtl w:val="true"/>
          <w:lang w:bidi="ar-SA"/>
        </w:rPr>
        <w:t>والترديد في صيانته عن يد التحريف والتلاعب به، فقصور اعتبار الطريق يوجب عدم الاطمينان، ويترتّب على ذلك الحكم بعدم صحّة رواياته، إلاّ إنّها تصلح للتأييد والتأكيد كما ذهب إليه صاحب البحار</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1770858_653776707"/>
      <w:bookmarkStart w:id="47" w:name="_Toc16"/>
      <w:bookmarkEnd w:id="46"/>
      <w:r>
        <w:rPr>
          <w:rtl w:val="true"/>
        </w:rPr>
        <w:t>أسانيد الطائفة الخامسة</w:t>
      </w:r>
      <w:bookmarkEnd w:id="47"/>
    </w:p>
    <w:p>
      <w:pPr>
        <w:pStyle w:val="BookText"/>
        <w:rPr/>
      </w:pPr>
      <w:r>
        <w:rPr>
          <w:rFonts w:ascii="Amiri" w:hAnsi="Amiri" w:eastAsia="Amiri" w:cs="Amiri"/>
          <w:color w:val="111111"/>
          <w:sz w:val="28"/>
          <w:sz w:val="28"/>
          <w:szCs w:val="28"/>
          <w:rtl w:val="true"/>
          <w:lang w:bidi="ar-SA"/>
        </w:rPr>
        <w:t xml:space="preserve">وأمّا أسانيد 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وردت في المقنع للشيخ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ذكرنا في أصول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الشيخ الصدوق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بصحّة جميع رواياته؛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الأسناد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لئلاّ يثقل حمله، ولا يصعب حفظه، ولا يملّه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قارئه؛ إذ كان ما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 فيه في الكتب الأصولية موجوداً مبيّناً عن المشايخ العلماء الفقهاء الثقات رحمهم الله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 كلامه هذا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هو مذكور في المقنع روايات وإن ذكرت بصيغة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كلّها مسندة، وإنّما أسقط أسانيدها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موجودة في الأصول ومب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يّنة عن المشايخ الثقات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من هذه الأمور هو الأمر الثالث، وبيان مراد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المشايخ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مبيّناً عن المشايخ العلماء الفقهاء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فيه ثلاثة احتمالات</w:t>
      </w:r>
      <w:r>
        <w:rPr>
          <w:rFonts w:eastAsia="Amiri" w:cs="Amiri" w:ascii="Amiri" w:hAnsi="Amiri"/>
          <w:color w:val="111111"/>
          <w:sz w:val="28"/>
          <w:szCs w:val="28"/>
          <w:rtl w:val="true"/>
          <w:lang w:bidi="ar-SA"/>
        </w:rPr>
        <w:t xml:space="preserve">: </w:t>
      </w:r>
      <w:bookmarkStart w:id="48" w:name="pg8595_75286"/>
    </w:p>
    <w:p>
      <w:pPr>
        <w:pStyle w:val="BookText"/>
        <w:rPr/>
      </w:pPr>
      <w:bookmarkEnd w:id="48"/>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يروي عنهم الشيخ الصدوق مباشرة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جميع أفراد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الثالث، وبذلك تكون جميع روايات الكتاب صحيحة، ورجالها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التنزّل والتسليم بأنّ مراد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الاحتمال الأوّل أو الثاني، فلا يضرّ حذف الأسانيد في الاعتماد على رواياته؛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بالرواية والاعتماد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الوثاقة في الراوي</w:t>
      </w:r>
      <w:r>
        <w:rPr>
          <w:rStyle w:val="FootnoteAnchor"/>
          <w:rtl w:val="true"/>
        </w:rPr>
        <w:footnoteReference w:id="43"/>
      </w:r>
      <w:r>
        <w:rPr>
          <w:rFonts w:ascii="Amiri" w:hAnsi="Amiri" w:eastAsia="Amiri" w:cs="Amiri"/>
          <w:color w:val="111111"/>
          <w:sz w:val="28"/>
          <w:sz w:val="28"/>
          <w:szCs w:val="28"/>
          <w:rtl w:val="true"/>
          <w:lang w:bidi="ar-SA"/>
        </w:rPr>
        <w:t>، فحذف السند إنّما لا يخلّ ولا يضرّ إذا كان جميع رواة السند من الثقات أو العدول، أمّا مجرّد كون الراوي الأخير أو الأوّل ثقة فحذف السند موجب للإخلال المنفي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يثبت أنّ جميع روايات المقنع معتبرة،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روايتنا هذه خارجة من تحت شهادته المدرجة في مقدّمة المقنع؛ لأنّها وردت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بالضعف، فلذلك لا يحكم باعتبارها</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770860_653776707"/>
      <w:bookmarkStart w:id="50" w:name="_Toc17"/>
      <w:bookmarkEnd w:id="49"/>
      <w:r>
        <w:rPr>
          <w:rtl w:val="true"/>
        </w:rPr>
        <w:t>أسانيد الطائفة السادسة</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أسانيد الطائفة السادسة؛ فيمكن القول باعتبار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رواه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مراسيل الصدوق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ونسبه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ونسبه إلى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الجزم،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مسند لا يمكن عدّه في المراسيل؛ ضرورة أنّ الناقل المتّقي العادل لا يسند شيئاً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إثبات صدق الخبر بالعلم أو بطريق معتبر، فإسناد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لرواتها، وهو يكفي في حجّيتها، ويدخل في عداد الروايات الموثّقة، فلابدّ من الأخذ بها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بنى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برهة من الزمان، إلاّ أنّه رجع عنه وحكم بعدم حجّية مثل هذه المراسيل؛ لأنّ أقصى ما يدلّ عليه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الخبر عند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يلازم صحّته عندنا؛ لاختلاف المباني في حجّية الخبر، ومعه كيف يكون اعتماد أحد على خبر مستلزماً لحجّيته عند غيره؟ ومن هنا لا يمكن الاعتماد على مراسيل الصدوق مطلقاً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بثلاث شهادات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الفقيه كلّها حجّة بينه وبين الله عزّوجلّ، وهذا ما يظهر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أقصد فيه قصد المصنّفين في إيراد جميع ما رووه، بل قصدت إلى إيراد ما أفتي به، وأحكم بصحّته، وأعتقد فيه أنّه حجّة فيما بيني وبين ربّي تقدّس ذكره وتعالت قدرته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الشهادة لا تنفع في المقام؛ وذلك لأنّ ثبوت الحجّية لرواية في نظر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يكشف عن ثبوت الحجّية لها عندنا؛ إذ لربّما اعتمد على بعض القرائن التي أوجبت له اليقين بصدورها بحيث لو اطّلعنا عليها لما أوجبت لنا الظنّ فضلاً عن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الفقيه مأخوذة من الكتب المشهورة والمعروفة، كما يستفاد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فيه مستخرج من كتب مشهورة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وتترتّب على هذه الشهادة فائدتان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إلى ملاحظة الطريق والسند إلى صاحب الكتاب المأخوذ عنه الحديث؛ وذلك لشهرة الكتاب ومعروفيته، فهو بمنزلة كتاب الكافي والتهذيبين في الشهرة والاعتبار وفي عدم الحاجة إلى تجشّم الطرق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ينبغي ملاحظة السند من بعد صاحب الكتاب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إشكال فيه كون هذه الشهادة حسّية، وأنّها مأخوذة من الكتب المشهورة، فلم تقع هذه الكبرى مورداً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ناقش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الصغرى، وأنّ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 في الفقيه بأنّ روايات كتابه هي من كتب مَن بدأ بهم السند حتى تنطبق الكبرى عليه، بل لعلّه نقلها من كتب غيرهم من الأعلام المشهورين، كرسالة والده إليه، وكتاب شيخه محمّد بن الحسن بن الوليد وأمثالها من الكتب المشهورة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المقدّمة بأنّ روايات كتابه قد أخذها من كتب مشهورة عليها المعوّل وإليها المرجع، مثل كتاب حريز بن عبد الله السجستاني، وكتاب عبيد الله بن عليّ الحلبيّ، وكتب عليّ بن مهزيار الأهوازيّ، وكتب الحسين بن سعيد، ونوادر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ونوادر محمّد بن أبي عمير، وكتب المحاسن لأحمد بن أبي عبد الله البرقي وغيرها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صاحب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ذكره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وروى عنه فهو ينقل عن كتابه، والشاهد عليه أنّ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مشيخته طريقاً واحداً إلى كلّ شخص، وهذا دليل على أنّه </w:t>
      </w:r>
    </w:p>
    <w:p>
      <w:pPr>
        <w:pStyle w:val="BookText"/>
        <w:rPr/>
      </w:pPr>
      <w:r>
        <w:rPr>
          <w:rFonts w:ascii="Amiri" w:hAnsi="Amiri" w:eastAsia="Amiri" w:cs="Amiri"/>
          <w:color w:val="111111"/>
          <w:sz w:val="28"/>
          <w:sz w:val="28"/>
          <w:szCs w:val="28"/>
          <w:rtl w:val="true"/>
          <w:lang w:bidi="ar-SA"/>
        </w:rPr>
        <w:t>نقل من كتابه، وإلاّ فلو كان نقله من كتب متعدّدة وأفراد كثيرين فأيّ فائدة في ذكر طريقه إلى كلّ واحد؟ لأنّ لكلّ شخص في الكتب المختلفة طرقاً كثيرة متعدّدة وليس طريقاً واحداً، إلاّ إذا كان للشخص حديث واحد أو أحاديث قليلة، كحديث أسماء بنت عميس</w:t>
      </w:r>
      <w:r>
        <w:rPr>
          <w:rStyle w:val="FootnoteAnchor"/>
          <w:rtl w:val="true"/>
        </w:rPr>
        <w:footnoteReference w:id="50"/>
      </w:r>
      <w:r>
        <w:rPr>
          <w:rFonts w:ascii="Amiri" w:hAnsi="Amiri" w:eastAsia="Amiri" w:cs="Amiri"/>
          <w:color w:val="111111"/>
          <w:sz w:val="28"/>
          <w:sz w:val="28"/>
          <w:szCs w:val="28"/>
          <w:rtl w:val="true"/>
          <w:lang w:bidi="ar-SA"/>
        </w:rPr>
        <w:t>مثلاً، أو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w:t>
      </w:r>
      <w:r>
        <w:rPr>
          <w:rStyle w:val="FootnoteAnchor"/>
          <w:rtl w:val="true"/>
        </w:rPr>
        <w:footnoteReference w:id="51"/>
      </w:r>
      <w:r>
        <w:rPr>
          <w:rFonts w:ascii="Amiri" w:hAnsi="Amiri" w:eastAsia="Amiri" w:cs="Amiri"/>
          <w:color w:val="111111"/>
          <w:sz w:val="28"/>
          <w:sz w:val="28"/>
          <w:szCs w:val="28"/>
          <w:rtl w:val="true"/>
          <w:lang w:bidi="ar-SA"/>
        </w:rPr>
        <w:t>، فالأقوى تمامية هذه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الكتب التي استخرج منها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كتابه الفقيه معوّل عليها وإليها المرجع؛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فيه مستخرج من كتب مشهورة عليها المعوّل وإليها المرجع</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ويتفرّع على هذه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روايات الفقيه تكون مورداً لعمل الأصحاب، وأنّها حجّة عندهم، ومقتضى ذلك عدم الاحتياج إلى ملاحظة السند من صاحب الكتاب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لفرض وجود الإجماع، واتّفاق الأصحاب على العمل بها، ونتيجة هذه الشهادة القول باعتبار جميع روايات الفقيه بلا استثناء، إلاّ أنّ هذه الشهادة قد نوقشت بعدّة أمور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قول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لهذه الكتب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تعويل الأصحاب عليها في الجملة، فإذا كان أكثر روايات الكتاب معتبرة </w:t>
      </w:r>
    </w:p>
    <w:p>
      <w:pPr>
        <w:pStyle w:val="BookText"/>
        <w:rPr/>
      </w:pPr>
      <w:r>
        <w:rPr>
          <w:rFonts w:ascii="Amiri" w:hAnsi="Amiri" w:eastAsia="Amiri" w:cs="Amiri"/>
          <w:color w:val="111111"/>
          <w:sz w:val="28"/>
          <w:sz w:val="28"/>
          <w:szCs w:val="28"/>
          <w:rtl w:val="true"/>
          <w:lang w:bidi="ar-SA"/>
        </w:rPr>
        <w:t>ويعمل بها أو مقداراً معتدّاً بها فيصحّ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عليه فلا يلزم من هذه الشهادة اعتبار كلّ رواية رواية وكونها مورداً لعمل الأصحاب، بل تكون من قبيل كتاب الكافي والتهذيبين في تعويل الفقهاء عليهما، مع أنّهم يلاحظون أسانيدها ويميّزون صحيح أخبارها من سقيمها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روايات الكتب معوّل عليها ومورد للاعتماد عند الأصحاب، خصوصاً أنّ هذه الكتب روائيّة، فكلّ رواية فيها تحتاج إلى سند وطريق معتبر، وعليه فحمل التعويل على العمل والاعتماد في الجملة وعلى أكثر رواياته أو مقدار معتدّ بها خلاف الظاهر، 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ورد في بعض الكتب التي عدّها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المعوّل عليها ككتب الحسين بن سعيد، فقد ذكر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حسنة معمول بها</w:t>
      </w:r>
      <w:r>
        <w:rPr>
          <w:rStyle w:val="FootnoteAnchor"/>
          <w:rtl w:val="true"/>
        </w:rPr>
        <w:footnoteReference w:id="53"/>
      </w:r>
      <w:r>
        <w:rPr>
          <w:rFonts w:ascii="IRNazanin" w:hAnsi="IRNazanin" w:eastAsia="IRNazanin"/>
          <w:color w:val="111111"/>
          <w:sz w:val="28"/>
          <w:sz w:val="28"/>
          <w:szCs w:val="28"/>
          <w:rtl w:val="true"/>
          <w:lang w:bidi="fa-IR"/>
        </w:rPr>
        <w:t>، وككتاب عبيد الله الحلبي، فقد ورد فيه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 الكتاب وصحّحه، كما عن النجاشي</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يظهر أنّ سائر الكتب التي اعتمد عليها معوّل عليها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أنّ من جملة الكتب المعوّل عليها كتاب نوادر الحكمة لمحمّد بن أحمد بن يحيى الأشعري، والمحاسن، وكتب </w:t>
      </w:r>
    </w:p>
    <w:p>
      <w:pPr>
        <w:pStyle w:val="BookText"/>
        <w:rPr/>
      </w:pPr>
      <w:r>
        <w:rPr>
          <w:rFonts w:ascii="Amiri" w:hAnsi="Amiri" w:eastAsia="Amiri" w:cs="Amiri"/>
          <w:color w:val="111111"/>
          <w:sz w:val="28"/>
          <w:sz w:val="28"/>
          <w:szCs w:val="28"/>
          <w:rtl w:val="true"/>
          <w:lang w:bidi="ar-SA"/>
        </w:rPr>
        <w:t>الحسين بن سعيد وغيرها، ممّا يعلم أنّها ليست بأجمعها معوّلاً عليها، فقد استثنى من روايات محمّد بن أحمد بن يحيى والبرقي الروايات الضعاف، ممّا يدلّ على عدم تعويل الأصحاب على جميع رواياتهما، وبذلك يظهر أنّ مقصود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بأجمعها معوّلاً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كلام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عدّه مثل كتاب نوادر الحكمة والمحاسن من جملة هذه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غير موارد الاستثناء، بمعنى أنّها معمولاً بها بعد الاستثناء والتخصيص، بل نفس الاستثناء دالّ على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معمولاً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الكتاب، فإذا علمنا بالاستثناء تفصيلاً كما في النوادر، أو إجمالاً كما في المحاسن، فهو، وإلاّ إذا لم نعلم لا تفصيلاً ولا إجمالاً في استثناء روايتهما فيمكن التعويل على إطلاق كلامه، وأنّ جميع روايات الكتب معوّل عليها ومعمول بها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في كتابه عدّة روايات هي مورد خلاف بين الأصحاب، من جملتها ما دلّ على أنّ شهر رمضان لا ينقص عن ثلاثين يوماً أبداً، فقد نسب إلى الأكثر القول بخلاف ذلك، وأنّ شهر رمضان كبقية الشهور قد يزيد وقد ينقص، ممّا يكشف عن أنّ مراد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المعوّل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في الجملة، وليس جميع روايات الكتب وقعت مورداً لعمل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عمل الأصحاب في زمان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هذه </w:t>
      </w:r>
    </w:p>
    <w:p>
      <w:pPr>
        <w:pStyle w:val="BookText"/>
        <w:rPr/>
      </w:pPr>
      <w:r>
        <w:rPr>
          <w:rFonts w:ascii="Amiri" w:hAnsi="Amiri" w:eastAsia="Amiri" w:cs="Amiri"/>
          <w:color w:val="111111"/>
          <w:sz w:val="28"/>
          <w:sz w:val="28"/>
          <w:szCs w:val="28"/>
          <w:rtl w:val="true"/>
          <w:lang w:bidi="ar-SA"/>
        </w:rPr>
        <w:t>الروايات، وإنّما الخلاف وقع في زمان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علّق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الأخبار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هذه الأخبار وذهب إلى الأخبار الموافقة للعامّة في ضدِّها اتّقي كما يتّقى العامّة، ولا يكلّم إلاّ بالتقية كائناً مَن كان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بخروج موارد التعارض تخصّصاً عن معقد شهادة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لمعلوميّة عدم تحقّق الإجماع على العمل بطائفة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الدالّة على عدم نقصان شهر رمضان عن ثلاثين يوماً أبداً وإن وردت كلّها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إنّها مشمولة لشهادة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الكتب المشهورة والمعوّل عليها؛ وذلك لأنّه قد تبيّن بعد الفحص والتتبّع في كلامه أنّه يستند في الأحكام على مراسيله مطلقاً، وعليه فلا يلتفت لما يقال من أنّها مرسلة، وأنّ حكمها حكم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جميع روايات من لا يحضره الفقيه؛ اعتماداً على شهادة الصدوق في مقدّمة هذا الكتاب، وأنّه بناءً على القول بتماميّة الشهادتين الأخيرتين أو الشهادة الأولى فهذه الرواية معتبرة، وأمّا بناءً على عدم تماميّتها فالرواية ضعيفة بالإرسال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وردت في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وقد تقدّم وجه ذلك، فلاحظ</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جميع ما تقدّم من البحث السندي في روايات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روايات القاعدة على ستّ طوائف، فالأولى والثالثة والرابعة والخامسة معتبرة، وأمّا الثانية والسادسة فالمعتبر منهما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تمامية شهادة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كلام في هذا المورد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الثانية</w:t>
      </w:r>
      <w:r>
        <w:rPr>
          <w:rFonts w:eastAsia="Amiri" w:cs="Amiri" w:ascii="Amiri" w:hAnsi="Amiri"/>
          <w:color w:val="111111"/>
          <w:sz w:val="28"/>
          <w:szCs w:val="28"/>
          <w:rtl w:val="true"/>
          <w:lang w:bidi="ar-SA"/>
        </w:rPr>
        <w:t xml:space="preserve">. </w:t>
      </w:r>
      <w:bookmarkStart w:id="51" w:name="pg8595_75304"/>
    </w:p>
    <w:p>
      <w:pPr>
        <w:pStyle w:val="Heading2"/>
        <w:numPr>
          <w:ilvl w:val="1"/>
          <w:numId w:val="1"/>
        </w:numPr>
        <w:rPr/>
      </w:pPr>
      <w:bookmarkStart w:id="52" w:name="__RefHeading___Toc1770862_653776707"/>
      <w:bookmarkStart w:id="53" w:name="_Toc18"/>
      <w:bookmarkEnd w:id="51"/>
      <w:bookmarkEnd w:id="52"/>
      <w:r>
        <w:rPr>
          <w:rtl w:val="true"/>
        </w:rPr>
        <w:t>المقام الثالث</w:t>
      </w:r>
      <w:r>
        <w:rPr>
          <w:rtl w:val="true"/>
        </w:rPr>
        <w:t xml:space="preserve">: </w:t>
      </w:r>
      <w:r>
        <w:rPr>
          <w:rtl w:val="true"/>
        </w:rPr>
        <w:t>في تحديد متون الأحاديث</w:t>
      </w:r>
      <w:bookmarkEnd w:id="53"/>
    </w:p>
    <w:p>
      <w:pPr>
        <w:pStyle w:val="BookText"/>
        <w:rPr/>
      </w:pPr>
      <w:r>
        <w:rPr>
          <w:rFonts w:ascii="Amiri" w:hAnsi="Amiri" w:eastAsia="Amiri" w:cs="Amiri"/>
          <w:color w:val="111111"/>
          <w:sz w:val="28"/>
          <w:sz w:val="28"/>
          <w:szCs w:val="28"/>
          <w:rtl w:val="true"/>
          <w:lang w:bidi="ar-SA"/>
        </w:rPr>
        <w:t>والكلام فيه يقع في ثلاث جهات</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1770864_653776707"/>
      <w:bookmarkStart w:id="55" w:name="_Toc19"/>
      <w:bookmarkEnd w:id="54"/>
      <w:r>
        <w:rPr>
          <w:rtl w:val="true"/>
        </w:rPr>
        <w:t>الجهة الأولى</w:t>
      </w:r>
      <w:r>
        <w:rPr>
          <w:rtl w:val="true"/>
        </w:rPr>
        <w:t xml:space="preserve">: </w:t>
      </w:r>
      <w:r>
        <w:rPr>
          <w:rtl w:val="true"/>
        </w:rPr>
        <w:t xml:space="preserve">في وجود كلمة </w:t>
      </w:r>
      <w:r>
        <w:rPr>
          <w:rtl w:val="true"/>
        </w:rPr>
        <w:t>«</w:t>
      </w:r>
      <w:r>
        <w:rPr>
          <w:rtl w:val="true"/>
        </w:rPr>
        <w:t>الإسلام</w:t>
      </w:r>
      <w:r>
        <w:rPr>
          <w:rtl w:val="true"/>
        </w:rPr>
        <w:t xml:space="preserve">» </w:t>
      </w:r>
      <w:r>
        <w:rPr>
          <w:rtl w:val="true"/>
        </w:rPr>
        <w:t xml:space="preserve">أو </w:t>
      </w:r>
      <w:r>
        <w:rPr>
          <w:rtl w:val="true"/>
        </w:rPr>
        <w:t>«</w:t>
      </w:r>
      <w:r>
        <w:rPr>
          <w:rtl w:val="true"/>
        </w:rPr>
        <w:t>على مؤمن</w:t>
      </w:r>
      <w:r>
        <w:rPr>
          <w:rtl w:val="true"/>
        </w:rPr>
        <w:t xml:space="preserve">» </w:t>
      </w:r>
      <w:r>
        <w:rPr>
          <w:rtl w:val="true"/>
        </w:rPr>
        <w:t>في ذيل حديث</w:t>
      </w:r>
      <w:bookmarkEnd w:id="55"/>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ثبوتهما فهل يترتّب أثر عليهما؟</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وقعت مستقلّة، أو في ضمن القضايا؟</w:t>
      </w:r>
    </w:p>
    <w:p>
      <w:pPr>
        <w:pStyle w:val="BookText"/>
        <w:rPr/>
      </w:pPr>
      <w:r>
        <w:rPr>
          <w:rFonts w:ascii="Amiri" w:hAnsi="Amiri" w:eastAsia="Amiri" w:cs="Amiri"/>
          <w:color w:val="111111"/>
          <w:sz w:val="28"/>
          <w:sz w:val="28"/>
          <w:szCs w:val="28"/>
          <w:rtl w:val="true"/>
          <w:lang w:bidi="ar-SA"/>
        </w:rPr>
        <w:t xml:space="preserve">أمّا الجهة الأولى؛ فالكلام فيها يقع تارة حول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حول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الزيادة قد وردت في مصادر الفريقين، أمّا في مصادر الخاصّة فقد رواها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ميراث أهل الملل،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إضرار في الإسلام</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بها الشيخ في الخلاف في باب الشفعة في المسألة الرابعة عشرة</w:t>
      </w:r>
      <w:r>
        <w:rPr>
          <w:rStyle w:val="FootnoteAnchor"/>
          <w:rtl w:val="true"/>
        </w:rPr>
        <w:footnoteReference w:id="58"/>
      </w:r>
      <w:r>
        <w:rPr>
          <w:rFonts w:ascii="Amiri" w:hAnsi="Amiri" w:eastAsia="Amiri" w:cs="Amiri"/>
          <w:color w:val="111111"/>
          <w:sz w:val="28"/>
          <w:sz w:val="28"/>
          <w:szCs w:val="28"/>
          <w:rtl w:val="true"/>
          <w:lang w:bidi="ar-SA"/>
        </w:rPr>
        <w:t>، وذكرها العلاّمة في تذكرته</w:t>
      </w:r>
      <w:r>
        <w:rPr>
          <w:rStyle w:val="FootnoteAnchor"/>
          <w:rtl w:val="true"/>
        </w:rPr>
        <w:footnoteReference w:id="59"/>
      </w:r>
      <w:r>
        <w:rPr>
          <w:rFonts w:ascii="Amiri" w:hAnsi="Amiri" w:eastAsia="Amiri" w:cs="Amiri"/>
          <w:color w:val="111111"/>
          <w:sz w:val="28"/>
          <w:sz w:val="28"/>
          <w:szCs w:val="28"/>
          <w:rtl w:val="true"/>
          <w:lang w:bidi="ar-SA"/>
        </w:rPr>
        <w:t>مرسلة، كما أوردها ابن أبي جمهور في عوالي اللئالي</w:t>
      </w:r>
      <w:r>
        <w:rPr>
          <w:rStyle w:val="FootnoteAnchor"/>
          <w:rtl w:val="true"/>
        </w:rPr>
        <w:footnoteReference w:id="60"/>
      </w:r>
      <w:r>
        <w:rPr>
          <w:rFonts w:ascii="Amiri" w:hAnsi="Amiri" w:eastAsia="Amiri" w:cs="Amiri"/>
          <w:color w:val="111111"/>
          <w:sz w:val="28"/>
          <w:sz w:val="28"/>
          <w:szCs w:val="28"/>
          <w:rtl w:val="true"/>
          <w:lang w:bidi="ar-SA"/>
        </w:rPr>
        <w:t>، والطريحي في مجمع البحرين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مصادر العامّة فقد وردت في مجمع الزوائد للهيثمي</w:t>
      </w:r>
      <w:r>
        <w:rPr>
          <w:rStyle w:val="FootnoteAnchor"/>
          <w:rtl w:val="true"/>
        </w:rPr>
        <w:footnoteReference w:id="62"/>
      </w:r>
      <w:r>
        <w:rPr>
          <w:rFonts w:ascii="Amiri" w:hAnsi="Amiri" w:eastAsia="Amiri" w:cs="Amiri"/>
          <w:color w:val="111111"/>
          <w:sz w:val="28"/>
          <w:sz w:val="28"/>
          <w:szCs w:val="28"/>
          <w:rtl w:val="true"/>
          <w:lang w:bidi="ar-SA"/>
        </w:rPr>
        <w:t xml:space="preserve">، وكذلك في نصب الراية للزيلعي عن جابر بن عبد الله، قال،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أبي داود في المراسيل، عن واسع بن حبان، عن أبي لبابة،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 ولا ضرار</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وردت في كنز العمّال، عن الحجّاج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جعفر أنّ نخلة كانت بين رجلين فاختصما فيها إلى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اشققها نصفين بيني وبينه، فقال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في الإسلام، يتقاومان فيها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ورواها ابن الأثير في نهايته مرسلة عن 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في وجود هذه الزيادة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كبرى تقديم الزيادة على النقيصة وإن كانت مسلّمة، ولكنّ هذا فيما إذا ثبتت الزيادة بطريق معتبر، وأمّا إذا لم تثبت هذه الزيادة بطريق معتبر فلا تجري هذه الكبرى، وما 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تفحّصت في كتبهم وتتبّعت في صحاحهم ومسانيدهم ومعاجمهم وغيرها فحصاً أكيداً، فلم أجد رواية في طرقهم إلاّ عن ابن عبّاس، وعن عبادة بن الصامت، وكلاهما رويا من غير هذه الزيادة، ولا أدري من أين جاء ابن الأثير في النهاية بهذه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هذه الزيادة حتى نقدّمها على النقيصة ونستشهد بها على معنى الحديث ونستعين بها في بعض المقاصد والفروع؟ فما اشتهر في الكتب وتداولوه في الاستشهاد بها ليس على ما ينبغي</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في ذلك أمرين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أصالة عدم الزيادة على عدم النقيصة وإن كان أمراً مسلّماً به عند أهل الحديث والدراية، إلاّ أنّه ليس بأمرٍ تعبّديّ، بل منشأه بناء العقلاء، فمن البعيد جدّاً أن يزيد الراوي من عنده، خصوصاً مع وثاقته وتورّعه في </w:t>
      </w:r>
    </w:p>
    <w:p>
      <w:pPr>
        <w:pStyle w:val="BookText"/>
        <w:rPr/>
      </w:pPr>
      <w:r>
        <w:rPr>
          <w:rFonts w:ascii="Amiri" w:hAnsi="Amiri" w:eastAsia="Amiri" w:cs="Amiri"/>
          <w:color w:val="111111"/>
          <w:sz w:val="28"/>
          <w:sz w:val="28"/>
          <w:szCs w:val="28"/>
          <w:rtl w:val="true"/>
          <w:lang w:bidi="ar-SA"/>
        </w:rPr>
        <w:t xml:space="preserve">النقل، وهذا بخلاف النقيصة فإنّها ليست بتلك المثابة من البعد؛ وذلك لتعدّد مناشئها، كالاختصار مثلاً، أو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دخالة في الحكم، ولذلك تقدّم أصالة عدم الزيادة على عدم النقيصة، ويحكم بثبوتها في نفس الأمر، إلاّ أنّ هذا يتمّ لو لم يكن في المقام خصوصية توجب ترجيح عدم النقيصة على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كانت الزيادة مألوفة ومأنوسة في الأذهان، بل ولها نظائر في أقضية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صرورة في الإسلام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إخصاء في الإسلام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كانت الرواية متضمّنة لمجعولٍ من المجعولات الشرعية، فيتوهّم الراوي أنّ الحكم المنفي إنّما هو واقع في الإسلام، فيزيد من عنده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فمع وجود هذه الخصوصية في المقام لا مجال لتقديم أصالة عدم الزيادة على عدم النقيصة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الزيادة لم يثبت وجودها في مصادر أصحابنا الإمامية، وإنّما وردت في نهاية ابن الأثير، وهو عامي، وقد أرسلها العلاّمة في التذكرة، وهو </w:t>
      </w:r>
    </w:p>
    <w:p>
      <w:pPr>
        <w:pStyle w:val="BookText"/>
        <w:rPr/>
      </w:pPr>
      <w:r>
        <w:rPr>
          <w:rFonts w:ascii="Amiri" w:hAnsi="Amiri" w:eastAsia="Amiri" w:cs="Amiri"/>
          <w:color w:val="111111"/>
          <w:sz w:val="28"/>
          <w:sz w:val="28"/>
          <w:szCs w:val="28"/>
          <w:rtl w:val="true"/>
          <w:lang w:bidi="ar-SA"/>
        </w:rPr>
        <w:t>ممّن يعتمد فيها على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هذه الزيادة في رواية الصدوق بناءً على نقل صاحب الوسائل في أوّل باب الميراث؛ حيث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في الإسلام، فالإسلام يزيد المسلم خيراً ولا يزيده شرّاً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مرسلة، ولا اعتبار بمراسيله، وعليه فلم تثبت هذه الزيادة بطريق معتبر</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نجد في شيء من الروايات المعتمدة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مرسلتي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يبعد متابعة العلاّمة في النقل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والمرسلة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يزيد ولا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في الإسلام، فالإسلام يزيد المسلم خيراً ولا يزيده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زِيدت من بعض النسّاخ ولم تكن من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 أصل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فالإسلام يزيد المسلم خيراً ولا يزيده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مذكورة بعد الحديث، ثمّ وقع الاشتباه منهم وزاغ بصرهم وكرّروا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فتتابعوا في نقل الرواية بصورة </w:t>
      </w:r>
    </w:p>
    <w:p>
      <w:pPr>
        <w:pStyle w:val="BookText"/>
        <w:rPr/>
      </w:pPr>
      <w:r>
        <w:rPr>
          <w:rFonts w:ascii="Amiri" w:hAnsi="Amiri" w:eastAsia="Amiri" w:cs="Amiri"/>
          <w:color w:val="111111"/>
          <w:sz w:val="28"/>
          <w:sz w:val="28"/>
          <w:szCs w:val="28"/>
          <w:rtl w:val="true"/>
          <w:lang w:bidi="ar-SA"/>
        </w:rPr>
        <w:t xml:space="preserve">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 فالإسلام يزيد المسلم خيراً ولا يزيده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الطريحي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الإضافة في ذيل رواية الشفعة، وهذا اشتباه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رواية الشفعة قد رواها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منها، كما لعلّ ذكرها في نهاية ابن الأثير من سبق القلم؛ وذلك لما ارتكز في ذهنه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السادة الأجلاء،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الكلمة ثابتة فيما رواه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لا اعتبار لها؛ وذلك لأنّ الصدوق كان في مقام الاحتجاج بالخبر على العامّة من حيث وروده من طرقهم، فإنّ جماعة منهم قالوا بعدم التوارث بين الكافر والمسلم، بمعنى أنّ المسلم لا يرث الكافر، كما أنّ الكافر لا يرث المسلم؛ تمسّكاً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وهو مخالف لما عليه الإمامية من إرث المسلم من الكافر وعدم إرث الكافر من المسلم، فالصدوق في مقام المحاجّة والمخاصمة استدل عليهم بما هو وارد من طرقهم، وممّا يدعو للاطمئنان بذلك قرينتان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مقام الاحتجاج والردّ على العامّة في مسألة خلافية، وهي عدم التوارث بين أهل ملّتين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التي ذكرها الصدوق في مسألة إرث المسلم من الكافر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ونقلية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 فقد ذكر فيها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وهو أنّ أصل الحكم في أموال المشركين أنّها فيء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وهو أنّ الله عزّوجلّ إنّما حرّم على الكفّار الميراث؛ عقوبة لهم بكفرهم، كما حرّم على القاتل عقوبة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 بمنزلة الموتى، لا يحجبون، ولا يرثون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فقد ذكر فيها أربع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إضرار في الإسلام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الأسود الدُّؤلي أنّ معاذ بن جبل كان باليمن فاجتمعوا إليه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مات وترك أخاً مسلماً،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فورَّث المسلم من أخيه اليهوديّ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وجميع هذه الأدلّة غير حجّة لدى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الأولى؛ فلرجوعها إلى الاجتهاد بالرأي والقياس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فلنقلها عن العامّة وعدم وجودها في شيءٍ من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هاتين القرينتين يحصل الوثوق بأنّ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نقلها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احتجاجاً بها عليهم، وعلى ذلك فهي غير مندرجة في شهادته في مقدّمة من لا يحضره الفقيه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 جميع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فقد ظهر وجه المناقشة فيه ممّا ذكرناه من مصادر الخاصّة والعامّة والتي وردت فيها الرواية مذيّلة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وعمدتها كتاب من لا يحضره الفقيه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ينكر وجودها في مصادر الفريقين، وأنّها لم ترد إلاّ في نهاية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 بناءً على القول بانجبار ضعف الرواية بعمل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الالتزام باعتبار الرواية وثبوت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أفاده في الأمر الأوّل منه ففيه موارد للنظر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نحن فيه ليس من مصاديق كبرى الدوران بين الزيادة والنقيصة ليقال بأنّ تقديم عدم الزيادة يحصل فيما لو لم يكن في البين خصوصيّة؛ وذلك </w:t>
      </w:r>
    </w:p>
    <w:p>
      <w:pPr>
        <w:pStyle w:val="BookText"/>
        <w:rPr/>
      </w:pPr>
      <w:r>
        <w:rPr>
          <w:rFonts w:ascii="Amiri" w:hAnsi="Amiri" w:eastAsia="Amiri" w:cs="Amiri"/>
          <w:color w:val="111111"/>
          <w:sz w:val="28"/>
          <w:sz w:val="28"/>
          <w:szCs w:val="28"/>
          <w:rtl w:val="true"/>
          <w:lang w:bidi="ar-SA"/>
        </w:rPr>
        <w:t xml:space="preserve">لأنّ الكبرى الآنفة الذكر إنّما تجري فيما لو وقعت الزيادة والنقيصة في نقل واحد، وما نحن فيه ليس من هذا القبيل، فقد وردت الرواية بطرق متعدّدة وفي موارد متعدّدة، فقد جاء بعضها في ضمن قضايا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في مورد آخر بنحو مستقلّ، كما أنّ بعضها مقيّدة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غير مقيّدٍ بها، فيكون هذا الأمر من قبيل المطلق والمقيد، بل في مقامنا تحتمل فيه الزيادة، إلاّ أنّها مندفعة بأصالة عدم الزيادة المتّبعة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تطبيق قاعدة دوران الأمر بين الزيادة والنقيصة في مقامنا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بما تقدّم، فإنّ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المقام خصوصية تقتضي تقدّم أصالة عدم النقيصة على أصالة عدم الزيادة،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هذه الزيادة مأنوسة ومألوفة في الأذهان،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استنباط الراوي من جهة مناسبة الحكم والموضوع تقتضي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أنس الذهن إنّما يحصل في الزمان المتأخّر عن نقل الرواية وبعد كثرة الروايات وجمعها، وأمّا في زمان نقل الرواية فلم يعلم بذلك حتى تكون الزيادة من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الروايات الواردة بهذا النسق كثيرة، مع أنّها خالية من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فطام بعد رضاع</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رأي لمن لا </w:t>
      </w:r>
    </w:p>
    <w:p>
      <w:pPr>
        <w:pStyle w:val="BookText"/>
        <w:rPr/>
      </w:pPr>
      <w:r>
        <w:rPr>
          <w:rFonts w:ascii="Amiri" w:hAnsi="Amiri" w:eastAsia="Amiri" w:cs="Amiri"/>
          <w:color w:val="111111"/>
          <w:sz w:val="28"/>
          <w:sz w:val="28"/>
          <w:szCs w:val="28"/>
          <w:rtl w:val="true"/>
          <w:lang w:bidi="ar-SA"/>
        </w:rPr>
        <w:t>يطاع</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استنباط الراوي وإضافته لكلمةٍ مع أنّه لم يسمعها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 لوثاقته فيما إذا كانت 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يّرة للمعنى وموجبة لتضيّقه أو توسعته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تكن كذلك فلا بأس به عند نقل الحديث بالمعنى، ومع ذلك فهو لا يلائم حفظ الرواة للحديث مع الزيادة سماعاً أو قراءةً أو تدويناً، ولذا يتمسّك بكلّ كلمة بل بكلّ حرف من الحديث يكون مورداً للاستدلال في مقام 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الأمر الثاني؛ فإنّ تماميته مبنيّة على ما إذا لم يكن مبناه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 الرواية الضعيفة بعمل المشهور، وعدم حجّية روايات الفقيه لعدم اعتبار شهادة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وإلاّ فهو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بعض الأعاظم في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بعيد جدّاً من جهتين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احتمال كون هذه الزيادة من بعض النسّاخ يقتضي عدم تمامية احتجاج الصدوق بهذه الرواية على العامّة في مسألة عدم توريث المسلم من الكافر، مع أنّ صحّة استدلاله ومخاصمته في هذه المسألة الخلافية بيننا وبينهم متوقّف على ثبوت الزيادة، ومن هنا يتّضح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ثابتة فيما رواه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الاحتمال إنّما يصحّ في كتب اللغة والسير والتاريخ وأمثالها، وأمّا في كتب الآيات والأحاديث المروية عن أهل بيت العصمة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مورد لعناية واهتمام الأعلام من العلماء والمحقّقين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يكتفى فيها بالتدوين والكتابة فقط، بل تقرأ على المشايخ وتسمع منهم وتقابل عدّة مرّات عليهم، فكيف يدّعى بعد ذلك باحتمال وقوع التحريف بالزيادة من النسّاخ مع عدم التنبيه عليه؟ ومن ذلك كلّه يتّضح بُعد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بعض السادة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الردّ على العامّة والمخاصمة والاحتجاج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بهذا المورد، بل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اتّبعه في كثير من المسائل المختلف فيها بين الفريقين، كما في مسألة العول والتعصيب والصلاة وغيرها، ومع ذلك هل يقال فيها بمثل ما قيل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شهادة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الفقيه عامّة، وأنّ كلّ ما أورده فيه يكون مشمولاً لشهاداته الثلاث، وهي أنّها حجّة فيما بينه وبين ربّه، وأنّ جميع ما فيه مستخرج من كتب مشهورة، وأنّ عليها المعوّل وإليها المرجع، وعلى هذا فذكره للرواية من دون تصريح بكونها من طرق العامّة أو من دون قرينة تدلّ على ذلك يُعَدُّ من الخلط والتدليس غير المحتمل في حقّه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الأسود الدُّؤلي أنّ معاذ بن </w:t>
      </w:r>
    </w:p>
    <w:p>
      <w:pPr>
        <w:pStyle w:val="BookText"/>
        <w:rPr/>
      </w:pPr>
      <w:r>
        <w:rPr>
          <w:rFonts w:ascii="Amiri" w:hAnsi="Amiri" w:eastAsia="Amiri" w:cs="Amiri"/>
          <w:color w:val="111111"/>
          <w:sz w:val="28"/>
          <w:sz w:val="28"/>
          <w:szCs w:val="28"/>
          <w:rtl w:val="true"/>
          <w:lang w:bidi="ar-SA"/>
        </w:rPr>
        <w:t>جبل كان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وهو قرينة على أنّها عامّية، مع أنّه لم يذكر فيما نحن فيه ما يشعر بكون الحديث من طرقهم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دعوى 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العامّة، وأورده احتجاجاً عليهم تامّةٌ، ولكن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الفحص والتتبّع لعبارات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نقله للروايات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تنقسم إلى عدّة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بنحو الإرسال، ويظهر منه الجزم في نسبته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سُئل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سأله فلان فأجاب، أو كتب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ذلك، وهذا القسم كثير في الفقيه قد يصل إلى ألفي رواية أو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كقوله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الحسن بن محبوب، أو روى ابن أبي عمير، أو روى إسحاق بن عمّار، أو روى عبد الله بن سنان، ثمّ يذكر السند متّصلاً بالمعصوم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القسم كثيراً ما يورده بعد عنوان كلّ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السكوني، أو في رواية ابن مسكان، أو في رواية ابن أبي يعفور، أو في رواية زرارة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نوادر الحكمة، أو نوادر محمّد بن أبي </w:t>
      </w:r>
    </w:p>
    <w:p>
      <w:pPr>
        <w:pStyle w:val="BookText"/>
        <w:rPr/>
      </w:pPr>
      <w:r>
        <w:rPr>
          <w:rFonts w:ascii="Amiri" w:hAnsi="Amiri" w:eastAsia="Amiri" w:cs="Amiri"/>
          <w:color w:val="111111"/>
          <w:sz w:val="28"/>
          <w:sz w:val="28"/>
          <w:szCs w:val="28"/>
          <w:rtl w:val="true"/>
          <w:lang w:bidi="ar-SA"/>
        </w:rPr>
        <w:t>عمير، أو كتاب مروان بن زياد، أو أبي في رسالته، أو عن الكليني في كتابه، أو كتاب شيخي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أو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روي عن ابن عبّاس، أو روي عن جابر،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القدر المتيقّن من شهادة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من لا يحضره الفقيه شمولها للقسم الأوّل، وهو ما كان منسوباً إلى المعصوم بنحو الجزم؛ وذلك لأنّ كلّ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الفقيه في الباب الأوّل من المياه كان من هذا القسم، ثمّ عدل عن هذا التعبير في الحديث الرابع والعشرين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أبي بصير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نزلنا في دار</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فمن البعيد جدّاً عدم شمول الشهادة لما يذكره في بداية الفقيه، وبناءً على هذا لابدّ من القول باعتبارها وإن كانت مرسلة؛ للجزم بنسبتها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يناقش في شيء من هذا القسم، مع أنّه قد يناقش في بعض الروايات الواردة بتعبير آخر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فالظاهر شمول الشهادة له أيضاً؛ وذلك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هذا القسم سنداً ومدركاً لعنوان كلّ باب، مضافاً إلى عدم مناقشته فيها، بل قد يجمع بينها عند 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الصدوق طرقه لرواة هذا القسم في المشيخة لا ينافي شمول الشهادة له؛ لإمكان حمل ما ذكره من الطرق على التيمّن أو الاقتصار على بعض طرقه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وإن ورد كثيراً في الأبواب المختلفة التي ذكرها الصدوق، إلاّ أنّ شمول الشهادة له محلّ شكّ وترديد؛ لاحتمال ذكر الصدوق لهذا الصنف من باب التأييد، لا لكونه دليلاً على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تعبيره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روايته لها ورواية غيره، ومع ذلك لا يبعد شمول الشهادة لهذا الصنف أيضاً؛ لعدم مناقشته لكثير منه، بل حاول بقدر الإمكان أن يجمع بينها وبين غيرها من الروايات في مقام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علّق على رواية وهب بن وهب، عن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الحديث هكذا في رواية وهب بن وهب، وهو ضعيف، والذي أفتي به وأعتمده في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الحسن بن محبوب</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يبعد شمول الشهادة لهذا القسم إذا لم يناقش فيه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 فالظاهر أنّه مشمول للشهادة؛ لأنّ كثيراً ما يجعل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دليلاً ومستنداً على مدّعاه، فقد جعل ما نقله عن نوادر الحكمة مدركاً </w:t>
      </w:r>
    </w:p>
    <w:p>
      <w:pPr>
        <w:pStyle w:val="BookText"/>
        <w:rPr/>
      </w:pPr>
      <w:r>
        <w:rPr>
          <w:rFonts w:ascii="Amiri" w:hAnsi="Amiri" w:eastAsia="Amiri" w:cs="Amiri"/>
          <w:color w:val="111111"/>
          <w:sz w:val="28"/>
          <w:sz w:val="28"/>
          <w:szCs w:val="28"/>
          <w:rtl w:val="true"/>
          <w:lang w:bidi="ar-SA"/>
        </w:rPr>
        <w:t>لحكم الغرامة التي تلزم في الإفضاء</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علّق على موردٍ واحدٍ فقط من هذا القسم، وهو ما نقله عن الكافي للكليني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الوصية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هذا الحديث إلاّ في كتاب محمّد بن يعقوب، وما رويته إلاّ من طريقه</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وتعليقه هذا يدلّ على انحصار طريقه لهذه الرواية عن طريق الكافي للكليني، ولا يدلّ على تضعيفه لها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فالظاهر عدم شمول الشهادة له، بل هو خارج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السادس؛ فالظاهر عدم شمول الشهادة له؛ لأنّ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ينسبه بنحو الجزم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إمّا من العامّة، أو لا يعتقد الصدوق بصحّته، خصوصاً أنّ أكثر أسانيد هذه الموارد التي ذكرها عامّية، ويمكن استكشاف ذلك من خلال التتبّع لهذا القسم من الروايات، وهي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الباب الثامن في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مسح على نعليه،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نسيت، هكذا أمرني ربّي</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الباب الرابع عشر فيمن ترك الوضوء أو بعضه أو شكّ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الأحبار أقعد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جالدوك مائة جلدة </w:t>
      </w:r>
    </w:p>
    <w:p>
      <w:pPr>
        <w:pStyle w:val="BookText"/>
        <w:rPr/>
      </w:pPr>
      <w:r>
        <w:rPr>
          <w:rFonts w:ascii="Amiri" w:hAnsi="Amiri" w:eastAsia="Amiri" w:cs="Amiri"/>
          <w:color w:val="111111"/>
          <w:sz w:val="28"/>
          <w:sz w:val="28"/>
          <w:szCs w:val="28"/>
          <w:rtl w:val="true"/>
          <w:lang w:bidi="ar-SA"/>
        </w:rPr>
        <w:t>من عذاب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فلم يزالوا به حتى ردّوه إلى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بأنّك صلّيت يوماً بغير وضوء، ومررت على ضعيف فلم تنصره، فجلدوه جلدة من عذاب الله تعالى فامتلأ قبره ناراً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ارتياد المكان للحدث، والسنّة في دخوله والآداب فيه إلى الخروج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تكلّم على الخلاء لم تقض حاجته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أدب المرأة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خير مساجد النساء البيوت، وصلاة المرأة في بيتها أفضل من صلاتها في صفّتها، وصلاتها في صفّتها أفضل من صلاتها في صحن دارها، وصلاتها في صحن دارها أفضل من صلاتها في سطح بيتها، وتكره للمرأة الصلاة في سطح غير محجّر</w:t>
      </w:r>
      <w:r>
        <w:rPr>
          <w:rStyle w:val="FootnoteAnchor"/>
          <w:rtl w:val="true"/>
        </w:rPr>
        <w:footnoteReference w:id="90"/>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كلّه يتب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ميراث أهل الملل يندرج تحت ما ذكرناه مفصّلاً، فبعد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الإسلام يزيده شرّاً؟ نقل عدّة روايات، وهي 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ولا ينقص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إضرار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فالإسلام يزيد المسلم خيراً ولا </w:t>
      </w:r>
    </w:p>
    <w:p>
      <w:pPr>
        <w:pStyle w:val="BookText"/>
        <w:rPr/>
      </w:pPr>
      <w:r>
        <w:rPr>
          <w:rFonts w:ascii="IRNazanin" w:hAnsi="IRNazanin" w:eastAsia="IRNazanin"/>
          <w:color w:val="111111"/>
          <w:sz w:val="28"/>
          <w:sz w:val="28"/>
          <w:szCs w:val="28"/>
          <w:rtl w:val="true"/>
          <w:lang w:bidi="fa-IR"/>
        </w:rPr>
        <w:t>يزيده شرّاً، ومع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 الأسود الدُّؤلي أنّ معاذ بن جبل كان باليمن فاجتمعوا إليه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 مات وترك أخاً مسلماً، فقال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يزيد ولا ينقص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فورّث المسلم من أخيه اليهوديّ، ثمّ عقّبها بعشر روايات من القسم الثاني، وهي ما كان التعبير فيها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سنان، عن عبد الرحمن بن أعين،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النصرانيّ يموت وله ابن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يزدنا بالإسلام إلاّ عزّاً، فنحن نرثهم ولا يرثونا</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كلّه يتب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الأحاديث الأربعة التي أوردها في بداية الباب كلّها عامّية، وإنّما ذكرها من باب الإلزام والمحاجّة بها على الخصم، ومن ذلك يظهر عدم 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حتى يتمسّك بها في مقام الاستدلال والاستنباط، وعلى فرض كونها مشهورة لا يعلم استناد المشهور إليها، وعلى فرض استنادهم إليها فهو غير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وقع الخلاف بين الأعلام في ثبوت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فالظاهر من الشيخ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وشيخ الشريعة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بالثبوت، وذهب المحقّق النائيني</w:t>
      </w:r>
      <w:r>
        <w:rPr>
          <w:rStyle w:val="FootnoteAnchor"/>
          <w:rtl w:val="true"/>
        </w:rPr>
        <w:footnoteReference w:id="94"/>
      </w:r>
      <w:r>
        <w:rPr>
          <w:rFonts w:ascii="Amiri" w:hAnsi="Amiri" w:eastAsia="Amiri" w:cs="Amiri"/>
          <w:color w:val="111111"/>
          <w:sz w:val="28"/>
          <w:sz w:val="28"/>
          <w:szCs w:val="28"/>
          <w:rtl w:val="true"/>
          <w:lang w:bidi="ar-SA"/>
        </w:rPr>
        <w:t>، والمحقّق العراقي</w:t>
      </w:r>
      <w:r>
        <w:rPr>
          <w:rStyle w:val="FootnoteAnchor"/>
          <w:rtl w:val="true"/>
        </w:rPr>
        <w:footnoteReference w:id="95"/>
      </w:r>
      <w:r>
        <w:rPr>
          <w:rFonts w:ascii="Amiri" w:hAnsi="Amiri" w:eastAsia="Amiri" w:cs="Amiri"/>
          <w:color w:val="111111"/>
          <w:sz w:val="28"/>
          <w:sz w:val="28"/>
          <w:szCs w:val="28"/>
          <w:rtl w:val="true"/>
          <w:lang w:bidi="ar-SA"/>
        </w:rPr>
        <w:t>، والسيد الأستاذ</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إلى القول بالعدم، إلاّ أنّ صحّة القول الأوّل تتوقّف على إثبات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وقوع تعارض بين دليل مذيّل بهذه الكلمة وبين سائر الأدلّة الخالية منها يكون الترجيح للزيادة، وهو ما يعبّر عنه بكبرى تقديم أصالة عدم الزيادة على أصالة عدم النقيصة، فإذا ثبت كلا الأمرين معاً صحّ القول الأوّل، ويظهر من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 الأمر الأوّل؛ فلما ذكره في مقام بيان مدرك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نتعرّض من الأخبار الواردة في ذلك إلاّ لما هو أصحّ ما في الباب سنداً وأوضحه دلالة</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رواية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سمرة بن جندب المشتملة في ذيلها 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يعني أنّ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هذه الكلمة قد وردت في دليل معتبر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توجيه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اعتبار رواية زرارة بأحد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ورودها في الكافي، وقد شهد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روايات كتابه؛ حيث ذكر في المقدّمة في إجابة سؤال مَن سأله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يجمع فيه من جميع فنون علم الدين، ما يكتفي به المتعلم ويرجع إليه المسترشد، ويأخذ منه من يريد علم الدين والعمل به بالآثار الصحيحة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والسنن القائمة التي عليها العمل وبها يؤدَّى فرض الله عزوجل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ما سألت</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وهذه الشهادة صريحة من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جميع روايات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رواية ابن مسكان عن زرارة وإن كانت ضعيفة من جهة محمّد بن خالد البرقي، ومن جهة الإرسال، إلاّ إنّها معتضدة بموثّقة ابن بكير عن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فاشتمال رواية ابن مسكان على 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أصل قضية سمرة الواردة في موثّقة ابن بكير ممّا يوجب الاطمئنان بصدورها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ثبوت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أصالة عدم الزيادة على عدم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التقديم ليس تعبّدياً صرفاً، بل هو من باب بناء العقلاء، مضافاً إلى تسالم أهل الدراية والحديث على تقديم عدم الزيادة والحكم بثبوتها في نفس الأمر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ثبوت كلا الأمرين المذكورين تكون رواية ابن مسكان عن </w:t>
      </w:r>
    </w:p>
    <w:p>
      <w:pPr>
        <w:pStyle w:val="BookText"/>
        <w:rPr/>
      </w:pPr>
      <w:r>
        <w:rPr>
          <w:rFonts w:ascii="Amiri" w:hAnsi="Amiri" w:eastAsia="Amiri" w:cs="Amiri"/>
          <w:color w:val="111111"/>
          <w:sz w:val="28"/>
          <w:sz w:val="28"/>
          <w:szCs w:val="28"/>
          <w:rtl w:val="true"/>
          <w:lang w:bidi="ar-SA"/>
        </w:rPr>
        <w:t>زرارة معتبرة، ومن هنا نجد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عنها بأصحّ روايات الباب وأوضحها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أشكل على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الأمر الأوّل فقد أشكل عليه السيد الأستاذ بكلا شقّيه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 فبأنّ رواية عبد الله بن مسكان عن زرارة مرسلة، ومجرّد وجودها في الكافي لا يدلّ على اعتبارها؛ وذلك لعدم تمامية شهادة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الكافي، لقصورها في شمولها لجميع روايات كتابه، وعلى فرض الشمول فهي غير حجّة؛ لأنّها شهادة حدسية، وعليه فلا يمكن الاعتماد على رواية عبد الله بن مسكان لكونها 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الشق الثاني فهو غير تامّ أيضاً؛ لأنّ الروايتين وإن اتّفقتا في أصل قضية سمرة، إلاّ إنّ سند رواية عبد الله بن مسكان عن زرارة يختلف عن سند عبد الله بن بكير عن زرارة، فلکل واحدة منهما سند مستقلّ، فلا معنى للقول بالاعتضاد، فتكون الزيادة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ثابتة؛ لعدم ثبوتها في رواية معتبرة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الأمر الثاني فبوجهين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الصغرى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ذلك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كبرى تقديم أصالة عدم الزيادة على أصالة عدم النقيصة والحكم بثبوت الزيادة في نفس الأمر في مقام التعارض عند أهل الحديث والدراية مسلّمة؛ لأنّ تقديمها ليس تعبّداً صرفاً، بل هو من باب بناء العقلاء، وأبعديّة الغفلة بالنسبة إلى الزيادة عن الغفلة بالنسبة إلى النقيصة، إلاّ أنّ هذا البناء لا يجري في المقام؛ وذلك لوجود ميزة فيه توجب تقديم أصالة عدم النقيصة على عدم الزيادة، وهي تعدّد الراوي من جانب النقيصة مع وحدة الراوي من جانب الزيادة، فاحتمال غفلة المتعدّد عن سماع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وهذا بخلاف احتمال الزيادة من جانب الراوي الواحد، فلعلّه زادها من جهة المناسبة بين الحكم والموضوع، وأنّ المؤمن هو الذي تشمله العناية الإلهية في استحقاق نفي الضرر عنه امتناناً</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السادة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كبرى تقديم أصالة عدم الزيادة على أصالة عدم النقيصة في نفسها غير تامّة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مدرك ومستند هذه الكبرى إمّا من جهة كونها من جملة المرجّحات الصدورية العامّة وعليه فهي تعبّر عن وجود مزيّة نوعيّة قائمة في طرف الزيادة دائماً أو غالباً بحيث توجب أقربيّة ذيها إلى الواقع، وإمّا من جهة كونها من الأصول العقلائية وأنّ بناءهم في مقام التعارض على تقديم أصالة عدم الزيادة على أصالة عدم النقيصة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كلا هذين التقديرين فالكبرى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الأوّل؛ فإنّ أصالة عدم الزيادة إنّما تكون ذا ميزة وراجحة على أصالة عدم النقيصة فيما لو كان منشأ هذين الأمرين منحصراً في الغفلة، فتكون الزيادة حينئذٍ بالنسبة للنقيصة بعيدةً جدّاً، وهذا بخلاف الغفلة في النقيصة فهي عادة ما توجب النفي والطرح وإسقاط كلمة، فلذا تكون الغفلة في النقيصة أقرب من الغفلة في الزيادة، فالإثبات والزيادة على خلاف الطبع، بل الطبع على الإسقاط والطرح، ومن هنا يترجّح عدم الزيادة على عدم النقيصة، وكذا فيما لو كانت النسبة بين الزيادة والنقيصة نسبة العموم والخصوص المطلق،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الزيادة ينحصر في الغفلة، ومنشأ النقيصة يعمّ الغفلة والاختصار، فحينئذٍ يترجّح عدم الزيادة على عدم النقيصة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كلا الأمرين غير تامّين؛ وذلك لعدم انحصار منشئهما في الغفلة، كما أنّ النسبة بينهما ليست العموم والخصوص المطلق، فكما يحتمل استناد النقيصة إلى الغفلة أو الاختصار أو تصوّر كون القيد توضيحياً لا احترازياً، فكذلك احتمال الزيادة لا ينحصر في الغفلة، بل له مناشئ أخر كتحقّق الزيادة لمناسبة الحكم والموضوع، أو من أجل أنّ الراوي استفاد قيداً للكلام من القرائن المحتفّة به حسب فهمه فأثبته، ومن 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بين عدم الزيادة وعدم النقيصة ليست هي العموم والخصوص المطلق حتى يقال بتقديم أصالة </w:t>
      </w:r>
    </w:p>
    <w:p>
      <w:pPr>
        <w:pStyle w:val="BookText"/>
        <w:rPr/>
      </w:pPr>
      <w:r>
        <w:rPr>
          <w:rFonts w:ascii="Amiri" w:hAnsi="Amiri" w:eastAsia="Amiri" w:cs="Amiri"/>
          <w:color w:val="111111"/>
          <w:sz w:val="28"/>
          <w:sz w:val="28"/>
          <w:szCs w:val="28"/>
          <w:rtl w:val="true"/>
          <w:lang w:bidi="ar-SA"/>
        </w:rPr>
        <w:t>عدم الزيادة على أصالة عدم النقيصة على نحو الإطلاق، بل النسبة هي العموم من وجه، وعليه فلابدّ من ملاحظة مجموع الاحتمالات ودرجة كل احتمال بحدّ ذاته، ومن ثمّ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التسليم والقول بأنّ عدم الزيادة راجحة ومقدّمة على عدم النقيصة، فهي لا توجب إلاّ الظن بوقوع النقيصة، وهو غير معتبر؛ لعدم الدليل على حجّية الظنّ الصدوري، لا تعبّداً، ولا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الاطمئنان والوثوق بوقوع النقيصة لكان معتبراً، وإلاّ فهو 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ثبوت الأصل المذكور عند العقلاء مطلقاً حتى فيما لو لم تقم القرائن الموجبة للوثوق بأحد الطرفين، بل القدر المتيقّن من بنائهم هو فيما لو حصل الوثوق والاطمئنان بأحد الطرفين، ومع عدمه يتعاملون معه معاملة المتعارضين، فدعوى تقديم أصالة عدم الزيادة على أصالة عدم النقيصة مطلقاً ممنوعة، والشاهد على ذلك هو إذا كان شخص في مقام استلام ألف دينارٍ من غيره فأمر شخصين بعدّ المبلغ، فعدّه أحدهما ألفاً، والآخر ألفاً وخمساً وعشرين، فهل يقدّم الثاني ويرجع خمسة وعشرين إلى صاحب المال؟</w:t>
      </w:r>
    </w:p>
    <w:p>
      <w:pPr>
        <w:pStyle w:val="BookText"/>
        <w:rPr/>
      </w:pPr>
      <w:r>
        <w:rPr>
          <w:rFonts w:ascii="Amiri" w:hAnsi="Amiri" w:eastAsia="Amiri" w:cs="Amiri"/>
          <w:color w:val="111111"/>
          <w:sz w:val="28"/>
          <w:sz w:val="28"/>
          <w:szCs w:val="28"/>
          <w:rtl w:val="true"/>
          <w:lang w:bidi="ar-SA"/>
        </w:rPr>
        <w:t>ومن ذلك يظهر أنّ بناءهم ليس قائماً على تقديم أصالة عدم الزيادة على أصالة عدم النقيصة مطلقاً، بل إنّ ذلك عند حصول الوثوق والاطمئنان فقط</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الإجماع واتّفاق الكلّ على تقديم الزيادة على النقيصة في </w:t>
      </w:r>
    </w:p>
    <w:p>
      <w:pPr>
        <w:pStyle w:val="BookText"/>
        <w:rPr/>
      </w:pPr>
      <w:r>
        <w:rPr>
          <w:rFonts w:ascii="Amiri" w:hAnsi="Amiri" w:eastAsia="Amiri" w:cs="Amiri"/>
          <w:color w:val="111111"/>
          <w:sz w:val="28"/>
          <w:sz w:val="28"/>
          <w:szCs w:val="28"/>
          <w:rtl w:val="true"/>
          <w:lang w:bidi="ar-SA"/>
        </w:rPr>
        <w:t>حال التعارض غير صحيحة، بل وقعت هذه الكبرى مورد الخلاف لدى الخاصّة، كما هو كذلك عند العامّة أيضاً، فهذا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أعيان علماء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التقديم المذكور ليس من جهة التعبّد، بل من جهة أبعدية احتمال الغفلة في طرف الزيادة، ولكن هذا البناء لا يجري فيما إذا كانت في جانب النقيصة مزيّة مرجّحة على جانب الزيادة، كتعدّد الراوي في جانب النقيصة مع وحدته في جانب الزيادة، أو احتمال زيادة الراوي الواحد من جهة مناسبة الحكم والموضوع</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من العامّة، فهذا الزيلعي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محدّثي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لنا الخلاف الواقع في هذه الكبرى بين علماء العامّة، فيقول بنص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نعيم المجمر وهو ثقة، والزيادة من الثقة مقبولة،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مجمعاً عليه، بل فيه خلاف مشهور، فمن الناس من يقبل زيادة الثقة مطلقاً، ومنهم من لا يقبلها، والصحيح التفصيل،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تقبل في موضع دون موضع، فتقبل إذا كان الراوي الذي رواها ثقة حافظاً ثبتاً، والذي لم يذكرها مثله أو دونه في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في موضوع آخر لقرائن تخصّها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جميع ما تقدّم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الأمر الأوّل فهي مناقشة مبنائية؛ فإنّ مَن يبني على صحّة جميع </w:t>
      </w:r>
    </w:p>
    <w:p>
      <w:pPr>
        <w:pStyle w:val="BookText"/>
        <w:rPr/>
      </w:pPr>
      <w:r>
        <w:rPr>
          <w:rFonts w:ascii="Amiri" w:hAnsi="Amiri" w:eastAsia="Amiri" w:cs="Amiri"/>
          <w:color w:val="111111"/>
          <w:sz w:val="28"/>
          <w:sz w:val="28"/>
          <w:szCs w:val="28"/>
          <w:rtl w:val="true"/>
          <w:lang w:bidi="ar-SA"/>
        </w:rPr>
        <w:t xml:space="preserve">روايات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شيخ الشريعة والمحقّق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حكي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المناقشة في أسانيد روايات الكافي حرفة العاجز</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يتوجّه إليه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هذا الإشكال على مَن يبني على عدم صحّة جميع روايات الكافي، إمّا لقصور شهادة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شمولها لجميع روايات الكافي، وإمّا لكون الشهادة حدسية وليست بحسّية؛ وذلك لأنّنا وإن احتملنا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وابن أبي عمير، إلاّ أنّا لو أغمضنا النظر عن شهادة الكليني فسوف لا نجد طريقاً لتصحيح سند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هذا الاحتمال ليس إلاّ مجرّد استحسان لا يوجب الوثوق والاطمئنان، وعلى هذا يتبيّن أنّ هذه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يتعرّض لذكرها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على مبناه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المناقشة الصغروية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مراده من التعدّد بالنسبة إلى الروايات الخالية عن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قضية سمرة فليس بينها وبين الروايات المشتملة على هذه الزيادة تهافت أصلاً؛ وذلك لإمكان صدور الرواية في موارد مختلفة، فتصدر تارة في مورد مطلقة وبدون هذه الكلمة، وتصدر أخرى في مورد آخر مقيّدة بها، وبذلك يمكن الأخذ بجميع هذه القضايا والتعامل معها معاملة المطلق </w:t>
      </w:r>
    </w:p>
    <w:p>
      <w:pPr>
        <w:pStyle w:val="BookText"/>
        <w:rPr/>
      </w:pPr>
      <w:r>
        <w:rPr>
          <w:rFonts w:ascii="Amiri" w:hAnsi="Amiri" w:eastAsia="Amiri" w:cs="Amiri"/>
          <w:color w:val="111111"/>
          <w:sz w:val="28"/>
          <w:sz w:val="28"/>
          <w:szCs w:val="28"/>
          <w:rtl w:val="true"/>
          <w:lang w:bidi="ar-SA"/>
        </w:rPr>
        <w:t>والمقيد من دون أن يلزم التهافت والتناقض بينها، وأمّا إذا كان مراده من التعدّد هو بالنسبة للرواية الواردة في قضية سمرة بن جندب، 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الروايات الواردة في هذه القضية هي ثلاث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الصدوق بسنده إلى الحسن الصيقل، عن أبي عبيدة الحذاء،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بكير، عن زرارة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مسكان، عن زرارة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الأولى خارجة عن محلّ الكلام؛ وذلك لعدم كونها مذيّلة بالكبرى الكلّية، أي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فتبقى حينئذٍ الرواية الثانية والثالثة، وقد وردت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الثالثة دون الثانية، إلاّ أنّ كلتيهما مرويتان عن زرارة،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يتصوّر التعدّد في طرفٍ والوحدة في طرف آخر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يكون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تعدّد الرواة المتأخّرين عن الراوي المباشر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زرارة، فإنّ الرواة المتأخّرين في سند موثّقة ابن بكير عن زرارة أكثر من الرواة في سند موثّقة ابن مسكان؛ وذلك لأنّ لابن بكير كتاباً </w:t>
      </w:r>
    </w:p>
    <w:p>
      <w:pPr>
        <w:pStyle w:val="BookText"/>
        <w:rPr/>
      </w:pPr>
      <w:r>
        <w:rPr>
          <w:rFonts w:ascii="Amiri" w:hAnsi="Amiri" w:eastAsia="Amiri" w:cs="Amiri"/>
          <w:color w:val="111111"/>
          <w:sz w:val="28"/>
          <w:sz w:val="28"/>
          <w:szCs w:val="28"/>
          <w:rtl w:val="true"/>
          <w:lang w:bidi="ar-SA"/>
        </w:rPr>
        <w:t>يرويه جماعة، كما أنّ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رواها أيضاً عن العدّة، وهذا بخلاف رواية ابن مسكان عن زرارة، فهو وإن كان له كتاب إلاّ أنّه لم يروه جماعة، كما أنّ روايته عن زرارة يرويها الكليني عن علي بن محمد بن بندار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هذا الاحتمال بعيد جدّاً عن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لعدم دخالة تعدّد الرواة المتأخّرين عن الراوي المباشر في ترجيح أحد طرفي الزيادة أو النقيصة، بل غاية ما في الأمر أنّهم ينقلون الرواية إمّا عن طريق السماع أو القراءة أو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الراوي المباشر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نسبة الزيادة والنقيصة إليه، وبذلك يظهر أنّ ميزة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ذكرها المحقّق النائيني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لترجيح جانب النقيصة على جانب 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احتمال كون الزيادة من جهة فَهم الراوي لمناسبة الحكم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الحكم امتنانياً، فلا يشمل غير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بعيد؛ وذلك لأنّه بالرجوع إلى الروايتين يظهر أنّ رواية ابن مسكان عن زرارة قد بيّنت قضية سمرة بنحو من التفصيل، فلذا لم تختصّ الزيادة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هي مشتملة على جمل كثيرة زائدة عمّا هو مذكور في موثّقة ابن بكير،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كون زيادة الكلمة المذكورة ناشئة عن فهم الراوي بمناسبة الحكم والموضوع بعيدٌ جدّاً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الصغرى، وذكره ميزتين لترجيح جانب النقيصة،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بعض السادة الأجلاّء في مناقشة الكبرى،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بناء العقلاء قائم على الأخذ بأصالة عدم الزيادة في كلام المتكلّم، سواء كان ذلك في رواية أو غيرها، بل يعدّ ذلك من صغريات حجّية الظاهر، فلا يعتنون باحتمال الغفلة أو الاشتباه أو الكذب ويتعاملون معه معاملة عدم الزيادة والبناء على ثبوت الكلمة في كلام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دار الأمر بين الزيادة والنقيصة في قضية واحدة فنقلت تارة مع زيادة وأخرى بدونها، فهل يجري هذا البناء العقلائي بحيث تقدّم أصالة عدم الزيادة على عدم النقيصة أو لا؟</w:t>
      </w:r>
    </w:p>
    <w:p>
      <w:pPr>
        <w:pStyle w:val="BookText"/>
        <w:rPr/>
      </w:pPr>
      <w:r>
        <w:rPr>
          <w:rFonts w:ascii="Amiri" w:hAnsi="Amiri" w:eastAsia="Amiri" w:cs="Amiri"/>
          <w:color w:val="111111"/>
          <w:sz w:val="28"/>
          <w:sz w:val="28"/>
          <w:szCs w:val="28"/>
          <w:rtl w:val="true"/>
          <w:lang w:bidi="ar-SA"/>
        </w:rPr>
        <w:t>المستفاد من كلمات كثير من المحقّقين التسالم والاتّفاق على الجريان في الجملة، ولكنّ القدر المتيقّن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تكن هناك مزية مرجّحة في جانب النقيصة أو مساوية للمزية في جانب الزيادة، ومن هنا لابدّ من ملاحظة موارد جريان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وتفصيل ذلك هو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الدوران بين الزيادة والنقيصة له عدّة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تكون الزيادة والنقيصة في القضايا المتعدّدة والموارد المختلفة كقضية سمرة مع قضية الشفعة في الماء والكلاء،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قضية سمرة مع الزيادة، وبدونها في قضية الشفعة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تكون الزيادة والنقيصة متحقّقة في قضية شخصية واحدة، كما في الأخبار الواردة في قضية سمرة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نقل الرواية بنفس الألفاظ الصادرة من </w:t>
      </w:r>
    </w:p>
    <w:p>
      <w:pPr>
        <w:pStyle w:val="BookText"/>
        <w:rPr/>
      </w:pPr>
      <w:r>
        <w:rPr>
          <w:rFonts w:ascii="IRNazanin" w:hAnsi="IRNazanin" w:eastAsia="IRNazanin"/>
          <w:color w:val="111111"/>
          <w:sz w:val="28"/>
          <w:sz w:val="28"/>
          <w:szCs w:val="28"/>
          <w:rtl w:val="true"/>
          <w:lang w:bidi="fa-IR"/>
        </w:rPr>
        <w:t>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وأخرى يكون النقل بالمعنى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جميع هذه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الزيادة مغيّرة للمعنى بنحو الإطلاق والتقييد، وأخرى بنحو التعارض، ففي الصور التي تكون الزيادة فيها مغيّرة للمعنى بنحو التعارض، فسواء كان ذلك في قضايا متعدّدة أو في قضية شخصية واحدة، وسواء كان النقل باللفظ أو بالمعنى، فالحكم فيها واضح؛ لأنّها تدخل في باب التعارض، فيقع التعارض حينئذٍ بين الزيادة والنقيصة، فإذا أمكن الجمع الدلالي بينها فهو، وإلاّ وجب ملاحظة مرجّحات باب التعارض من المرجّحات السندية من الشهرة وموافقة الكتاب ومخالفة العامّة، فحينئذٍ يقدّم أحدهما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سائر الصور؛ ففي الصورة الأولى، وهي فيما لو كانت الزيادة والنقيصة متحقّقة في قضايا متعدّدة، فحينئذٍ يحمل المطلق على المقيد، وهذا ممّا لا إشكال فيه؛ لعدم التنافي بين الإطلاق والتقييد، لإمكان صدورهما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فيؤخذ بالزيادة، فتجري أصالة عدم الزيادة بلا إشكال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الثانية، وهي ما إذا كان النقل بالمعنى وكانت الزيادة والنقيصة في قضيتين أو أكثر، فالمفروض ثبوت الحجّية للرواية فيما إذا توفّرت فيها شرائط الحجّية، سواء نقلت ووصلت إلينا بألفاظها الصادرة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نقلت ووصلت إلينا بالمعنى؛ وذلك لأنّ أدلّة حجّية الخبر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عذر لأحد من موالينا في التشكيك فيما يرويه عنّا </w:t>
      </w:r>
    </w:p>
    <w:p>
      <w:pPr>
        <w:pStyle w:val="BookText"/>
        <w:rPr/>
      </w:pPr>
      <w:r>
        <w:rPr>
          <w:rFonts w:ascii="IRNazanin" w:hAnsi="IRNazanin" w:eastAsia="IRNazanin"/>
          <w:color w:val="111111"/>
          <w:sz w:val="28"/>
          <w:sz w:val="28"/>
          <w:szCs w:val="28"/>
          <w:rtl w:val="true"/>
          <w:lang w:bidi="fa-IR"/>
        </w:rPr>
        <w:t>ثقاتنا</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للمنقول من الأخبار بألفاظها الصادرة من المعصوم، وللمنقول منها بالمعنى، فلابدّ من العمل بكلا النقلين فيما إذا توفّرت شرائط الحجّية فيهما، وعلى كلّ حال حكم هذه الصورة كحكم سابقتها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هي محلّ كلامنا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إذا كانت الزيادة والنقيصة في واقعة شخصية، سواء كانت منقولة بألفاظها الصادرة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منقولة بالمعنى، كما في قضية سمرة بن جندب، فقد وردت في بعض الأخبار مذيّلة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رواية ابن مسكان عن زرارة، وخلت منها معتبرة ابن بكير عن زرارة، فالظاهر من غير واحد دعوى التسالم والاتّفاق على جريان البناء العقلائي والأخذ بأصالة عدم الزيادة، كما يظهر من شيخ الشريعة</w:t>
      </w:r>
      <w:r>
        <w:rPr>
          <w:rStyle w:val="FootnoteAnchor"/>
          <w:rtl w:val="true"/>
        </w:rPr>
        <w:footnoteReference w:id="108"/>
      </w:r>
      <w:r>
        <w:rPr>
          <w:rFonts w:ascii="Amiri" w:hAnsi="Amiri" w:eastAsia="Amiri" w:cs="Amiri"/>
          <w:color w:val="111111"/>
          <w:sz w:val="28"/>
          <w:sz w:val="28"/>
          <w:szCs w:val="28"/>
          <w:rtl w:val="true"/>
          <w:lang w:bidi="ar-SA"/>
        </w:rPr>
        <w:t>، والمحقّق النائيني</w:t>
      </w:r>
      <w:r>
        <w:rPr>
          <w:rStyle w:val="FootnoteAnchor"/>
          <w:rtl w:val="true"/>
        </w:rPr>
        <w:footnoteReference w:id="109"/>
      </w:r>
      <w:r>
        <w:rPr>
          <w:rFonts w:ascii="Amiri" w:hAnsi="Amiri" w:eastAsia="Amiri" w:cs="Amiri"/>
          <w:color w:val="111111"/>
          <w:sz w:val="28"/>
          <w:sz w:val="28"/>
          <w:szCs w:val="28"/>
          <w:rtl w:val="true"/>
          <w:lang w:bidi="ar-SA"/>
        </w:rPr>
        <w:t>، والسيد الأستاذ</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وسيد المنتقى</w:t>
      </w:r>
      <w:r>
        <w:rPr>
          <w:rStyle w:val="FootnoteAnchor"/>
          <w:rtl w:val="true"/>
        </w:rPr>
        <w:footnoteReference w:id="111"/>
      </w:r>
      <w:r>
        <w:rPr>
          <w:rFonts w:ascii="Amiri" w:hAnsi="Amiri" w:eastAsia="Amiri" w:cs="Amiri"/>
          <w:color w:val="111111"/>
          <w:sz w:val="28"/>
          <w:sz w:val="28"/>
          <w:szCs w:val="28"/>
          <w:rtl w:val="true"/>
          <w:lang w:bidi="ar-SA"/>
        </w:rPr>
        <w:t>، قدّس الله أسرارهم، بل عن الكفاية في الدراية</w:t>
      </w:r>
      <w:r>
        <w:rPr>
          <w:rStyle w:val="FootnoteAnchor"/>
          <w:rtl w:val="true"/>
        </w:rPr>
        <w:footnoteReference w:id="112"/>
      </w:r>
      <w:r>
        <w:rPr>
          <w:rFonts w:ascii="Amiri" w:hAnsi="Amiri" w:eastAsia="Amiri" w:cs="Amiri"/>
          <w:color w:val="111111"/>
          <w:sz w:val="28"/>
          <w:sz w:val="28"/>
          <w:szCs w:val="28"/>
          <w:rtl w:val="true"/>
          <w:lang w:bidi="ar-SA"/>
        </w:rPr>
        <w:t>بأنّه محلّ اتّفاق، ولم يختلف فيه أحد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في هذه الدعوى هو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الزيادة تصريح من المتكلّم </w:t>
      </w:r>
    </w:p>
    <w:p>
      <w:pPr>
        <w:pStyle w:val="BookText"/>
        <w:rPr/>
      </w:pPr>
      <w:r>
        <w:rPr>
          <w:rFonts w:ascii="Amiri" w:hAnsi="Amiri" w:eastAsia="Amiri" w:cs="Amiri"/>
          <w:color w:val="111111"/>
          <w:sz w:val="28"/>
          <w:sz w:val="28"/>
          <w:szCs w:val="28"/>
          <w:rtl w:val="true"/>
          <w:lang w:bidi="ar-SA"/>
        </w:rPr>
        <w:t xml:space="preserve">بثبوتها ووجودها في الكلام، فهي بمنزلة النصّ، وهذا بخلافه في جانب النقيصة فهي ظاهرة في عدم وجودها وثبوتها، ومن المعروف والمتسالم عليه في حالة دوران الأمر بين النصّ والظاهر حمل الظاهر على النصّ، ولا أقلّ أنّ الزيادة أظهر في ثبوتها من عدمها، ومن المسلّم بينهم في دوران الأمر بين الأظهر والظاهر هو تقديم الأوّل على الثاني، وبذلك يقدّم جانب عدم الزيادة على عدم النقيصة، ولكنّ هذا إنّما يتمّ فيما إذا كان أصل ثبوت الزيادة محرزاً، وأمّا إذا كان مشكوكاً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الناقل في جانب الزيادة واحداً وفي جانب النقيصة متعدّداً، أو لا أقلّ من تساوي المزية والرجحان في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تقديم أصالة عدم الزيادة؛ وذلك لعدم إحراز بنائهم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الزيادة مقدّمة حتى في حال ضعف احتمال عدم الزيادة، كما هو كذلك في تقديم الصريح والأظهر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نحن فيه لا يندرج في الصورة الأولى، بل إمّا أن يكون مندرجاً في الصورة الثالثة، والظاهر فيها جريان الأصل، فلا وجه للقول بتعدّد الناقل في جانب النقيصة؛ وذلك لأنّ الناقل للزيادة هو ناقل النقيصة، فهو شخص واحد في المقام، وهو زرارة في قضية سمرة بن جندب، وأمّا سائر القضايا الواردة في القاعدة فليست دخيلة في جريان الأصل كما ذكرنا، وإمّا أن تكون الزيادة من الراوي لجواز نقله بالمعنى، فيندرج ما نحن فيه في الصورة الثانية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فالمحتملات تكون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الراوي قد نقل ما صدر من </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بالزيادة والنقيصة والإجمال والتفصيل فتكون كلتاهما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وإمّا أن تكون من الراوي المباشر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زرارة، وإمّا أن تكون من الرواة المتأخّرين، وعلى جميع هذه التقادير فلا إشكال في ذلك فيما إذا كان النقل بنفس الألفاظ الصادرة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إذا كان النقل بالمعنى فكون الزيادة من الرواة المتأخّرين بعيدة جدّاً؛ وذلك لما تقدّم من اقتصار دورهم في ضبط الأخبار وتدوينها وسماعها وقراءتها، فلذا من المستبعد صدور الزيادة والنقيصة في حقّهم في باب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احتمال كون الزيادة من الراوي المباشر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أيضاً بعيد في نفسه؛ وذلك لأنّه عندما يلاحظ متن الحديثين يظهر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كان في مقام التفصيل، وأخرى في مقام الإجمال؛ وذلك لعدم انحصار الزيادة في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بل يظهر لمن راجع الحديثين أنّ هناك عدّة جملٍ زائدة ممّا يضعّف كون الزيادة صادرة من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فرض التسليم بصدور الزيادة من زرارة وليست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النقل بالمعنى فلعلّ صدور هذه الزيادة من زرارة نشأ من فهمه المعتمد على القرائن، وعليه فيكون فهمه 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فالمزية غير متحقّقة في جانب النقيصة، وعليه فيجري الأصل في المقام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كبرى تقديم أصالة عدم الزيادة على عدم </w:t>
      </w:r>
      <w:bookmarkStart w:id="56" w:name="pg8595_75368"/>
    </w:p>
    <w:p>
      <w:pPr>
        <w:pStyle w:val="BookText"/>
        <w:rPr/>
      </w:pPr>
      <w:bookmarkEnd w:id="56"/>
      <w:r>
        <w:rPr>
          <w:rFonts w:ascii="Amiri" w:hAnsi="Amiri" w:eastAsia="Amiri" w:cs="Amiri"/>
          <w:color w:val="111111"/>
          <w:sz w:val="28"/>
          <w:sz w:val="28"/>
          <w:szCs w:val="28"/>
          <w:rtl w:val="true"/>
          <w:lang w:bidi="ar-SA"/>
        </w:rPr>
        <w:t>النقيصة مسلّمة في الجملة بين المحقّقين من الأعلام كما اعترف بذلك شيخ الشريعة</w:t>
      </w:r>
      <w:r>
        <w:rPr>
          <w:rStyle w:val="FootnoteAnchor"/>
          <w:rtl w:val="true"/>
        </w:rPr>
        <w:footnoteReference w:id="113"/>
      </w:r>
      <w:r>
        <w:rPr>
          <w:rFonts w:ascii="Amiri" w:hAnsi="Amiri" w:eastAsia="Amiri" w:cs="Amiri"/>
          <w:color w:val="111111"/>
          <w:sz w:val="28"/>
          <w:sz w:val="28"/>
          <w:szCs w:val="28"/>
          <w:rtl w:val="true"/>
          <w:lang w:bidi="ar-SA"/>
        </w:rPr>
        <w:t>، والمحقّق النائيني</w:t>
      </w:r>
      <w:r>
        <w:rPr>
          <w:rStyle w:val="FootnoteAnchor"/>
          <w:rtl w:val="true"/>
        </w:rPr>
        <w:footnoteReference w:id="114"/>
      </w:r>
      <w:r>
        <w:rPr>
          <w:rFonts w:ascii="Amiri" w:hAnsi="Amiri" w:eastAsia="Amiri" w:cs="Amiri"/>
          <w:color w:val="111111"/>
          <w:sz w:val="28"/>
          <w:sz w:val="28"/>
          <w:szCs w:val="28"/>
          <w:rtl w:val="true"/>
          <w:lang w:bidi="ar-SA"/>
        </w:rPr>
        <w:t>، ويظهر ذلك من السيد الأستاذ</w:t>
      </w:r>
      <w:r>
        <w:rPr>
          <w:rStyle w:val="FootnoteAnchor"/>
          <w:rtl w:val="true"/>
        </w:rPr>
        <w:footnoteReference w:id="115"/>
      </w:r>
      <w:r>
        <w:rPr>
          <w:rFonts w:ascii="Amiri" w:hAnsi="Amiri" w:eastAsia="Amiri" w:cs="Amiri"/>
          <w:color w:val="111111"/>
          <w:sz w:val="28"/>
          <w:sz w:val="28"/>
          <w:szCs w:val="28"/>
          <w:rtl w:val="true"/>
          <w:lang w:bidi="ar-SA"/>
        </w:rPr>
        <w:t>أيضاً، بل عن صاحب الكفاية في الدراية</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مورد للاتّفاق بين أهل الحديث، ولم يستشكل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منطبقة على ما نحن فيه، إلاّ أنّ الإشكال في ثبوت الزيادة بدليل معتبر</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1770866_653776707"/>
      <w:bookmarkStart w:id="58" w:name="_Toc20"/>
      <w:bookmarkEnd w:id="57"/>
      <w:r>
        <w:rPr>
          <w:rtl w:val="true"/>
        </w:rPr>
        <w:t>الجهة الثانية</w:t>
      </w:r>
      <w:r>
        <w:rPr>
          <w:rtl w:val="true"/>
        </w:rPr>
        <w:t xml:space="preserve">: </w:t>
      </w:r>
      <w:r>
        <w:rPr>
          <w:rtl w:val="true"/>
        </w:rPr>
        <w:t>على فرض وجودهما فهل يترتب أثر عليهما؟</w:t>
      </w:r>
      <w:bookmarkEnd w:id="58"/>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يترتّب أثر على ذلك أو لا؟</w:t>
      </w:r>
    </w:p>
    <w:p>
      <w:pPr>
        <w:pStyle w:val="BookText"/>
        <w:rPr/>
      </w:pPr>
      <w:r>
        <w:rPr>
          <w:rFonts w:ascii="Amiri" w:hAnsi="Amiri" w:eastAsia="Amiri" w:cs="Amiri"/>
          <w:color w:val="111111"/>
          <w:sz w:val="28"/>
          <w:sz w:val="28"/>
          <w:szCs w:val="28"/>
          <w:rtl w:val="true"/>
          <w:lang w:bidi="ar-SA"/>
        </w:rPr>
        <w:t>يظهر من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بترتّب الأثر على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الأثر المترتّب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فمضافاً لكونها مؤيّدة لما استظهره من المعنى التركيبي للحديث، وهو نفي الحكم الشرعي الملقى للعباد في الضرر،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أمران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المنفي في الشريعة المقدّسة هو الحكم الذي يلزم من العمل به الضرر على العباد، سواء كان الضرر ابتدائياً أو مجازاة، وعليه فيبعد كون المراد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 النهي التكليفي عن الإضرار بالنفس أو بالغير، ابتداء أو مجازاة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أدلّة الأحكام الأوّلية، تكليفية كانت كحكم الشارع بوجوب الوضوء على مَن لا يجد الماء إلاّ بثمن كثير وكحرمة الترافع إلى حكّام الجور إذا توقّف أخذ الحقّ عليه، أم وضعية كلزوم البيع مع الغبن وسلطنة الناس على أموالهم أو غير ذلك من الأحكام الأوّلية إذا كانت موجبة للضرر، فإنّه بناءً على ذلك يظهر أنّه في مقام الامتنان، ولسان القاعدة لسان الحكومة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الأثر المترتّب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اختصاص حرمة الضرر بالنسبة للغير، وهو المؤمن، فلا يشمل نفي الضرر على النفس والضرر على غير المؤمن من المخالف فضلاً عن الذمّي والمعاهد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ناقش في ذلك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فنفى وجود الأثر في كلا الموردين، وأنّ وجود هاتين الكلمتين وعدمه سيّان، فلا يفرق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بزيادتهما ونقصهما</w:t>
      </w:r>
      <w:r>
        <w:rPr>
          <w:rStyle w:val="FootnoteAnchor"/>
          <w:rtl w:val="true"/>
        </w:rPr>
        <w:footnoteReference w:id="119"/>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عليه كلّ من السيد الأستاذ وسيد المنتقى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استظهار أحد المعنيين من النفي والنهي لا يتوقّف على وجود هذه الكلمة وعدمها، وكذلك حكومة أدلّة القاعدة على أدلّة الأحكام الأوّلية وعدمها؛ وذلك لأنّ الأثرين يدوران مدار استظهار أحد المعنيين، فإذا استظهرنا من بين المحتملات الآتية في معنى الحديث أنّ المراد به هو نفي الحكم الضرري المجعول في الإسلام، فحينئذ يترتّب عليه الحكومة، ويكون احتمال المراد من الحديث هو النهي بعيداً، وأمّا إذا لم نستظهر هذا المعنى فلا يترتّب هذان الأثران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فوجود هذه الكلمة وعدمها سيّان بالنسبة للأثرين؛ وذلك لأنّا نجد ثبوت هذه الكلمة في بعض الموارد، ولكن مع ذلك فإنّ الأثرين غير منفيين،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مناجشة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 تعريف السلعة أو زيادة قيمتها ليرغب إليها المشتري منفيٌّ في الشريعة، والمراد به النهي والحرمة لا نفي الحكم جزماً، وعليه فأين هذا المعنى من الحكومة ورفع الحكم الثابت وضعاً؟ وكذلك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الرهبانية، ولا معنى لحملها على نفي حكمها في الإسلام، وعليه فليست له حكومة ونظر إلى أدلّة ما ليقال بعد ذلك بالحكومة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سيّان في استفادة ما ذكر من الأثرين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يترتّب عليها الأثر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للحكومة وعدمها فلا فرق بين ثبوت هذه الكلمة وعدم ثبوتها؛ وذلك لما ذكرناه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بالنسبة لعدم شمولها لحرمة الإضرار بالنفس والضرر لغير المؤمن من الذمّي والمعاهد،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ثبت من الأدلّة الخاصّة ما يدلّ على احترام أموالهم وأعراضهم، كما ثبت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الإضرار بالنفس محرّم كالإضرار بالغير، فقد ورد عن الكليني بسنده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الجار كالنفس غير مضّار، ولا آثم</w:t>
      </w:r>
      <w:r>
        <w:rPr>
          <w:rFonts w:eastAsia="IRNazanin" w:cs="IRNazanin"/>
          <w:color w:val="111111"/>
          <w:sz w:val="28"/>
          <w:szCs w:val="28"/>
          <w:rtl w:val="true"/>
          <w:lang w:bidi="fa-IR"/>
        </w:rPr>
        <w:t>»</w:t>
      </w:r>
      <w:r>
        <w:rPr>
          <w:rStyle w:val="FootnoteAnchor"/>
          <w:rtl w:val="true"/>
        </w:rPr>
        <w:footnoteReference w:id="121"/>
      </w:r>
      <w:r>
        <w:rPr>
          <w:rFonts w:ascii="Amiri" w:hAnsi="Amiri" w:eastAsia="Amiri" w:cs="Amiri"/>
          <w:color w:val="111111"/>
          <w:sz w:val="28"/>
          <w:sz w:val="28"/>
          <w:szCs w:val="28"/>
          <w:rtl w:val="true"/>
          <w:lang w:bidi="ar-SA"/>
        </w:rPr>
        <w:t>، كما أنّ بعض الإضرار مندرج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وكذلك ثبت حرمة الإضرار بسائر الفرق الإسلامية وأهل الذمّة، وأنّ دماءهم محقونة، وأموالهم وأعراضهم محترمة، ولا يترتّب أثر على وجود هذه الكلمة في ذيل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وجود الأثر المترتّب على ثبوت الكلمتين المذكورتين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 ثبوتها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أريد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أو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مختصّات الشريعة الإسلامية، فتدلّ بمفهومها على نفي الحكم الثابت له في الشرائع السابقة،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نفي الحكم الثابت في القوانين المدنية،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مناجشة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فالنجش كان متداولاً عند العرف، فنفاه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نفي الحكم أو حرمته أنّه حكم امتناني؛ لاختصاصه بالشريعة الإسلامية، وحينئذٍ يكون حاكماً على أدلّة الأحكام الأوّلية، وهذا بخلاف ما لو كان الحديث مجرّداً عن هذه الكلمة، فلا يدلّ على أنّ الحكم المنفي كان ثابتاً في الشرائع السابقة حتى يدلّ على الامتنان، وعلى هذا فثبوت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واضحة على الحكومة، وإن قلنا بعدم توقّف الحكومة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يترتّب على وجودها في ذيل الحديث حرمة الإضرار بالغير فقط، ولا يشمل الإضرار بالنفس وبغير المؤمن، كما يترتّب على عدم ثبوتها حرمة الإضرار مطلقاً، سواء كان بالنفس أو بالغير، وسواء كان الغير مؤمناً أو غير مؤمن، بل وإن كان ذمّياً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استفادة حرمة الإضرار بالنفس بالأدلّة الخاصّة، فهو محلّ خلاف بين الأعلام، فقد ذهب جماعة منهم إلى حرمة الإضرار بالنفس فيما إذا كان مهمّاً ومبغوضاً في الشريعة المقدّسة، كقطع الأعضاء ونحوه، ممّا يعدّ من الإلقاء في التهلكة، وعلى فرض ثبوت الأدلّة الخاصّة على حرمة مطلق الإضرار فلا معنى لكون الحديث حاكماً على الأدلّة الأوّلية، بل يكون شأنه شأن سائر الأحكام الأوّلية، وهذا بخلاف افتراض ثبوت الكلمة المذكورة، فحينئذٍ دلالتها على الامتنان وعلى حكومة الحديث على سائر الأدلّة واضحة، وعلى هذا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سيّان في استفادة </w:t>
      </w:r>
      <w:bookmarkStart w:id="59" w:name="pg8595_75378"/>
    </w:p>
    <w:p>
      <w:pPr>
        <w:pStyle w:val="BookText"/>
        <w:rPr/>
      </w:pPr>
      <w:bookmarkEnd w:id="59"/>
      <w:r>
        <w:rPr>
          <w:rFonts w:ascii="Amiri" w:hAnsi="Amiri" w:eastAsia="Amiri" w:cs="Amiri"/>
          <w:color w:val="111111"/>
          <w:sz w:val="28"/>
          <w:sz w:val="28"/>
          <w:szCs w:val="28"/>
          <w:rtl w:val="true"/>
          <w:lang w:bidi="ar-SA"/>
        </w:rPr>
        <w:t>الأثر على وجود هاتين الكلمتين</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770868_653776707"/>
      <w:bookmarkStart w:id="61" w:name="_Toc21"/>
      <w:bookmarkEnd w:id="60"/>
      <w:r>
        <w:rPr>
          <w:rtl w:val="true"/>
        </w:rPr>
        <w:t>الجهة الثالثة</w:t>
      </w:r>
      <w:r>
        <w:rPr>
          <w:rtl w:val="true"/>
        </w:rPr>
        <w:t xml:space="preserve">: </w:t>
      </w:r>
      <w:r>
        <w:rPr>
          <w:rtl w:val="true"/>
        </w:rPr>
        <w:t xml:space="preserve">إنّ جملة </w:t>
      </w:r>
      <w:r>
        <w:rPr>
          <w:rtl w:val="true"/>
        </w:rPr>
        <w:t>«</w:t>
      </w:r>
      <w:r>
        <w:rPr>
          <w:rtl w:val="true"/>
        </w:rPr>
        <w:t>لا ضرر ولا ضرار</w:t>
      </w:r>
      <w:r>
        <w:rPr>
          <w:rtl w:val="true"/>
        </w:rPr>
        <w:t xml:space="preserve">» </w:t>
      </w:r>
      <w:r>
        <w:rPr>
          <w:rtl w:val="true"/>
        </w:rPr>
        <w:t>هل وقعت مستقلّة، أو في ضمن قضايا؟</w:t>
      </w:r>
      <w:bookmarkEnd w:id="61"/>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وقعت مستقلّة، أو في ضمن قضايا؟</w:t>
      </w:r>
    </w:p>
    <w:p>
      <w:pPr>
        <w:pStyle w:val="BookText"/>
        <w:rPr/>
      </w:pPr>
      <w:r>
        <w:rPr>
          <w:rFonts w:ascii="Amiri" w:hAnsi="Amiri" w:eastAsia="Amiri" w:cs="Amiri"/>
          <w:color w:val="111111"/>
          <w:sz w:val="28"/>
          <w:sz w:val="28"/>
          <w:szCs w:val="28"/>
          <w:rtl w:val="true"/>
          <w:lang w:bidi="ar-SA"/>
        </w:rPr>
        <w:t>فنقول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على عدّة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الجملة مستقلّة في عدّة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الشيخ الصدوق، الأولى في الفقيه</w:t>
      </w:r>
      <w:r>
        <w:rPr>
          <w:rStyle w:val="FootnoteAnchor"/>
          <w:rtl w:val="true"/>
        </w:rPr>
        <w:footnoteReference w:id="123"/>
      </w:r>
      <w:r>
        <w:rPr>
          <w:rFonts w:ascii="Amiri" w:hAnsi="Amiri" w:eastAsia="Amiri" w:cs="Amiri"/>
          <w:color w:val="111111"/>
          <w:sz w:val="28"/>
          <w:sz w:val="28"/>
          <w:szCs w:val="28"/>
          <w:rtl w:val="true"/>
          <w:lang w:bidi="ar-SA"/>
        </w:rPr>
        <w:t>، والأخرى في معاني الأخبار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الشيخ الطوسي في الخلاف في باب خيار الغبن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عوالي اللئالي</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العلاّمة في التذكرة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الجملة المذكورة في ضمن قضية سمرة بن جندب وذيلاً لها، بحيث تكون كبرى لهذه القضية، كما في رواية زرارة وموثّقته، ففي </w:t>
      </w:r>
    </w:p>
    <w:p>
      <w:pPr>
        <w:pStyle w:val="BookText"/>
        <w:rPr/>
      </w:pPr>
      <w:r>
        <w:rPr>
          <w:rFonts w:ascii="Amiri" w:hAnsi="Amiri" w:eastAsia="Amiri" w:cs="Amiri"/>
          <w:color w:val="111111"/>
          <w:sz w:val="28"/>
          <w:sz w:val="28"/>
          <w:szCs w:val="28"/>
          <w:rtl w:val="true"/>
          <w:lang w:bidi="ar-SA"/>
        </w:rPr>
        <w:t xml:space="preserve">كلتا الروايتين وقعت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لقضية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الجملة ذيلاً في روايات، كما في الطائفة الثانية والثالثة، وروايات الشفعة، وروايات منع فضل الماء والكلاء، ولكن وقع الخلاف في كيفية وقوع هذه الجملة في سياق هذا القسم من الروايات، فهل هي في الواقع ذيل لهذه القضايا، أو هي مستقلّة عنها؟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الجمع بين الجملة المذكورة والقضية التي وقعت ذيلاً جمعاً في الرواية، أي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قضائه في الموردين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الجمع في المروي؟ فيكون من الإمام أو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الاحتمالات المتصوّرة في ذلك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الجمع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الجمع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الجمع من الراوي، وهو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الجمع من أصحاب الجوامع الحديثية، حيث جرت سيرتهم على تقطيع الروايات، وجمع ما يرون بينها من ارتباط في المضمون وجعلها في باب خاص</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فبناءً على الاحتمال الأوّل والثاني يكون من الجمع في الرواية، وأمّا بناءً على الاحتمالين الأخيرين فيكون من الجمع في المروي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ويترتّب على هذه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الاحتمال الأوّل والثاني لابدّ من فرض ترابط بين الصدر والذيل، بأن يكون الصدر من صغريات الذيل، وهذا بخلافه على الاحتمالين الأخيرين، فلا يلزم فرض ترابط بينهما؛ لكون الترابط بينهما قائماً على أساس الاجتهاد، إمّا من الراوي، وإمّا من أصحاب الجوامع الحديثية، وهو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أوّل مَن أبدى احتمال استقلالية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الدليل على ذلك هو شيخ الشريعة</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وتبعه فيه جماعة من المحقّقين الأعلام كالمحقّق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والمحقّق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والسيد الأستاذ</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واستدلّوا عليه بجهتين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القرينة الخارجية فقد ذكر شيخ الشريعة في بيانها أمرين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خلال التتبّع والفحص في متون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أقضية معروفة ومشهورة بين الفريقين، وقد روى هذه الأقضية من </w:t>
      </w:r>
    </w:p>
    <w:p>
      <w:pPr>
        <w:pStyle w:val="BookText"/>
        <w:rPr/>
      </w:pPr>
      <w:r>
        <w:rPr>
          <w:rFonts w:ascii="Amiri" w:hAnsi="Amiri" w:eastAsia="Amiri" w:cs="Amiri"/>
          <w:color w:val="111111"/>
          <w:sz w:val="28"/>
          <w:sz w:val="28"/>
          <w:szCs w:val="28"/>
          <w:rtl w:val="true"/>
          <w:lang w:bidi="ar-SA"/>
        </w:rPr>
        <w:t xml:space="preserve">طرق العامّة عبادة بن الصامت، وقد نقل عنه أحمد بن حنبل في مسنده أكثر من عشرين قضاءً، وغالبها مروية في طرقنا برواية عقبة بن خالد، وبعضها برواية غيره، وجملة منها برواية السكوني، والذي أعتقده أنّها كانت مجتمعة في رواية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مختلفة، كما رويت عنه في الكتب الأربعة بسند واحد، وإذا قارنّا بين ما روي في طرقنا وبين ما روي في طرق القوم سنجد التطابق التام بينهما من غير زيادة ولا نقيصة، بل إنّ كثيراً من الأقضية التي نقلها عقبة بن خالد هي عين ما نقله عبادة،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جبّار، والبئر جبّار، والعجماء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 والجبّار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الهدر الذي لا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في الركاز الخمس، وقضى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 النخل للذي أبّرها إلاّ أن يشترط المبتاع،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المملوك لمن باعه إلاّ أن يشترط المبتاع،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الولد للفراش وللعاهر الحجر، وقضى بالشفعة بين الشركاء في الأرضين والدور، وقضى في النخلة أو النخلتين أو الثلاث فيختلفون في حقوق ذلك، فقضى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نخلة من أولئك مبلغ جريدتها حيّز لها، وقضى في شرب النخل من 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الأعلى يشرب قبل الأسفل ويترك الماء إلى الكعبين، ثمّ يرسل الماء إلى الأسفل الذي يليه، فكذلك ينقضي حوائط أو يفنى الماء</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ضرر ولا ضرار،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لعرق ظالم حقّ، وقضى بين أهل المدينة في النخل لا يمنع نقع بئر، وقضى بين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يمنع </w:t>
      </w:r>
    </w:p>
    <w:p>
      <w:pPr>
        <w:pStyle w:val="BookText"/>
        <w:rPr/>
      </w:pPr>
      <w:r>
        <w:rPr>
          <w:rFonts w:ascii="Amiri" w:hAnsi="Amiri" w:eastAsia="Amiri" w:cs="Amiri"/>
          <w:color w:val="111111"/>
          <w:sz w:val="28"/>
          <w:sz w:val="28"/>
          <w:szCs w:val="28"/>
          <w:rtl w:val="true"/>
          <w:lang w:bidi="ar-SA"/>
        </w:rPr>
        <w:t>فضل ماء ليمنع فضل الكلاء، وقضى في دية الكبرى المغلّظة ثلاثين ابنة لبون وثلاثين حقّة وأربعين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الأقضية الواردة من طرقنا والتي غالباً ما تكون مروية عن عقبة بن خالد، فقد جاءت موزّعة على أبواب مختلفة، بعضها عن السكوني، والذي أعتقده أنّها كانت مجتمعة في رواية عقبة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رواية عبادة بن صامت، إلاّ أنّ أئمّة الحديث فرّقوها على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قضايا من طرقنا برواية عقبة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الفقيه بإسناده عن محمّد بن عبد الله بن هلال، عن عقبة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قضاء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جُبّار، والبئر جُبّار، والعجماء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من الأنعام، والجبّار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الهدر الذي لا يغرّم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جُبّار، والعجماء جُبّار، والمعدن جُبّار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الكافي والتهذيب عن محمّد بن يحيى، عن محمّد بن </w:t>
      </w:r>
    </w:p>
    <w:p>
      <w:pPr>
        <w:pStyle w:val="BookText"/>
        <w:rPr/>
      </w:pPr>
      <w:r>
        <w:rPr>
          <w:rFonts w:ascii="Amiri" w:hAnsi="Amiri" w:eastAsia="Amiri" w:cs="Amiri"/>
          <w:color w:val="111111"/>
          <w:sz w:val="28"/>
          <w:sz w:val="28"/>
          <w:szCs w:val="28"/>
          <w:rtl w:val="true"/>
          <w:lang w:bidi="ar-SA"/>
        </w:rPr>
        <w:t>الحسين، عن محمّد بن عبد الله بن هلال، عن عقبة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 النخل للذي أبّرها، إلاّ أن يشترط المبتاع</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الكافي والتهذيب عن محمّد بن يحيى، عن محمّد بن الحسين، عن محمّد بن عبد الله بن هلال، عن عقبة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هوائر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النخلة والنخلتان للرجل في حائط الآخر فيختلفون في حقوق ذلك، فقضى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نخلة من أولئك من الأرض مبلغ جريدة من جرائدها حين بعدها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الكافي والتهذيب أيضاً عن محمّد بن يحيى، عن محمّد بن الحسين، عن محمّد بن عبد الله بن هلال، عن عقبة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شرب النخل بالسيل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الأعلى يشرب قبل الأسفل، ويترك من الماء إلى الكعبين، ثمَّ يسرّح الماء إلى الأسفل الذي يليه كذلك حتى تنقضي الحوائط ويفنى الماء</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فيهما أيضاً عن محمّد بن يحيى، عن محمّد بن الحسين، عن محمّد بن عبد الله بن هلال، عن عقبة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بالشفعة بين الشركاء 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 والسابعة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الكافي عن محمّد بن يحيى، عن محمّد بن الحسين، عن محمّد بن عبد الله بن هلال، عن عقبة بن خالد،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رسول الله بين أهل المدينة في مشارب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يمنع نفع الشيء، وقضى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أهل البادية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يمنع فضل ماء ليمنع به فضل كلاء،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تجد مطابقة الأقضية الواردة برواية عقبة بن خالد من طرقنا للأقضية الواردة برواية عبادة بن الصامت من غير زيادة أو نقيصة، بل بعين تلك الألفاظ غالباً، إلاّ الحديثين الأخيرين المرويين عندنا من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وتلك المطابقة بين الفقرات تؤكّد الوثوق بأنّ الأخيرين أيضاً كانا مطابقين لما رواه عبادة بن الصامت من عدم التذييل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غرض الراوي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كذا وقال كذا، لا أنّه كان متّصلاً به وأسقطهما عبادة بن الصامت في نقله، ولا يتصوّر نفع له أو ضرر عليه في النقل للذيل وتركه؛ لأنّه لا يرتبط بمسألة الإمامة والولاية ليقال ذلك، بل هو من الثقات ومن أجلاّء الشيعة؛ حيث روى الكشّي في ترجمة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w:t>
      </w:r>
    </w:p>
    <w:p>
      <w:pPr>
        <w:pStyle w:val="BookText"/>
        <w:rPr/>
      </w:pPr>
      <w:r>
        <w:rPr>
          <w:rFonts w:ascii="IRNazanin" w:hAnsi="IRNazanin" w:eastAsia="IRNazanin"/>
          <w:color w:val="111111"/>
          <w:sz w:val="28"/>
          <w:sz w:val="28"/>
          <w:szCs w:val="28"/>
          <w:rtl w:val="true"/>
          <w:lang w:bidi="fa-IR"/>
        </w:rPr>
        <w:t>السابقين الذين رجعوا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ابن التيهان، وأبو أيّوب، وخزيمة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وعبادة بن الصامت</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عدّ من النقباء الاثني عشر، ومن الذين شهد العقبة الأولى والثانية، وشهد بدراً وأحداً وخندقاً والمشاهد كلّها، ومن الذين مضوا على منهاج نبيّهم ولم يغيّروا ولم يبدّلوا، فمن عدم ذكر عبادة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في حديثي الشفعة ومنع فضل الماء، وذكره لها قضاءً مستقلاًّ، ومن تطابق الحديثين، يُطمأن بأنّ الجملة المذكورة قضاء مستقلّ، وإنّما وقع الجمع بينهما إمّا من الراوي وهو خالد بن عقبة، أو من أصحاب المجاميع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في حديثي الشفعة ومنع فضل الماء خلوّ روايات عقبة بن خالد من هذه القضية المشهورة والمعروفة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بعيدٌ، 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المذكورة مرويّة بنحو مستقلّ، لا أنّها ذيل لقضية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ضمّ الأمرين لبعضهما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حديثي الشفعة ومنع فضل الماء، وبين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عقبة، إنّما هو من قبيل الجمع في المروي، 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الراوي، أو من أصحاب المجاميع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القرينة الخارجية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القرينة الداخلية؛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مستقلّة، ولم </w:t>
      </w:r>
    </w:p>
    <w:p>
      <w:pPr>
        <w:pStyle w:val="BookText"/>
        <w:rPr/>
      </w:pPr>
      <w:r>
        <w:rPr>
          <w:rFonts w:ascii="Amiri" w:hAnsi="Amiri" w:eastAsia="Amiri" w:cs="Amiri"/>
          <w:color w:val="111111"/>
          <w:sz w:val="28"/>
          <w:sz w:val="28"/>
          <w:szCs w:val="28"/>
          <w:rtl w:val="true"/>
          <w:lang w:bidi="ar-SA"/>
        </w:rPr>
        <w:t>تكن ذيلاً في قضاء الشفعة ومنع فضل الماء، فقد ذكرت نكتتين في كلا القضاءين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قضاء حقّ الشفعة فالنكتة الأولى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تتمّة قضاء حقّ الشفعة، فلابدّ من تصوّر ترابط بينهما، وهو لا يخلو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بلحاظ كون القاعدة علّة لحقّ الشفعة، وإمّا بلحاظ كون القاعدة حكمة لتشريع حقّ الشفعة،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فواضح؛ لأنّ الضرر إذا كان علّة للحكم بثبوت حقّ الشفعة فلابدّ من دوران الحكم مدار العلّة وجوداً وعدماً كما هو في جميع الموارد، والحال أنّه ليس كذلك في مقامنا؛ لأنّ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حقّ الشفعة هي نسبة العموم والخصوص من وجه، فربّما يتضرّر الشريك ولا يثبت له حقّ الشفعة، كما لو كان الشركاء أكثر من اثنين، وقد يثبت حقّ الشفعة من دون أن يتحقّق ضرر على أحد الشريكين، كما لو كان الشريك البائع لحصّته مؤذياً لشريكه الآخر، وكان المشتري ورعاً تقياً محسناً لشريكه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يجتمعان في مورد،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النسبة بينهما هي الأعم والأخص من وجه فليس نفي الضرر علّة لتشريع حقّ الشفعة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كون القاعدة حكمة لتشريعه؛ فلأنّه يعتبر في الحكمة كونها أمراً غالبياً أو كثيرة الموارد، وأمّا وقوعها في الموارد القليلة النادرة فلا يصلح جعل حكم كلّي لها، والمقام كذلك، فإنّه قد يتّفق تضرّر الشريك الآخر وهو ليس بتلك المثابة من الأهمّية بحيث يجعل له حكم كليّ لئلاّ يقع الناس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النكتة الثانية؛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والإغماض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ومفاد القاعدة هو نفي الحكم الضرري، إمّا ابتداءً، وإمّا نفي الحكم بلسان نفي الموضوع، وعلى كل تقدير فلا ينطبق هذا على الضرر في مورد ثبوت حقّ الشفعة؛ لأنّ منشأ الضرر في مورد حقّ الشفعة في حالة بيع أحد الشريكين حصّته لشخص آخر لا يخلو من أحد 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المنشأ نفس البيع، وإمّا من جهة لزوم البيع، وإمّا من جهة جعل حقّ الشفعة لجبران الضرر وتداركه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المرفوع هو أصل البيع، وهذا يعني الحكم ببطلان البيع، وعلى الثاني يكون المرفوع هو اللزوم، وهذا يعني الحكم بثبوت الخيار بأن يردّ المبيع إلى البائع، وعلى الثالث فالمناسب للرفع هو نقل المبيع إلى مالكه، وهو خارج عن مفاد قاعدة الضرر؛ لأنّ المستفاد منها نفي ورفع المنشأ لا إثبات حكم في البين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انطباق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حقّ الشفعة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منع فضل الماء؛ فالنكتة الأولى من جهة عدم الترابط بين المنع عن فضل ماء البئر وبين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المنساق من ظاهر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تمنع طائفة فضل ماء البئر عن طائفة أخرى من شرب مواشيهم لأجل أن يمنعوهم عن الكلاء المباح احتفاظاً به لأنفسهم؛ لأنّ الأنعام لا تستغني عن الماء، بل إذا رعت الكلاء عطشت فتمنعهم الطائفة الأولى ليتوفّر لهم الكلاء، فلا يخلو منع هذه الطائفة من فضل ماء البئر عن أحد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من جهة كونها مالكة للبئر، وإمّا من جهة ثبوت حقّ الأسبقية لها، وعلى كلا التقديرين لا تناسب بين القاعدة وبين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فلعدم صدق الضرر في منع المالك فضل مائه عن الغير، وإنّما هو من قبيل عدم النفع، ومن المعلوم أنّ عدم النفع لا يعدّ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فلعدم صدق الضرر عليه أيضاً؛ وذلك لعدم التنقيص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الإغماض عمّا تقدّم في النكتة الأولى، فإنّ المشهور بل من المتسالم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في مورد حديث منع فضل الماء تنزيهي قطعاً، بلا فرق بين كون مَن بيده منع فضل الماء مالكاً للبئر أو ثبت له حقّ الأسبقية، مع أنّ ظاهر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التحريم، فمن جهة عدم التناسب والتلائم بين الحكمين يقال بعدم الترابط بينهما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من القرائن الخارجية والقرائن الداخلية أنّ حديثي الشفعة ومنع فضل الماء غير مذيّلين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هذه الكبرى وردت مستقلّة، وهي من الأقضية المشهورة، وإنّما كان من الجمع في المروي لا في الرواية، فهو إمّا من الراوي، أو من أصحاب الجوامع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المناقشة فيما ذكر من القرائن الخارجية والداخلية التي أقاموها على أنّ القاعدة ليست ذيلاً للحديثين، وإنّما هي من الجمع في المروي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لنا دعويان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الجمع بين القاعدة وبين حديثي الشفعة ومنع فضل الماء جمع في الرواية من 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من القرائن الخارجية والداخلية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كون القاعدة ذيلاً للحديثين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فإنّ الاحتمالات المتصوّرة في الجمع بين الحديثين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الجمع بينهما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بعيد؛ لأنّه لو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لتكرار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عن الإخبار عن شخص آخر، مع أنّ الصدر والذيل صادران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يبعد أن يكون الجمع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الجمع بينهما من قبل الراوي، وهو بعيد أيضاً؛ وذلك لعدّة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الكبرى ذيلاً في موردين واحتمال زيادتها من الراوي بعيدٌ جداً؛ لأنّ الراوي لو كان مشتبهاً في الجمع لصحّ ذلك في موردٍ واحد، والمفروض أنّ الجمع وقع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في ذيل حديث الشفعة، والآخر في ذيل حديث منع فضل الماء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وسط حديث الشفعة، وليس ذيلاً فيه؛ حيث وردت بهذا النحو،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بالشفعة بين الشركاء </w:t>
      </w:r>
    </w:p>
    <w:p>
      <w:pPr>
        <w:pStyle w:val="BookText"/>
        <w:rPr/>
      </w:pPr>
      <w:r>
        <w:rPr>
          <w:rFonts w:ascii="Amiri" w:hAnsi="Amiri" w:eastAsia="Amiri" w:cs="Amiri"/>
          <w:color w:val="111111"/>
          <w:sz w:val="28"/>
          <w:sz w:val="28"/>
          <w:szCs w:val="28"/>
          <w:rtl w:val="true"/>
          <w:lang w:bidi="ar-SA"/>
        </w:rPr>
        <w:t>في الأرضين والمساكن،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رفّت الأرف وحدّت الحدود فلا شفعة</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الشفعة وقع في رواية عبادة في القضاء الثامن،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القضاء الثامن عشر، فمع هذا الفصل الطويل بينهما كيف جمع الراوي بينهما وجعل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لحديث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الجمع بينهما من قبل أصحاب الجوامع الحديثية، كالكليني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بعيدٌ في نفسه أيضاً؛ وذلك لأنّ المطّلع على سيرتهم في تبويب الأحاديث يجد أنّهم يقطّعون الأحاديث الطويلة فيجعلون كلّ فقرة في بابها المناسب لها، ولم يكن دأبهم وعملهم قائماً على الجمع بين الروايتين بحيث تصبح الأولى صغرى للثانية الكبرى المذكورة في الذيل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كانت هذه الاحتمالات الثلاثة بعيدة فحينئذٍ يتعيّن الاحتمال الرابع منها،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الجمع بينهما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تنبيهاً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الحكم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ينطبق على الشفعة، ولم يكن قضاءً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المناسب للقضاء أن يكون في موضوعٍ وموردٍ، لا أن يكون كلاماً ابتدائياً، ومن ذلك يظهر أنّ التعبير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ورد ذلك في رواية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 ممّا ورد في رواية عبادة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وبناءً على تعيين هذا الاحتمال </w:t>
      </w:r>
    </w:p>
    <w:p>
      <w:pPr>
        <w:pStyle w:val="BookText"/>
        <w:rPr/>
      </w:pPr>
      <w:r>
        <w:rPr>
          <w:rFonts w:ascii="Amiri" w:hAnsi="Amiri" w:eastAsia="Amiri" w:cs="Amiri"/>
          <w:color w:val="111111"/>
          <w:sz w:val="28"/>
          <w:sz w:val="28"/>
          <w:szCs w:val="28"/>
          <w:rtl w:val="true"/>
          <w:lang w:bidi="ar-SA"/>
        </w:rPr>
        <w:t>فلابدّ أن يكون بين الصدر والذيل ترابط وتناسب، كما سنذكره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الدعوى الثانية؛ فإنّ مجموع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والداخلية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ناهضة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القرائن الخارجية؛ فما ذكره في الأولى منها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بعد التروّي والتأمّل التام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الجامع لأقضية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قضى به في مواضع مختلفة وموارد متشتّته كان معروفاً عند الفريقين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عرفت بما نقلناه مطابقة ما روي في طرقنا لما روي في طرق القوم من رواية عبادة بن الصامت من غير زيادة ونقيصة، بل بعين تلك الألفاظ غالباً، إلاّ الحديثين الأخيرين المرويين عندنا من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وتلك المطابقة بين الفقرات، ممّا يؤكد الوثوق بأنّ الأخيرين كانا مطابقين لما رواه عبادة من عدم التذييل بحديث الضرر</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عبادة ليست مشهورة عند العامّة، فلم ترد في أهمّ مصادرهم الحديثية عندهم وهي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وردت في مسند أحمد بن حنبل وغيره من المعاجم الحديثية عندهم والتي لا ترقى في أهمّيتها واعتبارها إلى الصحاح الستّة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ثبتت وثاقة عبادة فلا تجدي في إمكان الاعتماد على حديثه بعد أن كان الراوي عنه إسحاق بن يحيى الذي لم تثبت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يدّعى اشتهار رواية عقبة بن خالد الجامعة لأقضية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لم ترد في الجوامع الحديثية إلاّ في ستّة أو سبعة أقضية، والحال أنّ مجموع الأقضية الواردة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جوامعنا الحديثية أكثر من أربعين قضاءً، كلّها عن غير طريق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بكون رواية عقبة هي الجامعة لأقضية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الخاصّة، لكن لنا أن نتساءل عن وجه جعل رواية عبادة الجامعة لأقضيته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العامّة مرجّحة عليها، والقول بورود الذيل مستقلاًّ، وأنّ وقوعه ذيلاً لحديثي الشفعة ومنع فضل الماء إنّما كان من باب الاشتباه من قبل عقبة، مع أنّ أحاديثنا ورواياتنا أضبط وأدقّ من روايات العامّة؛ لتأخّر تدوين الحديث عندهم عن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يزيد على مائة عام، ممّا يعني اعتماد رواتهم على الحفظ في نقل الروايات، وهذا بطبيعته موجب لنسيان بعض خصوصيات الكلام، مع أنّ هذه العلّة غير متحقّقة في رواياتنا؛ لأنّها متلقّاة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تدوين الكثير من الأصول والكتب والمصنّفات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فلا وجه لتطبيق رواية عقبة على رواية عباد، بل ينبغي العكس</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 منها؛ فقد ذكر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قضية أخرى في رواية عقبة لزم خلوّ رواياته الواردة في الأقضية عن هذا القضاء الذي هو من أشهر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كان تتمّة </w:t>
      </w:r>
    </w:p>
    <w:p>
      <w:pPr>
        <w:pStyle w:val="BookText"/>
        <w:rPr/>
      </w:pPr>
      <w:r>
        <w:rPr>
          <w:rFonts w:ascii="Amiri" w:hAnsi="Amiri" w:eastAsia="Amiri" w:cs="Amiri"/>
          <w:color w:val="111111"/>
          <w:sz w:val="28"/>
          <w:sz w:val="28"/>
          <w:szCs w:val="28"/>
          <w:rtl w:val="true"/>
          <w:lang w:bidi="ar-SA"/>
        </w:rPr>
        <w:t xml:space="preserve">لقضية أخرى لا يصحّ عدّه من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ممّا لا يمكن الالتزام به؛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عرفت من كون هذا القضاء من أشهر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ذكر عقبة لهذا القضاء، غايته لم يصل إلينا من جهة تقطيع أرباب الجوامع الحديثية لهذه الأقضية، وجعل كلّ قضاء في الباب المناسب له، إلاّ أنّ عدم وصوله لنا لا يدلّ على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وصلت إلينا جميع أقضية عقبة وكانت خالية من القضاء المذكور لكان ما ذكر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يظهر عدم تمامية القرينتين الخارجيتين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القرينة الداخلية؛ فالأولى منها هي عدم صلاحية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لحديثي الشفعة ومنع فضل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الالتزام بكونه علّة لثبوت حقّ الشفعة، كما يمكن الجواب عن مادّتي الافتراق بين حقّ الشفعة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يتضرّر الشريك مع عدم ثبوت حقّ الشفعة له، كما لو كان الشركاء أكثر من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مورد للخلاف، وغير مقطوع به في </w:t>
      </w:r>
    </w:p>
    <w:p>
      <w:pPr>
        <w:pStyle w:val="BookText"/>
        <w:rPr/>
      </w:pPr>
      <w:r>
        <w:rPr>
          <w:rFonts w:ascii="Amiri" w:hAnsi="Amiri" w:eastAsia="Amiri" w:cs="Amiri"/>
          <w:color w:val="111111"/>
          <w:sz w:val="28"/>
          <w:sz w:val="28"/>
          <w:szCs w:val="28"/>
          <w:rtl w:val="true"/>
          <w:lang w:bidi="ar-SA"/>
        </w:rPr>
        <w:t>كلماتهم؛ فقد صرّح الشهيد الأوّل في الدروس بعدم ثبوت حقّ الشفعة لأزيد من شريك على الأشهر، ويكاد يكون إجماعاً، وفي مقابل ذلك ذهب جماعة منهم ابن الجنيد والشيخ الصدوق والعلاّمة إلى القول بثبوت حقّ الشعفة وإن كان الشريك أكثر من اثنين، وقد دلّت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بما ذكر فإنّ حقّ الشفعة لم يلحظ بخصوص الشريك متعدّداً وأكثر من اثنين، فلعلّ ثبوت حقّ الشفعة موجب للتخاصم بين بقية الشركاء في إعمال حقّ الشفعة، أو في دفع الثمن للبائع ممّا يوجب عدم وصول حقّه إليه كما يريد، فدفعاً لذلك يقال بعدم ثبوت حقّ الشفعة فيما لو كان الشركاء أكثر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بثبوت حقّ الشفعة فيما لو كان الشريك متعدّداً لا يرفع ضرر الشركة، كما أنّه ليس هو العلّة لثبوت حقّ الشفعة، بل المنفي من قبل الشارع هو الضرر الخاص الذي ترتفع معه أصل الشركة، فتدبّر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 وهو عدم حصول الضرر على الشريك مع ثبوت حقّ الشفعة له، كما لو كان المشتري بارّاً محسناً،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الشركة مع ملاحظة ما يترتّب عليها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عدم جواز التصرّف في مال الشركة إلاّ مع إذن الشريك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ضرري وموجب للنقص، بل إنّ تعامل العرف والعقلاء مع مال الشركة أقلّ من مال غير الشركة، وهذا واضح؛ لأنّ الشركة الأولى غالباً ما تقع برضاهما، وهذا بخلاف الشركة المتجدّدة مع شخص آخر، فالغالب فيها عدم رضا الشريك لها؛ لكونها موجبة لضرره، فلذا </w:t>
      </w:r>
    </w:p>
    <w:p>
      <w:pPr>
        <w:pStyle w:val="BookText"/>
        <w:rPr/>
      </w:pPr>
      <w:r>
        <w:rPr>
          <w:rFonts w:ascii="Amiri" w:hAnsi="Amiri" w:eastAsia="Amiri" w:cs="Amiri"/>
          <w:color w:val="111111"/>
          <w:sz w:val="28"/>
          <w:sz w:val="28"/>
          <w:szCs w:val="28"/>
          <w:rtl w:val="true"/>
          <w:lang w:bidi="ar-SA"/>
        </w:rPr>
        <w:t>لابدّ من ملاحظة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على 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كلمات بعض الفقهاء، أمّا من الخاصّة کما في كلمات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 على العامّة بشمول الشفعة لغير الأرضين بعموم العلّة،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يمكن أن يعارضوا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الشفعة عندكم إنّما وجبت لإزالة الضرر عن الشفيع، وهذا المعنى موجود في جميع المبيعات من الأمتعة والحيوان،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الشفعة إنّما يجب خوفاً من الضرر على طريق الدوام، وهذا المعنى لا يثبت إلاّ في الأرضين والعقارات دون العروض،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الأمتعة ما يبقى على وجه الدهر، مثل بقاء العراص والأرضين كالياقوت وما أشبهه من الحجارة والحديد، فيدوم الاستضرار بالشركة فيه، وأنتم لا توجبون فيه الشفعة، وبعد فإنّ إزالة الضرر الدائم أو المنقطع واجبة في العقل والشرع، وليس وجوب إزالتها مختصّاً بالمستمر دون المنقطع، فلو كان التأذّي بالشركة في العروض منقطعاً على ما ادّعيتم لكانت إزالتها واجبة على كلّ حالٍ</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العامّة؛ فما ورد في كلمات ابن رشد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الشفعة إنّما المقصود منها دفع الضرر الداخل من الشركة، وكان هذا المعنى موجوداً في الجار وجب أن يلحق به، ولأهل المدينة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الضرر في </w:t>
      </w:r>
    </w:p>
    <w:p>
      <w:pPr>
        <w:pStyle w:val="BookText"/>
        <w:rPr/>
      </w:pPr>
      <w:r>
        <w:rPr>
          <w:rFonts w:ascii="Amiri" w:hAnsi="Amiri" w:eastAsia="Amiri" w:cs="Amiri"/>
          <w:color w:val="111111"/>
          <w:sz w:val="28"/>
          <w:sz w:val="28"/>
          <w:szCs w:val="28"/>
          <w:rtl w:val="true"/>
          <w:lang w:bidi="ar-SA"/>
        </w:rPr>
        <w:t>الشركة أعظم منه في الجوار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في مادّتي الافتراق بين حقّ الشفعة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صلاحية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تكون حكمة لتشريع الشفعة، فممنوع؛ لأنّ إعمال الحقّ ليس إلزاميّاً على الشريك، بل هو بالخيار بين إعماله، وذلك فيما لو رأى ورود الضرر عليه مع تمكّنه من أداء الثمن من دون زيادة ولا نقيصة، وبين عدم إعماله للحقّ، وذلك فيما لو لم يرد عليه ضرر من الشركة مع عدم تمكّنه من أداء الثمن، وفي جميع ذلك يرجع الأمر إلى تشخيصه وما يراه من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القرينة الأولى، وقد تبيّن عدم تماميتها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فيما لو كان الضرر هو المنشأ لثبوت حقّ الشفعة، فنفي الضرر إمّا يوجب الحكم ببطلان أصل البيع، وإمّا يوجب كونه جائزاً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غير تامّة أيضاً؛ وذلك لعدم اختصاص موضوع الضرر بخصوص الشريك غير البائع حتى يرد ما ذكر، بل هو شامل للشريك البائع أيضاً، وذلك فيما لو اضطرّ لبيع حصّته، فالحكم حينئذٍ ببطلان أصل البيع أو القول بعدم لزومه موجب لضرره، فالقول بثبوت حقّ الشفعة للشريك غير البائع إنّما هو من باب الجمع بين الحقّين في عدم تضرّر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هذا يمكن تصوير الارتباط بين حقّ الشفعة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منع فضل الماء؛ فقد نقله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عن محمّد بن يحيى، عن محمّد بن الحسين، عن محمّد بن عبد الله بن هلال، عن عقبة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المدينة في مشارب النخيل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يمنع نقع البئر، 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فضل ماء ليمنع به فضل كلاءٍ،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إلاّ إنّ المحدّث الفيض 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 التي رأيناها من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تصحيف، ويؤيّد ذلك ما ورد في النهاية لابن الأثير حيث قال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يُمنَع نقع البئر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مائها؛ لأنّه ينقع به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يروي، وشَرِب حتى 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النَّاقع، وهو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نَقْعُ البئر، ولا رهو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أراد 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المحدّث المذكور في بيان تعليل النهي عن منع فضل الماء لمنع فضل الكلاء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طائفة منهم كانوا على الماء وأخرى على الكلاء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أنّ أصحاب الماء لو منعوا فضل مائهم منعهم الله فضل </w:t>
      </w:r>
    </w:p>
    <w:p>
      <w:pPr>
        <w:pStyle w:val="BookText"/>
        <w:rPr/>
      </w:pPr>
      <w:r>
        <w:rPr>
          <w:rFonts w:ascii="Amiri" w:hAnsi="Amiri" w:eastAsia="Amiri" w:cs="Amiri"/>
          <w:color w:val="111111"/>
          <w:sz w:val="28"/>
          <w:sz w:val="28"/>
          <w:szCs w:val="28"/>
          <w:rtl w:val="true"/>
          <w:lang w:bidi="ar-SA"/>
        </w:rPr>
        <w:t>الكلاء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بعضهم يمنع فضل الماء من مواشي المسلمين حتى لا يأكل مواشيهم العشب والكلاء الذي حول مائه، فنهى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المنع؛ لأنّه لو منع لم ينزل حول بئره أحد، فحرّموا الكلاء المباح حينئذٍ</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الاحتمال الأخير ما رواه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الفقيه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البوادي أن لا يمنعوا فضل ماءٍ، ولا يبيعوا فضل الكلإ</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تبيّن المراد من حديث منع فضل الماء فحينئذٍ يمكن الإجابة عن القرائن الخارجية والداخلية الدالّة على عدم ارتباط الحديث المذكور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عن القرينة الخارجية؛ فهو كما ذكرناه في الجواب عن حديث الشفعة، غاية ما في الأمر أنّ المورد هنا يمتاز بوجود مرجّح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للحديث، كما يوجد في قباله أيضاً مبعّد لعدم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ذيلاً للحديث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المرجّح؛ فإنّ الذيل قد ورد في عدّة من الموارد معطوفاً بالفاء، كما في الوسائل والوافي والعوائد والرسائل، وإن ورد في موارد أخر معطوفاً بالواو </w:t>
      </w:r>
    </w:p>
    <w:p>
      <w:pPr>
        <w:pStyle w:val="BookText"/>
        <w:rPr/>
      </w:pPr>
      <w:r>
        <w:rPr>
          <w:rFonts w:ascii="Amiri" w:hAnsi="Amiri" w:eastAsia="Amiri" w:cs="Amiri"/>
          <w:color w:val="111111"/>
          <w:sz w:val="28"/>
          <w:sz w:val="28"/>
          <w:szCs w:val="28"/>
          <w:rtl w:val="true"/>
          <w:lang w:bidi="ar-SA"/>
        </w:rPr>
        <w:t>أيضاً، كما في الكافي والمرآة والجامع، فعلى احتمال الصحّة يكون هذا الوجه مرجّحاً احتمالياً للقول بالارتباط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المبعّد؛ فلأنّ الحديث مضافاً إلى وروده من طرق العامّة خالياً من الذيل كذلك قد ورد في الفقيه بلا تذييل، فعن الشيخ الصدوق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يمنعوا فضل ماءٍ، ولا يبيعوا فضل كلإ</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ما ورد عن ابن أبي جمهور في درر اللآلئ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منع فضل الماء ليمنع به الكلأ منعه الله فضل رحمته يوم القيامة</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يقوى احتمال الارتباط بين منع فضل الماء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 يؤخذ برواية الكافي لأنّها الحجّة في المقام، مضافاً إلى أنّ الصدوق قد ينقل بعض فقرات الخبر ويترك بعضها لكونها موافقة لفتواه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القرائن الداخلية؛ فيمكن الجواب عن الأولى منها بلحاظ التفصيل الوارد في الرواية بين أهل المدينة وبين أهل البادية؛ لأنّ المراد من أهل المدينة هم المستقرّون في مكان معيّن، كما أنّ المراد من أهل البادية هم المتنقّلون من مكان لآخر طلباً للماء والعشب، ويطلق عليهم أيضاً بالأعراب الرحّل، وعلى هذا ففرض كون أهل البادية مالكين لهذه الآبار الواقعة في </w:t>
      </w:r>
    </w:p>
    <w:p>
      <w:pPr>
        <w:pStyle w:val="BookText"/>
        <w:rPr/>
      </w:pPr>
      <w:r>
        <w:rPr>
          <w:rFonts w:ascii="Amiri" w:hAnsi="Amiri" w:eastAsia="Amiri" w:cs="Amiri"/>
          <w:color w:val="111111"/>
          <w:sz w:val="28"/>
          <w:sz w:val="28"/>
          <w:szCs w:val="28"/>
          <w:rtl w:val="true"/>
          <w:lang w:bidi="ar-SA"/>
        </w:rPr>
        <w:t>البادية فرضٌ نادرٌ، بل إمّا أن تكون هذه الآبار من المباحات الأصلية، وإمّا أن تكون من الموقوفات المحدَثة لانتفاع عموم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وردت طائفة من أهل البادية على بئر من الآبار فلا إشكال بأنّ لهم حقّ الانتفاع منها لسقيهم وسقي دوابّهم، وأمّا الزائد فهل يجوز لهم منع فضل الماء عن الغير في الاستفادة منه أو لا؟</w:t>
      </w:r>
    </w:p>
    <w:p>
      <w:pPr>
        <w:pStyle w:val="BookText"/>
        <w:rPr/>
      </w:pPr>
      <w:r>
        <w:rPr>
          <w:rFonts w:ascii="Amiri" w:hAnsi="Amiri" w:eastAsia="Amiri" w:cs="Amiri"/>
          <w:color w:val="111111"/>
          <w:sz w:val="28"/>
          <w:sz w:val="28"/>
          <w:szCs w:val="28"/>
          <w:rtl w:val="true"/>
          <w:lang w:bidi="ar-SA"/>
        </w:rPr>
        <w:t>الظاهر عدم الجواز؛ وذلك لما ذكرناه من كون هذه الآبار إمّا من المباحات الأصلية، وإمّا لكونها من الموقوفات المعدّة لانتفاع عموم الناس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حقّ السبق في الاستفادة منها كما هو مقتضى القاعدة في الانتفاع بالمباحات الأصلية والموقوفات العامّة، إلاّ إنّ ذلك لا يبرّر منع الغير عمّا فضل من استفادته،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منعه للماء لا لحاجة به إلى الماء، بل حيلة منهم ليتوفّر لهم فضل الكلاء، وعلى هذا يكون المنع موافقاً ومطابقاً 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لصدق الضرر في المنع من سقيهم وسقي مواشيهم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اختصاص المنع بذلك وعدم شموله لسقي الزرع إنّما هو من باب السالبة بانتفاء الموضوع؛ حيث إنّ سيرة أهل البادية وعادتهم على التنقّل والترحال من مكان لآخر طلباً للعشب والماء وعدم اتّخاذهم الزراعة مهنة وحرفة لهم، وعليه فلا معنى للقول بعدم الوجه باختصاصه بما ذكر، ومنه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الفقهاء المنع بسقيهم وسقي مواشيهم لا لأجل استفادتهم ذلك من الرواية المذكوره، بل استفادوه من روايات أخرى لا حاجة لذكرها هذا، مضافاً إلى أنّ المسألة وقع فيها الخلاف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هذا كلّه يتبيّن وجود الربط بين حديث منع فضل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كبرى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دعوى كون النهي في حديث منع فضل الماء تنزيهياً قطعاً، فلا يناسب تذييله بكبرى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فغير تامّة؛ وذلك لأنّ المسألة فيها خلاف بين فقهاء الخاصّة أنفسهم، كما هي مورد خلاف بين فقهاء العامّة، فقد ذهب جماعة من الخاصّة إلى عدم الجواز، كما نسب إلى ابن الجنيد، ويظهر أيضاً من الشيخ في الخلاف؛ حيث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البئر بالإحياء وخرج ماؤها فهو أحقّ بمائها من غيره بقدر حاجته وحاجة ماشيته، وما يفضل عن ذلك يجب عليه بذله لغيره لحاجته إليه للشرب له أو لماشيته، ولا يجب عليه بذله لسقي زرعه، بل يستحبّ له ذلك، وبه قال الشافعي، وقال أبو عبيد بن حربويه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ذلك لسقي غيره وسقي مواشيه وسقي زرعه، ولا يجب على حال، وفي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بذله بلا عوض</w:t>
      </w:r>
      <w:r>
        <w:rPr>
          <w:rStyle w:val="FootnoteAnchor"/>
          <w:rtl w:val="true"/>
        </w:rPr>
        <w:footnoteReference w:id="150"/>
      </w:r>
      <w:r>
        <w:rPr>
          <w:rFonts w:ascii="Amiri" w:hAnsi="Amiri" w:eastAsia="Amiri" w:cs="Amiri"/>
          <w:color w:val="111111"/>
          <w:sz w:val="28"/>
          <w:sz w:val="28"/>
          <w:szCs w:val="28"/>
          <w:rtl w:val="true"/>
          <w:lang w:bidi="ar-SA"/>
        </w:rPr>
        <w:t>، فيظهر منه القول بوجوب بذل ما يفضل عن حاجته وحاجة ماشيته، كما أنّ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كلام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الجنيد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فمن مجموع ما نقلناه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خلافيّة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فيما لو كان البئر مملوكاً للمانع، فضلاً عمّا إذا لم يكن مالكاً له، فلا يجوز له المنع حينئذٍ بطريق أولى عن فضل ماء البئر وفضل الكلأ كما هو صريح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القرائن الخارجية والداخلية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كون 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لحديثي الشفعة ومنع فضل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ناهضة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قيام الدليل على أنّ الجمع بينهما كان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الثالث</w:t>
      </w:r>
      <w:r>
        <w:rPr>
          <w:rFonts w:eastAsia="Amiri" w:cs="Amiri" w:ascii="Amiri" w:hAnsi="Amiri"/>
          <w:color w:val="111111"/>
          <w:sz w:val="28"/>
          <w:szCs w:val="28"/>
          <w:rtl w:val="true"/>
          <w:lang w:bidi="ar-SA"/>
        </w:rPr>
        <w:t xml:space="preserve">. </w:t>
      </w:r>
      <w:bookmarkStart w:id="62" w:name="pg8595_75427"/>
    </w:p>
    <w:p>
      <w:pPr>
        <w:pStyle w:val="Heading2"/>
        <w:numPr>
          <w:ilvl w:val="1"/>
          <w:numId w:val="1"/>
        </w:numPr>
        <w:rPr/>
      </w:pPr>
      <w:bookmarkStart w:id="63" w:name="__RefHeading___Toc1770870_653776707"/>
      <w:bookmarkStart w:id="64" w:name="_Toc22"/>
      <w:bookmarkEnd w:id="62"/>
      <w:bookmarkEnd w:id="63"/>
      <w:r>
        <w:rPr>
          <w:rtl w:val="true"/>
        </w:rPr>
        <w:t>المقام الرابع</w:t>
      </w:r>
      <w:r>
        <w:rPr>
          <w:rtl w:val="true"/>
        </w:rPr>
        <w:t xml:space="preserve">: </w:t>
      </w:r>
      <w:r>
        <w:rPr>
          <w:rtl w:val="true"/>
        </w:rPr>
        <w:t>في فقه الحديث</w:t>
      </w:r>
      <w:bookmarkEnd w:id="64"/>
    </w:p>
    <w:p>
      <w:pPr>
        <w:pStyle w:val="Heading3"/>
        <w:numPr>
          <w:ilvl w:val="2"/>
          <w:numId w:val="1"/>
        </w:numPr>
        <w:rPr/>
      </w:pPr>
      <w:bookmarkStart w:id="65" w:name="__RefHeading___Toc1770872_653776707"/>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والبحث يقع حول جهتين</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770874_653776707"/>
      <w:bookmarkStart w:id="68" w:name="_Toc24"/>
      <w:bookmarkEnd w:id="67"/>
      <w:r>
        <w:rPr>
          <w:rtl w:val="true"/>
        </w:rPr>
        <w:t>الجهة الأولى</w:t>
      </w:r>
      <w:r>
        <w:rPr>
          <w:rtl w:val="true"/>
        </w:rPr>
        <w:t xml:space="preserve">: </w:t>
      </w:r>
      <w:r>
        <w:rPr>
          <w:rtl w:val="true"/>
        </w:rPr>
        <w:t>في مدلول مفردات الحديث</w:t>
      </w:r>
      <w:r>
        <w:rPr>
          <w:rtl w:val="true"/>
        </w:rPr>
        <w:t>.</w:t>
      </w:r>
      <w:bookmarkEnd w:id="68"/>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الجهة الأولى؛ فالكلام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الضرر، وهو 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 يضرّ،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المعاجم اللغويّة لهذه المادّة معانٍ عديدة، فقد وردت بمعنى الحاجة، والمشقّة، والنقص، وسوء الحال، والزَّمِن، والعلّة، والضيق، والشدّة في البدن، والمكروه، والعمى، والهزال، والقحط، والإيذاء، والفقر، وغيرها من المعاني المذكورة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يمكن إرجاعها إلى معنى واحد جامع، وهو النقص، فتكون المعاني التي ذكرها أرباب المعاجم من مصاديق هذا الجامع، وهو النقص، والمراد به كلّ نقص واردٍ على النفس أو المال أو الحقّ الثابت له اعتباراً، سواء من العقلاء أو الشارع، كما في قضية سمرة حيث لم يراع حقّ الأنصاري، ولذلك أطلق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ابن منظور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أسماء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الضّارُّ، وهو الذي ينفع مَن يشاء من خلقه ويضرّه، حيث هو خالق الأشياء كلّها، خيرها وشرّها، ونفعها وضرّها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والضُّرّ لغتان ضدّ النفع، الضرّ المصدر، والضُّرّ الاسم،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لغتان كالشَّهد </w:t>
      </w:r>
    </w:p>
    <w:p>
      <w:pPr>
        <w:pStyle w:val="BookText"/>
        <w:rPr/>
      </w:pPr>
      <w:r>
        <w:rPr>
          <w:rFonts w:ascii="Amiri" w:hAnsi="Amiri" w:eastAsia="Amiri" w:cs="Amiri"/>
          <w:color w:val="111111"/>
          <w:sz w:val="28"/>
          <w:sz w:val="28"/>
          <w:szCs w:val="28"/>
          <w:rtl w:val="true"/>
          <w:lang w:bidi="ar-SA"/>
        </w:rPr>
        <w:t>والشُّهْد، فإذا جمعت بين الضَّرّ والنفع فتحت الضاد، وإذا أفردت الضُّرّ ضممت الضاد إذا لم تجعله مصدراً،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ضَرَرْتُ ضَرّاً؛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الدُّقيش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ضدّ النفع، والضُّرّ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 وسوء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الإنسان الضُّرُّ دعانا لجنبه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يدعنا إلى ضُرّ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 ما كان من سوء حال وفقر أو شدّة في بدن فهو ضرّ، وما كان ضدّاً للنفع فهو ضَرّ،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يضرّكم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الضَّرر، وهو ضدّ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المنفعة، وضَرَّهُ يَضُرّه ضَرّاً وضَرَّ به وأضرَّ به وضَارَّهُ مُضَارَّةً وضراراً بمعنى، والاسم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النهاية لابن الأثير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النفع، ضَرَّه يَضُرُّه ضَرّاً وضِراراً وأضرّ به يُضِرُّ إضراراً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الرجلُ أخاه فَينَقصُه شيئاً من حقّه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إضراراً، الثلاثي متعدّ، والرباعي متعدّ بالباء،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الرجل أخاه فينقصه شيئاً من حقّه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مجموع كلمات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اختلاف </w:t>
      </w:r>
    </w:p>
    <w:p>
      <w:pPr>
        <w:pStyle w:val="BookText"/>
        <w:rPr/>
      </w:pPr>
      <w:r>
        <w:rPr>
          <w:rFonts w:ascii="Amiri" w:hAnsi="Amiri" w:eastAsia="Amiri" w:cs="Amiri"/>
          <w:color w:val="111111"/>
          <w:sz w:val="28"/>
          <w:sz w:val="28"/>
          <w:szCs w:val="28"/>
          <w:rtl w:val="true"/>
          <w:lang w:bidi="ar-SA"/>
        </w:rPr>
        <w:t xml:space="preserve">مشتقّاتها وموارد استعمالاتها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معنى واحد عام جامع، وهو النقص، سواء كان في المال، أو البدن، أو في حقّ من الحقوق الثابتة عند العقلاء، أو عند الشرع كما في قضية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فهل النقص شامل لما لو كان المقتضي للنفع وشرطه تامّاً، بحيث كان في معرض الوصول للنفع فمنع من تحقّقه، كما لو كان لشخصٍ دكّان في نوع من الكسب وكان مقدار بيعه كثيراً ففتح شخص آخر دكّاناً قريباً منه في نفس النوع من الكسب ممّا أدّى ذلك إلى قلّة الشراء من الأوّل، فهل يُعدّ ذلك ضرراً؟ الظاهر من الإطلاقات العرفيّة صدق الضرر عليه، كما ذكر ذلك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هل هو مشمول لدليل نفي الضرر؟ وهل النقص يشمل النفع الاستعدادي أو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الضرر هو النقص الفعلي في النفع، وشموله للاستعدادي مشكل جدّاً، فهو مورد للشكّ، فيكون شكّاً في التكليف الزائد، ومقتضى الأصل عدمه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مصدر، إمّا لثلاثي مجرّد كحساب وكتاب، وإمّا لمزيد فيه من باب المفاعلة كما يظهر ذلك ممّا تقدّم في كلمات أرباب المعاجم اللغوية، وعلى كلّ تقدير فهذه المادّة تشترك مع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يدلاّن على النقص وعلى المعنى الحدثي، وتختلف هذه المادّة من حيث إنّها فيها نسبة صدورية، وهذا على خلاف اسم المصدر، فإنّه يدلّ على نفس الحدث، وهذا لا كلام فيه، وإنّما البحث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w:t>
      </w:r>
    </w:p>
    <w:p>
      <w:pPr>
        <w:pStyle w:val="BookText"/>
        <w:rPr/>
      </w:pPr>
      <w:r>
        <w:rPr>
          <w:rFonts w:ascii="Amiri" w:hAnsi="Amiri" w:eastAsia="Amiri" w:cs="Amiri"/>
          <w:color w:val="111111"/>
          <w:sz w:val="28"/>
          <w:sz w:val="28"/>
          <w:szCs w:val="28"/>
          <w:rtl w:val="true"/>
          <w:lang w:bidi="ar-SA"/>
        </w:rPr>
        <w:t xml:space="preserve">متّحدة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المعنى، أو هي مختلفة من جهة الخصوصيات الناشئة من الهيئة؟ فيه أقوال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المشاركة، كما هو الأصل في 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الجزاء، فالضرر فعل ابتداءً، والضرار هو المجازاة على ذلك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ما يُضرّ به المفعول وينتفع به الفاعل، والضرار أن تضرّ به المفعول من دون أن ينتفع به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الثلاثة مستفادة من كلمات اللغويين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الضرار بمعنى السعي والتصدّي للإضرار مع عدم الوصول إليه، وهذا بخلاف الضرر فإنّه مع الإيصال،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 وَمَا يَخْدَعُونَ إِلاَّ أَنْفُسَهُمْ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يسعون ويتصدّون لإيجاد الخدعة، ولكن لا تقع خدعتهم على الله والمؤمنين، بل تقع على أنفسهم، وعليه فقد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السعي لإيجاد الخدعة مع عدم وقوعها، ومن هنا عبّر في الجملة الثانية بهيئة الفعل المجرّد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وقوع الخدعة على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 أَنْفُسَهُمْ وَأَمْوَالَهُمْ بِأَنَّ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يُقَاتِلُونَ فِي سَبِيلِ اللهِ فَيَقْتُلُونَ وَيُقْتَلُونَ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حيث 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 والتصدّي لإيجاد القتل، ومن هنا عبّر في الجملة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فيقتلون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القتل</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الضرار بمعنى الضرر، ولا فرق بينهما، وإنّما جيء به للتأكيد فقط</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قريباً المحقّق النائني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الضرار بمعنى تعمّد الضرر والإصرار عليه، فإنّ أغلب استعمال اسم الفاعل من باب المفاعلة هو أن يكون صدور المبدأ نعتاً ووصفاً للفاعل،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محارب، أو مماطل، أو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مُجَاهِدِينَ عَلَى الْقَاعِدِينَ</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يَخْرُجْ مِنْ بَيْتِهِ مُهَاجِراً</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 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وَعِمَارَةَ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حَرَامِ كَمَنْ آمَنَ بِاللهِ وَالْيَوْمِ الآخِرِ وَجَاهَدَ فِي سَبِيلِ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فكأنّ الإصرار على الإضرار صار بمنزلة صدور الفعل بين الاثنين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الرضي الاسترآبادي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باب المفاعلة هو معنى المجرّد، ولكن بنحو من الطول والامتداد، وهو الامتداد في نسبتها بين اثنين، فمعنى هاجر وطالب وسافر،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الهجرة، وأطال الطلب، وأطال السفر، وهو يختلف عن هجر وطلب وسفر التي تدلّ على مجرّد المادّة من دون طول وامتداد فيه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بعض السادة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تفصيل لما نسب إلى المحقّق الرضي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هذه الهيئة تدلّ على نسبة مستتبعة لنسبة أخرى بالفعل أو بالقوّة، وهو يختلف باختلاف الموارد، فتارة تكون النسبة الثانية كالأولى صادرة من نفس هذا الفاعل، وأخرى من المفعول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فيعبّر عن المعنى بالمشاركة، وفي الحالة الأولى تارة يكون تعدّد المعنى من قبيل الكمّ المنفصل، فيعبّر عنه بالمبالغة كما ذكره المحقّق الرضي الاسترآبادي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يعبّر عنه بالامتداد، وقد يكون المعنى من قبيل الكمّ المتّصل، فيكون تكرّره بلحاظ انحلاله إلى أفراد متتالية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وما نحن فيه من قبيل الثاني؛ فإنّ إصرار سمرة على إيقاع الضرر على الأنصاري </w:t>
      </w:r>
    </w:p>
    <w:p>
      <w:pPr>
        <w:pStyle w:val="BookText"/>
        <w:rPr/>
      </w:pPr>
      <w:r>
        <w:rPr>
          <w:rFonts w:ascii="Amiri" w:hAnsi="Amiri" w:eastAsia="Amiri" w:cs="Amiri"/>
          <w:color w:val="111111"/>
          <w:sz w:val="28"/>
          <w:sz w:val="28"/>
          <w:szCs w:val="28"/>
          <w:rtl w:val="true"/>
          <w:lang w:bidi="ar-SA"/>
        </w:rPr>
        <w:t>بمنزلة التكرار والاستمرار</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المعاني الثلاثة الأخيرة، وهي السادس، والسابع، والثامن، ترجع إلى معنى واحد، ولكن بتقريبات مختلفة، كما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أعاظم العصر، من أنّ الضرار بمعنى التضييق وإيصال الحرج والمكروه والكلفة إلى الغير، فإنّ استعمالها في ذلك شائع ومعروف، بل الظاهر غلبته فيها؛ فإنّ غالب استعمال هذا الباب في القرآن الكريم إنّما يكون بهذه المعاني،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 وَلا مَوْلُودٌ لَهُ بِوَلَدِهِ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بذلك، فعن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يمتنع من جماع المرأة فيضارّ بها إذا كان لها ولد مرضع، ويقول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أقرَبُك، فإنّي أخاف عليك الحبل فتقتلي ولدي، وكذلك المرأة لا يحلّ لها أن تمتنع على الرجل،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أخاف أن أحبل، فأقتل ولدي، وهذه المضارّة في الجماع على الرجل والمرأة</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الأقوال التسعة في هذه الهيئة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نسب إلى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w:t>
      </w:r>
    </w:p>
    <w:p>
      <w:pPr>
        <w:pStyle w:val="BookText"/>
        <w:rPr/>
      </w:pPr>
      <w:r>
        <w:rPr>
          <w:rFonts w:ascii="Amiri" w:hAnsi="Amiri" w:eastAsia="Amiri" w:cs="Amiri"/>
          <w:color w:val="111111"/>
          <w:sz w:val="28"/>
          <w:sz w:val="28"/>
          <w:szCs w:val="28"/>
          <w:rtl w:val="true"/>
          <w:lang w:bidi="ar-SA"/>
        </w:rPr>
        <w:t xml:space="preserve">الضرار بمعنى التصدّي للإضرار، سواء وقع الفعل أو 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من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إلاّ إنّ المستفاد من كلام المحقّق الأصفهاني في نهاية الدراية أنّه مقيّد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فلأجل أن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 صحّة ما نسب إليه لا بأس بنقل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يشتمل على لطائف ونكات،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الأصل في باب المفاعلة أن يكون بين فعل الاثنين كما هو المشهور، إلاّ إنّ ذلك لا أصل له؛ وذلك لوجهين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الاستعمالات اللغوية، وأنّه قد تتبّعنا موارد استعمالات هذه الصيغة في الاستعمالات الصحيحة الفصيحة القرآنية وغيرها فإنّ فيها ما لا يصحّ فيه ذلك، وفيها ما لا يراد منه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وَالَّذِينَ آمَنُوا</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يُرَاءُونَ</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نَادَيْنَاهُ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 ضِرَاراً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تُمْسِكُوهُنَّ </w:t>
      </w:r>
    </w:p>
    <w:p>
      <w:pPr>
        <w:pStyle w:val="BookText"/>
        <w:rPr/>
      </w:pP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تُؤَاخِذْنِي</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 بالعقوبة، وبارزه بالحرب، وباشر الحرب، وساعده التوفيق، وخالع المرأة، وواراه في الأرض، ففي جميع هذه الموارد الصيغة إمّا إنّها غير مستعملة بين اثنين، وإمّا لا يراد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استعمال باب المفاعلة هو أن يكون بين طرفين كما عن المحقّق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وهو أن يقال بالفرق بين المفاعلَة والتفاعل بعد الاشتراك في التقوّم بفعل الاثنين بالانتساب إليهما، بالصراحة وبالأصالة في الثاني، وبالأصالة إلى أحدهما والتبعية إلى الآخر في الأوّل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غير معقول،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هيئة لا تكون موضوعة إلاّ بإزاء نسبة خاصّة من النسب، فليس مفاد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ضرب زيد عمراً، ونسبة ضرب عمرو زيداً، بل ضرب كلّ منهما الآخر، لوحظ نسبة واحدة بينهما، وعلى نهج مادّة واحدة إلى طرفين يعبّر عنها في الفارسية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 زدن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فزيد وعمرو طرفا هذه النسبة الوحدانيّة، وعليه فمفاد ضارب زيد عمراً إن كان هذه النسبة الخاصّة فلا فرق بينهما وبين تضارب زيد وعمرو، فما وجه </w:t>
      </w:r>
    </w:p>
    <w:p>
      <w:pPr>
        <w:pStyle w:val="BookText"/>
        <w:rPr/>
      </w:pPr>
      <w:r>
        <w:rPr>
          <w:rFonts w:ascii="Amiri" w:hAnsi="Amiri" w:eastAsia="Amiri" w:cs="Amiri"/>
          <w:color w:val="111111"/>
          <w:sz w:val="28"/>
          <w:sz w:val="28"/>
          <w:szCs w:val="28"/>
          <w:rtl w:val="true"/>
          <w:lang w:bidi="ar-SA"/>
        </w:rPr>
        <w:t>انتساب المادّة إلى طرفيها كما في تضارب زيد وعمرو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فالتبعية إمّا ثبوتاً وإمّا اثباتاً، وكلاهما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ثبوتاً؛ فيلزم منه تعدّد النسبة حتى تكون إحداهما أصلية والأخرى تبعية، لا أنّ النسبة الواحدة متقوّمة باثنين؛ لعدم تعقّل الأصالة والتبعية ثبوتاً مع وحدة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إثباتاً؛ فإنّ التبعية في الدلالة فرع التبعية في المدلول كتبعية المدلول الالتزامي للمدلول المطابقي، فليس ضرب عمرو زيداً تابعاً لضرب زيد عمراً ثبوتاً حتى تنحلّ النسبة الخاصّة إلى نسبتين إحداهما لازمة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جميع التقادير لا يوجد دليل على انحلال النسبة الواحدة إلى عدّة نسب إحداهما أصلية والأخرى تبعية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الفرق بين باب المفاعلة كضارب زيدٌ عمراً، وبين الثلاثي المجرّد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الفعل الثلاثي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بنفسه لازماً أو بنفسه متعدّياً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يتعدّى إلى شخص آخر إلاّ بتوسّط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هيئة المفاعلة فإنّ حيثية التعدية ملحوظة بالأداة، أو ملحوظة في هيئة المفاعلة بنفسها،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عمراً، أو خدع زيد عمراً، وإن كان متعدّياً إلى غيره، سواء كان قاصداً للخدعة أو لا، إلاّ أنّ التعدية ذاتي مفادهما، بخلاف ضارب وخادع فإنّ هذه الحيثية ملحوظة في مقام إفادة النسبة حتى يصدق عليه أنّه خادعه، وعلى هذا فالفرق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الصدورية في باب المفاعلة متوقّفة </w:t>
      </w:r>
    </w:p>
    <w:p>
      <w:pPr>
        <w:pStyle w:val="BookText"/>
        <w:rPr/>
      </w:pPr>
      <w:r>
        <w:rPr>
          <w:rFonts w:ascii="Amiri" w:hAnsi="Amiri" w:eastAsia="Amiri" w:cs="Amiri"/>
          <w:color w:val="111111"/>
          <w:sz w:val="28"/>
          <w:sz w:val="28"/>
          <w:szCs w:val="28"/>
          <w:rtl w:val="true"/>
          <w:lang w:bidi="ar-SA"/>
        </w:rPr>
        <w:t>على القصد والتصدّي، كالضرار ففيها تصدٍّ وسعي لإيقاع الضرر بالغير، وهذا بخلاف الفعل الثلاثي فقد يصدق على الغير من دون تصدٍّ وسعي</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كلامه الأخير يظهر عدم فرض عدم وقوع الفعل فيه، بل 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الفعل بنحو التصدّي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فلأنّ الذي يظهر من كلمات اللغويين أنّ لباب المفاعلة عدّة معانٍ، وأوّل ما ذكروه أنّها تكون بمعنى المشاركة بين اثنين، كما قد ترد بمعنى التكثير كباب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كضاعف الشيء، وقد ترد أيضاً بمعنى المجرّد الذي يفيد المبالغة، إلاّ إنّ الذي يظهر من خلال تتبّع مصاديق هذه الصيغة أنّ كثيراً من مواردها تكون المفاعلة فيها بنحو المشاركة بين اثنين، بحيث لا يمكن سلبها عنها، من قبيل المقاتلة، المحاربة، المكالمة، المحادثة، المصادقة، المجالسة، المباشرة، المباعدة، المكارمة، المبايعة، المراودة، المزارعة، المضاربة، المقارنة، المفارقة، المشاعرة، المقاولة، المعاوضة، المصالحة، وغيرها من الأمثلة، فحينئذٍ كيف يمكن إنكار كون الصيغة بمعنى المشاركة بين اثنين؟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عدم دعوى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تدلّ على المشاركة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 فيمكن اختيار الشقّ الثاني، وهو كون النسبتين أصلية والأخرى تبعية، بحيث تكون الثانية في طول الأولى وتبعاً لها، وهذا لا محذور فيه، بل الوجدان أقوى برهان على إمكانه، ومنه يندفع عدم معقولية انحلال الصيغة إلى نسبتين أصليتين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استظهار التصدّي في الفرق بين صيغة المفاعلة وغيرها من صيغ الباب، فيقال حينئذٍ بأنّ التصدّي والسعي هو أحد مصاديق هذه الهيئة، وليس هو تمام مفاد الهيئة؛ فإنّ الذي يظهر من خلال التتبّع في موارد استعمالات هذه الصيغة أنّها تدلّ على نوعٍ من المبالغة، وهي تختلف بحسب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المبالغة تكون في النسبة بين اثنين، وأخرى المبالغة تكون من جهة الطول والامتداد كما في سافر وطالب ورابط وصابر وجاهد وهاجر، وثالثة المبالغة تكون من جهة التصدّي والإصرار في السعي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 لمعنى التعمّد والسعي، كما ورد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فكقوله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مْسِكُوهُنَّ ضِرَاراً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الروايات؛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أعتق نصيبه </w:t>
      </w:r>
      <w:bookmarkStart w:id="69" w:name="pg8595_75451"/>
    </w:p>
    <w:p>
      <w:pPr>
        <w:pStyle w:val="BookText"/>
        <w:rPr/>
      </w:pPr>
      <w:bookmarkEnd w:id="69"/>
      <w:r>
        <w:rPr>
          <w:rFonts w:ascii="Amiri" w:hAnsi="Amiri" w:eastAsia="Amiri" w:cs="Amiri"/>
          <w:color w:val="111111"/>
          <w:sz w:val="28"/>
          <w:sz w:val="28"/>
          <w:szCs w:val="28"/>
          <w:rtl w:val="true"/>
          <w:lang w:bidi="ar-SA"/>
        </w:rPr>
        <w:t>مضارّة وهو موسر ضمن للورثة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صحيحة الحلبي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فأعتق أحدهما نصيبه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مضارّاً كُلّف أن يعتقه كلّه، وإلاّ استسعى العبد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رواية الحسن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أن يطلّق امرأته ثمّ يراجعها وليس فيها حاجة ثم يطلقها، فهذا الضرار الذي نهى الله عنه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إلى غير ذلك من الموارد التي يستفاد منها أنّ التصدّي والإصرار في السعي على الضرر مصداق لباب المفاعلة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المفاعلة تدلّ على نوع من المبالغة، وهي على أنحاء مختلفة، تختلف بحسب المصاديق والموارد المستعملة فيها</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770876_653776707"/>
      <w:bookmarkStart w:id="71" w:name="_Toc25"/>
      <w:bookmarkEnd w:id="70"/>
      <w:r>
        <w:rPr>
          <w:rtl w:val="true"/>
        </w:rPr>
        <w:t>الجهة الثانية</w:t>
      </w:r>
      <w:r>
        <w:rPr>
          <w:rtl w:val="true"/>
        </w:rPr>
        <w:t>:</w:t>
      </w:r>
      <w:r>
        <w:rPr>
          <w:rtl w:val="true"/>
        </w:rPr>
        <w:t>في مدلول الهيئة التركيبية و فيه مسالك</w:t>
      </w:r>
      <w:bookmarkEnd w:id="71"/>
    </w:p>
    <w:p>
      <w:pPr>
        <w:pStyle w:val="Heading3"/>
        <w:numPr>
          <w:ilvl w:val="2"/>
          <w:numId w:val="1"/>
        </w:numPr>
        <w:rPr/>
      </w:pPr>
      <w:bookmarkStart w:id="72" w:name="__RefHeading___Toc1770878_653776707"/>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وأمّا بيان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في مدلول الهيئة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عن مفاد ومدلول الهيئة التركيبية من المباحث المهمّة والتي يعتني بها الفقيه كثيراً، ولذا وقع الخلاف بينهم في تعيين مفاد القاعدة على مسالك وأقوال ستّة، ولتوضيح المقام نذكر أموراً ثلاثة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منشأ الخلاف بين هذه المسالك والأقوال الستّة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هذه المسالك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هذه المسالك وما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المستفاد العرفي من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النافيتين هو الإخبار عن نفي الجنس والحقيقة،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وردت في الاستعمالات الشرعية وفي مقام التشريع فحيث لا يمكن حملها على الإخبار عن نفي الجنس حقيقةً فحينئذٍ تكون على أنحاء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الجملة وإن كانت ظاهرة في النفي، إلاّ إنّ المراد الجدّي والمقصود الواقعي هو النهي والزجر عن ذلك الشيء بحيث يكون متعلّق النفي مبغوضاً للشارع، وبالتالي يكون الكلام نفياً أريد به النهي، وعلى هذا يكون الإخبار عن نفي شيء دالاًّ على الزجر عن ذلك الشيء، كما أنّ الإخبار عن ثبوت شيء دالّ على طلب ذلك الشيء، فلذا ذكرنا في مبحث الأوامر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الخبرية قد تستعمل في الإنشاء ويراد منها الطلب، بل دلالتها على الطلب حينئذٍ آكد من الجملة الإنشائية،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المؤمن الذي هو في طريق امتثال أوامر الله سبحانه وتعالى لابدّ أن يعيد الصلاة، فكذلك الإخبار عن النفي في لسان الشارع قد يرد بمعنى الزجر كناية </w:t>
      </w:r>
    </w:p>
    <w:p>
      <w:pPr>
        <w:pStyle w:val="BookText"/>
        <w:rPr/>
      </w:pPr>
      <w:r>
        <w:rPr>
          <w:rFonts w:ascii="Amiri" w:hAnsi="Amiri" w:eastAsia="Amiri" w:cs="Amiri"/>
          <w:color w:val="111111"/>
          <w:sz w:val="28"/>
          <w:sz w:val="28"/>
          <w:szCs w:val="28"/>
          <w:rtl w:val="true"/>
          <w:lang w:bidi="ar-SA"/>
        </w:rPr>
        <w:t>عن مبغوضية متعلّقه،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غشّ بين المسلمين</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 فإنّها تدلّ على أنّ المؤمن لا يفعل كذا،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المتعلّق في جميع الأمثلة المذكورة مبغوضاً للشارع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يدلّ الإخبار على نفي الطبيعة، لكن ليس مطلقاً، بل نفي لها في ضمن حصّة أو فرد منها،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الوالد وولده ربا، ولا بين الزوج والمرأة ربا</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غيبة لمن ألقى جلباب الحياء</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على الإمام إذا حفظ عليه من خلفه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على من أقرّ على نفسه بسهو</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ففي جميع هذه الموارد يراد الإخبار عن نفي الطبيعة في ضمن فرد خاص، أو حصّة خاصّة، ويقصد بذلك نفي الحكم الثابت للطبيعة، أو الحصّة التي تكون في ضمن هذا الفرد الخاص، أو تلك الحصّة الخاصّة، فيكون المراد في المثال الأوّل نفي الحرمة في مورد الربا بين الوالد والولد، وفي الثاني نفي حرمة الغيبة للمتجاهر بالفسق، وفي الثالث نفي </w:t>
      </w:r>
    </w:p>
    <w:p>
      <w:pPr>
        <w:pStyle w:val="BookText"/>
        <w:rPr/>
      </w:pPr>
      <w:r>
        <w:rPr>
          <w:rFonts w:ascii="Amiri" w:hAnsi="Amiri" w:eastAsia="Amiri" w:cs="Amiri"/>
          <w:color w:val="111111"/>
          <w:sz w:val="28"/>
          <w:sz w:val="28"/>
          <w:szCs w:val="28"/>
          <w:rtl w:val="true"/>
          <w:lang w:bidi="ar-SA"/>
        </w:rPr>
        <w:t>حكم السهو مع حفظ المأموم، وهكذا، وهذا ما يصطلح عليه أصوليّاً بنفي الحكم بلسان نفي الموضوع،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حقيقة وواقعاً هو الحكم، ولكن بنفي موضوعه، وحينئذٍ لابدّ في هذا الاستعمال من ثبوت حكم إلزامي، تكليفي أو وضعي في الشريعة المقدّسة لنفس الطبيعة ليكون هذا نافياً له عن الفرد، أو عن الحصّة بلسان نفي الموضوع، هذا فيما لو كان النفي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الإخبار على نفي الطبيعة، ولكن ليس مطلقاً، بل نفي للطبيعة في ضمن فردٍ أو حصّة منها بلسان نفي الموضوع ادّعاءً، فلا يترتّب عليه إلاّ نفي الآثار المترقّبة والمرغوبة من الطبيعة المعبّر عنها بنفي الكمال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يدلّ الإخبار على نفي ثبوت الموضوع في الشريعة الإسلامية، من قبيل ما ورد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رهبانية في الإسلام</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مناجشة في الإسلام</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في الدين</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 فالمنفي في جميع هذه الموارد هو ثبوت هذه العناوين في الشريعة الإسلامية، ولكن يراد منها نفي الحكم، وعليه فلابدّ أن يكون لهذه العناوين حكم، إمّا في الشرائع السابقة فيكون نفيها في الإسلام حينئذٍ كنَاية عن نفي حكمها وتشريعها كما في المثال الأوّل، وإمّا في العرف، سواء كان عامّاً كما في المثال الثاني، أو خاصّاً كما في المثال الثالث، </w:t>
      </w:r>
      <w:bookmarkStart w:id="74" w:name="pg8595_75459"/>
    </w:p>
    <w:p>
      <w:pPr>
        <w:pStyle w:val="BookText"/>
        <w:rPr/>
      </w:pPr>
      <w:bookmarkEnd w:id="74"/>
      <w:r>
        <w:rPr>
          <w:rFonts w:ascii="Amiri" w:hAnsi="Amiri" w:eastAsia="Amiri" w:cs="Amiri"/>
          <w:color w:val="111111"/>
          <w:sz w:val="28"/>
          <w:sz w:val="28"/>
          <w:szCs w:val="28"/>
          <w:rtl w:val="true"/>
          <w:lang w:bidi="ar-SA"/>
        </w:rPr>
        <w:t>فجميعها منفية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المنفي في هذا النحو هو ما كان ثابتاً للموضوع في الشرائع السابقة أو في العرف، من غير فرق بين أن يكون إلزامياً، أو غير إلزامي، وهذا هو وجه اختلافه عن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الإخبار على نفي الحكم ابتداءً،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فالمنفي على هذا هو نفس الحكم الحرجي، وظرفه الدين الذي هو عبارة عن مجموعة من الأحكام المجعولة، فثبوت الحرج في الشريعة إنّما هو بجعل حكم حرجي، والذي ينطبق على فعل المولى حيث يصدق عليه أنّه أوقع المكلّفين في الحرج إذا كلّفهم بتكليف حرجي، فنفيه في الشريعة إنّما هو بعدم جعل حكم يلزم من امتثاله الحرج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الهيئة التركيبية مستعملة في الموارد الشرعية على أنحاء مختلفة ممّا أوجب اختلاف أنظار الفقهاء فيما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وفيه عدّة مسالك</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770880_653776707"/>
      <w:bookmarkStart w:id="76" w:name="_Toc27"/>
      <w:bookmarkEnd w:id="75"/>
      <w:r>
        <w:rPr>
          <w:rtl w:val="true"/>
        </w:rPr>
        <w:t>المسلك الأوّل</w:t>
      </w:r>
      <w:r>
        <w:rPr>
          <w:rtl w:val="true"/>
        </w:rPr>
        <w:t>:</w:t>
      </w:r>
      <w:r>
        <w:rPr>
          <w:rtl w:val="true"/>
        </w:rPr>
        <w:t>الشيخ الأنصاري</w:t>
      </w:r>
      <w:bookmarkEnd w:id="7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إلى فهم العلماء</w:t>
      </w:r>
      <w:r>
        <w:rPr>
          <w:rStyle w:val="FootnoteAnchor"/>
          <w:rtl w:val="true"/>
        </w:rPr>
        <w:footnoteReference w:id="196"/>
      </w:r>
      <w:r>
        <w:rPr>
          <w:rFonts w:ascii="IRNazanin" w:hAnsi="IRNazanin" w:eastAsia="IRNazanin"/>
          <w:color w:val="111111"/>
          <w:sz w:val="28"/>
          <w:sz w:val="28"/>
          <w:szCs w:val="28"/>
          <w:rtl w:val="true"/>
          <w:lang w:bidi="fa-IR"/>
        </w:rPr>
        <w:t xml:space="preserve">، وتبعه </w:t>
      </w:r>
      <w:bookmarkStart w:id="77" w:name="pg8595_75460"/>
    </w:p>
    <w:p>
      <w:pPr>
        <w:pStyle w:val="BookText"/>
        <w:rPr/>
      </w:pPr>
      <w:bookmarkEnd w:id="77"/>
      <w:r>
        <w:rPr>
          <w:rFonts w:ascii="Amiri" w:hAnsi="Amiri" w:eastAsia="Amiri" w:cs="Amiri"/>
          <w:color w:val="111111"/>
          <w:sz w:val="28"/>
          <w:sz w:val="28"/>
          <w:szCs w:val="28"/>
          <w:rtl w:val="true"/>
          <w:lang w:bidi="ar-SA"/>
        </w:rPr>
        <w:t>غير واحد كالمحقّق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من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تعذّر حمل الأخبار على إرادة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الحكم الضرري، إمّا على أساس المجاز في الحذف، بمعنى لا حكم ينشأ منه الضرر، وإمّا على أساس المجاز في الكلمة، بأن يكون المنفي السبب والمنشأ وهو الحكم الضرري، وإمّا من باب صحّة إطلاق الضرر على السبب وإرادة نفي المسبّب بعلاقة السببية، باعتبار أنّ المسبّب بمنزلة السبب وأنّهما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هذا المسلك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حكم أو موضوعٍ موجب للضرر فهو منفي، سواء كان الحكم تكليفياً، أو وضعياً، وسواء كان إلزامياً، أو غير إلزامي، فهو يشمل جميع هذه الموارد، وأنّها منفية في الشريعة المقدّسة</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770882_653776707"/>
      <w:bookmarkStart w:id="79" w:name="_Toc28"/>
      <w:bookmarkEnd w:id="78"/>
      <w:r>
        <w:rPr>
          <w:rtl w:val="true"/>
        </w:rPr>
        <w:t>المسلك الثاني</w:t>
      </w:r>
      <w:r>
        <w:rPr>
          <w:rtl w:val="true"/>
        </w:rPr>
        <w:t>:</w:t>
      </w:r>
      <w:r>
        <w:rPr>
          <w:rtl w:val="true"/>
        </w:rPr>
        <w:t>المحقّق الخراساني</w:t>
      </w:r>
      <w:bookmarkEnd w:id="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الكفاية، من أنّ المنفي ابتداءً هو الموضوع، يعني الضرر، ولكن حيث لا يمكن حمل النفي على نفي الحقيقة والجنس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لمخالفته للواقع، فلابدّ حينئذٍ من حمله على النفي ادّعاءً بلحاظ حكمه، وهذا ما يعبّر عنه أصوليّاً بنفي الحكم بلسان نفي الموضوع، كما هو الظاهر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فالمراد من جميع </w:t>
      </w:r>
    </w:p>
    <w:p>
      <w:pPr>
        <w:pStyle w:val="BookText"/>
        <w:rPr/>
      </w:pPr>
      <w:r>
        <w:rPr>
          <w:rFonts w:ascii="Amiri" w:hAnsi="Amiri" w:eastAsia="Amiri" w:cs="Amiri"/>
          <w:color w:val="111111"/>
          <w:sz w:val="28"/>
          <w:sz w:val="28"/>
          <w:szCs w:val="28"/>
          <w:rtl w:val="true"/>
          <w:lang w:bidi="ar-SA"/>
        </w:rPr>
        <w:t>ذلك هو النفي للشيء كناية عن نفي الآثار المترتّبة على المواضيع من الأحكام التكليفية الإلزامية والوضعية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المفاد قريبٌ لما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المسلك الأوّل، إلاّ إنّ الفارق بينهما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على المسلك الأوّل ابتداءً هو الحكم، وعلى الثاني المنفي ابتداءً هو الموضوع وبانتفائه ينتفي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المسلكين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لزم من الاحتياط العقلي الضرر أو الحرج على المحتاط، فلا تكون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حاكمة على أدلّة الاحتياط؛ لعدم كون الضرر ناشئاً من متعلّق التكليف، وإنّما هو من جهة الجمع بين المحتملات، فهو غير مشمولٍ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المنفي ابتداءً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 المنفي هو الحكم الناشئ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 الشيخ ومَن تبعه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فالقاعدة حينئذٍ حاكمة على أدلّة الاحتياط العقلي ونافية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مكاسب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انتفاء اللزوم وثبوت التزلزل في العقد لا يستلزم ثبوت الخيار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المرفوع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bookmarkStart w:id="80" w:name="pg8595_75462"/>
    </w:p>
    <w:p>
      <w:pPr>
        <w:pStyle w:val="BookText"/>
        <w:rPr/>
      </w:pPr>
      <w:bookmarkEnd w:id="80"/>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الناشئ منه الضرر، وأمّا إذا كان المرفوع ما كان للضرر من الحكم مع قطع النظر عن هذا الحديث كما استظهرناه في البحث وفيما علّقناه على البراءة، كان المرفوع في المعاملة الغبنية وجوب الوفاء بها، وهو يستلزم جوازها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يستلزم ثبوت الخيار</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770884_653776707"/>
      <w:bookmarkStart w:id="82" w:name="_Toc29"/>
      <w:bookmarkEnd w:id="81"/>
      <w:r>
        <w:rPr>
          <w:rtl w:val="true"/>
        </w:rPr>
        <w:t>المسلك الثالث</w:t>
      </w:r>
      <w:r>
        <w:rPr>
          <w:rtl w:val="true"/>
        </w:rPr>
        <w:t xml:space="preserve">: </w:t>
      </w:r>
      <w:r>
        <w:rPr>
          <w:rtl w:val="true"/>
        </w:rPr>
        <w:t>لصاحب العناوين</w:t>
      </w:r>
      <w:bookmarkEnd w:id="82"/>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العناوين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 عليه شيخ الشريعة الأصفهاني</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سياق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الضرر والضرار والمنع عنهما، وهذا يظهر من نظائره وشيوع استعمال النفي وإرادة النهي،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مناجشة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فإنّ مدخول النفي إذا كان فعلاً اختيارياً للمكلّف فالظاهر إرادة النهي من النفي؛ وذلك لاعتبار القدرة في متعلّق التكليف، كما هو واضح</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فعلاً اختيارياً للمكلّف،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لكثير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منه إرادة نفي الحكم، ولا معنى لحمل النفي على النهي حينئذٍ؛ وذلك لخروج متعلّقه عن قدرة المكلّف، وعلى هذا فيمكن </w:t>
      </w:r>
      <w:bookmarkStart w:id="83" w:name="pg8595_75463"/>
    </w:p>
    <w:p>
      <w:pPr>
        <w:pStyle w:val="BookText"/>
        <w:rPr/>
      </w:pPr>
      <w:bookmarkEnd w:id="83"/>
      <w:r>
        <w:rPr>
          <w:rFonts w:ascii="Amiri" w:hAnsi="Amiri" w:eastAsia="Amiri" w:cs="Amiri"/>
          <w:color w:val="111111"/>
          <w:sz w:val="28"/>
          <w:sz w:val="28"/>
          <w:szCs w:val="28"/>
          <w:rtl w:val="true"/>
          <w:lang w:bidi="ar-SA"/>
        </w:rPr>
        <w:t>تقرير النهي بأحد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النفي هو النهي ابتداءً، وبالتالي تكون الجملة الخبرية المنفية قد استعملت في النهي والزجر عن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قد استعمل في معناه الحقيقي، بمعنى الإخبار عن نفي الضرر حقيقة، ولكن تنبيهاً لذهن المخاطب في إرادة لازمه، وهو النهي، نظير ما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كثرة إطعامه،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جبان الكلب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كناية عن كثرة وفود الضيف عليه، ونظائر ذلك في القضايا الشرعية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خصاء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هجر بين المسلمين فوق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جنب ولا شغار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قبيل الثاني؛ فإنّ النفي قد استعمل في معناه حقيقةً وأريد به تنبيه المخاطب إلى لازمه،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منهي ومزجورٌ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قد استعمل في الإخبار حقيقة، إلاّ إنّ النهي مستفاد من الخبر المحذوف،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مستساغ، جائز،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سواء قلنا بأنّ المراد من النفي هو النهي ابتداءً، أو كناية، أو من جهة حذف الخبر، فحديث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الحرمة التكليفية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770886_653776707"/>
      <w:bookmarkStart w:id="85" w:name="_Toc30"/>
      <w:bookmarkEnd w:id="84"/>
      <w:r>
        <w:rPr>
          <w:rtl w:val="true"/>
        </w:rPr>
        <w:t>المسلك الرابع</w:t>
      </w:r>
      <w:r>
        <w:rPr>
          <w:rtl w:val="true"/>
        </w:rPr>
        <w:t xml:space="preserve">: </w:t>
      </w:r>
      <w:r>
        <w:rPr>
          <w:rtl w:val="true"/>
        </w:rPr>
        <w:t>للفاضل التوني</w:t>
      </w:r>
      <w:bookmarkEnd w:id="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الفحول، كالفاضل التوني والنراقي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 المنفي هو الضرر غير المتدارك، بمعنى نهي الشارع عن الضرر غير المجبور </w:t>
      </w:r>
      <w:bookmarkStart w:id="86" w:name="pg8595_75464"/>
    </w:p>
    <w:p>
      <w:pPr>
        <w:pStyle w:val="BookText"/>
        <w:rPr/>
      </w:pPr>
      <w:bookmarkEnd w:id="86"/>
      <w:r>
        <w:rPr>
          <w:rFonts w:ascii="Amiri" w:hAnsi="Amiri" w:eastAsia="Amiri" w:cs="Amiri"/>
          <w:color w:val="111111"/>
          <w:sz w:val="28"/>
          <w:sz w:val="28"/>
          <w:szCs w:val="28"/>
          <w:rtl w:val="true"/>
          <w:lang w:bidi="ar-SA"/>
        </w:rPr>
        <w:t>بشيء من الضمان والأرش ونحوهما، ولكن غير المتدارك قد يكون لمحذوفٍ، وهو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ضرري غير متدارك، وعلى هذا فينزّل الضرر المتدارك بحكم الشارع منزلة العدم، أو نفي خصوص هذه الحصّة،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المتدارك ليس بضرر حقيقة وواقعاً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770888_653776707"/>
      <w:bookmarkStart w:id="88" w:name="_Toc31"/>
      <w:bookmarkEnd w:id="87"/>
      <w:r>
        <w:rPr>
          <w:rtl w:val="true"/>
        </w:rPr>
        <w:t>المسلك الخامس</w:t>
      </w:r>
      <w:r>
        <w:rPr>
          <w:rtl w:val="true"/>
        </w:rPr>
        <w:t xml:space="preserve">: </w:t>
      </w:r>
      <w:r>
        <w:rPr>
          <w:rtl w:val="true"/>
        </w:rPr>
        <w:t>لبعض أعاظم العصر</w:t>
      </w:r>
      <w:bookmarkEnd w:id="88"/>
    </w:p>
    <w:p>
      <w:pPr>
        <w:pStyle w:val="BookText"/>
        <w:rPr/>
      </w:pPr>
      <w:r>
        <w:rPr>
          <w:rFonts w:ascii="Amiri" w:hAnsi="Amiri" w:eastAsia="Amiri" w:cs="Amiri"/>
          <w:color w:val="111111"/>
          <w:sz w:val="28"/>
          <w:sz w:val="28"/>
          <w:szCs w:val="28"/>
          <w:rtl w:val="true"/>
          <w:lang w:bidi="ar-SA"/>
        </w:rPr>
        <w:t>المسلك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أعاظم العصر، من إرادة النهي من النفي، ولكن ليس المراد به النهي الإلهي حتى يكون حكماً إلهياً، بل بمعنى النهي السلطاني الذي صدر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رواية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رئيس الدولة وسائسها، لا بما أنّه مبلّغ أحكام الشرع من الله عزّوجلّ حتى يكون النهي إلهياً كحرمة شرب الخمر والقمار ونحوهما من المحرمات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ثلاثة مناصب</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النبوّة والرسالة،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الأحكام الإلهية، من أحكام تكليفية ووضعية حتى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فأوامره بالنظر إلى هذا المنصب إرشاد إلى أوامر الله ونواهيه، بحيث لو خالف المكلّف لم تكن 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تكون مخالفته لله تعالى؛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ومخبر عن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السلطنة على الأمة،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من الله تعالى على الأمّة، وهم رعيّته، وهو سائس البلاد ورئيس العباد، فأوامره ونواهيه بالنظر إلى هذا المنصب مولوية لا إرشادية، فامتثالها إطاعة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أمر سريّة أن تذهب إلى قطرٍ من الأقطار، فإنّه تجب إطاعته بما أنّه سلطان وحاكم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القضاء وفصل الخصومات عند تنازع الناس في حقٍّ أو مالٍ، فإذا رفع الأمر إليه وقضى فيه فإنّ حكمه نافذٌ لا يجوز التخلّف عنه بما هو قاضٍ وحاكم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المناصب كما هي ثابتة للرسول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أيضاً للأئمّة الهداة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بالبراهين القاطعة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المراد منها بيان الحكم الشرعي، ولو أريد منها ذلك فهو إمّا مجاز، أو إرشاد إلى حكم الله عزّوجلّ؛ وذلك لظهورها في قضائه وحكمه بما أنّه قاضٍ أو سلطان، وما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يحمل بقرينة الحال أو المقام على الحكم المولوي السلطاني، أو القضائي، وإلاّ يحمل على الأحكام الأوّلية الإلهية،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نقل العامّة في رواية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وعدّة من أقضية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النهي القضائي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وقوعه عقيب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رواياتنا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bookmarkStart w:id="89" w:name="pg8595_75466"/>
    </w:p>
    <w:p>
      <w:pPr>
        <w:pStyle w:val="BookText"/>
        <w:rPr/>
      </w:pPr>
      <w:bookmarkEnd w:id="89"/>
      <w:r>
        <w:rPr>
          <w:rFonts w:ascii="Amiri" w:hAnsi="Amiri" w:eastAsia="Amiri" w:cs="Amiri"/>
          <w:color w:val="111111"/>
          <w:sz w:val="28"/>
          <w:sz w:val="28"/>
          <w:szCs w:val="28"/>
          <w:rtl w:val="true"/>
          <w:lang w:bidi="ar-SA"/>
        </w:rPr>
        <w:t xml:space="preserve">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التدقيق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السلطاني، وبما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الأمّة ودافع الظلم عن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كلّية حاكمة على أدلّة العناوين الأوّلية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770890_653776707"/>
      <w:bookmarkStart w:id="91" w:name="_Toc32"/>
      <w:bookmarkEnd w:id="90"/>
      <w:r>
        <w:rPr>
          <w:rtl w:val="true"/>
        </w:rPr>
        <w:t>المسلك السادس</w:t>
      </w:r>
      <w:r>
        <w:rPr>
          <w:rtl w:val="true"/>
        </w:rPr>
        <w:t xml:space="preserve">: </w:t>
      </w:r>
      <w:r>
        <w:rPr>
          <w:rtl w:val="true"/>
        </w:rPr>
        <w:t>لبعض الأعلام الأجلاّء</w:t>
      </w:r>
      <w:bookmarkEnd w:id="91"/>
    </w:p>
    <w:p>
      <w:pPr>
        <w:pStyle w:val="Heading4"/>
        <w:numPr>
          <w:ilvl w:val="3"/>
          <w:numId w:val="1"/>
        </w:numPr>
        <w:rPr/>
      </w:pPr>
      <w:bookmarkStart w:id="92" w:name="__RefHeading___Toc1770892_653776707"/>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المسلك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بعض الأعلام من السادة الأجلاّء،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يتكوّن من 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نفي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النهي التحريمي، منعاً للمكلفين عن هذا العمل،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الإضرار بالغير، وهذا الحكم يدلّ على عدم تحقّق هذا العمل من خلال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الحكم التكليفي الزاجر عن العمل، وهو الحرمة، وهذا الحكم يستبطن الوعيد على الفعل، ويترتّب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الأخروي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الدنيوية بالتعزير ونحوه حسب رأي وليّ الأمر بالحدود المستفادة من الأدلّة الشرعية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في موارد الإتلاف، وكون الشيء المتلف ذا مالية لدى </w:t>
      </w:r>
    </w:p>
    <w:p>
      <w:pPr>
        <w:pStyle w:val="BookText"/>
        <w:rPr/>
      </w:pP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اتّخاذ وسائل مانعة عن تحقّق الإضرار بالغير خارجاً، كتجويز إزالة وسيلة الإضرار وهدمها، كالأمر بإحراق مسجد ضرار، والحكم بقلع نخلة سمرة، وهذا يتمّ عبر قوانين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العدالة الاجتماعية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القانون القضائي فيما إذا كان منع الإضرار حكماً قضائياً من قبل الوالي بعد رجوع المتخاصمين إليه، كما في قضية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اتّخاذ وسيلة لمنع الإضرار إنّما هي للحاكم الشرعي دون عامّة المسلمين، كما أنّ قانون تحقيق العدالة الاجتماعية من شؤون الولاية في الأمور العامّة الثابتة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والفقهاء في عصر الغيبة، وكذا حماية القضاء إنّما هي من وظيفة المتصدّي للحكومة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أحكام رافعة لموضوع الإضرار، من قبيل جعل حقّ الشفعة لرفع الشركة التي هي موضوع لإضرار الشريك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نفي جعل الحكم الضرري، وبجملة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تحريم الإضرار وتشريع الصدّ عنه </w:t>
      </w:r>
      <w:bookmarkStart w:id="94" w:name="pg8595_75468"/>
    </w:p>
    <w:p>
      <w:pPr>
        <w:pStyle w:val="BookText"/>
        <w:rPr/>
      </w:pPr>
      <w:bookmarkEnd w:id="94"/>
      <w:r>
        <w:rPr>
          <w:rFonts w:ascii="Amiri" w:hAnsi="Amiri" w:eastAsia="Amiri" w:cs="Amiri"/>
          <w:color w:val="111111"/>
          <w:sz w:val="28"/>
          <w:sz w:val="28"/>
          <w:szCs w:val="28"/>
          <w:rtl w:val="true"/>
          <w:lang w:bidi="ar-SA"/>
        </w:rPr>
        <w:t>خارجاً، وهو الحكم السلطاني الولائي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المسلك في الحقيقة يجمع بين عدّة مسالك، ففي الفقرة الأولى يوافق المسلك الأوّل للشيخ الأنصاري، وفي الفقرة الثانية موافق لمسلك شيخ الشريعة الأصفهاني، كما أنّه في القانونين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قانون تحقيق العدالة الاجتماعية، وحماية الحكم القضائي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لمسلك بعض أعاظم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المسالك المذكورة في المقام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770894_653776707"/>
      <w:bookmarkStart w:id="96" w:name="_Toc34"/>
      <w:bookmarkEnd w:id="95"/>
      <w:r>
        <w:rPr>
          <w:rtl w:val="true"/>
        </w:rPr>
        <w:t xml:space="preserve">وأمّا الأمر الثالث </w:t>
      </w:r>
      <w:r>
        <w:rPr>
          <w:rtl w:val="true"/>
        </w:rPr>
        <w:t xml:space="preserve">- </w:t>
      </w:r>
      <w:r>
        <w:rPr>
          <w:rtl w:val="true"/>
        </w:rPr>
        <w:t xml:space="preserve">وهو بيان تقريرات المسالك وما يرد عليها </w:t>
      </w:r>
      <w:r>
        <w:rPr>
          <w:rtl w:val="true"/>
        </w:rPr>
        <w:t xml:space="preserve">- </w:t>
      </w:r>
      <w:r>
        <w:rPr>
          <w:rtl w:val="true"/>
        </w:rPr>
        <w:t>فنقول</w:t>
      </w:r>
      <w:r>
        <w:rPr>
          <w:rtl w:val="true"/>
        </w:rPr>
        <w:t>:</w:t>
      </w:r>
      <w:bookmarkEnd w:id="96"/>
    </w:p>
    <w:p>
      <w:pPr>
        <w:pStyle w:val="Heading4"/>
        <w:numPr>
          <w:ilvl w:val="3"/>
          <w:numId w:val="1"/>
        </w:numPr>
        <w:rPr/>
      </w:pPr>
      <w:bookmarkStart w:id="97" w:name="__RefHeading___Toc1770896_653776707"/>
      <w:bookmarkStart w:id="98" w:name="_Toc35"/>
      <w:bookmarkEnd w:id="97"/>
      <w:r>
        <w:rPr>
          <w:rtl w:val="true"/>
        </w:rPr>
        <w:t>تقرير المسلك الأوّل</w:t>
      </w:r>
      <w:bookmarkEnd w:id="9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تقرير المسلك الأوّل؛ فبعد أن بيّن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الاحتمالات الواردة في الحديث ذكر وجوهاً أربعة تثبيتاً لمختاره، حيث 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بملاحظة نفس الفقرة ونظائرها وموارد ذكرها في الروايات وفهم العلماء هو المعنى الأوّل</w:t>
      </w:r>
      <w:r>
        <w:rPr>
          <w:rStyle w:val="FootnoteAnchor"/>
          <w:rtl w:val="true"/>
        </w:rPr>
        <w:footnoteReference w:id="208"/>
      </w:r>
      <w:r>
        <w:rPr>
          <w:rFonts w:ascii="Amiri" w:hAnsi="Amiri" w:eastAsia="Amiri" w:cs="Amiri"/>
          <w:color w:val="111111"/>
          <w:sz w:val="28"/>
          <w:sz w:val="28"/>
          <w:szCs w:val="28"/>
          <w:rtl w:val="true"/>
          <w:lang w:bidi="ar-SA"/>
        </w:rPr>
        <w:t>، وقال في توضيح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تعذّر إرادة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تشريع الضرر،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لم يشرّع حكماً يلزم منه ضرر على أحد، تكليفياً كان أو وضعياً، فلزوم البيع مع الغبن حكم يلزم منه ضرر على المغبون، فينفى بالخبر، وكذلك وجوب الوضوء على مَن لا </w:t>
      </w:r>
    </w:p>
    <w:p>
      <w:pPr>
        <w:pStyle w:val="BookText"/>
        <w:rPr/>
      </w:pPr>
      <w:r>
        <w:rPr>
          <w:rFonts w:ascii="Amiri" w:hAnsi="Amiri" w:eastAsia="Amiri" w:cs="Amiri"/>
          <w:color w:val="111111"/>
          <w:sz w:val="28"/>
          <w:sz w:val="28"/>
          <w:szCs w:val="28"/>
          <w:rtl w:val="true"/>
          <w:lang w:bidi="ar-SA"/>
        </w:rPr>
        <w:t>يجد الماء إلاّ بثمن كثير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البيان الأخير ليس ذا أهمّية بالغة في نفسه؛ فإنّه 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ممّا ذكره في الفقرة الأولى، كما أنّنا لم نجد في كلام أحد من تلامذته توضيحاً لما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توضيح الوجه الأوّل منه في كلام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تلامذته من السادة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تعلّق النفي بعنوان ينطبق على فعل المكلّف وفعل المولى، كالحرج، فالظاهر في مثل هذا العنوان عدم كونه مجعولاً في عالم التشريع؛ فإنّه نفي حقيقي لا يرتكب فيه تكلّف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 الضرر من هذا القبيل؛ فإنّه كما يصدق أنّ المكلّف أوقع نفسه في الضرر بارتكابه ما يوجب الضرر، كذلك يصدق أنّ المولى ألقى عبده في الضرر إذا كلّفه بتكليف ضرري، وكما أنّ جعل الحكم الناشئ منه الضرر جعل للضرر على المكلّف حقيقة، كذلك نفي الحكم الضرري نفي للضرر عن المكلّفين حقيقة بلا عناية أصلاً،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بيان بعض السادة الأجلاّء،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بمعنى المنقصة الحاصلة من الفعل، وهذا المعنى بطبعه مرغوب عنه لدى الإنسان، بل </w:t>
      </w:r>
    </w:p>
    <w:p>
      <w:pPr>
        <w:pStyle w:val="BookText"/>
        <w:rPr/>
      </w:pPr>
      <w:r>
        <w:rPr>
          <w:rFonts w:ascii="Amiri" w:hAnsi="Amiri" w:eastAsia="Amiri" w:cs="Amiri"/>
          <w:color w:val="111111"/>
          <w:sz w:val="28"/>
          <w:sz w:val="28"/>
          <w:szCs w:val="28"/>
          <w:rtl w:val="true"/>
          <w:lang w:bidi="ar-SA"/>
        </w:rPr>
        <w:t xml:space="preserve">يتنفّر منه ولا يتحمّله أحدٌ عادةً إلاّ بتصوّر تسبيب شرعي إليه، فيكون نفي الطبيعة في مثل هذه الملابسات بمعنى نفي التسبيب إليها بجعل شرعي، وعلى ضوء هذا كان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التسبيب إلى الضرر، بجعل حكم شرعي يستوجب 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ذكر في توضيح الوجه الأوّل للشيخ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ملاحظة نظائره، فقد ذكر الشيخ نظيراً 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المناسب الحكم الشرعي الملقى للعباد في الضرر في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كما أنّ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مثل ذلك</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موارد ذكرها في الروايات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سمرة، فقد ورد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قال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هو مالي أدخل ولا أستأذن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يرى لنفسه الحقّ في الدخول بلا 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ولا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جهة مناسبة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لاحتجاج سمرة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النفي هو نفي الحكم الضرري؛ لأنّ سمرة كان يرى له الحقّ في الدخول على الأنصاري بدون إذنه، وحيث إنّ دخوله بلا استئذان موجب لضرر الأنصاري فهو مرفوع، وليس </w:t>
      </w:r>
    </w:p>
    <w:p>
      <w:pPr>
        <w:pStyle w:val="BookText"/>
        <w:rPr/>
      </w:pPr>
      <w:r>
        <w:rPr>
          <w:rFonts w:ascii="Amiri" w:hAnsi="Amiri" w:eastAsia="Amiri" w:cs="Amiri"/>
          <w:color w:val="111111"/>
          <w:sz w:val="28"/>
          <w:sz w:val="28"/>
          <w:szCs w:val="28"/>
          <w:rtl w:val="true"/>
          <w:lang w:bidi="ar-SA"/>
        </w:rPr>
        <w:t>بمجعول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تصرّف الإنسان في ماله حقّ ثابت له فيما إذا لم يلزم منه الإضرار بالغير، وأمّا إذا لزم منه الإضرار فهو حينئذٍ منفي في الشريعة المقدّسة، وعليه فالمناسب بين ما قاله سمرة وبين جواب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كون المنفي هو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النفي هو النهي السلطاني، فحينئذٍ يبقى احتجاج سمرة بلا جواب، وعليه فمن جهة التناسب بين الحديث وبين المورد يقتضي أن يكون المعنى هو نفي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الشفعة، فإنّ بيع الشريك حصّته للأجنبي ليس بمحرّم، بل هو حكم وضعي يترتّب عليه الفساد وعدم كونه نافذاً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منع فضل الماء والكلاء، فإنّه بعد ثبوت حقّ الانتفاع للآخرين فالحكم بأنّ الطائفة الأولى لهم الحقّ في منع الآخرين ليس مجرّد نهي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تنزيهي، بل هو حكم ضرري منفي في عالم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الملابسات ومناسبات الموارد التي ورد فيها الحديث تقتضي أن يكون المنفي هو الحكم الضرري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العلماء، فيمكن أن يقال في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العلماء قد تمسّكوا بهذا الحديث للقول بالحرمة في موارد كثيرة، ولم يقصروه على خصوص الأحكام التكليفية، بل تعدّوا بذلك إلى موارد كثيرة في باب الأحكام الوضعية، حتى إنّ صاحب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مير عبد الفتاح الحسيني المراغي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w:t>
      </w:r>
    </w:p>
    <w:p>
      <w:pPr>
        <w:pStyle w:val="BookText"/>
        <w:rPr/>
      </w:pPr>
      <w:r>
        <w:rPr>
          <w:rFonts w:ascii="Amiri" w:hAnsi="Amiri" w:eastAsia="Amiri" w:cs="Amiri"/>
          <w:color w:val="111111"/>
          <w:sz w:val="28"/>
          <w:sz w:val="28"/>
          <w:szCs w:val="28"/>
          <w:rtl w:val="true"/>
          <w:lang w:bidi="ar-SA"/>
        </w:rPr>
        <w:t xml:space="preserve">خمسين 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فيها الفقهاء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كما أنّ هذا لا يختصّ بفهم علماء الخاصّة، بل إنّ علماء العامّة فهموا ذلك أيضاً، ويكفي في بيان أهمّيته عندهم وتمسّكهم به في مقام الاستنباط ما ذكره السيوطي، من أنّ الفقه يدور على خمسة أحاديث، هذا أحدها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جهة مناسبة فهم العلماء يوجب كون المنفي هو الحكم الضرري، 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أدلّة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الأربعة التي ذكرها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لتثبيت المسلك الأوّل، وما يمكن أن يقال في تقريرها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فقد أورد عليه عدّة إيرادات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الحكم التكليفي، فلم يعهد استعمال مثل هذا التركيب في نفي المسبّب وإرادة السبب، بل المعهود استعماله في نفي الحكم التكليفي، أو نفي الكمال،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إلاّ ما ينتفع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سفر إلاّ مع رفيق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كلام إلاّ ما أفاد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وأمّا استعمالها لنفي المسبّب وإرادة السبب فهو غير معهودٍ في مثل هذا التركيب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اتّضح جوابه ممّا ذكرناه في التقريرين والتوضيحين في الوجه الأوّل من الوجوه الأربعة التي ذكرها الشيخ لإثبات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التقريرين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المنفي الوارد في لسان الخطاب الشرعي كما يصلح انطباقه على فعل المكلّف يصلح أن ينطبق على فعل الشارع أيضاً، وفي حال التردّد بينهما فالظاهر حمله على نفي فعل الشارع؛ لوروده في مقام التشريع، فإذا ورد مثلاً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هو الضرر المسبّب من قبل الشارع، فيكون النفي حينئذٍ حقيقياً بلا حاجة إلى تكلّف مجازٍ وادّعاء، ويكون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نفي الفعل الحرجي حقيقة، المسبّب من أمر الشارع، وهذا بخلاف نفي الفعل بلحاظ انطباقه على فعل المكلّف، سواء استفيد منه النهي والحرمة أو لا؛ فإنّه بحاجة إلى تكلّف دعوى المجازية والادّعائية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الضرر اسم مصدر يعبّر عنه بالمنقصة، وهو بطبعه مرغوب عنه لدى الناس، بل تتنفّر منه الطباع، وعلى هذا فلا معنى للزجر عنه وجعل الجملة النافية إخباراً عن المنع والحرمة؛ لأنّه يعتبر في النهي عنه أن يكون مرغوباً ومطلوباً للمكلّف حتى يتسنّى للشارع النهي والزجر عنه، وبذلك يكون نفي الشارع له ظاهراً في نفي الحكم الموجب للضرر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عليك في كون التقرير الأوّل أدقّ وأبلغ من الثاني؛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تترجّح إرادة النهي من النفي، ولكن لا يعيّنها في المسلك الأوّل، وهذا بخلاف التقرير الأوّل؛ فإنّه يعيّنه في المسلك الأوّل، وكيف كان فبهذين </w:t>
      </w:r>
    </w:p>
    <w:p>
      <w:pPr>
        <w:pStyle w:val="BookText"/>
        <w:rPr/>
      </w:pPr>
      <w:r>
        <w:rPr>
          <w:rFonts w:ascii="Amiri" w:hAnsi="Amiri" w:eastAsia="Amiri" w:cs="Amiri"/>
          <w:color w:val="111111"/>
          <w:sz w:val="28"/>
          <w:sz w:val="28"/>
          <w:szCs w:val="28"/>
          <w:rtl w:val="true"/>
          <w:lang w:bidi="ar-SA"/>
        </w:rPr>
        <w:t>التوجيهين ظهر عدم تمامية ما ذكره شيخ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الآخوند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تقتضيه قواعد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تعذّر إرادة المعنى الحقيقي من نفي الضرر وذلك لوجوده خارجاً، فنفيه لابّد أن يكون بلحاظ حكمه، والمصحّح لتعلّق النفي بنفس الضرر مع وجوده خارجاً هو ادّعاء عدمه لأجل عدم ترتّب آثاره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فنفي طبيعة الصلاة والرجال حقيقة أو ادّعاءً بلحاظ آثار تلك الطبيعة؛ إذ انتفاء آثارها المطلوبة منها يصحّح نفي نفس تلك الطبيعة؛ تنزيلاً لوجودها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يترتّب عليه الأثر المرغوب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عدمه، وهذا أوفق بالبلاغة من نفي الحكم ابتداءً، أو من نفي الصفة غير المتداركة؛ وذلك لبشاعة استعمال الضرر وإرادة خصوص سبب من أسبابه، أو خصوص غير المتدارك منه، ولأقربية نفي الحقيقة ادّعاءً إلى المعنى الحقيقي من سائر المعاني، وهي توجب ظهور الكلام فيه، وبُعد إرادة غيره من المعاني المذكورة؛ لخلوها عن قرينة توجب حملها عليه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فرض تمامية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إيراد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يتمّ بناءً على ما تقدّم من أنّ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الشيخ هو نفي </w:t>
      </w:r>
    </w:p>
    <w:p>
      <w:pPr>
        <w:pStyle w:val="BookText"/>
        <w:rPr/>
      </w:pPr>
      <w:r>
        <w:rPr>
          <w:rFonts w:ascii="Amiri" w:hAnsi="Amiri" w:eastAsia="Amiri" w:cs="Amiri"/>
          <w:color w:val="111111"/>
          <w:sz w:val="28"/>
          <w:sz w:val="28"/>
          <w:szCs w:val="28"/>
          <w:rtl w:val="true"/>
          <w:lang w:bidi="ar-SA"/>
        </w:rPr>
        <w:t>الحكم الضرري، إمّا على أساس المجاز في الحذف،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ينشأ منه الضرر، وإمّا على أساس المجاز في الكلمة، بمعنى الحكم الضرري، ولكنه لا يتمّ بناءً على صحّة إطلاق الضرر على السبب ونفي المسبّب، والمصحّح لذلك علاقة السببية، واعتبار أنّ المسبّب والسبب بمنزلة الشيء الواحد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منهم المحقّق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الكفاية،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السبب وإرادة المسبّب إنّما يصحّ في الأسباب والمسبّبات التوليدية كالإلقاء والإحراق، والرمي والقتل، فيصحّ على الإلقاء بأنّه إحراق، وعلى الرمي بأنّه قتل، وأمّا في الموارد التي ليس فيها السبب والمسبّب توليديين، بل كانا من الأسباب المعدّة والتي يحتاج فيها وجود المسبّب إلى الإرادة والاختيار، فلا يصحّ إطلاق السبب وإرادة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التكليف إلى الفعل الضرري ليست نسبة السبب التوليدي إلى مسبّبه؛ لأنّ حكم المولى بالنسبة إلى الفعل الضرري ليس علّة تامّة، كما أنّه ليس بجزء أخير لها، بل ولا شرطاً، ولا عدم مانع، ولا معدّاً، بل ولا سبباً مادّياً، ولا صورياً، ولا سبباً فاعليّاً، بل ولا سبباً غائياً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يكون حكم المولى داعياً إلى إيجاد الفعل المؤثّر في الضرر، كما لو كان حكماً طلبياً، ولم يكن للفاعل داعياً آخر للفعل، بل تمام داعيه امتثال أمر المولى، فحينئذٍ كيف يصحّ إطلاق السبب وإرادة المسبّب،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نفي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w:t>
      </w:r>
    </w:p>
    <w:p>
      <w:pPr>
        <w:pStyle w:val="BookText"/>
        <w:rPr/>
      </w:pPr>
      <w:r>
        <w:rPr>
          <w:rFonts w:ascii="Amiri" w:hAnsi="Amiri" w:eastAsia="Amiri" w:cs="Amiri"/>
          <w:color w:val="111111"/>
          <w:sz w:val="28"/>
          <w:sz w:val="28"/>
          <w:szCs w:val="28"/>
          <w:rtl w:val="true"/>
          <w:lang w:bidi="ar-SA"/>
        </w:rPr>
        <w:t>عجباً كيف صدر هذا منه مع أنّه في الجودة بمرتبة تقرب من شقّ القمر؟</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ويمكن أن 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من أنّ نسبة التكليف إلى الفعل نسبة الداعي، وإن كان صحيحاً بحسب الدقّة العقلية، ولكنّ العرف لا يرى أيّ منافاة في نسبة الفعل إلى المولى؛ وذلك لأنّ إرادة المكلّف فيما إذا كانت في مقام الامتثال والإطاعة مقهورة لإرادة المولى بحيث تكون إرادته تجاه إرادة المولى ضعيفة، صحّ حينئذٍ نسبة القتل إلى المولى إذا أمر عبده بقتل شخص؛ لكون إرادة العبد مندكّة في إرادة مولاه،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قتله، فمن هذه الجهة صحّ أن يكون حكم المولى سبباً لوقوع العبد في الضرر، فنفيه للضرر نفي لسببه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بتمامية هذا الإيراد، فهو إنّما يتم بناءً على صحّة إطلاق الضرر على السبب ونفي المسبّب، وأمّا بناءً على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الحكم على أساس المجاز في الحذف،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ينشأ منه الضرر حتى ينتقل ذهن المخاطب والسامع لإرادة نفي السبب، فلا يتمّ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الضرر اسم مصدر 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به عن نفس المبدأ، وهي المنقصة التي لم يلحظ فيها النسبة الصدورية، بخلاف الإضرار، فهو يحكي عن المبدأ متضمّناً للنسبة الصدورية، فالضرر كالوجود، والإضرار كالإيجاد، وعلى هذا فلا يصحّ إطلاق الضرر ونحوه ممّا لا يتضمّن </w:t>
      </w:r>
    </w:p>
    <w:p>
      <w:pPr>
        <w:pStyle w:val="BookText"/>
        <w:rPr/>
      </w:pPr>
      <w:r>
        <w:rPr>
          <w:rFonts w:ascii="Amiri" w:hAnsi="Amiri" w:eastAsia="Amiri" w:cs="Amiri"/>
          <w:color w:val="111111"/>
          <w:sz w:val="28"/>
          <w:sz w:val="28"/>
          <w:szCs w:val="28"/>
          <w:rtl w:val="true"/>
          <w:lang w:bidi="ar-SA"/>
        </w:rPr>
        <w:t>نسبة صدورية على السبب التوليدي، فلا يقال للإلقاء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حرقة، 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إحراق؛ لتضمّنه نسبة صدورية، وعليه فلا يقال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ضرر، وإن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إضرار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اتّضح جوابه ممّا تقدّم أيضاً؛ فإنّ هذا الإيراد إنّما يتمّ بناءً على أنّ المقصود من نفي الحكم الضرري هو صحّة إطلاق السبب ونفي المسبّب، وأمّا بناءً على أساس المجاز في الحذف،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ينشأ منه الضرر، أو على أساس المجاز في الكلمة، وأنّ المنفي هو السبب والمنشأ وهو الحكم الضرري، فلا يتمّ هذا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عدم تمامية الإيرادات المذكورة على الوجه الأوّل من الوجوه التي ذكرها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ملاحظة النظائر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شيخ الشريعة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نظائرها؛ فقد قدّمنا عدم النظير لهذا المعنى في هذا التركيب</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مراده من قوله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الثالث من نفي المسبّب وإرادة السبب لم يعهد في مثل هذا التركيب أبداً، وإنّما المعهود النهي أو نفي الكمال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ولا علم إلاّ ما نفع، ولا سفر إلاّ </w:t>
      </w:r>
    </w:p>
    <w:p>
      <w:pPr>
        <w:pStyle w:val="BookText"/>
        <w:rPr/>
      </w:pPr>
      <w:r>
        <w:rPr>
          <w:rFonts w:ascii="Amiri" w:hAnsi="Amiri" w:eastAsia="Amiri" w:cs="Amiri"/>
          <w:color w:val="111111"/>
          <w:sz w:val="28"/>
          <w:sz w:val="28"/>
          <w:szCs w:val="28"/>
          <w:rtl w:val="true"/>
          <w:lang w:bidi="ar-SA"/>
        </w:rPr>
        <w:t>برفيق، ولا كلام إلاّ ما أفاد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النظائر لا يخلو من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المراد بها محتوى الصيغة،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النظائر التي يكون محتواها محتوى هذه الصيغة، بأن يكون الواقع تلو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إمّا مجعولاً شرعياً وتناله يد الجعل إثباتاً أو نفياً كالوجوب والحرمة،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المخترعات الشرعية كالصلاة والصوم وغيرها،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لا يبيّت الصيام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الأمور العقلائية الشائعة بينهم والتي تحتاج إلى إمضاء شرعي كالبيع والعتق والسبق،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مقبوض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حافر أو خفّ أو 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هذه الأقسام الثلاثة إلى عنوان جامع،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ممّا تناله يد الشرع، إثباتاً، أو نفياً، أو إمضاءً، أو تأسيساً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أحد هذه الأمور الثلاثة صحّ النفي الحقيقي، لكن بلحاظ وعاء عالم التشريع،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هذه </w:t>
      </w:r>
    </w:p>
    <w:p>
      <w:pPr>
        <w:pStyle w:val="BookText"/>
        <w:rPr/>
      </w:pPr>
      <w:r>
        <w:rPr>
          <w:rFonts w:ascii="Amiri" w:hAnsi="Amiri" w:eastAsia="Amiri" w:cs="Amiri"/>
          <w:color w:val="111111"/>
          <w:sz w:val="28"/>
          <w:sz w:val="28"/>
          <w:szCs w:val="28"/>
          <w:rtl w:val="true"/>
          <w:lang w:bidi="ar-SA"/>
        </w:rPr>
        <w:t>الأشياء في عالم التشريع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حكم ضرري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النفي حقيقي في عالم التشريع، وعلى هذا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بها الجمود على هذه الصيغة، فحينئذٍ يتمّ ما ذكره شيخ الشريعة من إيرادٍ؛ فإنّ النظير المذكور في كلام الشيخ وكذا في كلام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وهو ليس بكثير، بل مورد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أصل وجود هذه الصيغة في المصادر الروائية غير ثابت؛ فإنّا قد تتبّعنا في المعاجم والمصادر الحديثية فلم نعثر على حديثٍ 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التركيب ورد في بعض الكتب الفقهية والأصولية كالمستند والرياض وكشف اللثام والقوانين وغيرها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ملاحظة موارد ذكرها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شيخ الشريعة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الثابت من صدور هذا الحديث الشريف إنّما هو في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سمرة بن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ثبت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أنّ اللفظ بهذه الزيادة ظاهر في النهي، على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ولا ضرر ولا ضرار على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ابن مسكان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بمنزلة صغرى وكبرى، فلو أريد التحريم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والمضارّة حرام، وهذا هو المناسب لتلك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أريد غيره ممّا يقولون صار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مضارّ، والحكم </w:t>
      </w:r>
    </w:p>
    <w:p>
      <w:pPr>
        <w:pStyle w:val="BookText"/>
        <w:rPr/>
      </w:pPr>
      <w:r>
        <w:rPr>
          <w:rFonts w:ascii="Amiri" w:hAnsi="Amiri" w:eastAsia="Amiri" w:cs="Amiri"/>
          <w:color w:val="111111"/>
          <w:sz w:val="28"/>
          <w:sz w:val="28"/>
          <w:szCs w:val="28"/>
          <w:rtl w:val="true"/>
          <w:lang w:bidi="ar-SA"/>
        </w:rPr>
        <w:t>الموجب للضرر منفيّ، أو الحكم المجعول منفيّ في صورة الضرر، ولا أظنّ بالأذهان المستقيمة ارتضاءه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عمّا ذكره في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والناهي عن منع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أنّهما مذيّلان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 لتعرف حقيقة ما ذكرناه، وحينئذٍ فالمناسب منه إرادة نفي الحكم، لا إرادة التكليف التحريمي أو التنزيهي، وقد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لرواية سمرة بن جندب؛ فما استظهره إنّما يتمّ في رواية ابن مسكان، وأمّا في غيرها فلم ترد الصغرى،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أنّه قد تقدّم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مرسلة وغير معتبرة على مبناهم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أنّه بناء على موثّقة ابن بكير أنّ الأنسب هو نفي الحكم الضرري؛ لأنّه لو كان المنفي هو الحكم المولوي بتحريم الضرر لبقي اعتراض سمرة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مالي أدخل عليه ولا أستأذن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جواب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والقول باعتبار رواية ابن مسكان، يمكن القول بأنّ تحريم الضرر مستفاد من الفقرة الثانية،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من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بنينا على التفكيك بين الفقرتين في المعنى فيكفي استفادة النهي والحرمة من الفقرة الثانية، وبذلك لا يرد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إيرادٍ</w:t>
      </w:r>
      <w:r>
        <w:rPr>
          <w:rFonts w:eastAsia="Amiri" w:cs="Amiri" w:ascii="Amiri" w:hAnsi="Amiri"/>
          <w:color w:val="111111"/>
          <w:sz w:val="28"/>
          <w:szCs w:val="28"/>
          <w:rtl w:val="true"/>
          <w:lang w:bidi="ar-SA"/>
        </w:rPr>
        <w:t xml:space="preserve">. </w:t>
      </w:r>
      <w:bookmarkStart w:id="99" w:name="pg8595_75481"/>
    </w:p>
    <w:p>
      <w:pPr>
        <w:pStyle w:val="BookText"/>
        <w:rPr/>
      </w:pPr>
      <w:bookmarkEnd w:id="99"/>
      <w:r>
        <w:rPr>
          <w:rFonts w:ascii="Amiri" w:hAnsi="Amiri" w:eastAsia="Amiri" w:cs="Amiri"/>
          <w:color w:val="111111"/>
          <w:sz w:val="28"/>
          <w:sz w:val="28"/>
          <w:szCs w:val="28"/>
          <w:rtl w:val="true"/>
          <w:lang w:bidi="ar-SA"/>
        </w:rPr>
        <w:t xml:space="preserve">وأمّا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فهم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شيخ الشريعة أيضاً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ممنوع، ولم نجد للمتقدّمين والمتأخّرين ما يعيّن أنّهم فهموا هذا المعنى إلاّ عن قليل نادرٍ، ولا يكفي فهمهم في تعيين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لحرمة الترك</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تقدّم أنّ كثيراً من الفقهاء قد تمسّكوا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 لنفي الحكم الوضعي، كما أنّه سيأتي الكلام فيما ذكره من فهم أهل اللغة في تقرير المسلك الثالث</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770898_653776707"/>
      <w:bookmarkStart w:id="101" w:name="_Toc36"/>
      <w:bookmarkEnd w:id="100"/>
      <w:r>
        <w:rPr>
          <w:rtl w:val="true"/>
        </w:rPr>
        <w:t>تقرير المسلك الثاني</w:t>
      </w:r>
      <w:bookmarkEnd w:id="101"/>
    </w:p>
    <w:p>
      <w:pPr>
        <w:pStyle w:val="BookText"/>
        <w:rPr/>
      </w:pPr>
      <w:r>
        <w:rPr>
          <w:rFonts w:ascii="Amiri" w:hAnsi="Amiri" w:eastAsia="Amiri" w:cs="Amiri"/>
          <w:color w:val="111111"/>
          <w:sz w:val="28"/>
          <w:sz w:val="28"/>
          <w:szCs w:val="28"/>
          <w:rtl w:val="true"/>
          <w:lang w:bidi="ar-SA"/>
        </w:rPr>
        <w:t xml:space="preserve">وأمّا تقرير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استدل عليه بأربعة أمورٍ، كما يستفاد ذلك من كلامه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تعذّر حمل النفي على الجنس حقيقة فالأوفق بقواعد البلاغة حمله على أقرب المجازات إلى المعنى الحقيقي، وهو نفي الحقيقة 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بشاعة حمل النفي على إرادة نفي الحكم الضرري، أو على الضرر غير المتدارك؛ لأنّه يكون نفياً للجنس وإرادة نفي حصّة أو صفة منه، ويكون الضرر عامّاً وشاملاً للحكم وغيره، فإرادة الحكم الضرري فقط، أو الصفة بلا قرينة يكون من الاستعمالات البشعة المستنكرة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والشائع في استعمال مثل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أشباه الرجال ولا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إرادة نفي الحقيقة ادّعاءً لأجل عدم ترتّب آثار الحقيقة المترقّبة منها، وكلّ شيء لا يترتّب عليه أثره المترقّب منه ينزّل منزلة العدم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الحاشية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حمل النفي على إرادة الحقيقة ادّعاءً أسلم من حمله على نفي السبب وإرادة المسبّب؛ وذلك لعدم ورود محذور تخصيص الكثير أو الأكثر على الأوّل، ووروده على الثاني، كما تأتي الإشارة إليه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على هذا المسلك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النفي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بنحو السلب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بنحو السلب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كان النفي فيه وارداً لسلب ذات الشيء،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فالنفي وارد لسلب أصل الحكم بعد نفي ثبوت الرهبانية في الإسلام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النفي فيه وارداً لسلب شيء عن شيء،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w:t>
      </w:r>
    </w:p>
    <w:p>
      <w:pPr>
        <w:pStyle w:val="BookText"/>
        <w:rPr/>
      </w:pPr>
      <w:r>
        <w:rPr>
          <w:rFonts w:ascii="IRNazanin" w:hAnsi="IRNazanin" w:eastAsia="IRNazanin"/>
          <w:color w:val="111111"/>
          <w:sz w:val="28"/>
          <w:sz w:val="28"/>
          <w:szCs w:val="28"/>
          <w:rtl w:val="true"/>
          <w:lang w:bidi="fa-IR"/>
        </w:rPr>
        <w:t>كان وارداً لإخراج فردٍ عن الموضوع العام أو المطلق،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لكثير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في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للمأموم مع حفظ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ونحو ذلك ممّا ورد لإخراج مصداقٍ عن موضوع العام أو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على الأكثر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 لكان مندرجاً في العموم أو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الحكم بلسان نفي الموضوع يصحّ في النفي البسيط بقيود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ذا حكم، إمّا في الجاهلية، وإمّا في الشرائع السابقة، وإلاّ فلا معنى لنفي الحكم بلسان نفي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عنواناً اختيارياً كالرهبانية والإخصاء مثلاً حتى يكون نفيه التشريعي موجباً لنفيه التكويني، فلذا لا يصحّ نفي الموضوعات الخارجة عن قدرة المكلّف لنفي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الحكم المنفي هو الجواز قبل ورود النفي؛ لأنّه لو كان حكماً تحريمياً فلا يدلّ نفي الحكم بلسان نفي الموضوع على نسخه، بل يدلّ على إمضائه،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ختان ولا طلاق ولا تعدّد زوجات في الإسلام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نفياً بسيطاً، والضرر وإن كان عنواناً اختيارياً، إلاّ إنّ حكمه السابق حيث لم يكن إباحة كان إمّا تحريماً وإمّا قبيحاً على ما يستقلّ به العقل، فإرادة نفي الحكم بلسان نفي الموضوع </w:t>
      </w:r>
    </w:p>
    <w:p>
      <w:pPr>
        <w:pStyle w:val="BookText"/>
        <w:rPr/>
      </w:pPr>
      <w:r>
        <w:rPr>
          <w:rFonts w:ascii="Amiri" w:hAnsi="Amiri" w:eastAsia="Amiri" w:cs="Amiri"/>
          <w:color w:val="111111"/>
          <w:sz w:val="28"/>
          <w:sz w:val="28"/>
          <w:szCs w:val="28"/>
          <w:rtl w:val="true"/>
          <w:lang w:bidi="ar-SA"/>
        </w:rPr>
        <w:t xml:space="preserve">ينتج ضدّ المقصود في بعض المقامات، كما في مورد إتلاف مال الغير؛ فإنّه لو ورد في هذا المقام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الفرد الصادر خارجاً من المتلف لا حكم له، كما أنّ هذا مفاد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الصادر من الساهي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السلب البسيط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فيه نفي الحكم بلسان نفي الموضوع، 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السلب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يستقيم في المقام أيضاً؛ لعدم كون السلب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تركيبياً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المزبور أيضاً،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الفرد الضرري لا حكم له، فمقتضاه بطلان نفس العقد؛ لأنّ العقد الغبني لو لم يكن له حكم فرفع خصوص اللزوم لا وجه له، وهذا بخلاف ما إذا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الناشئ منه الضرر ليس بمجعول؛ لأنّه لابدّ أن يلاحظ أنّ المجعول الذي ينشأ منه الضرر هل هو الصحّة، أو اللزوم؟ ولا إشكال أنّ الجزء الأخير للعلّة التامّة هو اللزوم لا الصحّة، فيجب أن يتعلّق الرفع به لا بالصحّة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المنفي هو عنوان الضرر، لا الفعل الموجب للضرر؛ لأنّ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أحدهما غير الآخر، فالضرر مسبّب </w:t>
      </w:r>
    </w:p>
    <w:p>
      <w:pPr>
        <w:pStyle w:val="BookText"/>
        <w:rPr/>
      </w:pPr>
      <w:r>
        <w:rPr>
          <w:rFonts w:ascii="Amiri" w:hAnsi="Amiri" w:eastAsia="Amiri" w:cs="Amiri"/>
          <w:color w:val="111111"/>
          <w:sz w:val="28"/>
          <w:sz w:val="28"/>
          <w:szCs w:val="28"/>
          <w:rtl w:val="true"/>
          <w:lang w:bidi="ar-SA"/>
        </w:rPr>
        <w:t>ومترتّب على الفعل، لا أنّه نفسه حتى يصحّ إطلاقه عليه من باب العنوان والمعنون، فإذا كان المراد منه نفي الحكم بلسان نفي الموضوع يلزم منه حينئذٍ نفي حرمة الإضرار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المنفي في المقام هو الفعل الضرري لأمكن القول بأنّ المراد منه نفي الحكم بلسان نفي الموضوع، كالوضوء الضرري مثلاً، وعلى هذا فما هو المنفي في المقام لا يمكن الالتزام بنفي حكمه بلسان نفي موضوعه، وما يمكن الالتزام بنفي حكمه بلسان نفي الموضوع غير منفي في المقام</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الضرر بالنسبة للحكم إمّا أن يكون تمام الموضوع، أو جزءه، أو قيده، وفي جميع هذه الأحوال يكون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للحكم، فكيف يعقل أن يكون مانعاً عن تحقّقه بأن يقال بنفي الحكم بلسان نفي موضوعه؟</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المحقّق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حاشيته على الكفاية،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القسم من النفي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نفي الحكم بلسان نفي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وأن يكون للموضوع المنفي آثار، شرعاً أو واقعاً، بأن تكون الآثار أحكاماً شرعية أو واقعية لهذا الموضوع، 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إنّ للصلاة آثاراً وأحكاماً ينفيها الشارع بلسان نفي الموضوع، </w:t>
      </w:r>
    </w:p>
    <w:p>
      <w:pPr>
        <w:pStyle w:val="BookText"/>
        <w:rPr/>
      </w:pPr>
      <w:r>
        <w:rPr>
          <w:rFonts w:ascii="IRNazanin" w:hAnsi="IRNazanin" w:eastAsia="IRNazanin"/>
          <w:color w:val="111111"/>
          <w:sz w:val="28"/>
          <w:sz w:val="28"/>
          <w:szCs w:val="28"/>
          <w:rtl w:val="true"/>
          <w:lang w:bidi="fa-IR"/>
        </w:rPr>
        <w:t>وكذا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أشباه الرجال ولا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للرجولية آثاراً ولوازم ينفيها بنفي الموضوع 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فيه ليس كذلك؛ لأنّ الضرر ليس موضوعاً لأحكام ولوازم شرعية حتى ينفيها بنفي الموضوع ادّعاءً، كما أنّه ليس له أوصاف ثابتة معلومة ينفيها الشارع بنفي موضوعها، بل لو كانت له آثار كذلك فليس المراد من نفي الضرر بلحاظ نفيها؛ لأنّ الغرض نفي الأحكام الموجبة للضرر من حيث تولّد الضرر منها، لا نفي الأحكام الثابتة للضرر من حيث كون الضرر موضوعاً لها؛ فإنّ تلك الأحكام ثابتة قطعاً في الشريعة، والأحكام المنفية ليست هي الأحكام الثابتة للضرر حتى يمكن نفيها بنفي الموضوع ادّعاءً، بل المنفي على هذا التقدير هو الأحكام الثابتة للعناوين الواقعية من حيث هي هي، ولا يمكن نفيها بنفي الضرر ادّعاءً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يذكر إيراد آخر للمحقّق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في الحقيقة مؤيّد لما ذكره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ذكر بأنّ النفي ليس نفياً للحقيقة ادّعاءً، بل نفي للحقيقة حقيقة، فراجع</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الإيرادات الواردة على مسلك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إيرادات، إلاّ إنّه بعد التأمّل فيها يظهر بأنّ ما ذكره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الثالث هو عين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الأوّل، ولكن بتقريب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النفي في الحديث بسيطاً، والمنفي هو </w:t>
      </w:r>
    </w:p>
    <w:p>
      <w:pPr>
        <w:pStyle w:val="BookText"/>
        <w:rPr/>
      </w:pPr>
      <w:r>
        <w:rPr>
          <w:rFonts w:ascii="Amiri" w:hAnsi="Amiri" w:eastAsia="Amiri" w:cs="Amiri"/>
          <w:color w:val="111111"/>
          <w:sz w:val="28"/>
          <w:sz w:val="28"/>
          <w:szCs w:val="28"/>
          <w:rtl w:val="true"/>
          <w:lang w:bidi="ar-SA"/>
        </w:rPr>
        <w:t>الضرر، وحيث إنّ النفي قد تعلّق بالضرر بلحاظ نفي حكمه وهو الحرمة، فحينئذٍ يلزم ما ذكره من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ذكره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كلامه يتّحد مع ما ذكره النائيني في الوجه الأوّل من أنّ الضرر بنفسه مورد للنفي، فيكون من السلب البسيط، ومن هنا أورد عليه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الضرر لا حكم له، مع أنّه يعتبر في الموضوع المنفي أن يكون ذا حكم، مع أنّ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حكمه الحرمة شرعاً، والقبح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كلامه متّحد مع ما ذكره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الرابع، من أنّ الضرر إذا كان موضوعاً فهو مقتضٍ للحكم، فكيف يعقل رفعه؟</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الإيرادات الخمسة ترجع في حقيقتها إلى ثلاثة ايرادات،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أحسن هذه التقريبات الثلاثة لهذا الإشكال هو ما ذكره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بعدم بثبوت حكم للضرر، بخلاف ما أفاده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حكمه الحرمة شرعاً، والقبح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الأحسنية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ليس حكمه الحرمة دائماً، بل قد يكون حكمه الوجوب، كما في الجهاد والزكوات والكفّارات وغيرها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حكم الضرر الحرمة للزم من حمل النفي على إرادة النهي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اللغوية، مع أنّه لم يستشكل في ذلك أحد حتى المحقّق النائيني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حكم الضرر هو الحرمة مخالف لما ذكره شيخ الشريعة من كون المراد من النفي في المقام هو النهي،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مؤكّد للحرمة، وليس نافياً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لم يذكر في كلام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النائيني وسيدنا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من الوجوه التي أوردت على هذا المسلك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للمحقّق النائيني، ووجه للسيد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ينبغي ملاحظة هذه الوجوه الثلاثة من جهة تماميتها وعدمها،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فيمكن الجواب عنه،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بناءً على كون المراد من النفي بنحو السلب البسيط، وأمّا بناء على كون المراد من النفي هو السلب التركيبي فلا يتمّ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من كلام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 وذلك لعدة قرائن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الآخوند الخراساني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مثّل لذلك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النفي في الحديث بنحو السلب التركيبي،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في غير المسجد ليست بصلاة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حاشيته على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مختاره أسلم من مختار الشيخ؛ حيث لا يرد عليه محذور تخصيص الكثير أو الأكثر، ولا محيص عن هذا المحذور على مختار الشيخ الأنصاري إلاّ بتكلّف</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في الكفاية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الذي أريد نفيه بنفي الضرر هو الحكم الثابت للأفعال بعناوينها أو المتوهّم ثبوته لها كذلك في حال الضرر، لا الثابت له بعنوانه؛ لوضوح أنّه العلّة للنفي، ولا يكاد يكون الموضوع يمنع عن حكمه وينفيه، بل يثبته ويقتضيه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صريح في كون المنفي هو الفعل الموجب للضرر الذي يكون النفي فيه بنحو السلب التركيبي، وعلى هذا فلا يرد عليه محذور خلاف المقصود كما ذكر ذلك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أنّه هل هو من السلب البسيط، أو التركيبي؟ وهذا ما سنتعرّض إليه إن شاء الله في محلّه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فلا يمكن المساعدة عليه؛ وذلك لأنّ العقد الغبني وإن كان هو موضوع الضرر، إلاّ إنّ له حكمين في عرض واحد، أحدهما الحكم بنفوذه وصحّته، والآخر وجوب الوفاء به ولزومه، والموجب للضرر إنّما هو الثاني لا الأوّل؛ لكونه الجزء الأخير للعلّة، وحينئذٍ فالموضوع المرفوع هو اللزوم، حيث أوجب الضرر، ولا يرفع الموضوع من جميع جهاته حتى من </w:t>
      </w:r>
    </w:p>
    <w:p>
      <w:pPr>
        <w:pStyle w:val="BookText"/>
        <w:rPr/>
      </w:pPr>
      <w:r>
        <w:rPr>
          <w:rFonts w:ascii="Amiri" w:hAnsi="Amiri" w:eastAsia="Amiri" w:cs="Amiri"/>
          <w:color w:val="111111"/>
          <w:sz w:val="28"/>
          <w:sz w:val="28"/>
          <w:szCs w:val="28"/>
          <w:rtl w:val="true"/>
          <w:lang w:bidi="ar-SA"/>
        </w:rPr>
        <w:t>جهة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فهو إنّما يرد فيما لو كان النفي بنحو السلب البسيط، وأمّا لو كان النفي بنحو السلب التركيبي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مخرجاً لبعض الأفراد من تحت العموم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خصوصاً مع التفات المحقّق الآخوند إلى أنّ الموضوع لا يكون مانعاً عن حكمه، وأنّ الحكم غير مترتّب على الموضوع بعنوانه، بل مترتّب عليه بنحو الإطلاق،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الذي أريد نفيه بنفي الضرر هو الحكم الثابت للأفعال بعناوينها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الثابت له بعنوانه؛ لوضوح أنّه العلّة للنفي، ولا يكاد يكون الموضوع يمنع عن حكمه وينفيه، بل يثبته ويقتضيه</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من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غفل عمّا ورد في كلام المحقّق الآخوند في الكفاية وأورد عليه الإيراد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الإيرادات الثلاثة كلّها مدفوعة وغير واردة على هذا المسلك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 هنا إيراداً آخر قد ذكره بعض السادة الأجلاّء،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ما ذكره المحقّق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المراد من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نفي الحكم بلسان نفي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متوقّفة على أن يكون المراد من الموضوع هو الأعمّ من الموضوع الاصطلاحي ومن متعلّق الحكم،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أريد منه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فرض وجوده ورتّب عليه الحكم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الحج على المستطيع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تامّ؛ لأنّ علاقة الموضوع بالحكم علاقة العلّة بالمعلول، فهو متقدّم عليه رتبة، فلذا يصحّ نفيه بلسان نفيه، وإذا أريد منه متعلّق الحكم الذي هو فعل المكلف والمعلول والناشئ من الحكم، فلا يكون وجوده وعدمه كاشفاً عن وجود الحكم وعدمه، بل وجود المتعلّق مسقط للحكم، كما أنّ عدمه لا يوجب عدم الحكم، ولذا لو عصى المكلف ولم يأتِ بالمتعلّق في الخارج فلا يوجب ذلك عدم الحكم،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المتعلّق لا يكشف عن عدم الحكم، فلذا لا يصحّ نفي الحكم بنفي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هو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للضرر كالصوم الضرري أو البيع الضرري وأمثال ذلك، والتي يكون المنفي فيها المتعلّق لا الموضوع</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الإيراد قابل للدفع؛ فإنّه وإن كان هناك فرق بين الموضوع والمتعلّق، إلاّ إنّه لا أثر له هنا، أي في باب نفي الحكم بلسان نفي موضوعه؛ لأنّه كما يلزم من رفع الموضوع رفع الحكم كذلك من رفع المتعلّق يلزم رفع الحكم، إلاّ إنّ رفع الحكم برفع متعلّقه تارة يكون الرفع فيه تكوينياً كما في عصيان المكلّف وعدم إتيانه بالمتعلّق، وأخرى تشريعياً كما لو فرض الشارع المتعلّق في مقام التشريع معدوماً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لم يبيّت نية الصوم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حينئذٍ أن يبعث المولى المكلّف نحو إيجاد المتعلّق بعدما فرضه معدوماً دائماً؛ لخروجه عندئذٍ عن </w:t>
      </w:r>
      <w:bookmarkStart w:id="102" w:name="pg8595_75492"/>
    </w:p>
    <w:p>
      <w:pPr>
        <w:pStyle w:val="BookText"/>
        <w:rPr/>
      </w:pPr>
      <w:bookmarkEnd w:id="102"/>
      <w:r>
        <w:rPr>
          <w:rFonts w:ascii="Amiri" w:hAnsi="Amiri" w:eastAsia="Amiri" w:cs="Amiri"/>
          <w:color w:val="111111"/>
          <w:sz w:val="28"/>
          <w:sz w:val="28"/>
          <w:szCs w:val="28"/>
          <w:rtl w:val="true"/>
          <w:lang w:bidi="ar-SA"/>
        </w:rPr>
        <w:t>قدرة المكلّف، فلا يستقيم جعل الحكم بداعي البعث والامتثال نحوه، وعلى هذا فكما يصحّ رفع الحكم بلسان رفع موضوعه، كذلك يصحّ رفع الحكم بلسان رفع متعلّقه؛ لعدم الفرق بينهما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ورود روايات كثيرة وقع النفي فيها على المتعلّق،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لمن لم يرد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 بين المسلمين فوق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مناجشة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الموارد التي ورد فيها النفي على المتعلّق</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770900_653776707"/>
      <w:bookmarkStart w:id="104" w:name="_Toc37"/>
      <w:bookmarkEnd w:id="103"/>
      <w:r>
        <w:rPr>
          <w:rtl w:val="true"/>
        </w:rPr>
        <w:t>تقرير المسلك الثالث</w:t>
      </w:r>
      <w:bookmarkEnd w:id="104"/>
    </w:p>
    <w:p>
      <w:pPr>
        <w:pStyle w:val="BookText"/>
        <w:rPr/>
      </w:pPr>
      <w:r>
        <w:rPr>
          <w:rFonts w:ascii="Amiri" w:hAnsi="Amiri" w:eastAsia="Amiri" w:cs="Amiri"/>
          <w:color w:val="111111"/>
          <w:sz w:val="28"/>
          <w:sz w:val="28"/>
          <w:szCs w:val="28"/>
          <w:rtl w:val="true"/>
          <w:lang w:bidi="ar-SA"/>
        </w:rPr>
        <w:t xml:space="preserve">وأمّا تقرير المسلك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شيخ الشريعة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بالنفي النهي عن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بيان أصل المسلك، وإنّما الكلام في مثبتاته وما يرد عليها، والذي يظهر من شيخ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عدّة وجوه تثبت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النظير لهذا التركيب في الكتاب والسنّة ممّا يدلّ على إرادة النهي منه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الكتاب، فنظيره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رَفَثَ وَلا فُسُوقَ وَلا جِدَالَ فِي </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لَكَ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أَنْ تَقُولَ لا مِسَاسَ</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في السنّة، فنظيره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جنب ولا شغار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إخصاء في الإسلام، ولا بنيان كنسية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صمات يوم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غشّ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ذهبنا لنستقصي ما وقع من نظائرها في الروايات واستعمالات الفصحاء نظماً ونثراً لطال المقال وأدّى الملال، وفيما ذكرنا كفاية في إثبات شيوع هذا المعنى في هذا التركيب، وفي ردّ إرادة غيره من المعاني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فإنّ المنسبق إلى الأذهان الصافية والفارغة عن الشبهات العلمية من مثل هذا التركيب هو النهي،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أنّ المتبادر إلى الأذهان الخالية من أهل المحاورات قبل أن يورد عليها شبهة التمسّك بالحديث في نفي الحكم الوضعي ليس إلاّ النهي التكليفي</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ثبت في رواية ابن مسكان عن زرارة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على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أنّ هذا اللفظ بهذه الزيادة ظاهر في النهي، ولا </w:t>
      </w:r>
    </w:p>
    <w:p>
      <w:pPr>
        <w:pStyle w:val="BookText"/>
        <w:rPr/>
      </w:pPr>
      <w:r>
        <w:rPr>
          <w:rFonts w:ascii="Amiri" w:hAnsi="Amiri" w:eastAsia="Amiri" w:cs="Amiri"/>
          <w:color w:val="111111"/>
          <w:sz w:val="28"/>
          <w:sz w:val="28"/>
          <w:szCs w:val="28"/>
          <w:rtl w:val="true"/>
          <w:lang w:bidi="ar-SA"/>
        </w:rPr>
        <w:t>معنى لحمله على سائر المعاني الأخرى</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 ولا ضرر ولا ضرار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ابن مسكان عن زرارة، إنّما هو بمنزلة صغرى وكبرى، فلو حمل على إرادة الحرمة لصار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والمضارّة حرام، وهو المناسب لتلك الصغرى، وهذا بخلاف حمله على المعاني الأخرى المذكورة، فحينئذٍ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رجل مضارّ، والحكم الموجب للضرر منفي، أو الحكم المجعول منفي في صورة الضرر، وهذا لا يتناسب مع الصغرى المتقدّمة، بل لا أظن بالأذهان المستقيمة ارتضاءه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أئمّة أرباب اللغة على أنّ المراد من النفي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بعض كلمات أئمّة اللغة ومهرة أهل اللسان تراهم متّفقين على إرادة النهي لا يرتابون فيه ولا يحتملون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الرجل أخاه فينقصه شيئاً من حقّه، والضرار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من الضرّ،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يجازيه على إضراره بإدخال الضرر عليه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الرجل أخاه، وهو ضدّ </w:t>
      </w:r>
    </w:p>
    <w:p>
      <w:pPr>
        <w:pStyle w:val="BookText"/>
        <w:rPr/>
      </w:pPr>
      <w:r>
        <w:rPr>
          <w:rFonts w:ascii="Amiri" w:hAnsi="Amiri" w:eastAsia="Amiri" w:cs="Amiri"/>
          <w:color w:val="111111"/>
          <w:sz w:val="28"/>
          <w:sz w:val="28"/>
          <w:szCs w:val="28"/>
          <w:rtl w:val="true"/>
          <w:lang w:bidi="ar-SA"/>
        </w:rPr>
        <w:t xml:space="preserve">النفع،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يضارّ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الرجل أخاه فينقصه شيئاً من حقّه،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يجازيه على إضراره بإدخال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تاج العروس، مثل هذا بعينه، وكذا الطريحي في المجمع</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الثالث من عدم ورود محذور تخصيص الأكثر أو الكثير على القاعدة، بناءً على كون المعنى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التكليفي، وأنّ هذا المحذور يبتني على إرادة المعنى الذي رجّحوه من التعميم للتكليفي والوضعي، وللضرر الناشئ من أركان المعاملة وشروطها وما يترتّب عليها ممّا هو خارج عنها</w:t>
      </w:r>
      <w:r>
        <w:rPr>
          <w:rStyle w:val="FootnoteAnchor"/>
          <w:rtl w:val="true"/>
        </w:rPr>
        <w:footnoteReference w:id="243"/>
      </w:r>
      <w:r>
        <w:rPr>
          <w:rFonts w:ascii="Amiri" w:hAnsi="Amiri" w:eastAsia="Amiri" w:cs="Amiri"/>
          <w:color w:val="111111"/>
          <w:sz w:val="28"/>
          <w:sz w:val="28"/>
          <w:szCs w:val="28"/>
          <w:rtl w:val="true"/>
          <w:lang w:bidi="ar-SA"/>
        </w:rPr>
        <w:t>، فلذا تصدّوا لردّ هذا المحذور، ممّا يشكّل قرينة على بطلان ما قالوه في تفسير الحديث بنفي الحكم الضرري وتعيّن إرادة المعنى الذي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 هذه الوجوه قابلة للمناقشة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فإنّ دلالة هذا التركيب على النهي في الجملة غير قابلة للإنكار؛ وذلك لأنّ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تارة يكون من الأعيان،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أشباه الرجال ولا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إشكال في عدم دلالته على النهي</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من الأفعال غير الاختيارية الخارجة عن قدرة المكلّف، </w:t>
      </w:r>
    </w:p>
    <w:p>
      <w:pPr>
        <w:pStyle w:val="BookText"/>
        <w:rPr/>
      </w:pP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شكّ لكثير 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للإمام مع حفظ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في 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سهو في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ونظائرها ممّا لا يكون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النافية فعلاً اختيارياً، فلا يراد حينئذٍ من النفي النهي؛ وذلك لاعتبار القدرة في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يكون من الأفعال الاختيارية للمكلّف،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رَفَثَ وَلا فُسُوقَ وَلا جِدَالَ فِي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هجر بين المسلمين فوق ثلاثة 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غشّ بين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وإن دلّت على النهي والحرمة، إلاّ أنّه قد ورد بعض الأمثلة التي تدلّ على نفي الحكم، أو على نفي الموضوع،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يتم بعد احتلام، ولا طلاق قبل نكاح، ولا عتق قبل ملك، ولا يمين لولد مع والده، ولا للمملوك مع مولاه، ولا للمرأة مع زوجها، ولا نذر في معصية، ولا يمين في قطيعة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يمين في غضب، ولا في قطيعة رحم، ولا في جبر ولا إكراه</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إلاّ على كتاب الله، ولا عتق إلاّ لوجه الله</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إلاّ لمن أراد الطلاق</w:t>
      </w:r>
      <w:r>
        <w:rPr>
          <w:rFonts w:eastAsia="IRNazanin" w:cs="IRNazanin"/>
          <w:color w:val="111111"/>
          <w:sz w:val="28"/>
          <w:szCs w:val="28"/>
          <w:rtl w:val="true"/>
          <w:lang w:bidi="fa-IR"/>
        </w:rPr>
        <w:t>»</w:t>
      </w:r>
      <w:r>
        <w:rPr>
          <w:rStyle w:val="FootnoteAnchor"/>
          <w:rtl w:val="true"/>
        </w:rPr>
        <w:footnoteReference w:id="2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ببيّنة</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طلاق إلاّ على السنّة، ولا طلاق إلاّ على طهر من غير جماع</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لا يبيّت الصيام بالليل</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نكاح إلاّ بولي مرشد وشاهدي عدل</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شفعة في سفينة، ولا في نهر، ولا في طريق</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إلاّ من حرز</w:t>
      </w:r>
      <w:r>
        <w:rPr>
          <w:rFonts w:eastAsia="IRNazanin" w:cs="IRNazanin"/>
          <w:color w:val="111111"/>
          <w:sz w:val="28"/>
          <w:szCs w:val="28"/>
          <w:rtl w:val="true"/>
          <w:lang w:bidi="fa-IR"/>
        </w:rPr>
        <w:t>»</w:t>
      </w:r>
      <w:r>
        <w:rPr>
          <w:rStyle w:val="FootnoteAnchor"/>
          <w:rtl w:val="true"/>
        </w:rPr>
        <w:footnoteReference w:id="2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ظهار إلاّ ما أريد به الظهار</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وغير ذلك من الموارد التي لو أردنا استقصاءها لطال المقال، وأدّى الملال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وجه تُرجّح إرادة النهي من هذا التركيب وتُجعل دليلاً على هذا المسلك؟</w:t>
      </w:r>
    </w:p>
    <w:p>
      <w:pPr>
        <w:pStyle w:val="BookText"/>
        <w:rPr/>
      </w:pPr>
      <w:r>
        <w:rPr>
          <w:rFonts w:ascii="Amiri" w:hAnsi="Amiri" w:eastAsia="Amiri" w:cs="Amiri"/>
          <w:color w:val="111111"/>
          <w:sz w:val="28"/>
          <w:sz w:val="28"/>
          <w:szCs w:val="28"/>
          <w:rtl w:val="true"/>
          <w:lang w:bidi="ar-SA"/>
        </w:rPr>
        <w:t>ومن هنا يظهر أيضاً عدم تمامية ما ذكره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معهودية استعمال هذا التركيب في النهي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شيوع هذا التركيب في الكتاب والسنّة لا يدلّ على إرادة </w:t>
      </w:r>
    </w:p>
    <w:p>
      <w:pPr>
        <w:pStyle w:val="BookText"/>
        <w:rPr/>
      </w:pPr>
      <w:r>
        <w:rPr>
          <w:rFonts w:ascii="Amiri" w:hAnsi="Amiri" w:eastAsia="Amiri" w:cs="Amiri"/>
          <w:color w:val="111111"/>
          <w:sz w:val="28"/>
          <w:sz w:val="28"/>
          <w:szCs w:val="28"/>
          <w:rtl w:val="true"/>
          <w:lang w:bidi="ar-SA"/>
        </w:rPr>
        <w:t>النهي منه ما لم يحتف بقرينة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فممنوع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فلما تقدّم من شيوع مثل هذا التركيب في غير النهي أيضاً، فكيف يصحّ حينئذٍ دعوى التبادر في إرادة النهي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فإنّ التبادر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يكون علامة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لتحصيل المعنى الاستعمالي، وأمّا ما كان منه لتطبيق المعنى التفهيمي على المعنى الاستعمالي، أو ما كان لتشخيص المعنى التفهيمي في حال تردّده بين محتملات متعدّدة، فغير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النفي فيما نحن فيه على النهي إمّا من باب التطبيق، وإمّا من باب التعيين للمعنى التفهيمي بعد التسليم بمخالفته للمعنى الاستعمالي، والمناط فيهما وجود القرينة المعيّنة لأحد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مقتضى أصالة تطابق الإرادتين الاستعمالية والجدّية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النفي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فممنوع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رواية ابن مسكان عن زرارة، وقد تقدّم أنّها ليست بحجّة؛ لكونها مرسلة، وعليه فلم يقم دليل معتبر على ثبوت هذه الزيادة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بثبوت هذه الزيادة في دليل معتبر، والأخذ بها </w:t>
      </w:r>
    </w:p>
    <w:p>
      <w:pPr>
        <w:pStyle w:val="BookText"/>
        <w:rPr/>
      </w:pPr>
      <w:r>
        <w:rPr>
          <w:rFonts w:ascii="Amiri" w:hAnsi="Amiri" w:eastAsia="Amiri" w:cs="Amiri"/>
          <w:color w:val="111111"/>
          <w:sz w:val="28"/>
          <w:sz w:val="28"/>
          <w:szCs w:val="28"/>
          <w:rtl w:val="true"/>
          <w:lang w:bidi="ar-SA"/>
        </w:rPr>
        <w:t>أيضاً في حالة الدوران بين الزيادة والنقيصة، فيمكن المنع من دلالة هذه الزيادة على النهي التحريمي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المحتملات في الحديث أربعة،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النفي نفي الحكم الضرري، ويدل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 نفي الحكم الضرري بالمؤمن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نفي الحكم بلسان نفي الموضوع،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الفعل الضرري، والمقصود منه نفي حكمه، وهذا ما اختاره الآخوند الخراساني</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النهي التحريمي، فالمنفي حينئذٍ الجواز،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الإضرار بالمؤمن، وهذا ما اختاره شيخ الشريعة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يشتمل على بيان حكمين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نفي الحكم الوضعي، والثاني نفي الحكم التكليفي، وهذا ما ذهب إليه سيد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 أو على نحو التفكيك بين الفقرتين الواردتين في الحديث، 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تدلّ على نفي الحكم الضرري،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تدلّ على النهي التحريمي، وهذا ما اختاره بعض السادة الأجلاّء</w:t>
      </w:r>
      <w:r>
        <w:rPr>
          <w:rStyle w:val="FootnoteAnchor"/>
          <w:rtl w:val="true"/>
        </w:rPr>
        <w:footnoteReference w:id="26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معيّنة للوجه الثالث بالرغم من صحّة استعماله في جميع هذه المعاني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لم يظهر لنا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شيخ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إرادة النهي من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فقد ظهر جوابه ممّا تقدّم؛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مضار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يرد في دليل معتبر، وإنّما ورد في رواية ابن مسكان عن زرارة، وهي غير معتبرة؛ لكونها مرسلة، إلاّ أن يقال باعتبارها من الوجهين اللذين تقدّما في نقل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هذه الجملة وردت في رواية أبي عبيدة الحذّاء، إلاّ إنّها غير متعرّضة لبيان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يمكن التمسّك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ثبوتها في دليل معتبر فليس هذا وجهاً معيّناً للمعنى الثالث بعدما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الاحتمال الرابع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نفي الحكم الوضعي، والثاني النهي التحريمي، فحينئذٍ لا يبقى وجه للمعنى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فقد أجيب عنه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المعاجم الخمسة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في حقيقتها إلى مصدرٍ واحد وهو النهاية لابن الأثير، ففي جزء منها تجميع لكتاب غريبي الحديث والقرآن لأبي عبيد أحمد بن محمّد الهروي، وكتاب الغيث في تهذيب القرآن والحديث للحافظ أبي موسى محمّد الأصفهاني، وقد جعل لكلّ منهما علامة </w:t>
      </w:r>
    </w:p>
    <w:p>
      <w:pPr>
        <w:pStyle w:val="BookText"/>
        <w:rPr/>
      </w:pPr>
      <w:r>
        <w:rPr>
          <w:rFonts w:ascii="Amiri" w:hAnsi="Amiri" w:eastAsia="Amiri" w:cs="Amiri"/>
          <w:color w:val="111111"/>
          <w:sz w:val="28"/>
          <w:sz w:val="28"/>
          <w:szCs w:val="28"/>
          <w:rtl w:val="true"/>
          <w:lang w:bidi="ar-SA"/>
        </w:rPr>
        <w:t xml:space="preserve">تدلّ عليه، وأمّا سائر المعاجم الأخرى فهي تنقل عن ابن الأثير، فحينئذٍ كيف يدّعى اتّفاق أئمّة اللغة ومهرة أهل اللسان على إرادة النهي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دليل على اعتبار فهم أرباب اللغة، على أنّ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النهي ليس إلاّ مجرّد حدس واجتهاد منهم؛ لعدم نقلهم ذلك عن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نقلهم لمعاني المفردات لا ريب في كونه مرجّحاً دون معاني المركّبات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والقول باعتبار قول اللغويين، إلاّ إنّه معارض بفهم الفقهاء؛ فإنّ المشهور عنهم عدم استفادة النهي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يتمسّكون به في موارد الأحكام الوضعية والتكليفية،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حال التردّد بين القولين يقدّم قول الفقهاء على اللغويين؛ لكون فهمهم للروايات مستنداً لملاحظة النكات والملابسات المكتنفة بالروايات، فيكون فهمهم أقرب للواقع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السادس؛ فيجاب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عدم لزوم محذور تخصيص الأكثر أو الكثير لا تختصّ بالمعنى الذي اختاره شيخ الشريعة، بل تقدّم من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تمسّك بهذا الوجه لإثبات صحّة دعواه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تنبيهات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محذور تخصيص </w:t>
      </w:r>
    </w:p>
    <w:p>
      <w:pPr>
        <w:pStyle w:val="BookText"/>
        <w:rPr/>
      </w:pPr>
      <w:r>
        <w:rPr>
          <w:rFonts w:ascii="Amiri" w:hAnsi="Amiri" w:eastAsia="Amiri" w:cs="Amiri"/>
          <w:color w:val="111111"/>
          <w:sz w:val="28"/>
          <w:sz w:val="28"/>
          <w:szCs w:val="28"/>
          <w:rtl w:val="true"/>
          <w:lang w:bidi="ar-SA"/>
        </w:rPr>
        <w:t>الأكثر أو الكثير غير وارد، وأنّه مدفوع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الوجوه التي استدلّ بها شيخ الشريعة غير ناهضة لإثبات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قد أورد على هذا المسلك بوجوه، أهمّها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شيخ الشريعة لا يناسب التخفيف على الأمّة الموجب للامتنان عليهم، بل كان حينئذٍ تحميلاً آخر وإلزاماً زائداً عليهم، وهو ينافي بناءهم على سوقه الوارد مساق حديث الرفع وعمومات نفي الحرج من حيث التخفيف على الأمّة بشهادة تصريحهم بعدم شمول عمومه للمقدّم على الضرر في المعاملات الغبنية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النهي من الحديث وإن كان ممكناً في نفسه، إلاّ إنّه لا يمكن الالتزام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 على اشتمال الرواية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رواية الفقيه ونهاية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هذا القيد كاشف عن أنّ المراد هو النفي في مقام التشريع لا نفي الوجود الخارجي بداعي الزجر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عدم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لكون رواية الفقيه مرسلة، وما ذكره ابن الأثير رواية عامّية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فتحتاج إرادة النهي من النفي إلى قرينة صارفة، </w:t>
      </w:r>
      <w:bookmarkStart w:id="105" w:name="pg8595_75503"/>
    </w:p>
    <w:p>
      <w:pPr>
        <w:pStyle w:val="BookText"/>
        <w:rPr/>
      </w:pPr>
      <w:bookmarkEnd w:id="105"/>
      <w:r>
        <w:rPr>
          <w:rFonts w:ascii="Amiri" w:hAnsi="Amiri" w:eastAsia="Amiri" w:cs="Amiri"/>
          <w:color w:val="111111"/>
          <w:sz w:val="28"/>
          <w:sz w:val="28"/>
          <w:szCs w:val="28"/>
          <w:rtl w:val="true"/>
          <w:lang w:bidi="ar-SA"/>
        </w:rPr>
        <w:t>والفرض عدمها، فلا موجب حينئذٍ لرفع اليد عن الظهور وحمل النفي على النهي؛ لإمكان حمل القضيّة على الخبرية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إنّ ما ذكر من وجهي الإيراد لا يمكن المساعدة عليهما؛ لأنّهما يتمّان فيما إذا أريد من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وكان استعمال نفي الضرر خارجاً بداعي الزجر، فحينئذٍ لا يتناسب هذا مع ظهور الحديث في الامتنان، واشتماله أيضاً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 نفي الحكم في عالم التشريع، وأمّا لو أريد منه نفي الحكم الضرري، أو نفي الحكم بلسان موضوعه ابتداءً لإفهام نفي جواز الضرر في الشريعة، فحينئذٍ لا يتنافى مع ما ذكر في وجهي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ما أفاده شيخ الشريعة وإن كان يوهم إرادة الأوّل، إلاّ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 ذلك في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المدّعى أنّ حديث الضرر يراد به إفادة النهي عنه، سواء كان هذا باستعمال التركيب في النهي ابتداءً، أو أنّه استعمال في معناه الحقيقي، وهو النفي، ولكن لينتقل منه إلى إرادة الغير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ما ذكره المحقّق العراقي والسيد الأستاذ </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770902_653776707"/>
      <w:bookmarkStart w:id="107" w:name="_Toc38"/>
      <w:bookmarkEnd w:id="106"/>
      <w:r>
        <w:rPr>
          <w:rtl w:val="true"/>
        </w:rPr>
        <w:t>تقرير المسلك الرابع</w:t>
      </w:r>
      <w:bookmarkEnd w:id="107"/>
    </w:p>
    <w:p>
      <w:pPr>
        <w:pStyle w:val="BookText"/>
        <w:rPr/>
      </w:pPr>
      <w:r>
        <w:rPr>
          <w:rFonts w:ascii="Amiri" w:hAnsi="Amiri" w:eastAsia="Amiri" w:cs="Amiri"/>
          <w:color w:val="111111"/>
          <w:sz w:val="28"/>
          <w:sz w:val="28"/>
          <w:szCs w:val="28"/>
          <w:rtl w:val="true"/>
          <w:lang w:bidi="ar-SA"/>
        </w:rPr>
        <w:t xml:space="preserve">وأمّا تقرير المسلك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الفاضل التوني والفاضل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المنفي هو الضرر غير المتدارك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بيانه بنحوين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نفي الحصّة الخاصّة من الضرر،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غير </w:t>
      </w:r>
    </w:p>
    <w:p>
      <w:pPr>
        <w:pStyle w:val="BookText"/>
        <w:rPr/>
      </w:pPr>
      <w:r>
        <w:rPr>
          <w:rFonts w:ascii="Amiri" w:hAnsi="Amiri" w:eastAsia="Amiri" w:cs="Amiri"/>
          <w:color w:val="111111"/>
          <w:sz w:val="28"/>
          <w:sz w:val="28"/>
          <w:szCs w:val="28"/>
          <w:rtl w:val="true"/>
          <w:lang w:bidi="ar-SA"/>
        </w:rPr>
        <w:t xml:space="preserve">المتداركة،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إخباراً عن نفي هذه الحصّة الخاصّة، ولازمه أنّ كلّ ضرر 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نفي الضرر مطلقاً بلحاظ أنّ الضرر الواقع في الخارج متدارك ويثبت به الضمان، فينزّل الضرر منزلة العدم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هذين النحوين واضح؛ إذ بناءً على النحو الأوّل يكون المنفي مقيّداً بغير المتدارك، بخلاف النحو الثاني فإنّ المنفي مطلق، وفيه عناية وتسامح بتنزيله منزلة العدم، كما أنّ النافي في النحو الأوّل أصالتا الإطلاق وعدم الحذف، وفي النحو الثاني أصالتا الحقيقة والتطابق بين الإرادتين، ويشترك كلا النحوين في أنّ لازمهما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ضرر يوجب التدارك والضمان فيما لو كان الضرر صادراً من الغير؛ إذ لا معنى أن يتدارك أو يضمن الإنسان الضرر الذي أدخله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تعيين هذا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المنفي فيه احتمالات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المنفي هو مطلق الضرر والنقص، الأعمّ من كونه متداركاً في الخارج، أو غير متداركٍ، أو محكوماً بالتدارك أو 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المنفي هو الحصّة الخاصّة من الضرر،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غير المتدارك خارجاً، بلحاظ أنّ الضرر والنقص المتدارك ليس مصداقاً للضرر كبذل المثل أو القيمة عوضاً عمّا تلف من الأموال، فلذا لا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تضرّر، بل لم يخسر شيئاً؛ لأنّه أخذ عوض ما خسره وتدارك الضرر والنقص، </w:t>
      </w:r>
    </w:p>
    <w:p>
      <w:pPr>
        <w:pStyle w:val="BookText"/>
        <w:rPr/>
      </w:pPr>
      <w:r>
        <w:rPr>
          <w:rFonts w:ascii="Amiri" w:hAnsi="Amiri" w:eastAsia="Amiri" w:cs="Amiri"/>
          <w:color w:val="111111"/>
          <w:sz w:val="28"/>
          <w:sz w:val="28"/>
          <w:szCs w:val="28"/>
          <w:rtl w:val="true"/>
          <w:lang w:bidi="ar-SA"/>
        </w:rPr>
        <w:t>فكأنّما لم يتضرّر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المنفي هو الضرر والنقص غير المحكوم بلزوم تداركه شرعاً فيما لو كان في القانون قوّة واستعداد لتنفيذ الحكم تضمن تحقّق التدارك، فيعدّ هذا النقص حينئذٍ بمنزلة المعدوم عرفاً وعادة، فيصحّ عندئذٍ نفي الضرر والنقص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المحتملات الثلاثة في المنفي، بناءً على هذا المسلك، وحيث إنّ الاحتمال الأوّل والثاني غير صحيح؛ لكون الأوّل مخالفاً لوجود الضرر والنقص في الخارج غير المتدارك قطعاً، ولعدم تدارك كلّ نقص وضرر تحقّق في الخارج حتماً في الثاني، فيتعيّن حينئذٍ إرادة الاحتمال الثالث، فيكون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النقص غير المحكوم شرعاً بالضمان، ولازمه إثبات حكم شرعي بالتدارك والضمان على كلّ مَن أدخل الضرر والنقص على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الأعلام قد ناقشوا هذا المسلك بعدّة مناقشات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التدارك الموجب لانتفاء الضرر إنّما هو التدارك الفعلي الخارجي، فمَن خسر مالاً ثمّ ربح بمقداره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تسامحاً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 يتضرّر، وأمّا مجرّد حكم الشارع بوجوب تداركه مع عدم تعقّبه بالتدارك فعلاً لا يصحّح تنزيله منزلة العدم، فمن سرق ماله فهو متضرّر وإن حكم الشارع بوجوب ردّه عليه؛ لعدم صدق الضرر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فمنشأ هذا الاحتمال هو الخلط بين الضرر المتدارك فعلاً والضرر المحكوم بلزوم تداركه، والمناسب للمعنى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نفي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كلامه يتضمّن مناقشة جواب الشيخ، فلا بأس ببيان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المنفي عنواناً اختيارياً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وتعذّر حمله على النفي الحقيقي التكويني، فعندئذٍ لابدّ من حمله على النفي التشريعي، وهو على مراتب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بلسان نفي الموضوع، أي نفي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لزوم تداركه وضعاً، أو بلحاظ حكمه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العدم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المراتب الأربع طولية، لا يتنزّل من كلّ سابق إلى لاحقه إلاّ بعد تعذّر السابق، وأمّا مع إمكانه فلا وجه لإرادة هذا المعنى الذي هو أردأ الوجوه إلاّ على توجيه،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الفقهاء في باب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تلفت العين المضمونة فيجب على الضامن تداركها، إمّا بالمثل أو القيمة، 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أداء </w:t>
      </w:r>
    </w:p>
    <w:p>
      <w:pPr>
        <w:pStyle w:val="BookText"/>
        <w:rPr/>
      </w:pPr>
      <w:r>
        <w:rPr>
          <w:rFonts w:ascii="Amiri" w:hAnsi="Amiri" w:eastAsia="Amiri" w:cs="Amiri"/>
          <w:color w:val="111111"/>
          <w:sz w:val="28"/>
          <w:sz w:val="28"/>
          <w:szCs w:val="28"/>
          <w:rtl w:val="true"/>
          <w:lang w:bidi="ar-SA"/>
        </w:rPr>
        <w:t xml:space="preserve">المثل أو القيمة بمنزلة أداء نفس العين التي يجب أداؤها 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حكمنا باشتغال ذمّة الضارّ وضعاً صحّ تنزيل الضرر الموجود منزلة المعدوم، كما يصحّ تنزيل المعدوم منزلة الموجود في العين التالفة، وهذا التنزيل في العرف شائع؛ ولذا يخسرون الأموال لجلب المنافع، وإذا حصل لهم النفع فلا يعدّون ما خسروه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وجود التدارك تكليفاً لا يقتضي صحّة تنزيل الضرر المفروض وجوده 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الجعل الشرعي لا يرفع الضرر الخارجي إذا كان تكليفياً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انتقلت قيمة العين التي أتلفها المتلف إلى ذمّته،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كما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العين إذا أدّى مثلها أو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أفاده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كون هذا الوجه أردأ الاحتمالات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الضرر الخارجي لا ينزّل منزلة العدم بمجرّد حكم الشارع بلزوم تداركه، وإنّما المنزّل منزلته الضرر المتدارك فعلاً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لجعل النفي كناية عن وجوب التدارك تكليفاً، بل إذا </w:t>
      </w:r>
    </w:p>
    <w:p>
      <w:pPr>
        <w:pStyle w:val="BookText"/>
        <w:rPr/>
      </w:pPr>
      <w:r>
        <w:rPr>
          <w:rFonts w:ascii="IRNazanin" w:hAnsi="IRNazanin" w:eastAsia="IRNazanin"/>
          <w:color w:val="111111"/>
          <w:sz w:val="28"/>
          <w:sz w:val="28"/>
          <w:szCs w:val="28"/>
          <w:rtl w:val="true"/>
          <w:lang w:bidi="fa-IR"/>
        </w:rPr>
        <w:t xml:space="preserve">وصل الأمر إلى هذا فيجعل كناية عن اشتغال ذمّة الضارّ وضعاً، فينزّل منزلة العدم بهذا الاعتبار، فما جعله وجهاً لكونه أردأ الاحتمالات لا يصلح إلاّ معيناً لما يستكشف من هذا التنزيل، لا دليلاً على الامتناع، فوجه الامتناع أنّه لا تصل النوبة إلى فرض الموجود منزلة المعدوم؛ إذ بعد كون الضرر من العناوين الاختياريّة الصالحة لتعلّق الأحكام بها، فإخراجه عن هذه الصلاحيّة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وجوده، وكذلك إخراج النفي الوارد عليه عن كونه حكماً شرعيّاً بجعله مسوقاً لإفادة حكم آخر، وهو اشتغال ذمّة الضارّ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غاية البُعد، ونهاية الغرابة، مع أنّك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يجعل أحد من الفقهاء الضرر من أسباب الضمان، إلاّ إذا دخل تحت عنوان الإتلاف، ويرجع إليه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 الكناني، 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بشيء في طريق المسلمين فهو له ضامن</w:t>
      </w:r>
      <w:r>
        <w:rPr>
          <w:rStyle w:val="FootnoteAnchor"/>
          <w:rtl w:val="true"/>
        </w:rPr>
        <w:footnoteReference w:id="266"/>
      </w:r>
      <w:r>
        <w:rPr>
          <w:rFonts w:ascii="IRNazanin" w:hAnsi="IRNazanin" w:eastAsia="IRNazanin"/>
          <w:color w:val="111111"/>
          <w:sz w:val="28"/>
          <w:sz w:val="28"/>
          <w:szCs w:val="28"/>
          <w:rtl w:val="true"/>
          <w:lang w:bidi="fa-IR"/>
        </w:rPr>
        <w:t>، انتهى ما أفاده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ثلاث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إيراده على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فإنّ المراد بالحكم المتدارك إذا كان مجرّد الحكم التكليفي فلا يصلح أن يجعل الضرر بمنزلة المعدوم في لسان الشرع والعرف، وأمّا إذا كان المراد به الحكم الوضعي واشتغال ذمّة الضارّ بتداركه مِثلاً أو قيمة، فحينئذٍ يصحّ التعبير عنه بنفي الضرر، كما ورد ذلك في لسان الرواية والعرف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كلام الفاضل التوني إرادة المعنى الثاني، وأنّ حكم الشارع </w:t>
      </w:r>
    </w:p>
    <w:p>
      <w:pPr>
        <w:pStyle w:val="BookText"/>
        <w:rPr/>
      </w:pPr>
      <w:r>
        <w:rPr>
          <w:rFonts w:ascii="Amiri" w:hAnsi="Amiri" w:eastAsia="Amiri" w:cs="Amiri"/>
          <w:color w:val="111111"/>
          <w:sz w:val="28"/>
          <w:sz w:val="28"/>
          <w:szCs w:val="28"/>
          <w:rtl w:val="true"/>
          <w:lang w:bidi="ar-SA"/>
        </w:rPr>
        <w:t>بالضمان وتدارك الضرر بمنزلة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الوجه في صحّة هذا المعنى هو طوليّة مراتب النفي شرعاً،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الضرر تشريعاً وإرادة الحكم الوضعي باشتغال ذمّة الضارّ بالتدارك والضمان يقع في المرحلة الرابعة، فلا تصل النوبة لإرادته إلاّ بعد عدم إمكان إرادة نفي الحكم الموجب للضرر شرعاً، أو نفي الحكم بلسان نفي موضوعه، أو النهي والحرمة من النفي، وحيث إنّ المعنى الأوّل والثاني ممكن، فلا يصحّ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أتعب نفسه الشريفة في بيان وتوضيح هذا الوجه، إلاّ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بدليل تركن إليه النفس ويمكن الاعتماد عليه، ومع 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وإن لم يوجب تعيين المعنى الأوّل أو الثاني، إلاّ إنّ إمكانه كافٍ في عدم تعيين المعنى الرابع، وإرادته من الحديث بحاجة إلى قرينة معيّنة، وهي مفقودة في البين، على أنّه بعيدٌ عن الأذهان والفهم العرفي المحاوري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تمسّك الفقهاء بقاعدة لا ضرر وجعلها مدركاً ودليلاً في أسباب الضمان، وعدم غفلتهم عمّا ورد في صحيح الكناني من جعل الإضرار سبباً للضمان وتمسّكهم في ذلك بقاعدة الإتلاف وجملة من الوجوه الدالّة على ذلك، ممّا يدلّ على بُعد هذا المعنى، وعدم صلاحيته لتفسير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وإن تطلّب منّا التتبّع في الموارد المختلفة في أبواب الضمان، ولكن لا بأس به؛ لأنّ المتفاهم العرفي من مدلول الحديث هو النفي، لا إثبات الضمان والحكم بالتدارك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السادة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المعنى لا يناسب موارد تطبيق الحديث، من قبيل قضية سمرة؛ فإنّه لم يحكم فيها بتدارك الضرر الواقع على الأنصاري، لعدم كونه قابلاً للتدارك كما هو واضح</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التدارك يختلف بحسب الموارد والمقامات، فقد يكون التدارك بأداء العوض مِثْلاً أو قيمة كما في إتلاف الأموال، وقد يكون بجعل الخيار كما في الشفعة والغبن، وقد يكون بالاسترضاء وإجابة طلب المتضرّر كما في قضية سمرة، فإن لم يرضَ فيكون بقلع النخلة وحسم مادّة الضرر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أخصّ من المدّعى، ولازمه تأسيس فقه جديد</w:t>
      </w:r>
      <w:r>
        <w:rPr>
          <w:rStyle w:val="FootnoteAnchor"/>
          <w:rtl w:val="true"/>
        </w:rPr>
        <w:footnoteReference w:id="268"/>
      </w:r>
      <w:r>
        <w:rPr>
          <w:rFonts w:ascii="Amiri" w:hAnsi="Amiri" w:eastAsia="Amiri" w:cs="Amiri"/>
          <w:color w:val="111111"/>
          <w:sz w:val="28"/>
          <w:sz w:val="28"/>
          <w:szCs w:val="28"/>
          <w:rtl w:val="true"/>
          <w:lang w:bidi="ar-SA"/>
        </w:rPr>
        <w:t>وذلك لأنّ مقتضى هذا المعنى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ضرر خارجي محكوم بالتدارك، فلو كان الضرر الواقع على شخص صادراً من الغير فيجب على الضارّ التدارك، كما يستفاد هذا من الفقرة الثانية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يكن صادراً من الغير، وكان الضرر مطلقاً كما يستفاد من الفقرة الأولى </w:t>
      </w:r>
    </w:p>
    <w:p>
      <w:p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محكوم بالتدارك أيضاً، 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 إنساناً عثر وكسرت رجله، أو احترقت داره أو كتبه، أو مرض وانحرفت صحّته، أو مات وتضرّر أفراد أسرته، أو فرض أنّ تاجراً يملك متاعاً عزيز الوجود غالي الثمن فاستورد تاجر آخر نفس المتاع فنزل ثمنه لكثرة وجوده، أو كان كتاب غالياً سعره لقلّة وجوده فطبعه آخر فصار رخيصاً لكثرة وجوده، فهل يمكن لفقيه أن يفتي بوجوب التدارك في جميع هذه الموارد؟ إنّنا لا نظن بأنّ أحداً يفتي بذلك حتى القائل بهذا المعنى ولزوم تدارك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الموارد المذكورة خارجة عن مفهوم الضرر بمعنى النقص، وإن أطلق عليها ذلك تسامحاً، بل هي من مصاديق عدم النفع، خصوصاً في المثالين الأخيرين، على أنّ هذين المثالين إذا لزم منهما الضرر فيلزم أن يبنى على تحريمه كما هو مقتضى المسلك الثالث، ونفي حكمه من الصحّة واللزوم والقول بالجواز كما هو مقتضى المسلك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الموارد التي ينفق فيها الإنسان أمواله على تحسين مزاجه النفسي أو وضعه الاقتصادي، أو لحفظ صحّته، فلا يعدّ ذلك ضرراً، بل يرى العرف لابدّية إنفاق المال في هذه الموارد من دون عدّها ضرراً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فيما لو انكسرت رجله بحيث لم يمكنه كسب قوته، أو انهدمت داره ولم يتمكّن من إعادة بنائها، أو احترقت ولم يمكنه تعميرها، وأمثال ذلك، فحينئذٍ لا مانع من شمول الحديث لها، ما لم تكن من موارد الإتلاف الموجبة </w:t>
      </w:r>
    </w:p>
    <w:p>
      <w:pPr>
        <w:pStyle w:val="BookText"/>
        <w:rPr/>
      </w:pPr>
      <w:r>
        <w:rPr>
          <w:rFonts w:ascii="Amiri" w:hAnsi="Amiri" w:eastAsia="Amiri" w:cs="Amiri"/>
          <w:color w:val="111111"/>
          <w:sz w:val="28"/>
          <w:sz w:val="28"/>
          <w:szCs w:val="28"/>
          <w:rtl w:val="true"/>
          <w:lang w:bidi="ar-SA"/>
        </w:rPr>
        <w:t>للضمان والتدارك، وتكون مضمونة في بيت مال المسلمين، فعلى الإمام أو نائبه تدارك هذه الأضرار الطبيعية، وقد وردت الإشارة إلى ذلك في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الصحيح عن عبدالله بن سنان وعبدالله بن بكير جميعاً،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وجد مقتولاً لا يدرى مَن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عرف وكان له أولياء يطلبون ديته أعطوا ديته من بيت مال المسلمين، ولا يبطل دم امرئ مسلم؛ لأنّ ميراثه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فكذلك تكون ديته على الإمام</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ورد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بكلّ مؤمن من نفسه، وعليّ أولى به من بعدي،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دَيناً أو ضياعاً فعليَّ، ومَن ترك مالاً فلورثته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فالرجل ليست له على نفسه ولاية إذا لم يكن له مال، وليس له على عياله أمر ولا نهي إذا لم يجرِ عليهم النفقة،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بعدهما ألزمهم بهذا، فمن هناك صاروا أولى بهم من أنفسهم، وما كان سبب إسلام عامّة اليهود إلاّ من بعد هذا القول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آمنوا على أنفسهم وعلى عيالاتهم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وغيرهما من الروايات الدالّة على أنّ المتضرر إذا </w:t>
      </w:r>
    </w:p>
    <w:p>
      <w:pPr>
        <w:pStyle w:val="BookText"/>
        <w:rPr/>
      </w:pPr>
      <w:r>
        <w:rPr>
          <w:rFonts w:ascii="IRNazanin" w:hAnsi="IRNazanin" w:eastAsia="IRNazanin"/>
          <w:color w:val="111111"/>
          <w:sz w:val="28"/>
          <w:sz w:val="28"/>
          <w:szCs w:val="28"/>
          <w:rtl w:val="true"/>
          <w:lang w:bidi="fa-IR"/>
        </w:rPr>
        <w:t>لم تكن له حيلة فضرره متدارك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سيد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العمدة في دفع هذا 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له نسبتان وارتباطان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الفاعل الصادر منه الضرر ونطلق عليه الضارّ، ونسبة إلى المفعول الواقع عليه الضرر ونطلق عليه المتضرّر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التدارك ينفي صدق الضرر عرفاً بالنسبة إلى المتضرّر،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تتضرّر، ولا ينفى صدقه على الضارّ؛ فإنّه لا يقال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تضرّ زيداً،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إنّك أضررته، فتدارك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المنفي في الحديث هو الضرر بقول مطلق الضرر، لا الضرر بالنسبة الى المتضرّر فقط، خصوصاً بملاحظة تطبيق المضارّ على سمرة، فقد لوحظ فيه الضارّ، فحمل نفي الضرر بلحاظ لزوم التدارك فقط غير تامّ</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التدارك بمنزلة النقص والضرر فكأنّما لم يقع ضرر ونقص، فإذا كان بمنزلة العدم فيصحّ نفي جميع الأطراف من المتضرّر والضرر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والضرر متقوّم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والمفعول، فإذا انتفى فيقال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وجوده كعدمه من جهة التدارك والعوض، فلا معنى لنفيه نسبياً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منفيّ بالنسبة للمتضرّر دون الضار؛ فإنّه ليس أمراً </w:t>
      </w:r>
      <w:bookmarkStart w:id="108" w:name="pg8595_75514"/>
    </w:p>
    <w:p>
      <w:pPr>
        <w:pStyle w:val="BookText"/>
        <w:rPr/>
      </w:pPr>
      <w:bookmarkEnd w:id="108"/>
      <w:r>
        <w:rPr>
          <w:rFonts w:ascii="Amiri" w:hAnsi="Amiri" w:eastAsia="Amiri" w:cs="Amiri"/>
          <w:color w:val="111111"/>
          <w:sz w:val="28"/>
          <w:sz w:val="28"/>
          <w:szCs w:val="28"/>
          <w:rtl w:val="true"/>
          <w:lang w:bidi="ar-SA"/>
        </w:rPr>
        <w:t>إضافياً حتى يصحّ ذلك، بل هو أمر متقوّم بطرفين، فلا معنى لنفيه من طرف دون طرف آخر، فلاحظ</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1770904_653776707"/>
      <w:bookmarkStart w:id="110" w:name="_Toc39"/>
      <w:bookmarkEnd w:id="109"/>
      <w:r>
        <w:rPr>
          <w:rtl w:val="true"/>
        </w:rPr>
        <w:t>تقرير المسلك الخامس</w:t>
      </w:r>
      <w:bookmarkEnd w:id="110"/>
    </w:p>
    <w:p>
      <w:pPr>
        <w:pStyle w:val="BookText"/>
        <w:rPr/>
      </w:pPr>
      <w:r>
        <w:rPr>
          <w:rFonts w:ascii="Amiri" w:hAnsi="Amiri" w:eastAsia="Amiri" w:cs="Amiri"/>
          <w:color w:val="111111"/>
          <w:sz w:val="28"/>
          <w:sz w:val="28"/>
          <w:szCs w:val="28"/>
          <w:rtl w:val="true"/>
          <w:lang w:bidi="ar-SA"/>
        </w:rPr>
        <w:t xml:space="preserve">وأمّا تقرير المسلك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اختاره بعض أعاظم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المراد من نفي الضرر هو النهي السلطاني الذي صدر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والفرق بينه وبين سائر المعاني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المعنى الأوّل والثاني والرابع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فيها يكون حكماً إلهياً كليّاً، ويمكن التمسّك به في الموارد المختلفة التي تنطبق عليها القاعدة، وأمّا بناءً على هذا المعنى فهو يختصّ بمورده، ولا يمكن التمسّك به بنحو القاعدة العامّة في جميع الأبواب الفقهية، كما يختلف هذا المعنى عمّا اختاره شيخ الشريعة في المعنى الثالث؛ فإنّ النهي فيه حكم كلّيّ أنبأ عنه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مبلّغ ومبيّن للأحكام الكلّية الإلهية، فتكون أوامره ونواهيه إرشاداً لأوامر الله ونواهيه، وهذا بخلاف معنى النهي هنا فإنّه نهي سلطاني صادر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سائس البلاد ورئيس العباد، فتكون أوامره ونواهيه حينئذٍ مولوية؛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يشتركان في كونهما حكمين كلّيين،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اختصاصهما بزمان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فقد استدلّ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كلامه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نفي الضرر قد نقل برواية عبادة بن الصامت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كونه حكماً مولوياً سلطانياً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يتمّ ببيان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النبوّة والرسالة،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من قبل الله في تبليغ وتبيين الأحكام الكلّية الإلهيّة من الوضعية والتكليفية، فكلّ ما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فهو إخبار وإرشاد عن أمر الله ونهيه، فلو خالف المكلّف لم تكن مخالفته 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مخالفته لله تعالى، فإنّ أوامر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كأوامر الفقهاء لمقلّديهم، فالإفتاء إرشاد إلى الحكم الإلهي، ومخالفة هذا الأمر مخالفة لله تعالى وليس للفقيه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السلطنَة والحكومة؛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من قبل الله تعالى على هذه الأمّة ورئيسهم ومدبّر أمورهم وسائس البلاد، فأوامره من هذه الجهة كأوامر الله واجبة الإطاعة،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وَلا مُؤْمِنَةٍ إِذَا قَضَى اللهُ وَرَسُولُهُ أَمْراً أَنْ يَكُونَ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ناظر إلى تلك الأوامر والنواهي الصادرة عن الرسول وأولي الأمر بما أنّهم سلاطين وأولياء على الناس وبما أنّهم ساسة العباد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أمر سريّة أن تذهب إلى قطر من الأقطار، أو جعل الإمارة لشخص على الجيش، أو أمر بتجهيز الجيوش كتجهيز جيش أسامة، أو أمر بقتل المشركين واستحياء شيوخهم وصبيانهم، فإنّه تجب إطاعته؛ لكونه رئيساً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القضاء وفصل الخصومات عند تنازع الناس في حقّ أو مال، فإنّه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بموازين القضاء والعدل، فلذا ورد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فلذا يكون حكمه نافذاً، ولا يجوز التخلّف عنه، لا بما أنّه رئيس وسلطان، بل بما هو قاضٍ وحاكم شرعي، وقد يجعل السلطان الإمارة لشخص، فينصبه لها، والقضاء لآخر، فيجب على الناس إطاعة الأمير في إمارته لا في قضائه، وإطاعة القاضي في قضائه لا في أوامره، وقد يجعل كلا المقامين لشخص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ظاهر من حيث إنّه قاضٍ وحاكمٍ شرعي، لا من حيث إنّه مبلّغ للحرام والحلال؛ لما عرفت من أنّه ليس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الأحكام الإلهية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قلّما ترى ورود هذه التعابير من غير رسول الله وأمير المؤمنين من سائر الأئمّة؛ لأنّ الأعداء حالوا بينهم وبين مناصبهم الشرعية من </w:t>
      </w:r>
    </w:p>
    <w:p>
      <w:pPr>
        <w:pStyle w:val="BookText"/>
        <w:rPr/>
      </w:pPr>
      <w:r>
        <w:rPr>
          <w:rFonts w:ascii="Amiri" w:hAnsi="Amiri" w:eastAsia="Amiri" w:cs="Amiri"/>
          <w:color w:val="111111"/>
          <w:sz w:val="28"/>
          <w:sz w:val="28"/>
          <w:szCs w:val="28"/>
          <w:rtl w:val="true"/>
          <w:lang w:bidi="ar-SA"/>
        </w:rPr>
        <w:t>السلطنة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الحكم والأمر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الأمر المولوي السلطاني،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فصل الخصومة،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بينهما يحتاج إلى قرينة معيّنة، 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على القضاء أو الأمر المولوي يحتاج إلى قرينة حال أو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صيغ الأمر في حدّ نفسها ظاهرة في الأمر المولوي، وكونها إرشادية تحتاج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 الروايات المؤيّدة لما تقدّم والواردة بالألفاظ المتقدّمة، وبعض ما يكون بقرينة المقام دالاًّ على أنّ الأمر الصادر مولوي سلطاني أو حكم قضائي، وإن لم يرد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نفي الضرر قد نقل برواية عبادة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الثقات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حكم،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كون المقضيّ به من أحكام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سلطان وسائس الأمّة ورئيس الملّة وأميرهم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ثبت من طرقنا كقضية سمرة بن جندب التي لم تصدّر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المتأمل في صدرها وذيلها وشأن صدور الحديث ممّا يكاد أن يشرف الفقيه بالقطع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صادر </w:t>
      </w:r>
    </w:p>
    <w:p>
      <w:pPr>
        <w:pStyle w:val="BookText"/>
        <w:rPr/>
      </w:pP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سلطان ودافع للظلم عن الرعيّة؛ فإنّ الأنصاري لمّا ظُلم ووقع في الحرج والضيق بدخول سمرة بن جندب على أهله من غير استئذان منه، شكا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فأحضره وكلّمه كما هو في الأخبار، فلمّا تأبّى حكم بالقلع ودفع الفساد، وحكم بأنّه لا يضرّ أحد أخاه في حمى سلطاني وحوزة حكومتي، فليس المقام بيان حكم الله، وأنّ الأحكام الواقعية ممّا لا ضرر فيها،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يشرّع حكماً ضررياً، فإنّ كلّ ذلك أجنبيّ عن المقام، فليس فيهما شبهة حكمية ولا موضوعية، بل لم يكن شيء إلاّ تعدّي ظالم على مظلوم، وتخَّلف طاغٍ عن حكم السلطان بعد أمره بالاستئذان، فلمّا تخلّف حكم بقلع الشجرة، وأمر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 ممنوعون عن الضرر والضرار، دفاعاً عن المظلوم، وسياسة لحوزة السلطان وحمى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الحديث يتناسب مع الحكم السلطاني؛ وذلك لأنّ المقام لمّا كان مقام عرض الأنصاري شكواه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سمرة بن جندب يدخل على أهله من غير استئذان منه، وفي حالة يكره دخوله عليه وهو فيها، فليس النزاع حينئذٍ عن الحكم الشرعي، وأنّه شبهة حكمية أو موضوعية، فإنّ سمرة كان فاسقاً عاصياً، فأيّ فائدة في تبليغ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الإلهي مع عدم إطاعته وامتثاله؟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تفسير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بالنهي المولوي السلطاني لا ترد عليه الإشكالات الواردة على التفاسير الأخرى التي ذكرها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الأنسب في التعليل الوارد في ذيل رواية ابن بكير عن زرارة،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 وارم بها إليه؛ فانّه 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كون الحكم مولوياً سلطانياً صادراً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الضرر لابدّ وأن لا يكون في حمى سلطاني وحوزة حكومتي، ولمّا كان سمرة مضارّاً، ومتخلّفاً عن حكم السلطان، فاقلع نخلته وارم بها إليه، وهذا أنسب من تعليل القلع بالنهي الشرعي، أو رفع الحكم الضرري؛ لعدم التناسب حينئذٍ بين العلّة والمعلول أبداً، فإنّ تعليل حكمه بالقلع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الشارع لم يشرّع حكماً ضررياً، أو أنّه تعالى نهى عن الضرر والضرار، مع أنّ نفس القلع ضرر، والحكم به 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باطل، يحتاج إلى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الذيل كونه تعليلاً لوجوب الاستئذان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بعيد جدّاً؛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كلام مستأنف ومستقلّ مع الأنصاري، فحينئذٍ كيف يمكن أن يكون تعليلاً للوجوب المستفاد من كلام مستقلّ مع سمرة مع هذا الفصل الطويل؟ وهل هذا إلاّ خروج عن طريق المحاورة وقانون التكلم؟</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إلاّ إنّه يمكن المناقشة في جميع الوجوه المذكورة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فهو ممنوع صغرى وكبرى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الصغرى؛ فإنّه بناءً على ما ورد في رواياتنا من كون الأنصاري في مقام الشكاية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فصل وحلّ النزاع بينه وبين سمرة، فمن المناسب في هذا المقام هو أن يتمسّك في ذلك بالحكم الكلّي الإلهي كما هو الغالب في حلّ النزاعات والخصومات، فلذا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مقبولة عمر بن حنظلة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روايتهم عنّا في ذلك الذي حكما به، المجمع عليه من أصحابك</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 فيظهر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الحاكم ينظر دائماً إلى المستند والحكم الكلّي، ومن ثمّ يطبّقه على الموارد التي بين يديه، هذا هو المتعارف في حلّ الخصومات والنزاعات، وأمّا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فالمستكشف من المقبولة هو التمسّك بالحكم الكلّي أيضاً، بل الظاهر أنّ مَن يخبر عن الله تعالى ويطبّقه على مورده كون الحكم تكليفياً إلهيّاً، وحينئذٍ لا مجال للقول بالحكم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المستفاد من بعض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الإضرار بالغير من جملة الأحكام التكليفية،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ماله كحرمة دمه، ومن وجوب حفظ حرمات الناس وحقوقهم وحرمة هتكهم، فمجموع هذه الأدلّة أيضاً تدلّ على نفي الضرر والإضرار بالغير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الكبرى؛ فإنّه لا شكّ في ثبوت المناصب الثلاثة المذكورة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دعوى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حكم،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الحكم </w:t>
      </w:r>
    </w:p>
    <w:p>
      <w:pPr>
        <w:pStyle w:val="BookText"/>
        <w:rPr/>
      </w:pPr>
      <w:r>
        <w:rPr>
          <w:rFonts w:ascii="Amiri" w:hAnsi="Amiri" w:eastAsia="Amiri" w:cs="Amiri"/>
          <w:color w:val="111111"/>
          <w:sz w:val="28"/>
          <w:sz w:val="28"/>
          <w:szCs w:val="28"/>
          <w:rtl w:val="true"/>
          <w:lang w:bidi="ar-SA"/>
        </w:rPr>
        <w:t>السلطاني ممنوعة؛ وذلك لأنّه قد ورد التعبير بهذه الألفاظ في الروايات الكثيرة الواردة في مقام بيان الأحكام الكلّية الإلهيّة، ومن جملتها ما استشهد به المستدلّ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رواية عبادة بن الصامت الواردة من طرق العامة، فقد ورد فيها بيان كثير من الأحكام الكلّية الإلهيّة المصدّرة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كقضائه بالشفعة، وعدم جواز تصرّف الزوجة في مالها بدون إذن الزوج، ودية الكبرى المغلّظة والصغرى، وأنّه ليس لعرق ظالم حقّ، وأنّ للجدّتين السدس من الميراث، وأنّ الولد للفراش وللعاهر الحجر، وأنّ في الركاز الخمس، وغيرها</w:t>
      </w:r>
      <w:r>
        <w:rPr>
          <w:rStyle w:val="FootnoteAnchor"/>
          <w:rtl w:val="true"/>
        </w:rPr>
        <w:footnoteReference w:id="278"/>
      </w:r>
      <w:r>
        <w:rPr>
          <w:rFonts w:ascii="Amiri" w:hAnsi="Amiri" w:eastAsia="Amiri" w:cs="Amiri"/>
          <w:color w:val="111111"/>
          <w:sz w:val="28"/>
          <w:sz w:val="28"/>
          <w:szCs w:val="28"/>
          <w:rtl w:val="true"/>
          <w:lang w:bidi="ar-SA"/>
        </w:rPr>
        <w:t xml:space="preserve">، فإنّ جميع هذه الموارد هي أحكام كليّة إلهية وقعت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كونها مستعملة كثيراً في بيان الأحكام الكلّية لا يبقى مجال لدعوى ظهورها في الحكم المولوي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مقتضى الأصل الأوّلي أنّ كلّ ما بيّنه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الإخبار والإنباء عن الحكم الكلّي المنزّل عليه؛ وذلك لأنّ منصب الرسالة والنبوّة غالب على منصبي الولاية والحكومة والقضاوة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ورد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كثرة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حكم،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الدالّة على بيان الأحكام الإلهية مانعة من انعقاد ظهورها في الأحكام السلطانية أو </w:t>
      </w:r>
    </w:p>
    <w:p>
      <w:pPr>
        <w:pStyle w:val="BookText"/>
        <w:rPr/>
      </w:pPr>
      <w:r>
        <w:rPr>
          <w:rFonts w:ascii="Amiri" w:hAnsi="Amiri" w:eastAsia="Amiri" w:cs="Amiri"/>
          <w:color w:val="111111"/>
          <w:sz w:val="28"/>
          <w:sz w:val="28"/>
          <w:szCs w:val="28"/>
          <w:rtl w:val="true"/>
          <w:lang w:bidi="ar-SA"/>
        </w:rPr>
        <w:t xml:space="preserve">القضائية،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إنّه لا يدلّ على الحكم السلطاني أو 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والكبرى ممنوعتان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من موارد الشبهات الحكمية؛ لدلالة قول سمرة بن جندب في معتبرة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طلب الأنصاري من سمرة أن يستأذن إذا دخل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أفعل، هو مالي أدخل عليه ولا أستأذن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المورد كما يتناسب مع كون الحكم سلطانياً صادراً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يتناسب مع كونه حكماً كلّياً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فيصحّ من جهة أنّ سمرة كان مضارّاً ومتخلّفاً عن حكم السلطان، فكان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بقلع النخلة حكماً سياسيّاً تأديبيّاً صادراً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والضرار لابدّ أن لا يكون في حمى سلطاني وحوزة حكومتي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فيصحّ أيضاً من جهة أنّه بعد بيان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الكلّي الإلهيّ،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إباء سمرة عن الامتناع والانزجار به، وصلت النوبة إلى الزجر والمنع العملي،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تقلع الشجرة وترمى في وجه سمرة؛ لأنّها هي السبب في الإضرار بالأنصاري، وعلى هذا فلا فرق في التناسب بين كون الحكم مولوياً سلطانياً وبين كونه حكماً كليّاً إلهياً،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إسناد الحكم إليه تعالى في مقام الزجر والردع أولى من إسناده إلى نفسه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ولايته وحاكميته؛ لكونه أوقع في التأثير وترك </w:t>
      </w:r>
    </w:p>
    <w:p>
      <w:pPr>
        <w:pStyle w:val="BookText"/>
        <w:rPr/>
      </w:pPr>
      <w:r>
        <w:rPr>
          <w:rFonts w:ascii="Amiri" w:hAnsi="Amiri" w:eastAsia="Amiri" w:cs="Amiri"/>
          <w:color w:val="111111"/>
          <w:sz w:val="28"/>
          <w:sz w:val="28"/>
          <w:szCs w:val="28"/>
          <w:rtl w:val="true"/>
          <w:lang w:bidi="ar-SA"/>
        </w:rPr>
        <w:t>المنكر والانتهاء والانزجار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الشكّ في كون النهي مولوياً سلطانياً أو مولوياً إلهيّاً، 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فقد تقدّم الجواب عنه في مناقشة المسالك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الرابع؛ فالظاهر أنّه لا فرق في صدق الضرر على نفس القلع بين كون النهي حكماً سلطانياً، وبين كونه حكماً إلهياً، وحينئذٍ فالأحرى بنا عطف البحث في توجيه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بقلع الشجرة وعدم اعتباره ضرراً في حقّ سمرة لأجل أنّ هذا الملعون حيث إنّه لم يرتدع ولم ينزجر بالنهي، سواء كان حكماً سلطانياً، أم كلّياً إلهيّاً، بل كان مصرّاً في إيذائه وظلمه للأنصاري، فلا يبقى لماله حرمة على كلا التقديرين؛ لأنّه صار منشأ للفساد والإضرار، فحسماً لمادّة الفساد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بقلع الشجرة ورميها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المال يتّصف بكونه محترماً ما لم يكن مادّة للفساد والإضرار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لزوم تقييد سلطنة الناس على أموالهم وكونها مضمونة بما إذا لم تكن موجبة للإفساد والإضرار بالغير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التعليل إنّما يناسب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كلّياً إلهيّاً، لا حكماً سلطانياً؛ لأنّ الإضرار بالغير ظلم قبيح، فكيف يدّعى خلوّ </w:t>
      </w:r>
      <w:bookmarkStart w:id="111" w:name="pg8595_75524"/>
    </w:p>
    <w:p>
      <w:pPr>
        <w:pStyle w:val="BookText"/>
        <w:rPr/>
      </w:pPr>
      <w:bookmarkEnd w:id="111"/>
      <w:r>
        <w:rPr>
          <w:rFonts w:ascii="Amiri" w:hAnsi="Amiri" w:eastAsia="Amiri" w:cs="Amiri"/>
          <w:color w:val="111111"/>
          <w:sz w:val="28"/>
          <w:sz w:val="28"/>
          <w:szCs w:val="28"/>
          <w:rtl w:val="true"/>
          <w:lang w:bidi="ar-SA"/>
        </w:rPr>
        <w:t>صفحة التشريع عن مثل هذا الحكم الفطري؟</w:t>
      </w:r>
    </w:p>
    <w:p>
      <w:p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الالتزام بهذا المسلك</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770906_653776707"/>
      <w:bookmarkStart w:id="113" w:name="_Toc40"/>
      <w:bookmarkEnd w:id="112"/>
      <w:r>
        <w:rPr>
          <w:rtl w:val="true"/>
        </w:rPr>
        <w:t>تقرير المسلك السادس</w:t>
      </w:r>
      <w:bookmarkEnd w:id="113"/>
    </w:p>
    <w:p>
      <w:pPr>
        <w:pStyle w:val="BookText"/>
        <w:rPr/>
      </w:pPr>
      <w:r>
        <w:rPr>
          <w:rFonts w:ascii="Amiri" w:hAnsi="Amiri" w:eastAsia="Amiri" w:cs="Amiri"/>
          <w:color w:val="111111"/>
          <w:sz w:val="28"/>
          <w:sz w:val="28"/>
          <w:szCs w:val="28"/>
          <w:rtl w:val="true"/>
          <w:lang w:bidi="ar-SA"/>
        </w:rPr>
        <w:t xml:space="preserve">وأمّا تقرير المسلك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اختاره بعض السادة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فقرتين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والمستفاد منها نفي الحكم الضرري، والثانية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والمستفاد منها تشريعان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الحرمة التكليفية في الإضرار بالغير، والثاني تشريع الوسائل الإجرائية حماية لهذا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واقع هذا المسلك؛ حيث يجمع في محتواه وطيّاته مسالك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في الفقرة الأولى بنفي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شيخ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فسّر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بالحرمة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بعض أعاظم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فسّر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بالحكم المولوي السلطاني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ما اختاره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 وتفصيليّ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في تفسير حديث 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w:t>
      </w:r>
    </w:p>
    <w:p>
      <w:pPr>
        <w:pStyle w:val="BookText"/>
        <w:rPr/>
      </w:pPr>
      <w:r>
        <w:rPr>
          <w:rFonts w:ascii="Amiri" w:hAnsi="Amiri" w:eastAsia="Amiri" w:cs="Amiri"/>
          <w:color w:val="111111"/>
          <w:sz w:val="28"/>
          <w:sz w:val="28"/>
          <w:szCs w:val="28"/>
          <w:rtl w:val="true"/>
          <w:lang w:bidi="ar-SA"/>
        </w:rPr>
        <w:t>لمنهج التفسير النفسي للفقرتين الواردتين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يتوقّف على توضيح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أريد تفسير كلامٍ ما فلابدّ من ملاحظة نكتة عامّة، سواء كان الكلام من قبيل صيغة الأمر، أو النهي، أو النفي، أو الإثبات،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يتألّف من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شكلي يتمثّل في مدلوله اللفظي، وعنصر معنوي كامن تحت المدلول اللفظي، يكون هو المحتوى للصيغة والمصحّح لاستعمالها، وهذان العنصران لا يتّحدان دائماً، وإن كان لابدّ بينهما من وجود تسانخ وعلاقة، ولذلك تكون الصيغة الواحدة ذات محتويات متعدّدة بحسب اختلاف الموارد، كاستعمال صيغة الأمر والنهي في المعاني المتعدّدة الكثيرة، فإنّ هذه المعاني ليست هي المدلول الاستعمالي للكلام، ولا هي مجرّد دواعٍ وأغراض لاستعماله، وإنّما هي محتويات الكلام وباطنه، واختلاف مفاد النفي يرتبط بالعنصر المعنوي الكامن للكلام كما هو واضح لوحدة العنصر الشكلي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ومعرفة الضابط العام لتشخيص محتوى الكلام يتوقّف على التعرّف المسبق على العوامل المختلفة التي تؤثّر في تعيين محتواه وتحديده لكي يتمّ استخراج هذا الضابط على أساسها؛ وذلك لأنّ تفسير الكلام في حدّ نفسه عملية معقّدة لا تكفي فيها معرفة الجهات اللفظية من المفردات اللغوية والهيئات العامّة فحسب،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العوامل اللفظية بالنسبة إلى سائر الجهات المؤثّرة في معنى الكلام مثل ما يظهر من الجبل الثابت في البحر بالنسبة إلى ما كان منه كامناً تحت الماء؛ لأنّ الكلام بما أنّه ظاهرة حيّة من الظواهر النفسية </w:t>
      </w:r>
    </w:p>
    <w:p>
      <w:pPr>
        <w:pStyle w:val="BookText"/>
        <w:rPr/>
      </w:pPr>
      <w:r>
        <w:rPr>
          <w:rFonts w:ascii="Amiri" w:hAnsi="Amiri" w:eastAsia="Amiri" w:cs="Amiri"/>
          <w:color w:val="111111"/>
          <w:sz w:val="28"/>
          <w:sz w:val="28"/>
          <w:szCs w:val="28"/>
          <w:rtl w:val="true"/>
          <w:lang w:bidi="ar-SA"/>
        </w:rPr>
        <w:t>أو الاجتماعية فإنّه يتفاعل بحسب محتواه مع جميع الملابسات التي تحيط به من محيط وشائعات وأعراف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أريد تفسير كلامٍ ما فلابدّ من ملاحظة جميع الخصوصيات التي تقترن به من الأطار الذي ألقي فيه، ومن طبيعة الموضوع الذي يتحدّث عنه، ومن الصفات النفسية للمتكلّم والمخاطب وغيرها، فربّما تختلف الكلمة الواحدة من زمان إلى زمان، أو من موضوع إلى موضوع، أو من متكلّم إلى متكلّم، أو من مخاطب إلى 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لاحظنا الجهات المختلفة التي تحتضن الكلام، وقدّرنا نوع التفاعل المناسب معها، أمكننا تفسير الكلام في ظلّ مجموع تلك الجهات، وقد عبّرنا عن هذا المنهج في تفسير الكلام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التفسير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لاحظنا هذه المقدّمة نرى أنّ 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إنّها اسم مصدر يعبّر عن المنقصة النازلة بالمتضرّر من دون احتوائها على نسبة صدورية، وهذا المعنى بطبعه أمر مرغوب عنه لدى الإنسان، ولا يتحمّله أحدٌ عادةً إلاّ بتصوّر تسبيب شرعي إليه؛ لأنّ من طبيعة الإنسان أن يدفع الضرر عن نفسه ويتجنّبه، كما أنّه ليس ذا أثرٍ حتى يكون النفي بلحاظ نفي ذلك الأثر، فلا محالة يكون مفاد النهي في مثل ذلك نفي التسبيب المتوهّم، فيكون ذلك قرينة داخليّة على التجوّز المذكور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الفقرة الثانية؛ فحيث إنّ الإضرار هو الإضرار المتكرّر أو المستمر كما </w:t>
      </w:r>
    </w:p>
    <w:p>
      <w:pPr>
        <w:pStyle w:val="BookText"/>
        <w:rPr/>
      </w:pPr>
      <w:r>
        <w:rPr>
          <w:rFonts w:ascii="Amiri" w:hAnsi="Amiri" w:eastAsia="Amiri" w:cs="Amiri"/>
          <w:color w:val="111111"/>
          <w:sz w:val="28"/>
          <w:sz w:val="28"/>
          <w:szCs w:val="28"/>
          <w:rtl w:val="true"/>
          <w:lang w:bidi="ar-SA"/>
        </w:rPr>
        <w:t xml:space="preserve">تقدّم في تفسير المفردات، وهو عمل يمارسه الإنسان بطبعه، وليس مرغوباً لأجل إرضاء القوّة الشهوية أو الغضبية، فإذا نهي عنه كما في جملة من الآيات فهو ظاهر في النهي التحريمي؛ زجراً للمكلفين عن هذا العمل، فإذا نفي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التسبيب إلى عدم تحقّق هذا العمل، وذلك من خلال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حكم تكليفي،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اتّخاذ وسائل مانعة عن تحقّقه خارجاً، وهذه الوسائل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النهي عن المنكر بمراتبه المتعدّدة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تحقيق العدالة الاجتماعية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الحكم القضائي مثل قلع الشجرة إذا لم يخضع أحد المتخاصمين للقانون، ولا يلاحظ أنّ ولاية اتّخاذ وسيلة إجرائية لمنع الإضرار، إنّما هي للحكم الشرعي دون عامّة المسلمين، كما هو مبنى تعليل الأمر بقلع النخلة في قضية سمرة بهذه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أحكام رافعة لموضوع الإضرار، من قبيل جعل حقّ الشفعة لرفع الشركة التي هي موضوع لإضرار الشريك، أو عدم جعل إرث الزوجة في العقار لعدم الإضرار بالورثة كما في الحديث</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الأمور الثلاثة كلّها مستفادة من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منهج التفسير النفسي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مجموع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ما اختاره يوجّه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الملابسات والمقتضيات المتفاعلة مع السياق اللفظي في الفقرتين مطابق لمنهج التفسير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مناقشة سائر الوجوه والمسالك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التفسير ينطبق التعليل الوارد في ذيل الرواية كمال الانطباق على قلع النخلة ورميها في وجه سمرة بلا حاجة إلى تكلّف في التوجيه، وهذا بخلاف سائر المعاني المذكورة في المسالك المتقدّمة فإنّها بحاجة إلى تكلّفات وتخريجات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الملاحظة على جميع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الوجه الأوّل؛ وهو المهمّ في كلامه،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على وفق منهج التفسير النفسي للحديث، وقد ذكر في بيانه نكتة عامّة مهمّة ينبغي الالتفات إليها والسير عليها في جميع الموارد التي يراد فيها تفسير كلام ما، سواء كانت من الهيئات أو الصيغ، من الأمر أو النهي أو غيرها، فإنّ التفسير أمر معقّد في حدّ نفسه، لا يكفي فيه معرفة معاني المفردات والهيئات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واصطلح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التفسير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بأمر جديدٍ خافٍ عن الأعلام من العلماء، بل هو داخل فيما ذكروه في مؤلّفاتهم من أنّ استخلاص المراد الواقعي والجدّي من كلام المتكلّم يتوقّف على ملاحظة </w:t>
      </w:r>
    </w:p>
    <w:p>
      <w:pPr>
        <w:pStyle w:val="BookText"/>
        <w:rPr/>
      </w:pPr>
      <w:r>
        <w:rPr>
          <w:rFonts w:ascii="Amiri" w:hAnsi="Amiri" w:eastAsia="Amiri" w:cs="Amiri"/>
          <w:color w:val="111111"/>
          <w:sz w:val="28"/>
          <w:sz w:val="28"/>
          <w:szCs w:val="28"/>
          <w:rtl w:val="true"/>
          <w:lang w:bidi="ar-SA"/>
        </w:rPr>
        <w:t>القرائن الحالية والمقالية وتفسير كلامه على ضوئها، وهذا أمر غير قابل للإنكار؛ وذلك لأنّه لا يصحّ تفسير الجمل والهيئات التي يتضمّنها كلام المتكلّم من دون ملاحظة القرائن المكتنفة بالكلام، سواء كانت قرائن متعلّقة بالمتكلّم، أو بالمخاطب، أو بالموضوع، أو بالزمان، أو بالمكان، أو غيرها من الملابسات والمقتضيات الحافّة بالكلام، وهذا أمر شائع ومتعارف به عند الأصحاب وغيرهم، ولكنّ المهمّ هو تشخيص هذه القرائن وتطبيقها على موردها، وعلى هذا لابدّ أن نرى بأنّ ما ذكره من ضابطة هل تنطبق على الحديث بفقرتيه أم لا؟</w:t>
      </w:r>
    </w:p>
    <w:p>
      <w:pPr>
        <w:pStyle w:val="BookText"/>
        <w:rPr/>
      </w:pPr>
      <w:r>
        <w:rPr>
          <w:rFonts w:ascii="Amiri" w:hAnsi="Amiri" w:eastAsia="Amiri" w:cs="Amiri"/>
          <w:color w:val="111111"/>
          <w:sz w:val="28"/>
          <w:sz w:val="28"/>
          <w:szCs w:val="28"/>
          <w:rtl w:val="true"/>
          <w:lang w:bidi="ar-SA"/>
        </w:rPr>
        <w:t xml:space="preserve">أمّا 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 في تطبيق الضابطة عليها بأنّ الضرر اسم مصدر بمعنى المنقصة النازلة بالمتضرّر، والتي لم يلحظ فيها الجهة الصدورية، وهذا المعنى بطبعه أمر مرغوب عنه لدى الإنسان، ولا يتحمّله عادة إلاّ بتصوّر تسبيب شرعي إليه، ومقتضى نفيه هو نفي التسبيب إلى الضرر بجعل حكم شرعي يستوجب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قد ذكره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 منّا بيان تقريره، وذكر مناقشات الأعلام حوله، والجواب عليها، وسنتعرّض له فيما يأتي، فانتظر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 في تطبيق الضابطة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الضرار مصدر يشتمل على النسبة الصدورية من الفاعل، ومقتضى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التفسير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في التسبيب إلى عدم تحقّق هذا العمل خارجاً </w:t>
      </w:r>
    </w:p>
    <w:p>
      <w:pPr>
        <w:pStyle w:val="BookText"/>
        <w:rPr/>
      </w:pPr>
      <w:r>
        <w:rPr>
          <w:rFonts w:ascii="Amiri" w:hAnsi="Amiri" w:eastAsia="Amiri" w:cs="Amiri"/>
          <w:color w:val="111111"/>
          <w:sz w:val="28"/>
          <w:sz w:val="28"/>
          <w:szCs w:val="28"/>
          <w:rtl w:val="true"/>
          <w:lang w:bidi="ar-SA"/>
        </w:rPr>
        <w:t>والتصدّي له، ومقتضى ذلك أنّه يتكفّل بيان تشريعات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الحكم التكليفي،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وسائل مانعة عن تحقّقه معتمداً على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النهي عن المنكر بجميع مراتبه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تحقيق العدالة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القانون 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أحكام رافعة لموضوع الإضرار، كجعل حقّ الشفعة لرفع الشركة التي موضوعها الإضرار بالشريك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بالنفي إذا كان هو النهي فاستعمل النهي في الإنشاء، فحينئذٍ لا مجال لاستفادة تشريعات ثلاثة من صيغة واحدة؛ فإنّه لا يجتمع في الإنشاء الواحد إرادة الحكم التكليفي والحكم الوضعي والحكم السلطاني، وذلك لأنّ الأوّلين منهما حكمان مولويان من قبل الله تعالى، والثالث حكم صادر من الرسول بما هو حاكم وسلطان، فكيف يمكن استفادتهما من إنشاءٍ واحد مع تغاير المنشأ؟</w:t>
      </w:r>
    </w:p>
    <w:p>
      <w:pPr>
        <w:pStyle w:val="BookText"/>
        <w:rPr/>
      </w:pPr>
      <w:r>
        <w:rPr>
          <w:rFonts w:ascii="Amiri" w:hAnsi="Amiri" w:eastAsia="Amiri" w:cs="Amiri"/>
          <w:color w:val="111111"/>
          <w:sz w:val="28"/>
          <w:sz w:val="28"/>
          <w:szCs w:val="28"/>
          <w:rtl w:val="true"/>
          <w:lang w:bidi="ar-SA"/>
        </w:rPr>
        <w:t>وإذا كان المراد به الإخبار،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 عدم تحقيق وإيجاد هذا العمل خارجاً، كناية عن عدم رضا الشارع بإيجاد الضرر على الغير، ولازمه استفادة التشريعات الثلاثة المتقدّمة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دلالة الجملة الخبرية على الإنشاء، بل هو أبلغ وآكد في </w:t>
      </w:r>
    </w:p>
    <w:p>
      <w:pPr>
        <w:pStyle w:val="BookText"/>
        <w:rPr/>
      </w:pPr>
      <w:r>
        <w:rPr>
          <w:rFonts w:ascii="Amiri" w:hAnsi="Amiri" w:eastAsia="Amiri" w:cs="Amiri"/>
          <w:color w:val="111111"/>
          <w:sz w:val="28"/>
          <w:sz w:val="28"/>
          <w:szCs w:val="28"/>
          <w:rtl w:val="true"/>
          <w:lang w:bidi="ar-SA"/>
        </w:rPr>
        <w:t>الدلالة، سواء كانت بنحو النهي أو الإيجاب،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الكلام في إمكان استفادة الحكمين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 والسلطاني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في عرض استفادة الحكم الأوّل من بطن هذه الهيئة بحيث يمكن التعدّي عنها لسائر الموارد، أو أنّ ذلك مختصّ بمورده،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الحكمين الوضعي والسلطاني غير مستفادين من الهيئة، بل من نفس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دام بقاه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استعملت صيغة الإثبات أو النفي في مقام الإنشاء فحينئذٍ يكون للكلام محتويان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وخاصّ، أمّا المحتوى العام فهو الوعيد على الفعل أو الترك، فإذا كان إثباتاً فالوعيد يكون على الترك، ويكون الفعل واجباً تكليفياً، وإن كان نفياً فالوعيد يكون على الفعل، ويكون الفعل حراماً تكليفياً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المحتوى الخاص؛ فهو تشريع اتّخاذ الوسائل الإجرائية على اختلاف مراتبها لتحقيق مقتضى الحكم، كإعمال القدرة في المنع عن الحرام أو الإكراه على فعل الواجب فيما إذا كان المورد مقتضياً لمثل هذا التشريع، وهذا عبارة أخرى عن الحكمين الآخرين</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القدر المتيقّن من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مثبتة أو منفية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في مقام الإنشاء على التسبيب إلى الفعل أو إلى الترك بالطريق المتعارف شرعاً وعقلائياً، بأن تجعل القوانين إمّا بنحو الوجوب، وإمّا بنحو الحرمة، غاية ما في الأمر أنّ جعل القانون قد يكون بصيغة الأمر أو النهي، وقد يكون بالإخبار عن الوجود بالعدم، وهو أبلغ وآكد في الدلالة؛ لأنّه يفرض الموجود الخارجي بمنزلة العدم، وأمّا أن يكون هناك جعلٌ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تشريع اتّخاذ وسائل إجرائية لحماية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الطريقة المتعارفة والمألوفة عند العقلاء، بل لا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للمشرّع أن يجعل قانوناً بديلاً عن قانون آخر كالأمر بالمعروف والنهي عن المنكر بنحو العامّ أو الخاص،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من استفادة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الوضعي والسلطاني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الصيغة، ينبغي استفادتهما أيضاً في سائر الجمل الواردة بصيغة الإثبات أو النفي، مع أنّه لم يقل بذلك أحد حتى القائل بذلك، وتعليق ذلك بما إذا كان مقتضياً لمثل هذا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على أمر مبهم لا ضابط له أساساً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ما ذكره في الحكم الوضعي كجعل حقّ الشفعة لرفع الشركة التي هي موضوع لإضرار الشريك، وعلى فرض كون المحتوى الخاص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قانون لاتّخاذ وسائل مانعة عن تحقّقه خارجاً، فحينئذٍ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الموضوع يتحقّق أيضاً بالحكم ببطلان بيع الشريك، ولا ينحصر </w:t>
      </w:r>
    </w:p>
    <w:p>
      <w:pPr>
        <w:pStyle w:val="BookText"/>
        <w:rPr/>
      </w:pPr>
      <w:r>
        <w:rPr>
          <w:rFonts w:ascii="Amiri" w:hAnsi="Amiri" w:eastAsia="Amiri" w:cs="Amiri"/>
          <w:color w:val="111111"/>
          <w:sz w:val="28"/>
          <w:sz w:val="28"/>
          <w:szCs w:val="28"/>
          <w:rtl w:val="true"/>
          <w:lang w:bidi="ar-SA"/>
        </w:rPr>
        <w:t>في جعل حقّ 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جميع ما تقدّم هو عدم تمامية ما ذكره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 أنّ جميع المسالك السابقة مناقش فيها، فقد تقدّم الكلام في ذلك، كما أنّه سنتعرّض لها فيما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فإنّ التعليل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بقلع الشجرة ورميها في وجه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يتناسب مع المسلك السادس، كذلك يتناسب مع المسلك الرابع والخامس، فحمل النفي على النهي وإرادة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حكماً كلّياً إرشادياً أو مولوياً سلطانياً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العمل حرام، وحيث إنّه حرام فلا تبقى حرمة لماله، فحينئذٍ يجوز بيعه، إمّا من ناحية أدلّة النهي عن المنكر، وإمّا من ناحية أدلّة التعزير، وعليه تكون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جزء العلّة، ومن ضم أدلّة النهي يجوز قلع الشجرة والإضرار به، ولا محذور في ذلك، ولا يوجب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المسلك أيضاً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المسالك المذكورة في تفسير معنى الحديث وتقريراتها، وما يرد عليها، وما يمكن الإجابة عنه، قد بيّناها بنحو الاستيعاب الخالي من التطويل المملّ، والإيجاز المخلّ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موارد متعدّدة، تارة بنحو التعليل كما في قضية سمرة وحديث الشفعة وحديث منع فضل الماء </w:t>
      </w:r>
    </w:p>
    <w:p>
      <w:pPr>
        <w:pStyle w:val="BookText"/>
        <w:rPr/>
      </w:pPr>
      <w:r>
        <w:rPr>
          <w:rFonts w:ascii="Amiri" w:hAnsi="Amiri" w:eastAsia="Amiri" w:cs="Amiri"/>
          <w:color w:val="111111"/>
          <w:sz w:val="28"/>
          <w:sz w:val="28"/>
          <w:szCs w:val="28"/>
          <w:rtl w:val="true"/>
          <w:lang w:bidi="ar-SA"/>
        </w:rPr>
        <w:t>والكلاء، وأخرى بنحو مستقلّ، وعلى هذا فلابدّ أن يكون له معنى ينطبق على جميع هذه الموارد بحيث تلغى فيها خصوصيات المورد، ويكون المعنى بمنزلة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في تفسير الحديث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الفقرة الأولى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الفعل الموجب للضرر، سواء كان على النفس أو على الغير، والمقصود منه هو نفي الحكم الموجب للضرر شرعاً، سواء كان حكماً إلزامياً أو غير إلزاميّ، تكليّفياً كان أو وضعياً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معنى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الفعل الموجب للإضرار الخاص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لنا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ظهور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بكلتا فقرتيه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الأخذ بهذا المعنى، وما قيل بكونه مانعاً 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الدعوى الأولى؛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هو مقتضى التحفّظ على عدّة ظواهر موجودة في الحديث، وهي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الإخبار عن عدم وقوع المنفي في الخارج بحسب المدلول الاستعمالي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ظهورها في أنّ المراد التفهيمي والجدّي هو وقوع المنفي في عالم التشريع من جهة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بما هو مشرّع ومقنّن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في فقرتي الحديث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اسم مصدر بمعنى مطلق المنقصة، سواء كانت نازلة على نفسه أو على غيره،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مصدر لوحظ فيه جهة صدوره من فاعل، فهو ظاهر في الضرر على الغير، إمّا مع الإصرار والتأكيد، وإمّا مع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الضرار معنى خاصّاً قد ذكر بعد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الضرار والضرر هو الفعل المصدري، فحيث إنّ الضرار هو الفعل الموجب للضرر على الغير فكذلك الضرر هو مطلق الفعل الموجب للضرر، سواء كان على نفسه أو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وجود حذف في الحديث، ككلمة غير المتدارك، أو غير جائز، أو ارتكاب عناية كاستعمال المسبّب وإرادة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تفسير الحديث طبقاً لهذه الظهورات يستفاد منه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الفقرة الأولى من الحديث نفي الفعل الموجب للضرر في عالم التشريع مطلقاً، سواء كان على النفس أو على الغير، وأنّ المراد من الفقرة الثانية نفي الفعل الموجب للإضرار الخاص بالغير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مطابق لما ذكره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نتيجتهما هو نفي الفعل الضرري فيما لو كان حكم الفعل من الأحكام الأوّليّة، </w:t>
      </w:r>
    </w:p>
    <w:p>
      <w:pPr>
        <w:pStyle w:val="BookText"/>
        <w:rPr/>
      </w:pPr>
      <w:r>
        <w:rPr>
          <w:rFonts w:ascii="Amiri" w:hAnsi="Amiri" w:eastAsia="Amiri" w:cs="Amiri"/>
          <w:color w:val="111111"/>
          <w:sz w:val="28"/>
          <w:sz w:val="28"/>
          <w:szCs w:val="28"/>
          <w:rtl w:val="true"/>
          <w:lang w:bidi="ar-SA"/>
        </w:rPr>
        <w:t>بلا فرق بين كونه تكليفياً إلزامياً كوجوب الوضوء والصوم، وبين كونه ترخيصياً كجواز دخول سمرة إلى عذقه، وبين كونه وضعياً كجواز البيع بالنسبة للمال المشترك، كما يستفاد منه حرمة الإضرار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التحفّظ بهذه الظهورات المتعدّدة وعدم رفع اليد عنها إلاّ بقرينة على 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منهج التفسير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ينطبق على المواضيع والموارد المختلفة من الأحكام الإلزاميّة الأوّلية والترخيصية أو الوضعية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سنخ هذا التركيب يتعلّق دائماً بالموضوع دون غيره، فقد ورد نظيره كثيراً في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صيام لمن لا يبيّت الصيام بالليل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للإمام مع حفظ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على مَن أقرّ على نفسه بالسهو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بعد نكاح، ولا عتق إلاّ بعد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القول بذلك في جميع الموارد حتى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رَفَثَ وَلا فُسُوقَ وَلا جِدَالَ فِي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بمعنى عدم كون الرفث والفسوق والجدال من أفعال الحجّ، فحينئذٍ تكون موجبة للفساد والحرمة، كما أنّ هذا </w:t>
      </w:r>
    </w:p>
    <w:p>
      <w:pPr>
        <w:pStyle w:val="BookText"/>
        <w:rPr/>
      </w:pPr>
      <w:r>
        <w:rPr>
          <w:rFonts w:ascii="Amiri" w:hAnsi="Amiri" w:eastAsia="Amiri" w:cs="Amiri"/>
          <w:color w:val="111111"/>
          <w:sz w:val="28"/>
          <w:sz w:val="28"/>
          <w:szCs w:val="28"/>
          <w:rtl w:val="true"/>
          <w:lang w:bidi="ar-SA"/>
        </w:rPr>
        <w:t>التركيب لم يرد بمعنى نفي الحكم أو النهي مباشرة، أو غير المتدارك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بهذا الوجه تتمّ الدعوى الأولى من كون المراد من الحديث بكلتا فقرتيه نفي الفعل وإرادة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الدعوى الثانية؛ فعمدة ما قيل في خلاف ذلك بحيث يكون مانعاً عنه إشكالات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الضرر بنفسه ليس موضوعاً لحكم من الأحكام كالربا أو الصلاة والصيام حتى يكون رفعه بمعنى رفع حكمه، بل إذا كان موضوعاً فلا يمكن رفع حكمه؛ لأنّه مقتضيه ولازمه، وبناءً على هذا المعنى يكون الموضوع هو حال الضرر وظرفه وزمانه، وعليه 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بالوضوء في ظرف الضرر، وهذا ليس نفياً لوجوب الوضوء بلسان نفي موضوعه، بل نفي له بلسان نفي ظرف موضوعه، ومثل هذا خارج عن قواعد المحاورات العرفية، فلا يصحّ في مقام نفي حكم الصوم في حال السفر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صوم في السفر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الضرر بالظرف قياس مع الفارق؛ وذلك لأنّ الضرر مسبّب ونتيجة الفعل، والظرف حصّة خاصّة من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أريد من ذلك الموضوع الخاص في ظرف معيّن كالصوم في حال السفر مثلاً،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صوم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أريد من ذلك نفي جميع موضوعات الأحكام الأوّلية في ظرف خاص فيصحّ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لمقتضى الضوابط والقواعد في الاستعمالات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تلك الحصّة حتى تكون ناظرة إلى جميع تلك الموضوعات المقيّدة بذلك الظرف وحاكمة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أوّلاً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للضرر بنفسه 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في محلّه؛ إذ لو لا الحديث الحاكم والمقيّد لإطلاقات الأدلّة الأوّلية لكان مقتضاه إطلاق المتعلّق كالوضوء والصوم وغيرهما من الموضوعات الواجبة حتى لظرف الضرر، وكذلك الأمر بالنسبة للأحكام الترخيصية والوضعية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للحكم المتوهّم من إطلاقات أدلّة الأحكام الأوّلية لحال الضرر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انطباق ضابط نفي الحكم بلسان نفي الموضوع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ضابطه هو نفي الحكم الثابت للطبيعة، إمّا عن نفسها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الرهبانية كانت موضوعاً للحكم في الشرائع السابقة، وهذا الحكم قد نفي بلسان نفي موضوعه، أي الرهبانية، وهذا ما يعبّر عنه بالنفي البسيط، وإمّا عن بعض أنواعها وأصنافها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الربا والصلاة لهما حكم في الشريعة، فنفي الحكم عن بعض أنواعهما وأصنافهما، وهذا ما يعبّر عنه بالنفي المركّب، ولا يشمل الضابط المذكور حكماً ثبت لموضوعٍ </w:t>
      </w:r>
    </w:p>
    <w:p>
      <w:pPr>
        <w:pStyle w:val="BookText"/>
        <w:rPr/>
      </w:pPr>
      <w:r>
        <w:rPr>
          <w:rFonts w:ascii="Amiri" w:hAnsi="Amiri" w:eastAsia="Amiri" w:cs="Amiri"/>
          <w:color w:val="111111"/>
          <w:sz w:val="28"/>
          <w:sz w:val="28"/>
          <w:szCs w:val="28"/>
          <w:rtl w:val="true"/>
          <w:lang w:bidi="ar-SA"/>
        </w:rPr>
        <w:t>طرأ عليه عنوان الضرر اتّفاقاً كما في مورد بحثنا؛ فإنّ الضرر غير متعلّقٍ للحكم حتى يكون نفي الضرر من القسم الأوّل، كما أنّه ليس من القسم الثاني؛ ضرورة أنّ الأحكام فيه ثبتت لعناوين خاصّة كالوضوء والصوم، وإن كان أفرادهما وأصنافهما ضررياً، إلاّ إنّ الضرر مسبّب عن هذه العناوين ومترتّب عليها، وعليه فلا يكون مقامنا من صغريات قاعدة نفي الحكم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مقامنا لا يمكن الالتزام فيه بنفي الحكم بلسان نفي الموضوع؛ لعدم تعلّق النفي بالحكم، وما يمكن الالتزام فيه بنفي الحكم بلسان نفي الموضوع ليس متعلّقاً للحكم، ولذلك عدل بعض الأساطين عن هذا المسلك</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نفي الحكم بلسان نفي الموضوع هو القسم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الثابت بطبعه للموضوع عن بعض أنواعه وأصنافه، وهو ما يعبّر عنه بالنفي التركيبي، فالقول بأنّ الضرر مترتّب على الفعل ولا يصدق عليه الضرر في غير محلّه؛ لأنّ إطلاق المسبّب على السبب كثير في الاستعمالات والمحاورات العرفيّة، خصوصاً في الأسباب التامّة، فيقال للضرب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نور وطهارة، وللصلاة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قربان كلّ تقيّ، أو معراج المؤمن، والمصحّح له في كلّ ذلك هو علاقة السببية والمسبّبية، </w:t>
      </w:r>
    </w:p>
    <w:p>
      <w:pPr>
        <w:pStyle w:val="BookText"/>
        <w:rPr/>
      </w:pPr>
      <w:r>
        <w:rPr>
          <w:rFonts w:ascii="Amiri" w:hAnsi="Amiri" w:eastAsia="Amiri" w:cs="Amiri"/>
          <w:color w:val="111111"/>
          <w:sz w:val="28"/>
          <w:sz w:val="28"/>
          <w:szCs w:val="28"/>
          <w:rtl w:val="true"/>
          <w:lang w:bidi="ar-SA"/>
        </w:rPr>
        <w:t>أو المبالغة في حتمية وجود المسبّب عند وجود السبب، فيصدق حينئذٍ على الفعل الموجب للضرر أنّه ضرر، أو الموجب للعسر، أو الحرج أنّه عسر وحرج،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ادّعاءً كالإثبات ادّعاءً لا يصحّ إلاّ بلحاظ عدم ترتّب الأثر المترقّب من الشيء، فيصحّ نفيه ادّعاءً؛ لكونه بمنزلة العدم، لعدم ترتّب الأثر عليه، كما أنّه لا يصحّ الإثبات ادّعاءً إلاّ بلحاظ ترتّب أثر الحقيقة على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والمفاسد هي الآثار المترقّبة من حقائق الواجبات والمحرّمات، فالصلاة التي لا تترتّب عليها المصلحة المترقّبة منها ليست بصلاة ادّعاءً، وهكذا، وأمّا الحكم التكليفي فليس من آثار حقيقة الفعل في الخارج حتى يصحّ نفي الموضوع بلحاظ عدم ترتّب الحكم عليه، إلاّ مثل اللزوم والصحّة من الأحكام الوضعية، فإنّها تعدّ أثراً للمعاملة، فيصحّ نفيها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عدم ترتّب الملكية على المعاطاة شرعاً يصحّ نفي البيع حقيقة؛ إذ ليس حقيقة البيع إلاّ التمليك المتّحد مع الملكية ذاتاً، واختلافهما اعتباراً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الفعل الخارجي ليس موضوعاً للحكم التكليفي حتى يصحّ نفيه ادّعاءً بعنوان نفي الحكم بنفي موضوعه، وبلحاظ وجوده العنواني يصحّ نفيه حقيقة لا ادّعاءً</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المصالح والمفاسد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فنقضاً وحلاًّ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النقض؛ فبما ورد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بين الوالد والولد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سهو لكثير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ونظائر ذلك والتي يراد منها نفي الحكم واقعاً وليس نفي المصالح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الحلّ؛ فبالقول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المصالح والمفاسد كما هي من آثار الموضوع كذلك الأحكام التكليفية هي من آثار الموضوع؛ لوجود التلازم بينهما، وحيث إنّ القائل بأنّ نفي الموضوع لنفي الأثر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الأثر المنفي هو ما يترتّب عليه الأثر الشرعي في عالم التشريع، فهو كما يصدق على المصالح والمفاسد يصدق أيضاً على الأحكام التكليفية، فيمكن حينئذٍ أن يراد من نفي الموضوع نفي المصالح والمفاسد، كما يمكن أن يراد نفي الأحكام التكليفية أيضاً؛ لصدق كونهما من آثار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الفعل الخارجي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التكليفي وإن كان هو الفعل بلحاظ وجوده العنواني، ولكن ليس بما هو عنوان، بل بما هو مرآة عن الخارج، فمن هذه الجهة يمكن أن يراد من نفي الموضوع نفي الحكم المترتّب عليه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تبيّن تمامية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الظهورات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المسلك في تفسير الحديث بهذا المعنى، كما أنّ المانع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على خلاف هذه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مفقود في البين، وعلى هذا يكون هذا المسلك في تفسير </w:t>
      </w:r>
    </w:p>
    <w:p>
      <w:pPr>
        <w:pStyle w:val="BookText"/>
        <w:rPr/>
      </w:pPr>
      <w:r>
        <w:rPr>
          <w:rFonts w:ascii="Amiri" w:hAnsi="Amiri" w:eastAsia="Amiri" w:cs="Amiri"/>
          <w:color w:val="111111"/>
          <w:sz w:val="28"/>
          <w:sz w:val="28"/>
          <w:szCs w:val="28"/>
          <w:rtl w:val="true"/>
          <w:lang w:bidi="ar-SA"/>
        </w:rPr>
        <w:t>الحديث هو الأقوى، بل الأظهر من بين سائر المسالك الأخرى، كما اتّضح أيضاً بأنّ ما اخترناه من المسلك مطابق لما ذكره المحقّق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إنّ بينهما بعض الفوارق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بأنّ الفقرة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سيقت لتأكيد الفقرة الأولى، فهما بمعنى واحد</w:t>
      </w:r>
      <w:r>
        <w:rPr>
          <w:rStyle w:val="FootnoteAnchor"/>
          <w:rtl w:val="true"/>
        </w:rPr>
        <w:footnoteReference w:id="286"/>
      </w:r>
      <w:r>
        <w:rPr>
          <w:rFonts w:ascii="Amiri" w:hAnsi="Amiri" w:eastAsia="Amiri" w:cs="Amiri"/>
          <w:color w:val="111111"/>
          <w:sz w:val="28"/>
          <w:sz w:val="28"/>
          <w:szCs w:val="28"/>
          <w:rtl w:val="true"/>
          <w:lang w:bidi="ar-SA"/>
        </w:rPr>
        <w:t>، إلاّ إنّ ذلك خلاف الظاهر، فلا داعي لارتكابه، ولذا فسّرنا ذلك بأنّه من باب عطف العام على الخاص، ووجه تخصيصه بالذكر لأهمّيته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الحكم التكليفي والوضعي، وبالملازمة يستفاد حكم تكليفي كلّي، وهو حرمة الإضرار بالنفس وبالغير، وهذا ممّا لم يتعرّض له المحقّق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تفسير الحديث بنفي الحكم ابتداءً، أو بلسان نفي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جعل هذا المعنى كبرى كلّية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سمرة بقلع النخلة ورميها لصاحبها لا يكاد ينطبق عليه حديث نفي الضرر؛ وذلك لأنّه ورد في غير واحد من الروايات أنّ لسمرة الحقّ في الدخول إلى نخلته وعذقه، ولكن حيث إنّ دخوله على الأنصاري بغير استئذان موجب لضرره، فحديث نفي الضرر يدلّ على </w:t>
      </w:r>
    </w:p>
    <w:p>
      <w:pPr>
        <w:pStyle w:val="BookText"/>
        <w:rPr/>
      </w:pPr>
      <w:r>
        <w:rPr>
          <w:rFonts w:ascii="Amiri" w:hAnsi="Amiri" w:eastAsia="Amiri" w:cs="Amiri"/>
          <w:color w:val="111111"/>
          <w:sz w:val="28"/>
          <w:sz w:val="28"/>
          <w:szCs w:val="28"/>
          <w:rtl w:val="true"/>
          <w:lang w:bidi="ar-SA"/>
        </w:rPr>
        <w:t xml:space="preserve">جواز منع دخول سمرة على الأنصاري بلا استئذان؛ لأنّ الضرر في هذه القضية لم يكن إلاّ من دخوله بلا استئذان، فيسقط حقّه في ذلك، وأمّا حقّه في بقاء نخلته وعذقه في البستان فليس بضررٍ على الأنصاري أصلاً حتى يقال بسقوطه، بل إنّ قلع النخلة والعذق ضرر وإضرار بصاحبها؛ لعدم قابليته حينئذٍ للإثمار، فكيف يعلّل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النخلة ورميها لصاحبها بهذا الحديث؟ فمن هذه الجهة لا يتناسب هذا التعليل مع تفسير الحديث بنفي الحكم بلسان نفي موضوعه، أو بنفي الحكم مباشرة، ممّا يكشف عن إجمال الحديث وعدم ظهوره في التفسيرين المذكورين، وسقوطه عن صلاحية الاستدلال به كقاعدة كلّية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انطباق التعليل على المورد لا يخلّ بالاستدلال</w:t>
      </w:r>
      <w:r>
        <w:rPr>
          <w:rStyle w:val="FootnoteAnchor"/>
          <w:rtl w:val="true"/>
        </w:rPr>
        <w:footnoteReference w:id="288"/>
      </w:r>
      <w:r>
        <w:rPr>
          <w:rFonts w:ascii="Amiri" w:hAnsi="Amiri" w:eastAsia="Amiri" w:cs="Amiri"/>
          <w:color w:val="111111"/>
          <w:sz w:val="28"/>
          <w:sz w:val="28"/>
          <w:szCs w:val="28"/>
          <w:rtl w:val="true"/>
          <w:lang w:bidi="ar-SA"/>
        </w:rPr>
        <w:t>فإنّ اجمال المورد وعدم فهم التطبيق لا يسري إلى ظهور العلّة والأخذ بها وتطبيقها على الموارد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الحديث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دخول سمرة على عذقه من دون استئذان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النخلة ورميها إلى صاحبها،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لوجوب </w:t>
      </w:r>
    </w:p>
    <w:p>
      <w:pPr>
        <w:pStyle w:val="BookText"/>
        <w:rPr/>
      </w:pPr>
      <w:r>
        <w:rPr>
          <w:rFonts w:ascii="Amiri" w:hAnsi="Amiri" w:eastAsia="Amiri" w:cs="Amiri"/>
          <w:color w:val="111111"/>
          <w:sz w:val="28"/>
          <w:sz w:val="28"/>
          <w:szCs w:val="28"/>
          <w:rtl w:val="true"/>
          <w:lang w:bidi="ar-SA"/>
        </w:rPr>
        <w:t xml:space="preserve">الاستئذان، وليس علّة لقلع النخلة ورميها لصاحبها؛ لأنّ سمرة بإصراره على الإضرار بالأنصاري قد أسقط احترام ماله،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مادّة الفساد من باب ولايته العامّة على الأموال والأنفس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قد ارتضاه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نفي الضرر يصلح أن يكون تعليلاً لكلا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دخول سمرة على الأنصاري بلا 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كونه ضرراً على الأنصاري ومرفوعاً بحديث نفي الضرر بمنعه عن الدخول بلا استئذان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عذقه في بستان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مرفوع أيضاً؛ لكونه علّة لجواز دخوله بلا استئذان، فحديث نفي الضرر كما يرفع جواز الدخول بلا استئذان كذلك يرفع علّته، وهو ثبوت الحقّ لسمرة في إبقاء عذقه في البستان، وهذا كما لو كان على المكلف غسل ولم يكن الغسل بنفسه موجباً للضرر عليه، ولكن كانت مقدّمته كالمشي إلى الحمّام مثلاً ضررياً، فلا إشكال في رفع وجوب ذي المقدّمة وهو الغسل، كرفع وجوب المقدّمة وهي المشي إلى الحمّام، فلا مانع حينئذٍ من سقوط حقّ سمرة استناداً إلى نفي الضرر؛ لكون معلوله ضررياً، وهو الدخول بلا استئذان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إنّ هذه الأجوبة الثلاثة أصبحت مثاراً للإشكال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الأوّل للشيخ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فبعدما استغرب منه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يرجع إلى أنّ خروج المورد لا يضرّ بالعموم، فيتمسّك به في سائر الموارد، مع أنّك خبير بأنّ عدم دخول المورد في عموم العلّة يكشف عن عدم إرادة ما تكون العلّة ظاهرة فيه، وهذا مرجعه إلى الاعتراف بإجمال الدليل، فكيف لا يخلّ بالاستدلال؟</w:t>
      </w:r>
      <w:r>
        <w:rPr>
          <w:rStyle w:val="FootnoteAnchor"/>
          <w:rtl w:val="true"/>
        </w:rPr>
        <w:footnoteReference w:id="29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أوضح بعض السادة الأجلاّء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الكلام إنّما يستقرّ ويتحدّد في ظلّ تفاعله الدلالي مع جميع ما يتّصل به من ملابساته وشؤونه، فلابدّ في تعيين معنى كتفسير للكلام من ملاحظة مجموع هذه العوامل، ومن المعلوم أنّ التعليل والحكم المعلّل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الكبرى والتطبيق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معنيين مستقلّين في الكلام حتى ينفصل مصيرهما الدلالي، ويقتصر إجمال أحدهما على نفسه من دون أن يتجاوز إلى الآخر، فلا يتمّ لأحدهما معنى أو تحديد إذا لم يكن ذلك منسجماً مع الثاني، ولذا يكون عموم العلّة وخصوصها موجباً لعموم الحكم وخصوصه، وعلى هذا فإذا كان الحكم المعلّل به لا ينسجم مع تفسير التعليل على وجه، فإنّه ينتهي إلى عدم ظهور التعليل في ذلك المعنى، وإن كان ظاهراً فيه في </w:t>
      </w:r>
    </w:p>
    <w:p>
      <w:pPr>
        <w:pStyle w:val="BookText"/>
        <w:rPr/>
      </w:pPr>
      <w:r>
        <w:rPr>
          <w:rFonts w:ascii="Amiri" w:hAnsi="Amiri" w:eastAsia="Amiri" w:cs="Amiri"/>
          <w:color w:val="111111"/>
          <w:sz w:val="28"/>
          <w:sz w:val="28"/>
          <w:szCs w:val="28"/>
          <w:rtl w:val="true"/>
          <w:lang w:bidi="ar-SA"/>
        </w:rPr>
        <w:t>نفسه لولا تطبيقه في المورد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مع ذلك التزم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كبروياً، إلاّ إنّه ناقش في الصغرى،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وإن كان صحيحاً في نفسه، إلاّ إنّ المقام ليس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الانطباق على المورد، بل معلوم الانطباق عليه؛ فإنّ ما يستفاد من الرواية الواردة في قصّة سمرة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عدم جواز دخول سمرة على الأنصاري بغير 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بقلع 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والإشكال المذكور مبنيّ على أن يكون الحكم الثاني بخصوصه أو منضمّاً إلى الأوّل مستنداً إلى نفي الضرر، وأمّا إن كان المستند إليه خصوص الحكم الأوّل، وكان الحكم الثاني الناشئ من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أموال الأمّة وأنفسهم، دفعاً لمادّة الفساد، أو تأديباً له لقيامه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العناد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حكمه لم يكن مستنداً إلى قاعدة نفي الضرر، فالإشكال مندفع من أصله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على كلام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وجهيه؛ فقد أشكل على الأوّل منه سيد المنتقى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توجيه التعليل وانطباقه على دخول سمرة بلا استئذان إنّما يتأتّى في رواية عبد الله بن مسكان، حيث ورد فيها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بقلع الشجرة، فيمكن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بالقلع حكم مستقلّ لا من باب نفي الضرر، إلاّ إنّ هذه الرواية ضعيفة السند، فلا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w:t>
      </w:r>
    </w:p>
    <w:p>
      <w:pPr>
        <w:pStyle w:val="BookText"/>
        <w:rPr/>
      </w:pPr>
      <w:r>
        <w:rPr>
          <w:rFonts w:ascii="Amiri" w:hAnsi="Amiri" w:eastAsia="Amiri" w:cs="Amiri"/>
          <w:color w:val="111111"/>
          <w:sz w:val="28"/>
          <w:sz w:val="28"/>
          <w:szCs w:val="28"/>
          <w:rtl w:val="true"/>
          <w:lang w:bidi="ar-SA"/>
        </w:rPr>
        <w:t xml:space="preserve">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فيها الأمر بالقلع، ثمّ علّله بنفي الضرر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الرواية أنّه لقلع الشجرة، وليس علّة لتحريم دخول سمرة على الأنصاري بلا استئذان، بل ليس لهذا التحريم عين ولا أثر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راجع إليه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أشكل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 الثاني ممّا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المعلول ضررياً لا يوجب إلاّ ارتفاع نفسه، فإنّ رفع علّته بلا موجب، فإذا كانت إطاعة الزوج في عمل من الأعمال ضرراً على الزوجة لا يرتفع به إلاّ وجوب الإطاعة في ذلك العمل، وأمّا الزوجية التي هي السبب في وجوب الإطاعة فلا مقتضي لارتفاعها، وكذا إذا اضطرّ أحد إلى شرب النجس، فالمرتفع بالاضطرار إنّما هو الحرمة دون نجاسته التي هي علّة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 المقام بكون المقدّمة ضررية موجبة لارتفاع وجوب ذي المقدّمة قياس مع الفارق؛ لأنّ كون المقدّمة ضررية يستلزم كون ذي المقدّمة أيضاً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المشي إلى الحمّام لو كان ضررياً كان الغسل بنفسه ضررياً مع فرض توقّفه على المشي إلى الحمّام، فكيف يقاس المقام به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الملاحظة على جميع ما ذكر من الإشكالات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الأوّل المذكور على جواب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فيلاحظ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أنّ المتّبع هو ظهور العلّة، وهذا لا يتوقّف على وضوح كيفية تطبيقه على مورده وعدمه، فإنّ التعليل المذكور في الكلام لا يخلو أمره من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تطبيقه على مورده واضحاً من دون لبس وغموض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تطبيقه على مورده واضحاً بسبب الإجمال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عدم تطبيقه على مورده واضحاً ومعلوماً، وهذه الصورة موجبة لخروج المورد عن التعليل، وهو مستهجن ولا يصدر من المولى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والثانية؛ فلا إشكال فيهما عند الأعلام، والقول بشمول الحكم للمورد وعدم خروجه عنه، وهو لا يتوقّف على فهم كيفية تطبيق الحكم على مورده بدعوى عدم معلومية ووضوح التطبيق، كما لا يكون المورد قرينة على تفسير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التعليل بمنزلة الكبرى العقلية أو الشرعية للحكم، فهو نظير حدّ الوسط في البرهان،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وكلّ متغيّر حادث، فلا يتوقّف ظهور الكبرى على كيفية تطبيقه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متغيّر؛ فإنّ الحجّة معلوم تصديقي يتوصّل من خلالها إلى مجهول تصديقي، فلابدّ أن يكون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 وواضحاً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كان التعليل بأمر غير واضح وغير مركوز في الأذهان فيتوقّف </w:t>
      </w:r>
    </w:p>
    <w:p>
      <w:pPr>
        <w:pStyle w:val="BookText"/>
        <w:rPr/>
      </w:pPr>
      <w:r>
        <w:rPr>
          <w:rFonts w:ascii="Amiri" w:hAnsi="Amiri" w:eastAsia="Amiri" w:cs="Amiri"/>
          <w:color w:val="111111"/>
          <w:sz w:val="28"/>
          <w:sz w:val="28"/>
          <w:szCs w:val="28"/>
          <w:rtl w:val="true"/>
          <w:lang w:bidi="ar-SA"/>
        </w:rPr>
        <w:t>تفسيره ومعناه التفهيمي على التتبّع والفحص عن القرائن، فحينئذٍ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كيفية التطبيق بل فهم نفس مورده لهما دخالة في تفسير التعليل، ولكن ظاهر كلام المستشكل عدم إرادة هذه الصورة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جواب الشيخ تامّ، وعليه فلا وجه للاستغراب، خصوصاً قد ورد نظير ذلك في الشرع كما في 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حرام، المعلّل بالكبرى الكلّية الواردة في رواية الوشّاء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مسكر حرام</w:t>
      </w:r>
      <w:r>
        <w:rPr>
          <w:rFonts w:eastAsia="IRNazanin" w:cs="IRNazanin"/>
          <w:color w:val="111111"/>
          <w:sz w:val="28"/>
          <w:szCs w:val="28"/>
          <w:rtl w:val="true"/>
          <w:lang w:bidi="fa-IR"/>
        </w:rPr>
        <w:t>»</w:t>
      </w:r>
      <w:r>
        <w:rPr>
          <w:rStyle w:val="FootnoteAnchor"/>
          <w:rtl w:val="true"/>
        </w:rPr>
        <w:footnoteReference w:id="295"/>
      </w:r>
      <w:r>
        <w:rPr>
          <w:rFonts w:ascii="Amiri" w:hAnsi="Amiri" w:eastAsia="Amiri" w:cs="Amiri"/>
          <w:color w:val="111111"/>
          <w:sz w:val="28"/>
          <w:sz w:val="28"/>
          <w:szCs w:val="28"/>
          <w:rtl w:val="true"/>
          <w:lang w:bidi="ar-SA"/>
        </w:rPr>
        <w:t>، فإنّ هذا التطبيق غير واضح لدى العرف، ومع ذلك يحكم بكلّية التعليل؛ لأنّ الشارع قد طبّقها على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توقّف ظهور التعليل على فهم المورد وكيفية تطبيقه عليه ممّا لا يمكن المساعدة عليها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 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إنّما يتمّ بناءً على عدم اعتبار رواية عبد الله بن مسكان، فيكون حينئذٍ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كونه تعليلاً لأمره بقلع النخلة، وأمّا بناءً على اعتبار رواية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اعتبار جميع روايات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حينئذٍ بوقوع التعليل لأجل الأمر بالقلع، بل مقتضى رواية ابن مسكان كون التعليل راجعاً إلى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دخول سمرة بلا استئذان، فلا يرد عليه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مع ذلك أيضاً لا يمكن الالتزام بدعوى المحقّق </w:t>
      </w:r>
    </w:p>
    <w:p>
      <w:pPr>
        <w:pStyle w:val="BookText"/>
        <w:rPr/>
      </w:pPr>
      <w:r>
        <w:rPr>
          <w:rFonts w:ascii="Amiri" w:hAnsi="Amiri" w:eastAsia="Amiri" w:cs="Amiri"/>
          <w:color w:val="111111"/>
          <w:sz w:val="28"/>
          <w:sz w:val="28"/>
          <w:szCs w:val="28"/>
          <w:rtl w:val="true"/>
          <w:lang w:bidi="ar-SA"/>
        </w:rPr>
        <w:t>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بقلع الشجرة حكم سلطاني ولائي؛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ذلك أن لا يكون للشارع حكم مجعول في الشريعة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الاستدلال بالقاعدة الكلّية المجعولة عند الشارع كما هو في سائر أقضيته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احتمال وفرض كونه تعليلاً لحكمه بالقلع يضعف كونه حكماً ولائياً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الثالث، 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المعلول إذا كان ضررياً فلا يوجب ذلك إلاّ ارتفاع نفسه كإطاعة الزوجة مثلاً دون علّته وهي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فيما إذا أمكن رفع المعلول بدون رفع علّته، كما في مثال إطاعة الزوجة الموجب للضرر، وأمّا إذا لم يمكن رفع المعلول إلاّ برفع علّته، فحينئذٍ لا مناص من رفع العلّة الموجبة للضرر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 يتحقّق خارجاً ترك إطاعة الزوج مع بقاء الزوجية، فمقتضى القاعدة حينئذٍ شمولها للعلّة أيضاً، بحيث ترفع الزوجية الموجبة للضرر، والمقام من قبيل الثاني؛ حيث إنّ رفع حقّ دخول سمرة على شجرته المعلول لبقاء الشجرة في بستان الأنصاري لم يتحقّق لوحده فقط،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سمرة عن الدخول بلا استئذان، فأبى ذلك، فساومه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نخلته، فامتنع أيضاً كما ورد ذلك في غير واحد من الروايات، فحينئذٍ بما أنّ المعلول لم يتحقّق رفعه إلاّ برفع علّته انحصر حسم مادّة الفساد بقلع الشجرة ورميها لصاحبها، وبهذا يكون تطبيق القاعدة على موردها تامّاً وواضحاّ بلا حاجة </w:t>
      </w:r>
    </w:p>
    <w:p>
      <w:pPr>
        <w:pStyle w:val="BookText"/>
        <w:rPr/>
      </w:pPr>
      <w:r>
        <w:rPr>
          <w:rFonts w:ascii="Amiri" w:hAnsi="Amiri" w:eastAsia="Amiri" w:cs="Amiri"/>
          <w:color w:val="111111"/>
          <w:sz w:val="28"/>
          <w:sz w:val="28"/>
          <w:szCs w:val="28"/>
          <w:rtl w:val="true"/>
          <w:lang w:bidi="ar-SA"/>
        </w:rPr>
        <w:t>للقول بالحكم الولائي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تطبيق القاعدة على هذا المورد كان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تطبيق القاعدة على كلا الموردين تامّ، وإن أبيت إلاّ القول بالإجمال في التطبيق فيمكن القول حينئذٍ بمقالة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العلم بكيفية التطبيق غير قادحٍ في الأخذ بظاهر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 هذا المعنى كبرى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حديث لا ضرر بناءً على عموم نفي الحكم الضرري أو الموضوع الضرري يشمل نفي كلّ حكم ضرري أو موضوع ضرري، سواء كان حكماً تكليفياً أو وضعياً، وعلى هذا فلابدّ من تخصيصه؛ لما ثبت من وجود أحكام ضررية كثيرة في الشريعة، إلاّ إنّ هذا التخصيص يلزم منه محذور تخصيص الأكثر، وقد ذكر بتقريبين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ثبت في الشريعة وجود أحكام ضررية أكثر ممّا هو منفي بقاعدة لا ضرر، كما هو ثابت في الضمانات والكفّارات والديّات والأروش والقصاص والحدود والجهاد والزكاة والخمس والحجّ ووجوب شراء الماء للوضوء، والتجنّب عن ملاقي النجس، وإن كان كثيراً كما في الدهن والمرق، وغير ذلك من الموارد التي يجدها المتتبّع للأحكام الشرعية، فيلزم من ذلك إمّا محذور تخصيص الأكثر المستهجن، وإمّا أن لا يراد من الحديث أحد 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الضرري أو الموضوع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يلزم ذلك، بل يكون معناه مجملاً، </w:t>
      </w:r>
    </w:p>
    <w:p>
      <w:pPr>
        <w:pStyle w:val="BookText"/>
        <w:rPr/>
      </w:pPr>
      <w:r>
        <w:rPr>
          <w:rFonts w:ascii="Amiri" w:hAnsi="Amiri" w:eastAsia="Amiri" w:cs="Amiri"/>
          <w:color w:val="111111"/>
          <w:sz w:val="28"/>
          <w:sz w:val="28"/>
          <w:szCs w:val="28"/>
          <w:rtl w:val="true"/>
          <w:lang w:bidi="ar-SA"/>
        </w:rPr>
        <w:t>وهذا موجب للوهن وضعف دلالة الحديث، ممّا يعني الاقتصار في العمل به على المقدار الذي عمل به المشهور بناءً على كونه جابراً لضعف الدلالة والسند، والمقدار الزائد على ذلك لا يمكن التمسّك به لإجماله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منع الصغرى؛ فلعدم صدق تخصيص الأكثر المستهجن على هذه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يصدق عليها تخصيص الكثير، وهو غير مستهجنٍ؛ لكون الباقي تحت العام بعد التخصيص أكثر من الموارد 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منع الكبرى؛ فلأنّ تخصيص الأكثر إنّما يكون مستهجناً فيما لو كان بتخصيصات كثيرة وبعناوين متعدّدة، وأمّا لو كانت الموارد الكثيرة عن العام خرجت بعنوان واحد جامع لها فهو غير مستهجن،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ودلّ دليل على خروج الفسّاق منهم، فهو وإن شمل خروج أكثر الناس، إلاّ إنّ العرف لا يستهجن ذلك؛ لكون الاعتبار بالمخصّص</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إنّ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مورداً للإشكال بين الأعلام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أشكل عليه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ضابط الاستهجان هو ملاحظة العام لا المخصّص، فإذا كان العام مستوعباً للأفراد بالعناوين المتعدّدة </w:t>
      </w:r>
    </w:p>
    <w:p>
      <w:pPr>
        <w:pStyle w:val="BookText"/>
        <w:rPr/>
      </w:pPr>
      <w:r>
        <w:rPr>
          <w:rFonts w:ascii="Amiri" w:hAnsi="Amiri" w:eastAsia="Amiri" w:cs="Amiri"/>
          <w:color w:val="111111"/>
          <w:sz w:val="28"/>
          <w:sz w:val="28"/>
          <w:szCs w:val="28"/>
          <w:rtl w:val="true"/>
          <w:lang w:bidi="ar-SA"/>
        </w:rPr>
        <w:t>التي يعمّها لا نفس الأشخاص المندرجة تحتها، فلا يلزم تخصيص الأكثرية بإخراج عنوانٍ أو عنوانين، وأمّا إذا كان العام مستوعباً للمصاديق والأفراد فحينئذٍ يكون إخراج الأكثر بعنوانٍ جامع مستهجناً؛ للزوم تخصيص الأكثر، وهذا هو الملاك في الاستهجان</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والمناط في الاستهجان هو ملاحظة العام لا المخصّص، ومنه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دافع للإشكال؛ لكون الحديث من القسم الثاني، لا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بوجه آخر لدفع الإشكال، وهو مبنيّ على ما اختاره في تفسير الحديث من نفي الحكم بلسان نفي موضوعه، بأنّ هذه الموارد ضررية من ناحية الأحكام لا من ناحية الموضوعات، وهذا يكفي في كونه مرجّحاً لتعيين هذا المعنى، وإن لم يكن هناك مرجّح آخر سواه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كلّ من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بتمامية ما ذكره المحقّق الخراساني في جواب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اعترفا أيضاً بصحّة جواب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الصغرى من إنكار لزوم تخصيص الأكثر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فلهما في المقام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 فحاصلها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الحكم وعمومه تارة يكون بنحو القضية الحقيقية، بأن يكون الحكم فيها ثابتاً للعنوان والطبيعة لا للأفراد الخارجية، وأخرى يكون بنحو القضية الخارجية، بأن يكون الحكم فيها ثابتاً لكلّ شخص شخص من الأفراد الخارجية ابتداءً وإن ذكرت هذه الأفراد بلفظ وقالب واحد، كقوله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في العسكر، أو نهب ما في الدار، فإنّ الحكم فيهما وارد على الأفراد وإن كانت داخلة تحت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العام من قبيل الأوّل، فما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التخصيص إذا كان بعنوان وجامع واحد لا يلزم منه الاستهجان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الخارج منه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وذلك لأنّ التصرّف يكون حينئذٍ في الكبرى، وهي مدخولة الأداة الدالّة على استعياب مدخولها، وأمّا كيفية المدخول وكلّيته ما هي؟ فليست الأداة موضوعة لتعيينها، فكلّ ما أريد من المدخول فالأداة دالّة على عمومه، فهي من هذه الجهة نظير المطلق في احتياجه إلى مقدّمات الحكمة، فإن تمّت فهي تدلّ على كلّية المدخول، وتدل الأداة على استعياب مدخولها، فحينئذٍ إذا ورد المخصّص أوجب تقييد المدخول من دون تصرّف في الأداة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بين تقييد المدخول ابتداءً،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عادل، وبين تقييده بدليل منفصلٍ،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فسّاقهم، فعلى كلا التقديرين يكون موضوع الحكم مركّباً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والآخر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التمسّك بالعام في الشبهة المصداقية؛ لكون </w:t>
      </w:r>
    </w:p>
    <w:p>
      <w:pPr>
        <w:pStyle w:val="BookText"/>
        <w:rPr/>
      </w:pPr>
      <w:r>
        <w:rPr>
          <w:rFonts w:ascii="Amiri" w:hAnsi="Amiri" w:eastAsia="Amiri" w:cs="Amiri"/>
          <w:color w:val="111111"/>
          <w:sz w:val="28"/>
          <w:sz w:val="28"/>
          <w:szCs w:val="28"/>
          <w:rtl w:val="true"/>
          <w:lang w:bidi="ar-SA"/>
        </w:rPr>
        <w:t>التخصيص لا يوجب التصرّف في الأداة ومدخولها، وإنّما يوجب التصرّف في كلّيته، ومن هذه الجهة لا فرق بين الكثير والأكثر، وأمّا في القضايا الخارجية فحيث إنّ الأفراد لا جامع بينها فلا كبرى في البين حتى يرد التخصيص عليها، فلا محالة يرجع التخصيص إلى التصرّف في أداة العموم، وحينئذٍ لو خرجت أفراد كثيرة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 ما في الدار، لصار مستهجناً، بلا فرق في ذلك بين كثرة الإخراج وكثرة الخارج</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الحكم في القسم الأوّل ليس بلحاظ الأفراد حتى يكون الخارج أكثر من الباقي، وهذا بخلاف ثبوت الحكم في القسم الثاني، فإنّه بلحاظ الأفراد، وعليه فيكون إخراج الأكثر حينئذٍ موجباً للاستهجان، 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جميع مَن في العسكر إلاّ بني تميم، بحيث لم يبق من العام من غير بني تميم إلاّ رجل أو رجلان، لكان ذلك مستهجناً، فيكون كما لو أخرجهم بنحو الأفراد،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جميع العسكر إلاّ زيداً، وإلاّ عمراً، وإلاّ 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حتى لا يبقى إلاّ رجل أو رجلان مثلاً، فلا فرق في ذلك بين كون التخصيص بعنوانٍ عامّ وبين التخصيص الأفرادي، وحيث 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القضايا الخارجية الواردة على الأفراد؛ إذ إنّها ناظرة إلى الأحكام التي بلّغها الله سبحانه وتعالى إلى الناس بلسان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لم يشرّع في هذه الأحكام ما يكون ضررياً، فالحقّ حينئذٍ صحّة ما ذكره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الفرق في قبح تخصيص الأكثر بين أن يكون التخصيص </w:t>
      </w:r>
    </w:p>
    <w:p>
      <w:pPr>
        <w:pStyle w:val="BookText"/>
        <w:rPr/>
      </w:pPr>
      <w:r>
        <w:rPr>
          <w:rFonts w:ascii="Amiri" w:hAnsi="Amiri" w:eastAsia="Amiri" w:cs="Amiri"/>
          <w:color w:val="111111"/>
          <w:sz w:val="28"/>
          <w:sz w:val="28"/>
          <w:szCs w:val="28"/>
          <w:rtl w:val="true"/>
          <w:lang w:bidi="ar-SA"/>
        </w:rPr>
        <w:t>بعنوان واحد أو بعناوين مختلفة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حول الدعوى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 فهي اختيار 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الصغرى وإنكار لزوم تخصيص الأكثر؛ وذلك لأنّ الموارد المذكورة تنقسم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غير المشمولة لحديث نفي الضرر من أول الأمر، كموارد الضمانات والأروش؛ وذلك لورود الحديث في مقام الامتنان، والحكم في هذه الموارد موجب للضرر على المالك، كما أنّه موجب للضرر على المتلف، فكلاهما منافيان للامتنان وخارجان عن مدلول الحديث من دون حاجة إلى التخصيص، ولأنّ الدليل الامتناني لا يشمل كلّ موردٍ يكون منافياً للامتنان على أحدٍ من الأمّة؛ ولذلك كان بيع المضطرّ محكوماً بالصحّة بخلاف بيع المكره، وذلك لأنّ بيع المضطرّ منافٍ للامتنان عليه، بخلاف الحكم بعدم صحّة بيع المكره، مع أنّهما مندرجان في حديث الرفع</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الخارجة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تخصّصاً، وهي الأحكام المجعولة في أبواب الديّات والحدود والقصاص والحجّ والجهاد، فهي قد جعلت ضررية من أوّل الأمر لمصالح أهمّ فيها، كما قال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العموم والإطلاقات الدالّة على التكاليف التي قد تكون ضررية، وقد لا تكون ضررية، ويقيدها بصورة عدم الضرر على المكلّف، فكلّ حكم جعل ضررياً بطبعه ومقتضاه فهو غير مشمولٍ للحديث، بل هو منصرف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يصدق عليها الضرر، بل يصدق عليها عدم النفع، كالخمس فإنّ تشريعه ليس فيه ضرر على أحد؛ لأنّ الشارع لم يعتبره مالكاً لمقدار الخمس حتى يكون وجوب إخراجه ضرراً عليه، وأوضح منه الغنائم أو المعادن والكنوز والمال المختلط بالحرام والغوص، فإنّ تملّك هذه الأمور يكون بحكم الشارع، فلولا حكمه لما تحقّقت الملكية لأربابها، فحينئذٍ حكم الشارع بملكية أربعة أخماس منها، وجعل خمسها لأشخاص آخرين يوجب عدم النفع، لا أنّه يوجب الضرر، وكذلك الكلام في أرباح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بالنسبة للزكاة حيث إنّها داخلة في ملكه من أوّل الأمر فالحكم بإخراجها من الأنعام والغلاّت موجب للضرر على مالكها، إلاّ إنّ هذا المورد مندرج في القسم الثاني، وهو ما كان بطبعه ومقتضاه موجباً للضرر، فخروجه من حديث نفي الضرر من باب التخصّص</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يلتزم فيها بالتخصيص؛ وذلك لورود النصوص </w:t>
      </w:r>
    </w:p>
    <w:p>
      <w:pPr>
        <w:pStyle w:val="BookText"/>
        <w:rPr/>
      </w:pPr>
      <w:r>
        <w:rPr>
          <w:rFonts w:ascii="Amiri" w:hAnsi="Amiri" w:eastAsia="Amiri" w:cs="Amiri"/>
          <w:color w:val="111111"/>
          <w:sz w:val="28"/>
          <w:sz w:val="28"/>
          <w:szCs w:val="28"/>
          <w:rtl w:val="true"/>
          <w:lang w:bidi="ar-SA"/>
        </w:rPr>
        <w:t>الخاصّة فيها، وهي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بنجاسة الملاقي للنجس، مع أنّه موجب للضرر على المالك، كمثال وقوع الفأرة في الدهن أو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على المريض المجنب نفسه عمداً، وإن كان الغسل ضرراً عليه، كما ورد به النص، وإن أعرض المشهور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شراء ماء الوضوء ولو بأضعاف قيمته، فإنّه ضرر ماليّ عليه، ولكنّه منصوص</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أموراً ثلاثة لابدّ من التكلّم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الصحيح ما ذكره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الثاني، أو ما ذكره المحقّق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جواب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منع الصغرى والمتسالم عليه بين الأعلام تامّ أو لا؟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الإشكال الذي تفرّد به المحقّق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أو لا؟</w:t>
      </w:r>
    </w:p>
    <w:p>
      <w:pPr>
        <w:pStyle w:val="BookText"/>
        <w:rPr/>
      </w:pPr>
      <w:r>
        <w:rPr>
          <w:rFonts w:ascii="Amiri" w:hAnsi="Amiri" w:eastAsia="Amiri" w:cs="Amiri"/>
          <w:color w:val="111111"/>
          <w:sz w:val="28"/>
          <w:sz w:val="28"/>
          <w:szCs w:val="28"/>
          <w:rtl w:val="true"/>
          <w:lang w:bidi="ar-SA"/>
        </w:rPr>
        <w:t>أمّا الأمر الأوّل؛ فالظاهر أنّه لا يمكن المساعدة على ما ذكره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ما ذكره المحقّق الآخوند الخراساني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لأجل ما تقدّم من مناقشة المحقّق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عدم الفرق في استهجان تخصيص الأكثر بين إخراج أكثر الأفراد بعنوان واحد جامع وبين تخصيصه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بناءً على كون العام بنحو القضية الحقيقية لا يلزم التخصيص في الأداة، وإنّما يكون تقييداً في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وجيهٌ فيما إذا كان الموضوع الذي تعلّق به الحكم هو الطبيعة من حيث هي هي، وأمّا إذا كان الموضوع الذي تعلّق به الحكم هو الطبيعة بما هي مرآة وكاشفة عن الأفراد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وعليه بنى المحقّقان المذكوران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حينئذٍ من لزوم تخصيص الأكثر المستهجن، فإنّ إلقاء العام وإرادة فرد أو فردين منهما أمر مستهجن وغير مستحسن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فالظاهر أنّ جواب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أيّده الأعلام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يقرّر بتقرير آخر، فيقال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الموارد المذكورة غير مندرجة تحت قاعدة نفي الضرر من أوّل الأمر حتى يقال بعد ذلك بلزوم تخصيص الأكثر، بل يمكن القول بعدم صدق الضرر في كثير منها؛ وذلك لما تقدّم من أنّ معنى الضرر في المال مثلاً هو النقص، وصرفه فيما لا ينبغي صرفه فيه، فلا يصدق الضرر على صرف المال فيما يعدّ من مؤونة الشخص وشؤونه كتعمير داره أو مؤونة عياله وأقربائه وسائر أموره العامّة، العرفية منها والعقلائية، والتي ينتفع بها بنفسه، أو التي ينتفع منها الآخرون، كالضمانات والديّات والجهاد والحجّ والزكاة والخمس، بل وحتى الاجتناب عن ملاقي النجس، حيث اكتشف من حكم الشارع بأنّ الملاقاة توجب سراية </w:t>
      </w:r>
    </w:p>
    <w:p>
      <w:pPr>
        <w:pStyle w:val="BookText"/>
        <w:rPr/>
      </w:pPr>
      <w:r>
        <w:rPr>
          <w:rFonts w:ascii="Amiri" w:hAnsi="Amiri" w:eastAsia="Amiri" w:cs="Amiri"/>
          <w:color w:val="111111"/>
          <w:sz w:val="28"/>
          <w:sz w:val="28"/>
          <w:szCs w:val="28"/>
          <w:rtl w:val="true"/>
          <w:lang w:bidi="ar-SA"/>
        </w:rPr>
        <w:t>الميكروبات المضرّة بالإنسان الملاقي لها، فصرف المال في هذه الموارد لا يصدق عليه ضرر حتى يقال بخروجها تخصيصاً أو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الثالث؛ فإنّ ما ذكره المحقّق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المنفي إذا كان هو الموضوع الضرري بلسان نفي حكمه، فلا يرد هذا الإشكال،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تخصيص الأكثر، وأمّا إذا كان هو الحكم الضرري ابتداءً، فحينئذٍ يرد الإشكال، وعلى هذا فلو لم يكن هناك مرجّح آخر على المعنى الذي اخترناه في تفسير الحديث لكفى هذا الوجه لتعيين مختارنا، فهذا المطلب لم نتحقّق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نفس جعل الحكم لا يوجب الضرر؛ لكونه أمراً اعتبارياً، وهو ممّا لا يلزم منه الضرر، بل إنّ وجوده وعدمه سيّان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يترتّب الضرر في مقام الامتثال والإتيان بالمتعلّق؛ لأنّ الضرر دائماً ينشأ من ناحية الموضوع كما في الجهاد وإعطاء المال بعنوان الزكاة أو الخمس، وهكذا، فلا فرق في لزوم محذور تخصيص الأكثر حينئذٍ بين كون المنفي هو الحكم الضرري وبين كونه الموضوع الموجب للضرر، فلا معنى للقول باختصاص المحذور المزبور بقولٍ دون آخر، ولكن قد تقدّم منا القول بمنع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التقريب الأوّل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أعاظم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حديث نفي الضرر دليل امتناني على العباد،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لعنايته بالعباد لم يوقعهم في الضرر، ولم يشرّع الأحكام للإضرار بهم، فلسانه كلسان حديث الرفع ودليل رفع </w:t>
      </w:r>
    </w:p>
    <w:p>
      <w:pPr>
        <w:pStyle w:val="BookText"/>
        <w:rPr/>
      </w:pPr>
      <w:r>
        <w:rPr>
          <w:rFonts w:ascii="Amiri" w:hAnsi="Amiri" w:eastAsia="Amiri" w:cs="Amiri"/>
          <w:color w:val="111111"/>
          <w:sz w:val="28"/>
          <w:sz w:val="28"/>
          <w:szCs w:val="28"/>
          <w:rtl w:val="true"/>
          <w:lang w:bidi="ar-SA"/>
        </w:rPr>
        <w:t>الحرج، وما هذا شأنه يكون آبياً عن التخصيص، قلّ أو كثر</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يتّضح كون العام الامتناني آبياً عن التخصيص إذا كان التخصيص في سياق الامتنان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 ذلك فبالإمكان أن يكون خروج ما خرج منه على سبيل الحكومة دون التخصيص، بأن تعتبر الزكاة مثلاً حكماً غير ضرري فيجب دفعها، ولسان الحكومة لا يمسّ باللسان الآبي عن التخصيص؛ لأنّ صيغتها نفي الحكم بلسان نفي الموضوع، فهو لسان مسالم للعامّ، على خلاف لسان التخصيص</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الكبرى والصغرى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منع الكبرى؛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الضرر والخسارة أمراً مرغوباً عنها ومنّة فكيف يتصوّر عامّ يقتضي الامتنان فيه رفع التكليف عن أفراده، ويقتضي الامتنان فيه أيضاً ثبوت التكليف على بعض أفراده؟ فهل يتصوّر تحقّق فرد من نفس هذا الضرر والخسارة المرغوب عنها ومع ذلك يكون في تحقّقه ووجوده عناية ومنّة؟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ذلك فيما إذا كان ذا جهتين، فمن جهة كونه ضرراً يقتضي رفع </w:t>
      </w:r>
    </w:p>
    <w:p>
      <w:pPr>
        <w:pStyle w:val="BookText"/>
        <w:rPr/>
      </w:pPr>
      <w:r>
        <w:rPr>
          <w:rFonts w:ascii="Amiri" w:hAnsi="Amiri" w:eastAsia="Amiri" w:cs="Amiri"/>
          <w:color w:val="111111"/>
          <w:sz w:val="28"/>
          <w:sz w:val="28"/>
          <w:szCs w:val="28"/>
          <w:rtl w:val="true"/>
          <w:lang w:bidi="ar-SA"/>
        </w:rPr>
        <w:t>التكليف، ومن جهة كونه نفعاً يقتضي ثبوت التكليف، فيقال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من إحدى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ثبوت التكليف نفع وامتنان مساوٍ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ثبوت التكليف نفع وامتنان غالب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الأولى؛ لا وجه حينئذٍ للقول بخروجه من العام تخصيصاً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الثانية؛ يرد الإشكال،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التكليف خارج تخصّصاً؛ لعدم صدق الضرر عليه عرفاً، بل يصدق على تركه عدم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والخسارة وإن كان في نفسه مبغوضاً ويتنفّر منه الطبع، ولكنّه يوجب في بعض الأحيان وفي بعض الأفراد التوجّه إلى الله سبحانه وتعالى والانقطاع إليه، وما يكون هذا شأنه لا يصدق عليه عرفاً عنوان الضرر، بل هو في الحقيقة نفع، فيكون خروجه حينئذٍ تخصّصاً، لا أنّه ضرر منفي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الإشكال 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الخروج بنحو الحكومة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معنى الحكومة هو النظر إمّا بنحو التوسعة وإمّا بنحو التضييق للموضوع تعبّداً،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من أفراد العام، وعليه يكون الضرر ثابتاً في الحقيقة، ولكن منفيّ عنه اعتباراً،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أفراد الضرر، وهذا ينافي الامتنان بلا إشكال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منع الصغرى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جواز تخصيص الدليل الامتناني وعدمه، وعليه فالجواب عنه بإمكان جواز ذلك على سبيل الحكومة 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بذلك، فإنّ التخصيص بنحو الحكومة لا ينطبق على الموارد المذكورة في مقامنا من وجوب شراء ماء الوضوء ولو بأضعاف قيمته، ووجوب الغسل على مريض أجنب نفسه عمداً وإن كان الغسل ضرراً عليه، والحكم بنجاسة الملاقي للنجس والاجتناب عنه، والحكم بالاجتناب عن اللحوم المشتبهة، وغير ذلك، فليست هذه الموارد داخلة في أحد هذين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الجواب ممنوع كبرى وصغرى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يقال بمنع 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امتنانياً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ثبتت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معتبر لكانت دلالة القاعدة على الامتنان واضحة وقويّة، ولكن حيث إنّ هاتين الكلمتين وردت إحداهما في مرسلة ابن مسكان والأخرى في مرسلة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القول بالامتنان، وإن كان ظاهر الشيخ الأنصاري والمحقّق الآخوند والمحقّق الميرزا النائيني</w:t>
      </w:r>
      <w:r>
        <w:rPr>
          <w:rStyle w:val="FootnoteAnchor"/>
          <w:rtl w:val="true"/>
        </w:rPr>
        <w:footnoteReference w:id="306"/>
      </w:r>
      <w:r>
        <w:rPr>
          <w:rFonts w:ascii="Amiri" w:hAnsi="Amiri" w:eastAsia="Amiri" w:cs="Amiri"/>
          <w:color w:val="111111"/>
          <w:sz w:val="28"/>
          <w:sz w:val="28"/>
          <w:szCs w:val="28"/>
          <w:rtl w:val="true"/>
          <w:lang w:bidi="ar-SA"/>
        </w:rPr>
        <w:t>البناء على 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يقال بخروج الموارد المذكورة تخصّصاً؛ لعدم صدق الضرر عليها، </w:t>
      </w:r>
    </w:p>
    <w:p>
      <w:pPr>
        <w:pStyle w:val="BookText"/>
        <w:rPr/>
      </w:pPr>
      <w:r>
        <w:rPr>
          <w:rFonts w:ascii="Amiri" w:hAnsi="Amiri" w:eastAsia="Amiri" w:cs="Amiri"/>
          <w:color w:val="111111"/>
          <w:sz w:val="28"/>
          <w:sz w:val="28"/>
          <w:szCs w:val="28"/>
          <w:rtl w:val="true"/>
          <w:lang w:bidi="ar-SA"/>
        </w:rPr>
        <w:t>وإنكار التخصيص في هذه الموارد وتوجيه مسألة وجوب شراء ماء الوضوء ولو بأضعاف قيمته، فإنّه مضافاً إلى أنّ عدم الشراء في هذا المورد يوجب حرمان المكلّف من نيل الثواب الجزيل كما يوجب أيضاً القذارة وعدم تطهير وجهه ويديه ورجليه، فصرف المال في ذلك صرف له في شؤونه، ولا يعدّ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وجوب الغسل على مريض أجنب نفسه عمداً؛ فالمشهور أعرضوا عنه وحكموا بعدم وجوب الغسل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الحكم بنجاسة الملاقي للنجس ووجوب الاجتناب عنه؛ فإنّ عدم التجنّب موجب للضرر،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على المعنى الذي اخترناه في تفسير حديث نفي الضرر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المقام الرابع</w:t>
      </w:r>
      <w:r>
        <w:rPr>
          <w:rFonts w:eastAsia="Amiri" w:cs="Amiri" w:ascii="Amiri" w:hAnsi="Amiri"/>
          <w:color w:val="111111"/>
          <w:sz w:val="28"/>
          <w:szCs w:val="28"/>
          <w:rtl w:val="true"/>
          <w:lang w:bidi="ar-SA"/>
        </w:rPr>
        <w:t xml:space="preserve">. </w:t>
      </w:r>
      <w:bookmarkStart w:id="114" w:name="pg8595_75565"/>
    </w:p>
    <w:p>
      <w:pPr>
        <w:pStyle w:val="Heading2"/>
        <w:numPr>
          <w:ilvl w:val="1"/>
          <w:numId w:val="1"/>
        </w:numPr>
        <w:rPr/>
      </w:pPr>
      <w:bookmarkStart w:id="115" w:name="__RefHeading___Toc1770908_653776707"/>
      <w:bookmarkStart w:id="116" w:name="_Toc41"/>
      <w:bookmarkEnd w:id="114"/>
      <w:bookmarkEnd w:id="115"/>
      <w:r>
        <w:rPr>
          <w:rtl w:val="true"/>
        </w:rPr>
        <w:t>المقام الخامس</w:t>
      </w:r>
      <w:r>
        <w:rPr>
          <w:rtl w:val="true"/>
        </w:rPr>
        <w:t xml:space="preserve">: </w:t>
      </w:r>
      <w:r>
        <w:rPr>
          <w:rtl w:val="true"/>
        </w:rPr>
        <w:t>في تنبيهات القاعدة</w:t>
      </w:r>
      <w:bookmarkEnd w:id="116"/>
    </w:p>
    <w:p>
      <w:pPr>
        <w:pStyle w:val="Heading3"/>
        <w:numPr>
          <w:ilvl w:val="2"/>
          <w:numId w:val="1"/>
        </w:numPr>
        <w:rPr/>
      </w:pPr>
      <w:bookmarkStart w:id="117" w:name="__RefHeading___Toc1770910_653776707"/>
      <w:bookmarkStart w:id="118" w:name="_Toc42"/>
      <w:bookmarkEnd w:id="117"/>
      <w:r>
        <w:rPr>
          <w:rtl w:val="true"/>
        </w:rPr>
        <w:t>التنبيه الأول</w:t>
      </w:r>
      <w:r>
        <w:rPr>
          <w:rtl w:val="true"/>
        </w:rPr>
        <w:t xml:space="preserve">: </w:t>
      </w:r>
      <w:r>
        <w:rPr>
          <w:rtl w:val="true"/>
        </w:rPr>
        <w:t>نسبة قاعدة لا ضرر مع أدلّة الأحكام الأوّلية</w:t>
      </w:r>
      <w:bookmarkEnd w:id="118"/>
    </w:p>
    <w:p>
      <w:pPr>
        <w:pStyle w:val="BookText"/>
        <w:rPr/>
      </w:pPr>
      <w:r>
        <w:rPr>
          <w:rFonts w:ascii="Amiri" w:hAnsi="Amiri" w:eastAsia="Amiri" w:cs="Amiri"/>
          <w:color w:val="111111"/>
          <w:sz w:val="28"/>
          <w:sz w:val="28"/>
          <w:szCs w:val="28"/>
          <w:rtl w:val="true"/>
          <w:lang w:bidi="ar-SA"/>
        </w:rPr>
        <w:t xml:space="preserve">إنّ نسبة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أدلّة كلّ حكم من الأحكام الأوّلية هي العموم من وجه؛ فإنّ أدلّة الأحكام المثبتة أو النافية تقتضي وجوب متعلّقها مطلقاً، سواء كان ضررياً أو لا، ومقتضى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الضرر، سواء كان هذا الحكم أو غيره، فيجتمعان في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مقتضى إطلاق دليل وجوب الوضوء شموله لحال الضرر، وإطلاق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وجوبه حال الضرر، فيكون الوضوء الضرري مورد اجتماعهما، كما أنّ مورد افتراق الأوّل هو الوضوء غير الضرري، ومورد افتراق الثاني هو الضرر في غير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تقديم قاعدة نفي الضرر على سائر الأدلّة الأوّلية في مادّة الاجتماع، ولكن وقع الخلاف في وجه تقديم القاعدة، فقد نقل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أربعة في ذلك، وناقش في الثلاثة الأولى منها، وقوّى الرابع، وتبعه في ذلك كلّ من المحقّق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 المحقّق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الوجوه الأربعة التي نقلها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غير واحد من وجود التعارض بين العمومات المثبتة </w:t>
      </w:r>
    </w:p>
    <w:p>
      <w:pPr>
        <w:pStyle w:val="BookText"/>
        <w:rPr/>
      </w:pPr>
      <w:r>
        <w:rPr>
          <w:rFonts w:ascii="Amiri" w:hAnsi="Amiri" w:eastAsia="Amiri" w:cs="Amiri"/>
          <w:color w:val="111111"/>
          <w:sz w:val="28"/>
          <w:sz w:val="28"/>
          <w:szCs w:val="28"/>
          <w:rtl w:val="true"/>
          <w:lang w:bidi="ar-SA"/>
        </w:rPr>
        <w:t>للتكليف وبين القاعدة، فترجّح القاعدة إمّا بعمل الأصحاب، وإمّا بالأصول كالبراءة في مقام التكليف، وغيرها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القاعدة؛ لوقوعها في مقام الامتنان، وهذا يكفي في تقديمها على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القاعدة من جهة أنّ الحكم بسقوط المتعارضين في مادّة الاجتماع، أو تقديم أدلّة الأحكام الأوّلية يوجبان عدم بقاء موردٍ للعمل بقاعدة نفي الضرر، ويلزم منه إلغاء هذا الدليل بالمرّة، وقد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دار الأمر بين العامّين من وجه، وكان العمل بأحدهما مستلزماً لطرح الآخر، يكون الآخر هو المقدّم ويرجّح على غيره، وهذا بخلاف تقديم دليل نفي الضرر، فإنّه لا يستلزم إلغاء أدلّة الأحكام بشمولها لموارد عدم الضرر، كما أنّ تقديم بعض أدلّة الأحكام الخاصّة ترجيح بلا مرجّح؛ لأنّ نسبتها إليها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نفي الضرر حاكم على أدلّة الأحكام، فيقدّم عليها، ولا تلاحظ النسبة بينهما، فإنّ مقتضى التدبّر في 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 والنسيان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السهو على كثير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السبيل على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قدرة العبد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الأوّل والثاني، وقوّى الرابع، ولم يتعرّض للثالث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الآخوند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 دليل نفي الضرر على أدلّة الأحكام الأوّلية بمقتضى الجمع العرفي، فإنّه يجمع بين كلّ دليلين يتكفّل أحدهما لبيان الحكم الثابت للأشياء بعناوينها الأوّلية، ويتكفّل الآخر بيان الحكم الثابت للأشياء بعناوينها الثانوية، فيحمل الأوّل على الاقتضائي والثاني على الحكم الفعلي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الوجوه التي ذكرت في المقام، والمهم هو بيان الوجهين الأخيرين منها؛ لأنّ سائر الوجوه الأخرى إنّما يترتّب عليها الأثر في حالة عدم ثبوت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بيان الوجه الرابع؛ فقد ادّعى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وجه تقديم القاعدة هو الحكومة من دون حاجة لملاحظة المرجّحات الدلالية والسندية بينها، بل يقدّم الدليل الحاكم مطلقاً وإن كان أضعف دلالة وسنداً من الدليل المحكوم، ووافقه عليها كلّ من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الدعوى تحتاج إلى بيان أمرين قد ذكرهما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ضابط الحكومة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وجه تقديم الدليل الحاكم على الدليل المحكوم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الأمر الأوّل؛ فإنّ القرينة تارة تكون للمجاز أي للتصرّف في المراد الاستعمالي،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المراد من كلمة الأسد في هذا الكلام بالدلالة التصديقية هو الرجل الشجاع، وأخرى تكون القرينة للتخصيص أو التقييد أي للتصرّف في المراد الجدّي، وهي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قرينة على التصرّف في المراد الجدّي بمعونة حكم العقل، كما هو في التخصيص والتقييد، فإنّ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وبين قوله 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العالم،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تعارض العموم والخصوص بحسب الظاهر؛ لأنّ مفاد الأوّل وجوب إكرام جميع أفراد العلماء الشامل لزيد أيضاً، ومفاد الثاني عدم إكرام زيد، ولكن حيث إنّ العقل يعلم بصدور الخاص والعام من العاقل الملتفت، فهو يحكم بأنّ الملتفت لا يحكم واقعاً بوجوب إكرام جميع أفراد العلماء مع حكمه في زيد العالم بخلاف حكمه في سائر الأفراد، وبعد نصوصية الخاص أو أظهريته من العموم في شموله له يحكم بأنّ المتكلّم لم يقصد من العموم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قرينة على التصرّف في المراد الجدّي، ولكن بمدلولها اللفظي، وهي على قسمين أيضاً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فتارة تكون قرينة بالدلالة المطابقية وبمفاد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كقرينة المجاز،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عنيت بذلك الشك بين الثلاث </w:t>
      </w:r>
    </w:p>
    <w:p>
      <w:pPr>
        <w:pStyle w:val="BookText"/>
        <w:rPr/>
      </w:pPr>
      <w:r>
        <w:rPr>
          <w:rFonts w:ascii="IRNazanin" w:hAnsi="IRNazanin" w:eastAsia="IRNazanin"/>
          <w:color w:val="111111"/>
          <w:sz w:val="28"/>
          <w:sz w:val="28"/>
          <w:szCs w:val="28"/>
          <w:rtl w:val="true"/>
          <w:lang w:bidi="fa-IR"/>
        </w:rPr>
        <w:t>والأربع</w:t>
      </w:r>
      <w:r>
        <w:rPr>
          <w:rFonts w:eastAsia="IRNazanin" w:cs="IRNazanin"/>
          <w:color w:val="111111"/>
          <w:sz w:val="28"/>
          <w:szCs w:val="28"/>
          <w:rtl w:val="true"/>
          <w:lang w:bidi="fa-IR"/>
        </w:rPr>
        <w:t>»</w:t>
      </w:r>
      <w:r>
        <w:rPr>
          <w:rStyle w:val="FootnoteAnchor"/>
          <w:rtl w:val="true"/>
        </w:rPr>
        <w:footnoteReference w:id="309"/>
      </w:r>
      <w:r>
        <w:rPr>
          <w:rFonts w:ascii="Amiri" w:hAnsi="Amiri" w:eastAsia="Amiri" w:cs="Amiri"/>
          <w:color w:val="111111"/>
          <w:sz w:val="28"/>
          <w:sz w:val="28"/>
          <w:szCs w:val="28"/>
          <w:rtl w:val="true"/>
          <w:lang w:bidi="ar-SA"/>
        </w:rPr>
        <w:t>، بعدما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روي أنّ الفقيه لا يعيد الصلاة؟</w:t>
      </w:r>
    </w:p>
    <w:p>
      <w:pPr>
        <w:pStyle w:val="BookText"/>
        <w:rPr/>
      </w:pPr>
      <w:r>
        <w:rPr>
          <w:rFonts w:ascii="IRNazanin" w:hAnsi="IRNazanin" w:eastAsia="IRNazanin"/>
          <w:color w:val="111111"/>
          <w:sz w:val="28"/>
          <w:sz w:val="28"/>
          <w:szCs w:val="28"/>
          <w:rtl w:val="true"/>
          <w:lang w:bidi="fa-IR"/>
        </w:rPr>
        <w:t>وأخرى تكون قرينة بالدلالة الالتزامية كأغلب الحكومات، فإنّ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لاشكّ لكثير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يبيّن بنفس مدلوله اللفظي موضوعَ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فابن على الأكثر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ويضيّق دائرة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فالفرق بين التخصيص والحكومة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بيانية الخاص للعام إنّما هو بحكم العقل، وبيانية الحاكم للمحكوم إنّما هو بنفس مدلوله، كما أنّ الحكومة تتوقّف على ورود المحكوم أوّلاً، ثمّ ورود الحاكم؛ وذلك لأنّه مسوق لبيان حكمه ومتفرّع عليه، بخلاف التخصيص الذي هو أحد أقسام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يرد حكم من الشارع لاعموماً ولا خصوصاً، فلا مجال لورود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حرج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بخلاف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غير متفرّع على ورود أكرم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الحكومة على أربعة أقسام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يتعرّض فيه الحاكم لموضوع المحكوم، إمّا بنحو التوسعة، وإمّا بنحو التضييق، ومثال الأوّل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ومثال الثاني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بين الوالد والولد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لمتعلّق الحكم الثابت في المحكوم،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الإكرام ليس بالضيافة،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لنفس الحكم، كما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الإكرام ليس في مورد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يتعرّض لجهة الصدور، كما إذا ورد دليل ظاهر في بيان الحكم الواقعي ثمّ ورد دليل آخر على أنّ الدليل الأوّل إنّما صدر عن تقية، أو لغرض آخر، لا لبيان الحكم الواقعي، كما يظهر ذلك في 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بيان وجه تقديم الدليل الحاكم على الدليل المحكوم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التقديم في القسمين الأوّلين واضح؛ لأنّ كلّ دليل مثبت للحكم لا يتكفّل لبيان موضوعه، فإنّ الأحكام الأوّلية مجعولة بنحو القضية الحقيقية، 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ثابت على تقدير وجود الموضوع وتحقّقه، ولا يتكفّل الحكم الأوّلي كيفيةَ وجوده، فإذا دلّ دليل على إضافة فرد لموضوع، أو على إخراج فرد من موضوع، أو أنّ هذا الفرد للمتعلّق، أو أنّه ليس من المتعلّق، فلا يوجد تعارض بينهما ولا تنافٍ، بل بينهما كمال الملاءمة والمسالمة؛ لأنّ دليل الحكم لا يتكفّل لبيان كيفية الموضوع وحدوده، فلا يكون الدليل الحاكم ممانعاً ومعارضاً للدليل المحكوم حتى يحتاج إلى لحاظ الترجيح أو القوّة والضعف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القسمين الأخيرين؛ فالوجه في تقديم الدليل الحاكم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w:t>
      </w:r>
    </w:p>
    <w:p>
      <w:pPr>
        <w:pStyle w:val="BookText"/>
        <w:rPr/>
      </w:pPr>
      <w:r>
        <w:rPr>
          <w:rFonts w:ascii="Amiri" w:hAnsi="Amiri" w:eastAsia="Amiri" w:cs="Amiri"/>
          <w:color w:val="111111"/>
          <w:sz w:val="28"/>
          <w:sz w:val="28"/>
          <w:szCs w:val="28"/>
          <w:rtl w:val="true"/>
          <w:lang w:bidi="ar-SA"/>
        </w:rPr>
        <w:t>الظهور وحجّية جهة الصدور ثابتتان ببناء العقلاء، وسيرتهم على كون الظاهر هو المراد الجدّي، وكون الداعي إلى التكلّم هو بيان الحكم الواقعي، ومورد هذه السيرة وموضوعها هو الشكّ في المراد، والشكّ في جهة الصدور، فإذا دلّ الدليل على بيان المراد وجهة الصدور لا يبقى شكّ حتى يعمل بالظهور، أو جهة الصدور، فيكون الدليل الحاكم مبيّناً للمراد من الدليل المحكوم، ومبيّناً لجهة الصدور، وبه يرتفع الشكّ، ولا يبقى مورد للعمل بأصالة الظهور أو بأصالة الجدّ، وهذا هو السرّ في تقديم الدليل الحاكم على المحكوم من دون ملاحظة النسبة والترجيح بينهما بعد إحراز حجّية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نفي الضرر بمدلوله الالتزامي موجب للتصرّف في أدلّة الأحكام الأوّلية، ويدلّ على نفي الحكم الضرري في الشريعة، إمّا ابتداءً بناءً على مقالة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وإمّا من جهة الموضوع بناءً على مقالة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المقصود من الأحكام الثابتة على الموضوعات غير الحكم الموجب للضرر، فيكون بياناً للتصرّف في المحمول، أو الموضوع، فيكون بمنزلة القرينة والبيان على المراد الجدّي، وهذا ما يوجب تقدّمه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أيضاً ما في كلام المحقّق الآخوند الخراساني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كون دليل نفي الضرر ناظراً إلى أدلّة الأحكام الأوّلية، فإنّه يصحّ إذا كان مقصود الشيخ من النظر هو القسم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متعرّضاً لدليل المحكوم بالمدلول اللفظي المطابقي، وأمّا إذا كان مقصوده هو القسم الثاني، </w:t>
      </w:r>
      <w:bookmarkStart w:id="119" w:name="pg8595_75572"/>
    </w:p>
    <w:p>
      <w:pPr>
        <w:pStyle w:val="BookText"/>
        <w:rPr/>
      </w:pPr>
      <w:bookmarkEnd w:id="119"/>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متعرّضاً لدليل المحكوم بالمدلول الالتزامي، فلا يتمّ حينئذٍ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حكم ثانوي جامع الحكم الأوّلي، فيكون الحكم الثانوي بالنظر العرفي مانعاً عن الحكم الأوّلي، أو المتوهّم، وأمّا نفس الحكم الثانوي فلا معنى لكونه مانعاً عن نفسه؛ لأنّه علّة ومثبت له، فإنّ الحكم إن كان موضوعاً للضرر فيكون الضرر علّة لثبوته، فكيف يمكن أن يكون مانعاً؟ بل لابدّ وأن يكون مانعاً عن الحكم الأوّلي في غير ما يقتضي الضرر، أو الحكم المتوهّم ثبوته حتى يكون الضرر مانعاً عن ثبوته، فحينئذٍ يفهم العرف بأنّ الحكم الأوّلي كان بنحو الاقتضاء، والحكم الثانوي بنحو المانع،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مانعاً يقتضي أن يكون ناظراً إلى الحكم الأوّلي الذي هو على نحو الاقتضاء؛ فإنّ الإنشاء المانع لا معنى له بدون لحاظ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بكلامه هذا يرجع إلى أنّ دليل المانع يكون مقدّماً على دليل الاقتضاء من دون 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فيرجع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إلى ما ذكره الشيخ من الحكومة بالمدلول الالتزامي، وإن كان بحسب اللفظ مختلفا معه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770912_653776707"/>
      <w:bookmarkStart w:id="121" w:name="_Toc43"/>
      <w:bookmarkEnd w:id="120"/>
      <w:r>
        <w:rPr>
          <w:rtl w:val="true"/>
        </w:rPr>
        <w:t>التنبيه الثاني</w:t>
      </w:r>
      <w:r>
        <w:rPr>
          <w:rtl w:val="true"/>
        </w:rPr>
        <w:t xml:space="preserve">: </w:t>
      </w:r>
      <w:r>
        <w:rPr>
          <w:rtl w:val="true"/>
        </w:rPr>
        <w:t>حكومة دليل نفي الضرر على أدلّة الأحكام الترخيصية</w:t>
      </w:r>
      <w:bookmarkEnd w:id="1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حكومة القاعدة على أدلّة الأحكام الأوّلية إذا كانت إلزامية، </w:t>
      </w:r>
    </w:p>
    <w:p>
      <w:pPr>
        <w:pStyle w:val="BookText"/>
        <w:rPr/>
      </w:pPr>
      <w:r>
        <w:rPr>
          <w:rFonts w:ascii="Amiri" w:hAnsi="Amiri" w:eastAsia="Amiri" w:cs="Amiri"/>
          <w:color w:val="111111"/>
          <w:sz w:val="28"/>
          <w:sz w:val="28"/>
          <w:szCs w:val="28"/>
          <w:rtl w:val="true"/>
          <w:lang w:bidi="ar-SA"/>
        </w:rPr>
        <w:t xml:space="preserve">سواء كانت وجوبية أو تحريمية، وأمّا إذا كانت 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كالاستحباب والكراهة والإباحة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حاكمة عليها أو لا؟</w:t>
      </w:r>
    </w:p>
    <w:p>
      <w:pPr>
        <w:pStyle w:val="BookText"/>
        <w:rPr/>
      </w:pPr>
      <w:r>
        <w:rPr>
          <w:rFonts w:ascii="Amiri" w:hAnsi="Amiri" w:eastAsia="Amiri" w:cs="Amiri"/>
          <w:color w:val="111111"/>
          <w:sz w:val="28"/>
          <w:sz w:val="28"/>
          <w:szCs w:val="28"/>
          <w:rtl w:val="true"/>
          <w:lang w:bidi="ar-SA"/>
        </w:rPr>
        <w:t>الظاهر من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دليل نفي الضرر بالأحكام الإلزامية من الوجوب والحرمة، فهي التي توجب وقوع العبد في الضرر، فعلى تقدير كونها ضررية يكون وقوع العبد في الضرر مستنداً إلى الشارع لجعله الحكم الضرري، وأمّا الترخيص في شيء فلا يُلزم المكلّف بارتكابه حتى يكون الترخيص ضررياً، بل العبد ارتكبه باختياره وإرادته، فيكون الضرر مستنداً إليه لا إلى الترخيص المجعول من قبل الشارع، فنفي الضرر كنفي الحرج المستفاد من أدلّة نفي الحرج، فكما أنّ المنفي بها هو الحكم الإلزامي دون الترخيصي، فكذلك المقام، بلا فرق بينهما، ويترتّب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يستفاد من الحديث حرمة الإضرار بالنفس أو بالغير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استفادة حرمة الإضرار بالغير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يتمّ بناءً على تفسير معنى نفي الضرر بنفي الحكم الضرري كما هو رأي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بناءً على تفسيره بنفي الموضوع الموجب للضرر فالظاهر عدم الفرق بين أن يكون الحكم إلزامياً، أو ترخيصياً، فكلّ موضوع موجب للضرر يكون مرفوعاً،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مرفوع، ولا يتوقّف ذلك </w:t>
      </w:r>
    </w:p>
    <w:p>
      <w:pPr>
        <w:pStyle w:val="BookText"/>
        <w:rPr/>
      </w:pPr>
      <w:r>
        <w:rPr>
          <w:rFonts w:ascii="Amiri" w:hAnsi="Amiri" w:eastAsia="Amiri" w:cs="Amiri"/>
          <w:color w:val="111111"/>
          <w:sz w:val="28"/>
          <w:sz w:val="28"/>
          <w:szCs w:val="28"/>
          <w:rtl w:val="true"/>
          <w:lang w:bidi="ar-SA"/>
        </w:rPr>
        <w:t>على أن يكون الموجب للضرر جعل الشارع وحكمه، فلو كان الموضوع وضوءاً أو صياماً استحبابياً مع علمه بإيجابهما للضرر، فلا يوجب ذلك بطلانهما أو سقوطهما عن الاستحباب، بل يكونان محرّمين، وكذلك إضراره بنفسه مع العلم بالضرر موجب لكون الفعل الذي يورده على نفسه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نفي الضرر ورد في مقام الامتنان، فلا يشمل موارد إقدام المكلّف على ضرر نفسه؛ لعدم الامتنان في رفع الحكم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الامتنان يصدق حتى في حالة إقدامه على ذلك، وكذلك الأمر أيضاً فيما لو كان المراد من النفي النهي كما هو مبنى المسلك الثالث، فيشمل حينئذٍ الأحكام الإلزامية، كما يحكم أيضاً بحرمة الموارد المذكورة وعدم صحّة العبادة وحرمة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بكون دليل نفي الضرر حاكماً على أدلّة الأحكام الترخيصية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الأحكام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 ببطلان الوضوء أو الغسل أو الصوم وغيرها من الأحكام الاستحبابية الموجبة للضرر؛ لانتفاء الحكم الاستحبابي، فيتّصف حينئذٍ المستحب بكونه مبغوضاً للشارع، ولا يمكن التقرّب للمولى بما هو مبغوض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ذلك بوجهين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نفي الضرر امتناني، فهو من قبيل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فيختصّ الامتنان حينئذٍ فيما لو لم يكن الضرر بإقدام المكلّف واختياره، كما في الأحكام الإلزامية الوجوبية والتحريمية، وأمّا إذا كان ارتكاب الضرر بإرادته واختياره ومن دون إلزام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الأحكام الترخيصية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من حرمة الضرر ومبغوضيّته للشارع فيما لو أدّى إلى هلاك النفس أو تلف عضو أو قطعه، وأمّا مطلق الضرر فليس بحرام ومبغوض للشارع، ألا ترى أنّ التملّي بالطعام والشراب الزائدين عن المقدار المتعارف ضرر على النفس، ومع ذلك لم يلتزم أحد بحرمته تمسّكاً بدليل نفي الضرر، وعليه فليس مطلق الضرر محرّماً حتى يوجب سقوط الرجحان والاستحباب من الفعل، وعلى هذا يصحّ الإتيان بالأفعال المستحبّة وإن كانت ضررية؛ لعدم ارتفاع رجحانها وإمكان التقرّب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هذين الوجهين قد أشير إليهما في كلمات الأعلام، إلاّ إنّه لا بأس من التعرّض لهما بشيءٍ من التفصيل؛ وذلك لما يترتّب عليهما من آثار وفوائد جمّة في المقام كما لا يخفى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امتنانية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يظهر من كلمات جماعة من الأعلام كالشيخ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مع ذلك قيل بعدم كونها امتنانية</w:t>
      </w:r>
      <w:r>
        <w:rPr>
          <w:rStyle w:val="FootnoteAnchor"/>
          <w:rtl w:val="true"/>
        </w:rPr>
        <w:footnoteReference w:id="3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في كلمات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تظهر الثمرة 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إقدام المكلّف على ارتكاب الضرر بإرادته واختياره، فعلى الأوّل لا تجري في حقّه القاعدة، بخلاف الثاني فتجري في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تحمّل المكلّف الضرر المتوجّه إلى الغير لدفعه عنه، فعلى الأوّل لا يجب عليه تحمّل الضرر وإن كان أخفّ من الضرر الوارد على الغير، وهذا بخلافه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الامتنان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التخفيف ورفع الكلفة والمشقّة؛ وذلك لأنّ امتثال التكاليف الإلهية فيها نوع من الكلفة والمشقّة والتعب، فيمنّ الشارع المقدّس على عباده برفع تلك الكلفة والمشقّة بأن يرفع المقتضي الثابت في ذلك الحكم من جهة التخفيف والتسهيل عليهم، وهذا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والبراءة الشرعية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الحكم المجعول من قبل الشارع موافق للحكمة والمصلحة الراجعة إلى المكلّف، وأنّه تعالى قد جعل هذه التكاليف في ذمّة المكلّف وفقاً لما يراه من حكم ومصالح في متعلّقاتها وإن خفيت على العباد، فيكون الامتنان حينئذٍ من الباري عزّوجلّ على عباده من جهة وضع هذه التكاليف ورفعها عنهم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هنا ينبغي تشخيص ما هو المراد من الامتنان والمنّة في المقام، فهل </w:t>
      </w:r>
    </w:p>
    <w:p>
      <w:pPr>
        <w:pStyle w:val="BookText"/>
        <w:rPr/>
      </w:pPr>
      <w:r>
        <w:rPr>
          <w:rFonts w:ascii="Amiri" w:hAnsi="Amiri" w:eastAsia="Amiri" w:cs="Amiri"/>
          <w:color w:val="111111"/>
          <w:sz w:val="28"/>
          <w:sz w:val="28"/>
          <w:szCs w:val="28"/>
          <w:rtl w:val="true"/>
          <w:lang w:bidi="ar-SA"/>
        </w:rPr>
        <w:t>يراد به المعنى الأوّل، أو المعنى الثاني؟</w:t>
      </w:r>
    </w:p>
    <w:p>
      <w:pPr>
        <w:pStyle w:val="BookText"/>
        <w:rPr/>
      </w:pPr>
      <w:r>
        <w:rPr>
          <w:rFonts w:ascii="Amiri" w:hAnsi="Amiri" w:eastAsia="Amiri" w:cs="Amiri"/>
          <w:color w:val="111111"/>
          <w:sz w:val="28"/>
          <w:sz w:val="28"/>
          <w:szCs w:val="28"/>
          <w:rtl w:val="true"/>
          <w:lang w:bidi="ar-SA"/>
        </w:rPr>
        <w:t>فإذا كان المراد به المعنى الثاني فحينئذٍ لا فرق بين إقدام المكلّف وإتيانه بالفعل الضرري بإرادته وعدمه في ثبوت وتحقّق الامتنان، وأمّا إذا كان المراد به المعنى الأوّل فلابدّ من التفريق بين إقدامه على الفعل الضرري بإرادته فلا يشمله دليل الامتنان؛ وذلك لأنّه يكون ممّن ألقى نفسه في المشقّة والتعب، فحينئذٍ لا معنى للمنّة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الامتنان في أدلّة نفي الضرر هو المعنى الثاني، وليس الأوّل؛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عبارة عن الخسارة والخسران، وهو أمر واقعي، ومن الملاكات والمصالح الواقعية للأحكام، وليس عدم التكليف في مورد الخسارة من جهة التخفيف والتسهيل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روايات الباب من تطبيق القاعدة على صغرياتها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كالشفعة، ومنع فضل الماء والكلاء، وعدم سلطنة سمرة من الدخول إلى عذقه،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شاهد على أنّها من الملاكات الواقعية، وليس لمجرّد التسهيل والتخفيف، فهي ليست نظير رفع العسر والحرج،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وبذلك يصحّ منع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متسالم عليه في كلماتهم من كون المراد من المنّة في أدلّة نفي الضرر هو المعنى الأوّل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تجري القاعدة في بعض الموارد، سواء قلنا بكونها واردة في مقام </w:t>
      </w:r>
    </w:p>
    <w:p>
      <w:pPr>
        <w:pStyle w:val="BookText"/>
        <w:rPr/>
      </w:pPr>
      <w:r>
        <w:rPr>
          <w:rFonts w:ascii="Amiri" w:hAnsi="Amiri" w:eastAsia="Amiri" w:cs="Amiri"/>
          <w:color w:val="111111"/>
          <w:sz w:val="28"/>
          <w:sz w:val="28"/>
          <w:szCs w:val="28"/>
          <w:rtl w:val="true"/>
          <w:lang w:bidi="ar-SA"/>
        </w:rPr>
        <w:t>الامتنان، أو لم نقل بذلك، فلا يقال فيها برفع الحكم التكليفي في موارد إقدام المكلّف على ارتكاب ما يوجب ضرراً مالياً على نفسه، وقد ذكر لذلك عدّة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زرع المكلّف أرض الغير بدون إذنه، فإنّ لمالك الأرض قلع الزرع وإن خرج بذلك عن المالية، ولا تجري فيه قاعدة نفي الضرر عن الزارع حتى لا يتسلّط مالك الأرض على قلعه؛ حيث إنّ الضرر نشأ عن سوء اختيار مالك الزرع، لا عن حكم الشارع أو الموضوع، فجريان القاعدة في ضرر صاحب الزرع ينافي المنّة على مالك الأرض، فلا تجري فيه، بل تجري في ضرر 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المالك في دفن الميّت في ملكه، أو في الصلاة فيه، فإنّه ليس للمالك الرجوع عن إذنه بعد الدفن وبعد الشروع في الصلاة تمسّكاً بقاعدة نفي الضرر؛ حيث إنّ المنشأ للضرر ليس هو الحكم الشرعي، ولا الموضوع، بل إذنه الناشئ عن إرادته واختياره، فجريان القاعدة ينافي الامتنان بالنسبة إلى الميّت للزوم نبش قبره، وكذا المصلّي فإنّ جريانها في ضرر المالك ينافي المنّة على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في رهن ماله، فإنّه بعد تحقّق الرهن ليس له الرجوع عن الإذن؛ لأنّ إذنه في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لزومه من طرف 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 على ضرره باختياره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نصب لوحاً مغصوباً في السفينة، أو خشباً مغصوباً في جدار داره، </w:t>
      </w:r>
    </w:p>
    <w:p>
      <w:pPr>
        <w:pStyle w:val="BookText"/>
        <w:rPr/>
      </w:pPr>
      <w:r>
        <w:rPr>
          <w:rFonts w:ascii="IRNazanin" w:hAnsi="IRNazanin" w:eastAsia="IRNazanin"/>
          <w:color w:val="111111"/>
          <w:sz w:val="28"/>
          <w:sz w:val="28"/>
          <w:szCs w:val="28"/>
          <w:rtl w:val="true"/>
          <w:lang w:bidi="fa-IR"/>
        </w:rPr>
        <w:t>فإنّ لمالكهما إخراجهما عن السفينة والجدار وإن تضرّر مالك الجدار والسفينة ضرراً فاحشاً ما لم يبلغ تلف النفس المحترمة، فإنّ إقدام الغاصب هو الجزء الأخير من علّة الضرر دون الحكم الشرعي، فلا تشمله قاعدة نفي الضرر وغير ذلک من الامثله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بالنسبة إلى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الإضرار بالنفس حرام؟ وعلى فرض كونه محرّماً فهل يوجب رفع الرجحان والقول ببطلان الوضوء والغسل المستحبّين، أو لا؟</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يمكن منع ذلك كبروياً وصغروياً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منع الكبرى فواضح؛ وذلك لأنّ بطلان الوضوء والغسل غير متوقّف على حرمة الإضرار بالنفس، بل يتوقّف ذلك على ثبوت الدليل على الاستحباب والرجحان، فمع رفع حكم الاستحباب والرجحان بقاعدة نفي الضرر فلا محالة يحكم بالبطلان، سواء كان الإضرار بالنفس حراماً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وجه آخر للحكم بالبطلان، وهو اجتماع الحرمة مع الرجحان، إلاّ إنّه شيء آخر يختلف عمّا نحن بصدد إثباته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منع الصغرى؛ فقد نسب إلى المشهور من المتأخّرين القول بحرمة الإضرار مطلقاً؛ حيث ذكر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المعمولة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استفيد من الأدلّة العقلية والنقلية حرمة الإضرار بالنفس</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الدليل العقلي؛ فيقرّب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يحكم بقبح الإضرار بالنفس، وكلّ ما يكون قبيحاً عقلاً فهو محرّم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بناء العقلاء وسيرتهم قائمة على الاحتراز والتجنّب عن كلّ ما يضرّ بالنفس، وهي سيرة ممضاة من قبل الشارع الأقدس؛ لعدم ردعه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حرمة الإضرار بالنفس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العقل غير ثابت على إطلاقه؛ فإنّ العقل لا يرى محذوراً في إضرار الإنسان ببدنه فيما إذا كان له غرض عقلائي، بل جرت سيرة العقلاء على الإضرار بالنفس نوعاً ما في مثل تجارتهم؛ فإنّهم يتحمّلون في ذلك الحرّ والبرد والجوع والعطش ولم نر مَن يجتنب عن ذلك لزعمه حرمته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الدليل النقلي؛ فقد استدلّ بالكتاب والسنّة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فبالآيات الدالّة على النهي عن الظلم،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الإضرار بالنفس من أجلى مصاديق الظلم المنهي عنه، فيكون حينئذٍ محرّماً مطلقاً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محلّ الكلام؛ وذلك لأنّ الكلام في الموارد التي لا يصدق عليها عنوان الظلم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السنّة الشريفة؛ فقد استدلّ على ذلك بعدّة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نفي الضرر،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استفادة جعل تحريم الضرر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يشمل حرمة ضرر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حرمة مطلق الضرر بالنفس في غير ما يؤدّي إلى هلاكها، أو تلف عضو منها، فالحديث ينصرف إلى حرمة هذه الأفراد؛ لأنّها القدر المتيقّن الذي يعتدّ به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المفضّل بن عمر الواردة في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فداك، لِمَ حرّم الله تبارك وتعالى الخمر والميتة والدم ولحم الخنزير؟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وتعالى لم يحرّم ذلك على عباده وأحلّ لهم سواه رغبةً منه فيما حرّم عليهم، ولا زهداً فيما أحلّ لهم، ولكنّه خلق الخلق وعلم عزّوجلّ ما تقوم به أبدانهم وما يصلحهم فأحلّه لهم وأباحه؛ تفضّلاً منه عليهم به تبارك وتعالى لمصلحتهم، وعلم ما يضرّهم، فنهاهم عنه وحرّمه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الميتة فإنّه لا يدمنها أحد إلاّ ضعف بدنه ونحل جسمه وذهبت قوّته وانقطع نسله، ولا يموت آكل الميتة إلاّ فجأة</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ما يضرّهم فنهاهم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حرمة ما </w:t>
      </w:r>
    </w:p>
    <w:p>
      <w:pPr>
        <w:pStyle w:val="BookText"/>
        <w:rPr/>
      </w:pPr>
      <w:r>
        <w:rPr>
          <w:rFonts w:ascii="Amiri" w:hAnsi="Amiri" w:eastAsia="Amiri" w:cs="Amiri"/>
          <w:color w:val="111111"/>
          <w:sz w:val="28"/>
          <w:sz w:val="28"/>
          <w:szCs w:val="28"/>
          <w:rtl w:val="true"/>
          <w:lang w:bidi="ar-SA"/>
        </w:rPr>
        <w:t>ذكرته الرواية من إضرار المحرّمات بالنفس كما لا يخفى، ومقتضى عموم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كلّ ما يؤدّي إلى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ظاهر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مقام بيان حكمة التشريع من تحريم المذكورات، وهي كونها مضرّة نوعاً، لا أنّ الضرر موضوع للتحريم فيها؛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الضرر علّة للتحريم يلزم حرمة الميتة من نفس هذه الرواية، فإنّ المذكور فيها هو ترتّب الضرر على إدمان أكل الميتة، فلو كان ذلك علّة للزم منه عدم حرمة الميتة مع عدم الإدمان؛ وذلك لترتّب الحرمة في الرواية على إدمانها، لا على أصل أكلها، ولا يلتزم بذلك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نقطع بعدم كون الميتة بجميع أقسامها مضرّة للبدن، فلو ذبح حيوان على غير جهة القبلة، فهل يحتمل أن يكون أكله مضرّاً بالبدن مع التعمّد في ذبحه إلى غير جهة القبلة، وغير مضرّ مع عدم التعمّد في ذلك؟ أو يحتمل أن يكون مضرّاً في حال التمكّن من الاستقبال، وغير مضرّ في حال العجز عنه؟</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جملة من الروايات ترتّب أثر الضرر على أكل بعض الأشياء، كتناول الجبن في النهار، وإدمان أكل السمك، وأكل التفّاح الحامض، إلى غير ذلك، مع أنّه لم يقل أحد بحرمة أكلها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الضرر علّة للتحريم كانت الحرمة دائرة مدار الضرر، ولازم ذلك أن لا يحرم أكل قليل من الميتة بحيث نقطع بعدم ترتّب الضرر عليه، </w:t>
      </w:r>
    </w:p>
    <w:p>
      <w:pPr>
        <w:pStyle w:val="BookText"/>
        <w:rPr/>
      </w:pPr>
      <w:r>
        <w:rPr>
          <w:rFonts w:ascii="Amiri" w:hAnsi="Amiri" w:eastAsia="Amiri" w:cs="Amiri"/>
          <w:color w:val="111111"/>
          <w:sz w:val="28"/>
          <w:sz w:val="28"/>
          <w:szCs w:val="28"/>
          <w:rtl w:val="true"/>
          <w:lang w:bidi="ar-SA"/>
        </w:rPr>
        <w:t>وهذا خلاف الضرورة من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علي بن شعبة في كتاب تحف العقول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تقسيم ما أخرجته الأرض إلى ثلاثة أصناف،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من الحبّ ممّا يكون فيه غذاء الإنسان في بدنه وقوته فحلال أكله، وكلّ شيء تكون فيه المضرّة على الإنسان في بدنه فحرام أكله، إلاّ في حال الضرورة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في المستدرك عن دعائم الإسلام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قريب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عنها أيضاً سيدنا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الإسناد، لا يعتمد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ضعيفة الدلالة؛ وذلك لأنّها في صدد تقسيم الحبوب والثمار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مضرّاً للإنسان بنوعه فهو حرام إلاّ في حال الضرورة كالتداوي، وما كان منها نافعاً للإنسان بنوعه فهو حلال، فتدلّ على أنّ المضرّة والمنفعة النوعية حكمة في الحرمة والحلّية، لا أنّهما تدوران مدار الضرر وجوداً وعدماً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حرمة الإضرار بالنفس </w:t>
      </w:r>
      <w:bookmarkStart w:id="122" w:name="pg8595_75584"/>
    </w:p>
    <w:p>
      <w:pPr>
        <w:pStyle w:val="BookText"/>
        <w:rPr/>
      </w:pPr>
      <w:bookmarkEnd w:id="122"/>
      <w:r>
        <w:rPr>
          <w:rFonts w:ascii="Amiri" w:hAnsi="Amiri" w:eastAsia="Amiri" w:cs="Amiri"/>
          <w:color w:val="111111"/>
          <w:sz w:val="28"/>
          <w:sz w:val="28"/>
          <w:szCs w:val="28"/>
          <w:rtl w:val="true"/>
          <w:lang w:bidi="ar-SA"/>
        </w:rPr>
        <w:t>مطلقاً في غير ما يوجب التهلكة، أو تلف عضو من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الإتيان بالمستحبّات في حال كونها موجبة للضرر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سيدنا الأستاذ</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وللكلام فيه مجال نرجئه إلى محلّه من مباحث الفقه</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770914_653776707"/>
      <w:bookmarkStart w:id="124" w:name="_Toc44"/>
      <w:bookmarkEnd w:id="123"/>
      <w:r>
        <w:rPr>
          <w:rtl w:val="true"/>
        </w:rPr>
        <w:t>التنبيه الثالث</w:t>
      </w:r>
      <w:r>
        <w:rPr>
          <w:rtl w:val="true"/>
        </w:rPr>
        <w:t xml:space="preserve">: </w:t>
      </w:r>
      <w:r>
        <w:rPr>
          <w:rtl w:val="true"/>
        </w:rPr>
        <w:t>شمول القاعدة للأحكام العدمية</w:t>
      </w:r>
      <w:bookmarkEnd w:id="124"/>
    </w:p>
    <w:p>
      <w:pPr>
        <w:pStyle w:val="BookText"/>
        <w:rPr/>
      </w:pPr>
      <w:r>
        <w:rPr>
          <w:rFonts w:ascii="Amiri" w:hAnsi="Amiri" w:eastAsia="Amiri" w:cs="Amiri"/>
          <w:color w:val="111111"/>
          <w:sz w:val="28"/>
          <w:sz w:val="28"/>
          <w:szCs w:val="28"/>
          <w:rtl w:val="true"/>
          <w:lang w:bidi="ar-SA"/>
        </w:rPr>
        <w:t>لا إشكال في شمول حديث نفي الضرر للأحكام الوجودية، تكليفية كانت، أو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شموله للأحكام العدمية، أي في الموارد التي يلزم الضرر فيها من عدم الحكم، وقد ذكرت لذلك جملة من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حابس الحرّ ظلماً حتى شردت دابّته، أو أبق عبده، أو طار طيره، فإنّ عدم حكم الشارع فيها بالضمان ضرر على المحبوس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منافع العبد المحبوس على الحابس</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تطليق الحاكم زوجة مَن لا يتمكّن من النفقة لفقره، أو لغيبته مع عدم صبر زوجته على هذه الحالة؛ فإنّ عدم الحكم بجواز طلاقها للحاكم الشرعي، أو لعدول المؤمنين ضرر عليها، فهل مقتضى حديث نفي الضرر جواز طلاقها للحاكم الشرعي، أو لعدول المؤمنين؟ </w:t>
      </w:r>
    </w:p>
    <w:p>
      <w:pPr>
        <w:pStyle w:val="BookText"/>
        <w:rPr/>
      </w:pPr>
      <w:r>
        <w:rPr>
          <w:rFonts w:ascii="Amiri" w:hAnsi="Amiri" w:eastAsia="Amiri" w:cs="Amiri"/>
          <w:color w:val="111111"/>
          <w:sz w:val="28"/>
          <w:sz w:val="28"/>
          <w:szCs w:val="28"/>
          <w:rtl w:val="true"/>
          <w:lang w:bidi="ar-SA"/>
        </w:rPr>
        <w:t xml:space="preserve">الظاهر من جماعة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وسيد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جريان حديث نفي الضرر في الأحكام العدمية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ثلاثة، بعضها يرجع إلى منع الكبرى، وبعضها يرجع إلى منع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يرجع إلى منع الكبرى، وهي أنّ دليل لا ضرر حاكم على الأحكام العدمية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نفي ما ثبت بالعمومات، فيكون شأن القاعدة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الأحكام المجعولة التي نشأ منها الضرر، وعدم الحكم ونحوه من الأمور العدمية، وليس من الأحكام المجعولة من قبل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الحكم في بعض الموارد وإن لم يستند إلى الشارع حدوثاً إلاّ إنّه بحسب البقاء مستند إليه، غير مسموعة؛ لإمكان أن تناله يد الجعل، بأن يرفعه الشارع أو يبقيه على حاله، فإذا أبقاه على حاله صحّ إسناده إليه، فإنّ صحّة إسناد هذا العدم إلى الشارع إنّما هو بالمسامحة والعناية، وأمّا حقيقة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مجعول للشارع، لا إثباتاً ولا نفياً، حتى يعدّ من الأحكام الشرعية التي يكون الحديث ناظراً إليها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صحّة إسناد العدم إلى الشارع،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للشارع أن يحكم، إمّا بالضمان، أو بعدم الضمان، فإذا لم يحكم فعدم الحكم أيضاً من </w:t>
      </w:r>
    </w:p>
    <w:p>
      <w:pPr>
        <w:pStyle w:val="BookText"/>
        <w:rPr/>
      </w:pPr>
      <w:r>
        <w:rPr>
          <w:rFonts w:ascii="Amiri" w:hAnsi="Amiri" w:eastAsia="Amiri" w:cs="Amiri"/>
          <w:color w:val="111111"/>
          <w:sz w:val="28"/>
          <w:sz w:val="28"/>
          <w:szCs w:val="28"/>
          <w:rtl w:val="true"/>
          <w:lang w:bidi="ar-SA"/>
        </w:rPr>
        <w:t>أحكامه، فيلزم أن لا يكون هذا الضرر مرفوعاً إلاّ إذا كان معنى حديث نفي الضرر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غير المتدارك ليس مجعولاً، وهذا المعنى يرجع إلى الوجه الرابع الذي اختاره الفاضل التوني، والذي هو من أردأ الوجوه، ولا تصل النوبة إليه إلاّ بعد تعذّر المحتملات الأخرى، ولو التزمنا بهذا فلا معنى لحكومته على الأحكام الثابتة؛ لأنّه لا جامع بين هذا المعنى والمعنى الأوّل الذي اخترناه، وهو نفي الحكم الضرري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يرجع إلى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تطبيق القاعدة على الأمثلة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من القول بجريان القاعدة فيها تأسيس فقه جديد؛ لأنّه لو وجب تدارك كلّ ضررٍ، فلو كان هناك إنسان صار سبباً له فالضمان عليه، وإلاّ فمن من بيت المال، ويلزم كون أمر الطلاق بيد الزوجة فيما لو كان بقاؤها على الزوجية مضرّاً بها، كما إذا غاب عنها زوجها، أو لم ينفق عليها لفقر أو عصيان، ونحو ذلك، وكالعبد الواقع تحت الشدّة، ولكان مقتضاها رفع بقاء علاقة الزوجية وعلاقة الرقّية، والمفروض أنّهم لا يلتزمون بذلك، بل يجعلون طلاق الحاكم بمنزلة طلاق الزوج، وهذا مرجعه إلى إثبات الحكم بالقاعدة، ولازمه أن يتدارك ضرر كلّ متضرّر، إمّا من بيت المال، أو من غيره، وهذا فقه جديد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الوجوه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عن الوجه الأوّل؛ فبما ذكره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عدم جعل الحكم في موضع قابل للجعل جعلٌ لعدم ذلك الحكم، فيكون العدم مجعولاً، لا سيّما بملاحظة ما ورد من أنّ الله سبحانه لم يترك شيئاً بلا حكم</w:t>
      </w:r>
      <w:r>
        <w:rPr>
          <w:rStyle w:val="FootnoteAnchor"/>
          <w:rtl w:val="true"/>
        </w:rPr>
        <w:footnoteReference w:id="319"/>
      </w:r>
      <w:r>
        <w:rPr>
          <w:rFonts w:ascii="Amiri" w:hAnsi="Amiri" w:eastAsia="Amiri" w:cs="Amiri"/>
          <w:color w:val="111111"/>
          <w:sz w:val="28"/>
          <w:sz w:val="28"/>
          <w:szCs w:val="28"/>
          <w:rtl w:val="true"/>
          <w:lang w:bidi="ar-SA"/>
        </w:rPr>
        <w:t>، فحينئذٍ عدم حكم الشارع بالضمان في المقام حكم بعدم التكليف</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عن الوجه الثاني؛ فبما ذكره سيد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المستهجن هو أن يكون مفهوم الحديث هو نفي الضرر غير المتدارك بهذا المفهوم، وأمّا أن يكون المفهوم نفي الحكم الضرري الذي يتّفق في النتيجة والأثر في بعض الأحيان مع نفي الضرر غير المتدارك لإثبات التدارك في بعض الموارد فهذا ممّا لا استهجان فيه أصلاً، والذي يلزم من تعميم الحديث وشموله للأحكام العدمية هو ذلك، لا أنّ معنى الحديث هو نفي الضرر غير المتدارك</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عن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منع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عنه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الموردين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ضمان حابس الحرّ ظلماً حتى شردت دابّته، أو أبق عبده، أو طار طيره، ومن ضمان منافع العبد إذا كان كسوباً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يندرجان في الضرر المالي، والعقلاء يرون ذلك إتلافاً للمال، فثبوت الضمان إنّما هو من باب قاعدة الإتلاف الممضاة من قبل الشارع، ولا يبتني على </w:t>
      </w:r>
    </w:p>
    <w:p>
      <w:pPr>
        <w:pStyle w:val="BookText"/>
        <w:rPr/>
      </w:pPr>
      <w:r>
        <w:rPr>
          <w:rFonts w:ascii="Amiri" w:hAnsi="Amiri" w:eastAsia="Amiri" w:cs="Amiri"/>
          <w:color w:val="111111"/>
          <w:sz w:val="28"/>
          <w:sz w:val="28"/>
          <w:szCs w:val="28"/>
          <w:rtl w:val="true"/>
          <w:lang w:bidi="ar-SA"/>
        </w:rPr>
        <w:t>حديث نفي الضرر؛ لأنّه ينفي الضرر المستند إلى الشارع، وأمّا الضرر غير المستند إلى الشارع فلا يدلّ الحديث على نفيه حتى يلزم منه فقه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طلاق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التزم جمع من الفقهاء بثبوت ذلك للحاكم الشرعي، كالسيد الطباطبائي في ملحقات العروة؛ تمسّكاً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الروايات الخاصّة، وكالعلامة في المختلف في بحث اعتباره اليسار في الأكفاء؛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أثبتنا لها الخيار؛ دفعاً للضرر عنها، ورفعاً للمشقّة اللاحقة بها بسبب احتياجها مع فقره إلى مؤونة يعجز عنها، ولا يمكنها التزوّج بغيره، فلو لم يجعل لها الخيار كان ذلك من أعظم الضرر عليها، وهو منفي إجماعاً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العلاّمة أيضاً عن ابن الجنيد القول بالخيار؛ للزوم الضرر، ولروايةٍ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المحدّث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السيد السند في شرح النافع إلى ما نقل عن ابن الجنيد، كما نقل التوقّف أيضاً عن ظاهر الشهيد الثاني في المسالك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من مجموع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لزوم فقه جديد غير مسموعة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حيث إنّ الكتاب والروايات في هذا الباب دالّة على أنّ وظيفة الزوج أحد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الإمساك بالمعروف، وإمّا تسريح بإحسان، وأنّ العلقة الزوجية لا تزول بفسخ الزوجة، وإنّما بيد الزوج؛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الطلاق لمن أخذ </w:t>
      </w:r>
    </w:p>
    <w:p>
      <w:pPr>
        <w:pStyle w:val="BookText"/>
        <w:rPr/>
      </w:pPr>
      <w:r>
        <w:rPr>
          <w:rFonts w:ascii="IRNazanin" w:hAnsi="IRNazanin" w:eastAsia="IRNazanin"/>
          <w:color w:val="111111"/>
          <w:sz w:val="28"/>
          <w:sz w:val="28"/>
          <w:szCs w:val="28"/>
          <w:rtl w:val="true"/>
          <w:lang w:bidi="fa-IR"/>
        </w:rPr>
        <w:t>بالساق</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إذا امتنع عن الطلاق في هذه الحالة بعد مراجعة الحاكم الشرعي فحينئذٍ يكون هو ولي الممتنع، فيتصدّى لطلاق المرأة، فالضمان من هذه الجهة، لا من جهة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شمول حديث نفي الضرر للأحكام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رابعاً،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نفي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الأحكام الواردة مورد الضرر، كالضمان والحدود والديّات، وبما أنّ الحكم العدمي في مورده ضرري كعدم الضمان فإنّه ضرري على الحرّ المفوّت عمله، ولم يثبت بإطلاق دليل كي تكون له حالتان، بل ثبت بالإمضاء الثابت في كلّ مورد بخصوصه، فهو ثابت في مورد الضرر رأساً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شمول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المورد قد حكم فيه الشارع بعنوان الضرر، كالقصاص، أو إعطاء الزكاة، وأمّا إذا لم يكن الحكم ضررياً بل مورده ضرري كما في العدميات فهو خارج عن عموم حديث نفي الضرر تخصيصاً، لا تخصّصاً، وفي كلّ موردٍ يشكّ أو يتوهّم مثل ذلك الحكم فلابدّ من الرجوع إلى عموم حديث نفي الضرر كما هو الحال في مورد الشكّ في التخصيص</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سيد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خامساً،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استناد الضرر إنّما يتحقّق </w:t>
      </w:r>
    </w:p>
    <w:p>
      <w:pPr>
        <w:pStyle w:val="BookText"/>
        <w:rPr/>
      </w:pPr>
      <w:r>
        <w:rPr>
          <w:rFonts w:ascii="Amiri" w:hAnsi="Amiri" w:eastAsia="Amiri" w:cs="Amiri"/>
          <w:color w:val="111111"/>
          <w:sz w:val="28"/>
          <w:sz w:val="28"/>
          <w:szCs w:val="28"/>
          <w:rtl w:val="true"/>
          <w:lang w:bidi="ar-SA"/>
        </w:rPr>
        <w:t>بالتسبيب إليه وإيجاد ما يستلزمه، وأمّا عدم إيجاد المانع عن الضرر فهو لا يحقّق إسناد الضرر،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شخص ما يستلزم ورود الضرر على آخر، استند إضراره إليه، وأمّا إذا رأى ضرراً متوجّهاً إلى الآخر وكان متمكّناً من دفعه فلم يدفعه، فلا يستند الضرر إليه أصلاً، وبناءً على ذلك إذا كان المنفي بالحديث هو الضرر المستند إلى الشارع، فحينئذٍ يختصّ النفي بما إذا كان مترتّباً على الحكم الوجودي، فإنّه يصحّ معه إسناد الضرر إلى الشارع، وأمّا المترتّب على 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الشارع متمكّناً من جعل الحكم الوجودي المانع عنه، فلا يستند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يتكفّل الحديث رفعه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المناقشة فيه،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إنّما يتمّ فيمن لم يكن من شأنه الحكم في كلّ واقعة، وأمّا مَن كان الحكم وعدمه من شؤونه ومختصّاته بحيث لا يحقّ لغيره التشريع في الوقائع، فحينئذٍ لو وقع المكلّف في الضرر لعدم حكمه صحّ حينئذٍ إسناد الضرر إليه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من حديث نفي الضرر شموله للأحكام العدمية؛ وذلك لعدم تمامية الوجوه الخمسة المانعة عن الشمول، وإن توقّف في ذلك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الأحكام العدمية الضررية ففي نفيها بهذه القاعدة إشكال</w:t>
      </w:r>
      <w:r>
        <w:rPr>
          <w:rStyle w:val="FootnoteAnchor"/>
          <w:rtl w:val="true"/>
        </w:rPr>
        <w:footnoteReference w:id="326"/>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 xml:space="preserve">. </w:t>
      </w:r>
      <w:bookmarkStart w:id="125" w:name="pg8595_75591"/>
    </w:p>
    <w:p>
      <w:pPr>
        <w:pStyle w:val="Heading3"/>
        <w:numPr>
          <w:ilvl w:val="2"/>
          <w:numId w:val="1"/>
        </w:numPr>
        <w:rPr/>
      </w:pPr>
      <w:bookmarkStart w:id="126" w:name="__RefHeading___Toc1770916_653776707"/>
      <w:bookmarkStart w:id="127" w:name="_Toc45"/>
      <w:bookmarkEnd w:id="125"/>
      <w:bookmarkEnd w:id="126"/>
      <w:r>
        <w:rPr>
          <w:rtl w:val="true"/>
        </w:rPr>
        <w:t>التنبيه الرابع</w:t>
      </w:r>
      <w:r>
        <w:rPr>
          <w:rtl w:val="true"/>
        </w:rPr>
        <w:t xml:space="preserve">: </w:t>
      </w:r>
      <w:r>
        <w:rPr>
          <w:rtl w:val="true"/>
        </w:rPr>
        <w:t>هل المنفي هو الضرر المعلوم أو الواقعي؟</w:t>
      </w:r>
      <w:bookmarkEnd w:id="127"/>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الضرر المنفي في الحديث هو الضرر الواقعي، فلا دخل للعلم والجهل فيه، كما هو مقتضى كون الألفاظ موضوعة للمعاني الواقعية دون المعاني المعلومة، ولكن يظهر من الفقهاء أنّهم أفتوا في بعض الفروع على خلاف ذلك؛ حيث إنّهم لم يعتمدوا على الضرر الواقعي على الرغم من وجوده، وهذه الفروع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فقد اشترطوا علم المكلّف بكون الوضوء ضررياً في جريان دليل نفي الضرر، فلو توضّأ وهو يعتقد بعدم ضرره ثمّ تبيّن ضرر الوضوء كان وضوؤه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فقد اشترطوا أيضاً علم المكلّف بكونه ضررياً في جريان دليل نفي الضرر، فلو صام معتقداً بعدم ضرره ثمّ انكشف الخلاف كان صومه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الغبن، فإنّهم قيّدوه بجهل المغبون؛ لجريان دليل نفي الضرر، فلو علم بالغبن لم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خيار العيب، فإنّهم قيّدوه أيضاً بجهل المشتري؛ لجريان دليل نفي الضرر، فلو علم بالعيب لم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ولم يعتبروا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والجهل؛ لجريان نفي الضرر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حفر شخص بئراً في داره واستلزم ذلك ضرر الجار، فيكون حينئذٍ </w:t>
      </w:r>
    </w:p>
    <w:p>
      <w:pPr>
        <w:pStyle w:val="BookText"/>
        <w:rPr/>
      </w:pPr>
      <w:r>
        <w:rPr>
          <w:rFonts w:ascii="Amiri" w:hAnsi="Amiri" w:eastAsia="Amiri" w:cs="Amiri"/>
          <w:color w:val="111111"/>
          <w:sz w:val="28"/>
          <w:sz w:val="28"/>
          <w:szCs w:val="28"/>
          <w:rtl w:val="true"/>
          <w:lang w:bidi="ar-SA"/>
        </w:rPr>
        <w:t>ضامناً، سواء كان عالماً بذلك، أم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قضية استطراق سمرة وتضرّر الأنصاري، فإنّهم لم يعتبروا فيها العلم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تصدّى غير واحد من الأعلام لدفع إشكال اعتبار العلم بالضرر في الوضوء والصوم، واعتبار الجهل في مورد خيار الغبن والعيب، وعدم اعتبار العلم ولا الجهل في الموارد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وجهين في الجواب عن الوضوء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كون الحديث مسوقاً للامتنان هو نفيه للضرر المعلوم في مثل الوضوء والصوم، وإلاّ لزم إعادتهما على مَن تضرّر بهما ولو لم يعلم بالضرر، وهذا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المنفي بدليل نفي الضرر أن يكون الحكم الشرعي هو الجزء الأخير من العلّة التامّة للضرر من جهة إطلاق الحكم الشرعي، وأمّا إذا كان من قبيل المقدّمات الإعدادية، فلا يكون مشمولاً لدليل نفي الضرر، وما نحن فيه من هذا القبيل؛ إذ ليس الضرر مستنداً إلى الحكم الشرعي، بل مرجعه إلى جهل المكلّف واعتقاده عدم تضرّره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الفعلي على المتضرّر العالم بالضرر موجب للضرر، وأمّا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يتفاوت وجوده وعدمه في إقدام المكلّف على هذا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الجزء الأخير من العلّة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المراد من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الفرد الضرري لا حكم له، فالتقييد بالضرر المعلوم لا وجه له، وأمّا بناءً على كون المنفي هو 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لأنّ الضرر بمعنى نفي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 لنفي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المستفاد من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وأن يكون الحكم الضرري منفياً، وهذا غير متحقّق في المقام؛ فإنّ مع نفي الحكم لا ينتفي المعلول، بل يقع في الضرر، لعدم علمه به، فمقتضى ما ذكرنا أنّه يعتبر فيه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الواقعي، والعلم به، فإن انتفى العلم فلا يوجب البطلان، كما أنّه لو اعتقد الضرر ولم يكن ضرر في الواقع وصلّى متيمّماً أعاد صلاته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مسألتي خيار الغبن والعيب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تقييدهم ثبوت الخيار للمغبون بالجهل هو تخلّف الشرط الضمني الذي هو عبارة عن اشتراط تساوي المالين في المالية إلاّ بمقدار يسير يتسامح فيه، فإذا كانت المعاملة غبنية، فمضافاً إلى أنّها توجب الخيار من جهة تخلّف الشرط يصحّ الاستدلال على عدم لزومها بأدلّة نفي الضرر أيضاً؛ لأنّ فقد الشرط الضمني ضرر على مَن له الشرط؛ فإنّ الضرر عبارة عن نقص ما كان المتضرّر واجداً له، 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أقدم على الغبن، فمرجعه إلى عدم اشتراط التساوي في المالية، فإذا لم يكن مشترطاً له فلا يكون متضرّراً؛ لأنّ مرجع المعاملة إلى الإقدام بها على أيّ وجه اتّفق، وما ذكرناه هنا يجري في خيار العيب أيضاً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 التحقيق في هذه المسائل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مسألتي الوضوء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مسألتي خيار الغبن والعيب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ففي مسألة الوضوء توجد 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أو اغتسل المكلّف باعتقاد عدم الضرر ثمّ انكشف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أو اغتسل مع اعتقاد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الضرر أو خوفه فتيمّم وصلّى ثمّ انكشف الخلاف وعدم الضرر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أردنا البحث في هذه الفروع الثلاثة بنحو التفصيل لخرجنا عمّا نحن بصدد إثباته، فلذا نحيله إلى باب الفقه، إلاّ إنّه لا بأس بالتعرّض إلى حكمها بنحو الاختصار والإجمال، فنقول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الفرع الأوّل، وهو لو توضّأ أو اغتسل جاهلاً بالضرر ثمّ انكشف وجوده، فهذا الفرع وإن لم يتعرّض له القدماء من الأصحاب في كلماتهم، إلاّ إنّ المتأخّرين قد ذكروه في باب مسوّغات التيمّم، كما صنع السيد الفقيه الطباطبائي صاحب العروة، واستظهر صحّة الوضوء والغسل، واحتاط بالإعادة، ولم نرَ من المحشّين من الأعلام مَن علّق على هذا الحكم، ممّا يدلّ على أنّه </w:t>
      </w:r>
    </w:p>
    <w:p>
      <w:pPr>
        <w:pStyle w:val="BookText"/>
        <w:rPr/>
      </w:pPr>
      <w:r>
        <w:rPr>
          <w:rFonts w:ascii="Amiri" w:hAnsi="Amiri" w:eastAsia="Amiri" w:cs="Amiri"/>
          <w:color w:val="111111"/>
          <w:sz w:val="28"/>
          <w:sz w:val="28"/>
          <w:szCs w:val="28"/>
          <w:rtl w:val="true"/>
          <w:lang w:bidi="ar-SA"/>
        </w:rPr>
        <w:t>موضع وفاق بين المتأخّرين، وإن احتاط بعضهم بالإعادة، إلاّ إنّ الفتوى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الكلام في وجه ذلك، مع أنّ المنفي في القاعدة هو الضرر الواقعي، وقد ذكر أنّ عمدة الدليل على ذلك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التمسّك بامتنانية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قرّر ذلك في كلماتهم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السيد الفقيه الطباطبائي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نفي الضرر ورد للامتنان على الأمّة، ومقتضى الامتنان هو دفع مجرّد الكلفة والإلزام والوجوب دون أصل الرجحان والمشروعية والمحبوبية، وعلى هذا فالجواز باقٍ على حاله، فيكفي ذلك في صحّة الوضوء من دون إعادة الوضوء أو الغسل؛ ضرورة أنّ الحكم ببطلانهما وإيجاب التيمّم عليه وإعادة الصلاة خلاف الامتنان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 عليه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مبنيّ على كون الوجوب مركّباً من الطلب والإلزام، وأمّا بناءً على كونه بسيطاً، وهو الطلب الشديد، وأنّ مجعول الشارع ليس إلاّ جعل واعتبار الحكم في ذمّة المكلّف مع إبراز ذلك، وأمّا الإلزام فمستفاد من إدراك العقل المستقلّ بوجوب الطاعة على العبد وبعثه نحوه ما لم يرخّص المولى في ذلك، فإذا رخّص فهذا معناه رفع ذلك الاعتبار عن ذمّة المكلف، فحينئذٍ لا يبقى في البين شيء حتى يتوهّم بقاؤه، فيحتاج إثبات أصل المطلوبية والأمر إلى دليلٍ، ولا يقاس باب التكليف على الخيار؛ لكون العقد فيه مشتملاً على أمرين معاً هما الصحّة واللزوم، وكلّ </w:t>
      </w:r>
    </w:p>
    <w:p>
      <w:pPr>
        <w:pStyle w:val="BookText"/>
        <w:rPr/>
      </w:pPr>
      <w:r>
        <w:rPr>
          <w:rFonts w:ascii="Amiri" w:hAnsi="Amiri" w:eastAsia="Amiri" w:cs="Amiri"/>
          <w:color w:val="111111"/>
          <w:sz w:val="28"/>
          <w:sz w:val="28"/>
          <w:szCs w:val="28"/>
          <w:rtl w:val="true"/>
          <w:lang w:bidi="ar-SA"/>
        </w:rPr>
        <w:t>منهما ثابت بخطابٍ يخصّه، وملاك يختصّ به، فإذا رفع اللزوم فلا وجه لرفع الصحّة، خلافاً لباب التكليف</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صاحب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دليل نفي الضرر إنّما ينفي الإلزام دون الملاك، ومعه يتّصف الوضوء والغسل بالصحّة؛ وذلك لأنّ الأدلّة الدالّّة على وجوب الوضوء والغسل لها دلالتان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مطابقية وهي كونهما مأموراً بهما، ودلالة التزامية وهي كونهما ذا ملاك كما هو مقتضى تبعية الأحكام الشرعية للمصالح والمفاسد في متعلّقاتها، فإذا علمنا بسقوط الدلالة المطابقية عن الحجّية بأدلّة نفي الضرر لدلالتها على نفي الوجوب والإلزام، فلا وجه لسقوط الدلالة الالتزامية، بل تبقى على حالها وحجّيتها، فتدلّ على اشتمال الفعل على الملاك</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كون الحكم امتنانياً يقتضي وجود الملاك، وإلاّ لو لم يكن المقتضي للحكم باقياً لما كان الحكم امتنانياً، ولكان مرفوعاً من أصله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غير واحدٍ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ذكر من دلالة أدلّة وجوب الوضوء والغسل التزاماً بثبوت الملاك، وإن كان صحيحاً، إلاّ إنّها تتّبع الدلالة المطابقية في الحجّية بقاءً كما كانت تابعة لها ثبوتاً وحدوثاً، ولا تنفكّ عنها في الحجّية، فلو قامت البيّنة على ملاقاة شيء من النجاسات للماء، أو على كون مال ملكاً لزيد، فمدلولها </w:t>
      </w:r>
    </w:p>
    <w:p>
      <w:pPr>
        <w:pStyle w:val="BookText"/>
        <w:rPr/>
      </w:pPr>
      <w:r>
        <w:rPr>
          <w:rFonts w:ascii="Amiri" w:hAnsi="Amiri" w:eastAsia="Amiri" w:cs="Amiri"/>
          <w:color w:val="111111"/>
          <w:sz w:val="28"/>
          <w:sz w:val="28"/>
          <w:szCs w:val="28"/>
          <w:rtl w:val="true"/>
          <w:lang w:bidi="ar-SA"/>
        </w:rPr>
        <w:t>المطابقي هو الملاقاة، وملكية المال لزيد، ومدلولها الالتزامي نجاسة الماء، وعدم ملكية المال لعمرو، فلو سقطت البيّنة عن الحجّية في مدلولها المطابقي؛ للعلم بعدم الملاقاة، أو لاعتراف زيد بنفي المال عن ملكه، فلا يمكننا الحكم بنجاسة الماء، أو عدم كون المال لعمرو، بدعوى ثبوتها بالدلالة الالتزامية، وكذلك بعد رفع الإلزام والأمر بالوضوء بدليل نفي الضرر لا يمكننا الحكم بثبوت الملاك؛ لأنّ الدالّ عليه وجود الإلزام والأمر، والفرض أنّه مرفوع بدليل نفي الضرر، فحينئذٍ لا نعلم بوجوده وبقائه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المستمسك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الامتنان أن يكون دليل نفي الضرر دالاًّ على الترخيص حتى وإن قلنا ببساطة الوجوب؛ وذلك لأنّ الاختلاف بين الوجوب والاستحباب إنّما هو بالترخيص وعدمه، فإذا تحقّق طلب من المولى وإن كان ضعيفاً فإنّ ذلك يوجب حكم العقل بموافقته ما لم يرد ترخيص من قبل المولى في مخالفته، وحينئذٍ لا ترفع أدلّة نفي الضرر شيئاً من الطلب، ولا مرتبة منه، بل تكون بمنزلة الترخيص المقترن بالطلب، فيكون الطلب حينئذٍ باقياً على حاله بلا نقص فيه أصلاً، فيصحّ التقرّب به وإن لم نقل بصحّة التقرّب بالملاك</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 بما يظهر من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حكومة </w:t>
      </w:r>
    </w:p>
    <w:p>
      <w:pPr>
        <w:pStyle w:val="BookText"/>
        <w:rPr/>
      </w:pPr>
      <w:r>
        <w:rPr>
          <w:rFonts w:ascii="Amiri" w:hAnsi="Amiri" w:eastAsia="Amiri" w:cs="Amiri"/>
          <w:color w:val="111111"/>
          <w:sz w:val="28"/>
          <w:sz w:val="28"/>
          <w:szCs w:val="28"/>
          <w:rtl w:val="true"/>
          <w:lang w:bidi="ar-SA"/>
        </w:rPr>
        <w:t>دليل نفي الضرر على أدلّة الأحكام الأوّلية هو التخصيص بلسان الحكومة، وخروج الفرد الضرري عن عموم أدلّة الأحكام الأوّلية، فيكون حكمها حكم التخصيص، فتكشف الحكومة حينئذٍ عن عدم شمول العام للفرد الضرري لخروجه عنها، لعدم بقاء الطلب بحاله فيه، كما لا تكون أدلّة نفي الضرر بمنزلة الترخيص في هذا الفرد، بل هو خارج عن العام أساساً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امتنانية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اختصاصها بالأحكام الإلزامية؛ لما في رفعها من امتنان على الأمّة، ولا تشمل الأحكام الترخيصية؛ لكون المكلّف غير ملزم في الإتيان بها، فلا يكون رفعها منّة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للطهارات الثلاث حيثيتين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قيداً للواجبات المشروطة بالطهارة، وهو مورد الإلزام من هذه الجهة؛ لكونها شرطاً في الواجب، فلا مانع من الحكم بسقوطها عن القيدية بأدلّة نفي الضرر؛ لأنّه في رفعها منّة على العباد، فيحكم ببركتها بعدم تقييد الواجب بها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مستحبّة في نفسها، فمن هذه الجهة لا معنى لكون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حاكمة على هذه الأدلّة؛ لما تقدّم من عدم شمولها للأحكام الترخيصية، ومن هذه الجهة يكون الوضوء أو الغسل باقياً على استحبابه، فإذا أتى المكلّف </w:t>
      </w:r>
    </w:p>
    <w:p>
      <w:pPr>
        <w:pStyle w:val="BookText"/>
        <w:rPr/>
      </w:pPr>
      <w:r>
        <w:rPr>
          <w:rFonts w:ascii="Amiri" w:hAnsi="Amiri" w:eastAsia="Amiri" w:cs="Amiri"/>
          <w:color w:val="111111"/>
          <w:sz w:val="28"/>
          <w:sz w:val="28"/>
          <w:szCs w:val="28"/>
          <w:rtl w:val="true"/>
          <w:lang w:bidi="ar-SA"/>
        </w:rPr>
        <w:t>بهما وقعا مستحبّاً، فلو صلّى معهما وقعت صلاته صحيحة؛ لكونها واجدة لشرط الطهور</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الذي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دليل لا ضرر امتنانياً، ولا يوجب إعادة الصلاة؛ لأنّها 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هذه الوجوه كلّها مبنيّة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في مقام الامتنان، فحينئذٍ يمكن التمسّك بهذه الوجوه الأربعة المتقدّمة، وأمّا بناءً على إنكار امتنانية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 جميع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الرابع من هذه الوجوه بخصوصه يبتني على إنكار حكومة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الترخيصية، ولكن بناءً على عدم الفرق في شمول الحديث للأحكام الإلزامية والترخيصية، وأنّ المنفي فيها هو كلّ ما أوجب ضرراً على المكلّف، أعمّ من كونه حكماً إلزامياً أم ترخيصياً كما تقدّم ذلك، فلا يتمّ هذا الوجه أيضاً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من بين هذه الوجوه هو الثاني والرابع، وصحّتهما متوقّفة على الأمرين المتقدّمين، ومع إنكارهما لا يتمّ منهما شيء، وحينئذٍ يكون الإشكال مبنائياً، 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يهمّنا تحقيق هذه الوجوه الآنفة الذكر والتعرّض لما يرد عليها من إيرادات ونقوض وما يمكن أنّ يقال في </w:t>
      </w:r>
    </w:p>
    <w:p>
      <w:pPr>
        <w:pStyle w:val="BookText"/>
        <w:rPr/>
      </w:pPr>
      <w:r>
        <w:rPr>
          <w:rFonts w:ascii="Amiri" w:hAnsi="Amiri" w:eastAsia="Amiri" w:cs="Amiri"/>
          <w:color w:val="111111"/>
          <w:sz w:val="28"/>
          <w:sz w:val="28"/>
          <w:szCs w:val="28"/>
          <w:rtl w:val="true"/>
          <w:lang w:bidi="ar-SA"/>
        </w:rPr>
        <w:t>الجواب عنها بعدما عرفت من كون الإشكال فيها مبنائياً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بنينا عليه تصبح جميع هذه الوجوه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فقد اعتبروا في صحّة الوضوء أمرين آخرين لتمامية هذه الوجوه المتقدّمة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لأدلّة الوضوء إطلاق شامل لحال الضرر وغيره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الحكم الضرري، فحينئذٍ يمكن التمسّك بأصل الجواز أو بالملاك أو غيرها من الوجوه للحكم بالصحّة أو استحبابه، وأمّا إذا لم يكن لأدلّة الوضوء إطلاق شامل لحال الضرر، فلا يبقى موضوع لهذه الوجوه؛ لأنّ قاعدة لا ضرر إنّما تكون حاكمة ورافعة لأدلّة الأحكام الأوّلية فيما لو ثبت هناك إطلاق أو عموم لأدلّة الوضوء، وإلاّ فلا دليل على صحّة الوضوء في حال الضرر؛ وذلك لعدم ثبوت المقتضي، والفرض أنّ الإطلاق مفقود في البين؛ وذلك لأنّ الظاهر من الآية الشريفة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 وَامْسَحُوا بِرُءُوسِكُمْ وَأَرْجُلَكُمْ إِلَى الْكَعْبَيْنِ وَإِنْ كُنْتُمْ جُنُباً فَاطَّهَّرُوا وَإِنْ كُنْتُمْ مَرْضَى أَوْ عَلَى سَفَرٍ أَوْ جَاءَ أَحَدٌ مِنْكُمْ مِنَ الْغَائِطِ أَوْ لامَسْتُمُ النِّسَاءَ 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 هو أنّه سبحانه وتعالى قسّم العباد والمكلّفين إلى </w:t>
      </w:r>
    </w:p>
    <w:p>
      <w:pPr>
        <w:pStyle w:val="BookText"/>
        <w:rPr/>
      </w:pP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الواجدين للماء والمتمكّنين منه، الثاني الفاقدين للماء وغير المتمكّنين منه من جهة المرض أو عدم وجدان الماء واقعاً، فحكم بأنّ وظيفة القسم الأوّل وجوب الوضوء، ولا يسوغ له التيمّم في هذه الحالة، كما حكم بوجوب التيمّم في القسم الثاني، ولا يسوغ له الوضوء كما هو مقتضى التفصيل القاطع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المراد بالواجد هو المتمكّن من استعمال الماء عقلاً وشرعاً وعادةً، كما أنّ المراد من الثاني هو غير المتمكّن من استعمال الماء واقعاً أو شرعاً وعادةً، فحينئذٍ إذا صدق على الضرر الناشئ من استعمال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واقعياً أم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عدم التمكّن من استعمال الماء، فلا يشرع الوضوء في حقّه؛ لعدم تحقّق موضوعه، فلا معنى حينئذٍ للقول بحكومة دليل نفي الضرر والقول برفع الموضوع لكونه ضررياً، بل هو مرفوع ابتداءً وغير شامل لهذا الفرد، وبناءً على هذا لا تتمّ جميع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صدق عليه عنوان التمكّن من استعمال الماء، فحينئذٍ يشرع في حقّه الوضوء، ولا مجال لنفيه بأدلّة نفي الضرر وإثبات وجوب التيمّم؛ لأنّ عنوان الواجد للماء موضوع للوضوء، وليس موضوعاً للتيمّم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الشرط إنّما يتوقّف عليه صحّة الوجه الثاني وهو التمسّك بالملاك، فإنّه مع عدم الإطلاق لا يبقى مجال للقاعدة، وأمّا بناءً على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في صحّة الوضوء باستحبابه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على اعتبار وجود الإطلاق في الآية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الضرر على النفس محرّماً بنحو الإطلاق، وأمّا على القول بحرمة الإضرار بالنفس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أوجب هلاك النفس أو إتلاف أحد الأعضاء وتعطيلها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يشكل التمسّك بالملاك أو بالاستحباب النفسي؛ وذلك لعدم صلاحية التقرّب بما هو مصداق للحرام، فكيف يمكن عندئذٍ التقرّب بما هو مبغوض إلى المولى عزّوجلّ؟ وهذا الشرط إنّما يصحّ في الجملة، وهو فيما إذا كان موجباً للضرر المحرّم كالتهلكة وإتلاف أحد الأعضاء، وأمّا مطلق الضرر فهو مبنيّ على القول بالحرمة، وهو محلّ إشكال عند جماعة من الأعلام كما تقدّم بحثه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الأمرين لا يوجبان أيضاً القول ببطلان الوضوء ورفع اليد عن صحّته، ولكن على ما بنينا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امتنانية القاعدة وشمولها للأحكام الترخيصية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مجال للتمسّك بهذه الوجوه للحكم بصحّة الوضوء</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وجه آخر يمكن الاستناد إليه للحكم بصحّة الوضوء الضرري في حال الجهل،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الآية الشريفة قد قسّمت المكلّف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الواجد للماء والمتمكّن من استعماله، فحكمت بأنّ وظيفته الوضوء، الثاني الفاقد للماء وغير المتمكّن من استعماله، فحكمت بأنّ وظيفته التيمّم، وعلى هذا فمن يعتقد بعدم كون الوضوء ضررياً في حقّه لا يصدق عليه عرفاً عنوان عدم التمكّن وعدم الوجدان، فيندرج حينئذٍ في القسم الأوّل ممّن تكون وظيفته الوضوء، وبذلك يحكم بصحّة وضوئه بلا حاجة في ذلك </w:t>
      </w:r>
    </w:p>
    <w:p>
      <w:pPr>
        <w:pStyle w:val="BookText"/>
        <w:rPr/>
      </w:pPr>
      <w:r>
        <w:rPr>
          <w:rFonts w:ascii="Amiri" w:hAnsi="Amiri" w:eastAsia="Amiri" w:cs="Amiri"/>
          <w:color w:val="111111"/>
          <w:sz w:val="28"/>
          <w:sz w:val="28"/>
          <w:szCs w:val="28"/>
          <w:rtl w:val="true"/>
          <w:lang w:bidi="ar-SA"/>
        </w:rPr>
        <w:t xml:space="preserve">للقول بوجود الملاك أو القول بامتنانية القاعدة أو غيرها من الوجوه المذكورة لتصحيح الوضوء، كما أنّه لو اعتقد الضرر مع وجوده واقعاً يصدق عليه عرفاً بأنّه غير متمكّن وغير واجد للماء، فيندرج حينئذٍ في القسم الثاني، وبذلك يحكم بصحّة تيمّمه، وعلى ذلك فلا يتوقّف الحكم بالصحّة في كلا الفرعين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غير مرتبط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الضرر الواقعي ليس الموجب للضرر الحكم الشرعي، بل الموجب له فعله وجهله، بل لا فائدة في رفع الحكم عنه، ولا منّة؛ لأنّه لو فرض انتفاء الحكم في الواقع لوقع هذا في الضرر لجهله واعتقاده عدم تضرره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مفيد في المقام؛ لأنّه إنّما يتمّ بناءً على المسلك الأوّل، وهو أن يكون المنفي ابتداءً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الضرري، وأمّا بناءً على المسلك الثاني، وهو كون المنفي فيه الموضوع الضرري، فحينئذٍ لا فرق في كون الموضوع ضررياً حال العلم أو الجهل به، فالفرد الضرري مرفوع حكمه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في القول بصحّة الوضوء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تحمّل الضرر وتوضّأ أو اغتسل مع اعتقاده بالضرر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بصحّة وضوئه أو غسله أم ببطلانه؟</w:t>
      </w:r>
    </w:p>
    <w:p>
      <w:pPr>
        <w:pStyle w:val="BookText"/>
        <w:rPr/>
      </w:pPr>
      <w:r>
        <w:rPr>
          <w:rFonts w:ascii="Amiri" w:hAnsi="Amiri" w:eastAsia="Amiri" w:cs="Amiri"/>
          <w:color w:val="111111"/>
          <w:sz w:val="28"/>
          <w:sz w:val="28"/>
          <w:szCs w:val="28"/>
          <w:rtl w:val="true"/>
          <w:lang w:bidi="ar-SA"/>
        </w:rPr>
        <w:t>فيه أقوال ثلاثة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صاحب العروة وأكثر المحشّين من القول بالبطلان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السيد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بالصحّة إذا لم يكن الوضوء موجباً للتهلكة أو لنقص في أحد الأعضاء</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في خصوص الطهارات من الوضوء والغسل، وأمّا في سائر العبادات وأجزائها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كالقيام والسجود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بالتفصيل بين العلم بالضرر فلا يصحّ، وبين العلم بالحرج والمشقّة فيصحّ، وإن كان يجوز معه التيمّم؛ وذلك لأنّ نفي الحرج من باب الرخصة لا من باب العزيمة، إلاّ إنّ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إلى بطلانهما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أفاد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الحكم بالصحّة في القول الثاني بأنّ الطهارات حيث إنّها مستحبّات نفسية فهي من هذه الجهة لا تشملها أدلّة نفي الضرر والحرج؛ لكونها من الأحكام الترخيصية، والضرر في موردها مستند إلى اختيار المكلّف وإرادته، لا إلى الشارع، فهي إذن باقية على استحبابها في موارد الضرر والحرج، فيصحّ حينئذٍ الإتيان بالوضوء أو الغسل بقصد الاستحباب النفسي، وتتحقّق له الطهارة من الحدث، وبعد حصولها يحكم بصحّة الصلاة الواقعة معها؛ لكونها واجدة لشرطها، أي الطهارة، ولكنّ هذا الوجه لا يتأتّى في غير الطهارة من سائر أجزاء العبادات كالقيام حال القراءة </w:t>
      </w:r>
    </w:p>
    <w:p>
      <w:pPr>
        <w:pStyle w:val="BookText"/>
        <w:rPr/>
      </w:pPr>
      <w:r>
        <w:rPr>
          <w:rFonts w:ascii="Amiri" w:hAnsi="Amiri" w:eastAsia="Amiri" w:cs="Amiri"/>
          <w:color w:val="111111"/>
          <w:sz w:val="28"/>
          <w:sz w:val="28"/>
          <w:szCs w:val="28"/>
          <w:rtl w:val="true"/>
          <w:lang w:bidi="ar-SA"/>
        </w:rPr>
        <w:t xml:space="preserve">فيما لو كان ضررياً أو حرجياً؛ فإنّه تجب الصلاة جالساً، فلو قام في الصلاة مع العلم بالضرر أو الحرج نحكم ببطلان الصلاة في كلا المقامين، وإن لم نقل بحرمة الإضرار بالنفس؛ وذلك لأنّ عدم الأمر كافٍ في الحكم بالبطلان، ولا فرق بين الضرر والحرج؛ لأنّه معها يكون الحكم منفياً ومرفوعاً عنه، ومع عدم الأمر لا يبقى مقتضٍ للصحّة، ووجود الملاك غير محرز أيضاً؛ لأنّه لا سبيل لإحرازه إلاّ من جهة الأمر، والفرض أنّه منفيّ 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فكيف يحرز الملاك حينئذ؟</w:t>
      </w:r>
    </w:p>
    <w:p>
      <w:pPr>
        <w:pStyle w:val="BookText"/>
        <w:rPr/>
      </w:pPr>
      <w:r>
        <w:rPr>
          <w:rFonts w:ascii="Amiri" w:hAnsi="Amiri" w:eastAsia="Amiri" w:cs="Amiri"/>
          <w:color w:val="111111"/>
          <w:sz w:val="28"/>
          <w:sz w:val="28"/>
          <w:szCs w:val="28"/>
          <w:rtl w:val="true"/>
          <w:lang w:bidi="ar-SA"/>
        </w:rPr>
        <w:t>ولازم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التي تكون مستحبّة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كالركوع والسجود أو القراءة أو الأذكار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حكمها أيضاً حكم الوضوء والغسل، فلو قصد المكلّف أمرها الاستحبابي حال كونها ضررية أو حرجيّة لوقعت مستحبّة، وبذلك يحكم بصحّة الصلاة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يتمّ بناءً على عدم شمول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للأحكام الترخيصية، وأمّا بناءً على شمولها فلا يمكن التعويل على هذا الوجه في الحكم بصحّة الوضوء أو الغسل، وقد ذكرنا عدم تماميته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امتنانية على تفسيرهم، وكذلك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فمقتضى الامتنان أنّ المنفي والمرفوع هو الحكم من باب </w:t>
      </w:r>
    </w:p>
    <w:p>
      <w:pPr>
        <w:pStyle w:val="BookText"/>
        <w:rPr/>
      </w:pPr>
      <w:r>
        <w:rPr>
          <w:rFonts w:ascii="Amiri" w:hAnsi="Amiri" w:eastAsia="Amiri" w:cs="Amiri"/>
          <w:color w:val="111111"/>
          <w:sz w:val="28"/>
          <w:sz w:val="28"/>
          <w:szCs w:val="28"/>
          <w:rtl w:val="true"/>
          <w:lang w:bidi="ar-SA"/>
        </w:rPr>
        <w:t xml:space="preserve">التسهيل والتخفيف مع بقاء الملاك على حاله،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كاشف عن وجود الملاك وبقائه، وإلاّ لما كان نفي الحكم ورفعه امتنانياً، بل كان من باب عدم المقتضي، وعلى هذا لا فرق حينئذٍ بين الطهارات وغيرها من سائر أجزاء العبادات، وعلى ذلك فلابدّ من الحكم بالصحّة في جميع هذه الموارد، سواء كان موجباً للضرر أو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الحكم بالفساد في كلا الموردين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قول المحقّق الميرزا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الحكومة خروج الفرد الضرري عن عموم أدلّة الوضوء والغسل، وعدم ثبوت الملاك له؛ لعدم وجود كاشف له، ولا معنى لاحتمال الرخصة في المقام؛ فإنّ التخصيص بلسان الحكومة كاشف عن عدم شمول العامّ للفرد الخارج، ولا معنى لرفع اللزوم دون الجواز؛ فإنّ الحكم بسيط لا تركيب فيه حتى يرتفع أحد جزئيه ويبقى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نفي الحرج ونفي الضرر؛ فإنّ كلاًّ منهما حاكمان على أدلّة الأحكام، ولا فرق بين الحكومة والتخصيص وكون الامتنان حكمة أو علّة لا يقتضي صحّة الوضوء والغسل إذا كان حرجيّاً أو ضرريّاً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 ما في طول الشيء في عرض الشيء، وهذا خلف؛ لأنّ التكليف لا ينتقل إلى التيمّم إلاّ إذا امتنع استعمال الماء خارجاً أو شرعاً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مرخّصاً شرعاً في الطهارة المائيّة فلا يدخل في مَن لا يجد الماء </w:t>
      </w:r>
    </w:p>
    <w:p>
      <w:pPr>
        <w:pStyle w:val="BookText"/>
        <w:rPr/>
      </w:pPr>
      <w:r>
        <w:rPr>
          <w:rFonts w:ascii="Amiri" w:hAnsi="Amiri" w:eastAsia="Amiri" w:cs="Amiri"/>
          <w:color w:val="111111"/>
          <w:sz w:val="28"/>
          <w:sz w:val="28"/>
          <w:szCs w:val="28"/>
          <w:rtl w:val="true"/>
          <w:lang w:bidi="ar-SA"/>
        </w:rPr>
        <w:t>حتى يشمله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فإقدام المتضرّر في باب التكاليف على الضرر لا يكون موجباً لعدم جريان أدلّة نفي الضرر بالنسبة إليه، فيلزم على القول بصحّة الوضوء دخوله في الواجد والمتمكّن من الماء، وهو يشبه الجمع بين المتناقضين؛ فإنّ الأمر بالتيمّم مشروط بعدم وجدان الماء، والأمر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بالوجدان، فالحكم بصحّة الوضوء والتيمّم يستلزم القول ببطلان الطهارة المائية، بلا فرق بين العلم بالضرر والعلم بالحرج</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 سيّد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الأوّل؛ بأنّ مقتضى الحكومة وإن كان هو خروج الفرد عن حكم العام أو الإطلاق، ولكن هذا لا يقتضي عدم بقاء الملاك؛ وذلك لأنّه على مبناه من الالتزام بأنّ حديث نفي الضرر وارد مورد الامتنان، ولازم ذلك هو ثبوت الملاك؛ إذ لو لم يكن للحكم ملاك فعدم جعله يكون لعدم الملاك، لا لأجل الامتنان، فلا منّة في رفعه حينئذٍ، فكونه في مقام الامتنان قرينة على ثبوت الملاك، وبذلك يمكن تصحيح العمل</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المناقشة هي التي ذكرناها في الفرع السابق أيضاً،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بالامتنان يمكن تصحيح الطهارة من جهة وجود الملاك وإتيانها بداعيه، ولكن بناءً </w:t>
      </w:r>
    </w:p>
    <w:p>
      <w:pPr>
        <w:pStyle w:val="BookText"/>
        <w:rPr/>
      </w:pPr>
      <w:r>
        <w:rPr>
          <w:rFonts w:ascii="Amiri" w:hAnsi="Amiri" w:eastAsia="Amiri" w:cs="Amiri"/>
          <w:color w:val="111111"/>
          <w:sz w:val="28"/>
          <w:sz w:val="28"/>
          <w:szCs w:val="28"/>
          <w:rtl w:val="true"/>
          <w:lang w:bidi="ar-SA"/>
        </w:rPr>
        <w:t>على ما قوّيناه من عدم كون القاعدة امتنانية لا يتمّ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فقد نقله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الشريفة لا تدلّ على انحصار حكم الوضوء في حقّ الواجد للماء، وانحصار التيمّم في حقّ الفاقد، بل أثبتت وجوب الوضوء تعييناً على الواجد، وكذلك التيمّم تعييناً على الفاقد، وهذا لا ينافي ورود دليل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حكم الفاقد على الواجد مع القول باستحباب الوضوء له بدليل آخر، فهذا النوع من الواجد الذي يكون الوضوء ضرراً أو حرجاً عليه يجوز له التيمّم إرفاقاً وامتناناً من قبل الشارع، ويجوز له الوضوء أيضاً نظراً إلى استحبابه النفسي، فتكون النتيجة هي التخيير بين الوضوء والتيمّم، ولا نقول بأنّ هذا المكلف واجد للماء وفاقد له حتى يلزم اجتماع النقيضين،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واجد للماء ولكن أجاز له الشارع أن يتيمّم إرفاقاً من جهة كون الوضوء ضرراً أو حرجاً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جواز التيمّم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آوى إلى فراشه فذكر أنّه غير متوضّئ، يجوز له التيمّم مع أنّه واجد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أراد أن يصلّي على الميت فيجوز له التيمّم مع وجدان الماء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القروح والجروح إذا لم تكن عليها جبيرة ويريد أن يغتسل، فإذا كانت عليها جبيرة فلا إشكال في وجوب المسح عليها، وأمّا إذا لم تكن جبيرة فالأخبار مختلفة، فبعضها يدلّ على أنّ عليه التيمّم، وبعضها أنّه يغتسل </w:t>
      </w:r>
    </w:p>
    <w:p>
      <w:pPr>
        <w:pStyle w:val="BookText"/>
        <w:rPr/>
      </w:pPr>
      <w:r>
        <w:rPr>
          <w:rFonts w:ascii="Amiri" w:hAnsi="Amiri" w:eastAsia="Amiri" w:cs="Amiri"/>
          <w:color w:val="111111"/>
          <w:sz w:val="28"/>
          <w:sz w:val="28"/>
          <w:szCs w:val="28"/>
          <w:rtl w:val="true"/>
          <w:lang w:bidi="ar-SA"/>
        </w:rPr>
        <w:t>ويغسل ما حول القرح أو الجرح، ومقتضى الجمع بين الطائفتين هو التخيير بين الغسل والتيمّم، فيجوز له التيمّم مع كونه واجد الماء، فانفكاك أحدهما عن الآخر واقع في موارد كثيرة، فمع كونه واجداً للماء إلاّ إنّه قد رخّص له التيمّم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العلم بالضرر يتّصف الوضوء والعمل بكونه محرّماً؛ لأنّه إضرار بالنفس، وهو حرام بنحو الإطلاق، فحينئذٍ لا يمكن الوضوء أو الغسل؛ لأنّ ما يكون مصداقاً للحرام ومبغوضاً لدى الشارع لا يصلح أن يكون عبادة يتقرّب بها إليه، فحينئذٍ لابدّ من القول بالبطلان، ولعلّ السرّ في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بين الضرر والحرج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الإضرار بالنفس حرام مطلقاً، ولمّا كان الوضوء أو الغسل ضرريّين فهما مبغوضان للشارع، والمبغوض لا يمكن أن يقع محبوباً ومقرّباً، فيبطلان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الوضوء أو الغسل الحرجيين؛ فإنّه لم يدلّ دليل على حرمته،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تحمّل المكلّف الحرج والمشقّة في الوضوء فحينئذٍ يحكم بصحّته؛ لعدم اقتضاء نفي الحرج من جهة كونه وارداً في مقام الامتنان إلاّ نفي الإلزام، وأمّا أصل الجواز فباقٍ على حاله، فيكون الوضوء الحرجي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 أو مأموراً به، وحينئذٍ يحكم بصحّته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ما ذكرناه مراراً، من أنّ الإضرار بالنفس ليس بحرام مطلقاً، بل </w:t>
      </w:r>
    </w:p>
    <w:p>
      <w:pPr>
        <w:pStyle w:val="BookText"/>
        <w:rPr/>
      </w:pPr>
      <w:r>
        <w:rPr>
          <w:rFonts w:ascii="Amiri" w:hAnsi="Amiri" w:eastAsia="Amiri" w:cs="Amiri"/>
          <w:color w:val="111111"/>
          <w:sz w:val="28"/>
          <w:sz w:val="28"/>
          <w:szCs w:val="28"/>
          <w:rtl w:val="true"/>
          <w:lang w:bidi="ar-SA"/>
        </w:rPr>
        <w:t>الثابت حرمته هو خصوص الإلقاء في التهلكة، 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وهكذا قطع اليد والرجل وأمثال ذلك ممّا يقطع بحرمته، وأمّا الإتيان بفعل يوجب شدّة وجع العين، أو الحمّى يوماً أو يومين وأمثال ذلك، فممّا لا يدلّ على حرمته عقل ولا نقل، بل جواز الإضرار بالنفس في الجملة من بديهيات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 للمكلّف الإتيان بالوضوء والغسل بداعي الاستحباب النفسي، وبذلك يتحقّق شرط الصلاة، وهي الطهارة، وبها تكون الصلاة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 ما أفاده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إشكال عمّا أفاده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قد افترض أنّ المكلّف مع علمه بكون وضوئه ضررياً مندرج في غير الواجد للماء، وقد فسّر غير الواجد بأنّه الفاقد للماء واقعاً أو شرعاً أو عادةً، فيصدق على المكلّف أنّه فاقد للماء عادةً، فيندرج حينئذٍ في القسم الثاني ممّن ذكرته آية التيمّم، وهذا بخلاف ما أفاده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عدّه واجداً للماء، فهو داخل في القسم الأوّل، إلاّ 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كونها واردة في مقام الامتنان ترفع الإلزام وتسوّغ له التيمّم؛ إرفاقاً له من قبل الشارع، وامتناناً عليه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ما ذهب إليه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لأنّه إذا كان استعمال الماء ضررياً فالعرف يحكم عليه بالاجتناب عنه، وبذلك يعدّ </w:t>
      </w:r>
    </w:p>
    <w:p>
      <w:pPr>
        <w:pStyle w:val="BookText"/>
        <w:rPr/>
      </w:pPr>
      <w:r>
        <w:rPr>
          <w:rFonts w:ascii="Amiri" w:hAnsi="Amiri" w:eastAsia="Amiri" w:cs="Amiri"/>
          <w:color w:val="111111"/>
          <w:sz w:val="28"/>
          <w:sz w:val="28"/>
          <w:szCs w:val="28"/>
          <w:rtl w:val="true"/>
          <w:lang w:bidi="ar-SA"/>
        </w:rPr>
        <w:t>في حكم الفاقد للماء عادة وحكماً، فيندرج حينئذٍ في القسم الثاني، لا الأوّل، ومع ذلك يؤخذ على ما أفاده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بناء على اعترافه بكون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امتنانية، وأنّها لا تشمل الأحكام الترخيصية وتختصّ بالأحكام الإلزامية فقط، لماذا لا يصحّ الوضوء والغسل فيما لو أتى بهما المكلّف بداعي الاستحباب النفسي؟</w:t>
      </w:r>
    </w:p>
    <w:p>
      <w:pPr>
        <w:pStyle w:val="BookText"/>
        <w:rPr/>
      </w:pPr>
      <w:r>
        <w:rPr>
          <w:rFonts w:ascii="Amiri" w:hAnsi="Amiri" w:eastAsia="Amiri" w:cs="Amiri"/>
          <w:color w:val="111111"/>
          <w:sz w:val="28"/>
          <w:sz w:val="28"/>
          <w:szCs w:val="28"/>
          <w:rtl w:val="true"/>
          <w:lang w:bidi="ar-SA"/>
        </w:rPr>
        <w:t xml:space="preserve">نعم، إذا التزم بمقالة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حرمة الإضرار بالنفس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يتمّ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لعدم إمكان التقرّب بالعبادة التي هي مصداق للحرام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ما أفاده المحقّق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الوضوء والغسل في حال العلم بكونهما ضرريين، ولا فرق في ذلك بين الضرر وبين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ما أفاده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الوضوء والغسل، بلا فرق بين الضرر وبين الحرج، وبذلك تتحقّق شرطية الطهارة، ويحكم بصحّة الصلاة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مقالة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مطلق الضرر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التفصيل في محلّه، ولكن على ما بنينا عليه في الفرع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القاعدة ليست في مقام الامتنان، ومن شمول القاعدة للأحكام الترخيصية كشمولها للأحكام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بالبطلان فيما إذا كان الوضوء والغسل ضررياً؛ لعدم بقاء الملاك والاستحباب، كما يلزم القول بالصحّة في موارد الحرج؛ لكون الحكم فيها من باب الرخصة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إذا تيمّم باعتقاد الضرر فصلّى ثم انكشف عدم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يحكم بصحّة ما أتى به أو لا؟</w:t>
      </w:r>
    </w:p>
    <w:p>
      <w:pPr>
        <w:pStyle w:val="BookText"/>
        <w:rPr/>
      </w:pPr>
      <w:r>
        <w:rPr>
          <w:rFonts w:ascii="Amiri" w:hAnsi="Amiri" w:eastAsia="Amiri" w:cs="Amiri"/>
          <w:color w:val="111111"/>
          <w:sz w:val="28"/>
          <w:sz w:val="28"/>
          <w:szCs w:val="28"/>
          <w:rtl w:val="true"/>
          <w:lang w:bidi="ar-SA"/>
        </w:rPr>
        <w:t>هنا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وهو القول بالصحّة، فلا تجب الإعادة في الوقت والقضاء في خارجه، واختاره صاحب العروة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بعدم الصحّة، فتجب الإعادة في الوقت والقضاء في خارجه، واحتاط فيه السيدان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والبروجردي</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بالتفصيل بين الانكشاف في الوقت وبين خارجه، فتجب الإعادة في الأوّل، دون الثاني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ينبغي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هذه الأقوال الثلاثة فيما لو كان الانكشاف بعد الدخول في الصلاة، وإلاّ فلا إشكال في عدم صحّة التيمّم ووجوب </w:t>
      </w:r>
    </w:p>
    <w:p>
      <w:pPr>
        <w:pStyle w:val="BookText"/>
        <w:rPr/>
      </w:pPr>
      <w:r>
        <w:rPr>
          <w:rFonts w:ascii="IRNazanin" w:hAnsi="IRNazanin" w:eastAsia="IRNazanin"/>
          <w:color w:val="111111"/>
          <w:sz w:val="28"/>
          <w:sz w:val="28"/>
          <w:szCs w:val="28"/>
          <w:rtl w:val="true"/>
          <w:lang w:bidi="fa-IR"/>
        </w:rPr>
        <w:t>الوضوء أو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القول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التيمّم عدم التمكّن من استعمال الماء واقعاً أو شرعاً أو عادةً، فإذا كان المراد من عدم الوجدان في الآية الشريفة هو عدم التمكّن من استعمال الماء، إمّا لعدم وجوده، وإمّا لعدم القدرة على استعماله لمانع شرعي أو عادي، فالمعتقد بالضرر يصدق عليه عدم التمكّن من استعمال الماء، فهو حينئذٍ محرز لموضوع التيمّم، وعندئذٍ لا إشكال في صحّة التيمّم، ومعه تصحّ صلاته؛ وذلك لإتيانه بالوظيفة الفعلية، فلا وجه للحكم ببطلانه ووجوب الإعادة عليه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القول بالتفصيل،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عدم الوجدان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استعمال الماء واقعاً أو شرعاً، وهو متحقّق في صورة فقدان الماء؛ فإنّ المكلّف إذا بحث وفحص عن الماء ولم يجده في رحله أو مكانه أو لم يظفر به، صدق عليه حينئذٍ عنوان عدم التمكّن،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الاعتقاد بالعدم يكفي في صدق عدم التمكّن، فإنّ الإنسان ربّما يموت عطشاً والماء في رحله،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جوف الأرض لا يخلو من الماء دائماً، إلاّ إنّه غير متمكّن من استعماله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صورة الاعتقاد بالضرر مع عدمه في الواقع، فلا يصدق عليه عدم التمكّن إلاّ على القول بحرمة الإضرار بالنفس؛ لأنّ المنع الشرعي كالمنع </w:t>
      </w:r>
    </w:p>
    <w:p>
      <w:pPr>
        <w:pStyle w:val="BookText"/>
        <w:rPr/>
      </w:pPr>
      <w:r>
        <w:rPr>
          <w:rFonts w:ascii="Amiri" w:hAnsi="Amiri" w:eastAsia="Amiri" w:cs="Amiri"/>
          <w:color w:val="111111"/>
          <w:sz w:val="28"/>
          <w:sz w:val="28"/>
          <w:szCs w:val="28"/>
          <w:rtl w:val="true"/>
          <w:lang w:bidi="ar-SA"/>
        </w:rPr>
        <w:t>العقلي، وإلاّ مجرّد الاعتقاد بكون استعمال الماء مضرّاً لا يصيّره عاجزاً وغير متمكّن، بل يجعله معتقداً بالترخيص في عدم استعمال الماء والاجتزاء بالتيمّم؛ إرفاقاً وامتناناً، فإذا تبيّن عدم وجود الضرر في الواقع تبيّن بطلان التيمّم؛ لعدم ثبوت الترخيص من قبل الشارع فيه من أوّل الأمر، ومن هنا لابدّ من التفصيل بين صورة الاعتقاد بفقدان الماء، وبين الاعتقاد بالضرر مع عدمه واقعاً فيما إذا انكشف الخلاف، فيقال بصحّة التيمّم في الصورة الأولى، وعدمها في الثانية، وهذا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المستفاد من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موجب التيمّم وموضوعه هو مجرّد الخوف، فحينئذٍ يكون اعتقاد الضرر موجباً للتيمّم بالأوّلوية القطعية، فإذا تحقّق موجب التيمّم وموضوعه وهو الخوف أو الاعتقاد فيحكم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تبيّن الخلاف في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تبيّن الخلاف بعد الصلاة وقبل خروج الوقت، فحينئذٍ لابدّ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الصلاة وعدم 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بجواز البدار إلى العمل مع التيمّم، وبين عدمه، فإذا قلنا بجواز البدار وعدم توقّف صحّة العمل على الإتيان به في آخر الوقت، أو على العلم بعدم زوال العذر، فلابدّ من القول بصحّة العمل وعدم إعادته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قلنا بعدم جواز البدار، ولابدّ من تأخير العمل إلى آخر الوقت إلاّ مع العلم باستمرار العذر إلى آخر الوقت، فحينئذٍ إذا تيمّم وصلّى ثمّ انكشف </w:t>
      </w:r>
    </w:p>
    <w:p>
      <w:pPr>
        <w:pStyle w:val="BookText"/>
        <w:rPr/>
      </w:pPr>
      <w:r>
        <w:rPr>
          <w:rFonts w:ascii="Amiri" w:hAnsi="Amiri" w:eastAsia="Amiri" w:cs="Amiri"/>
          <w:color w:val="111111"/>
          <w:sz w:val="28"/>
          <w:sz w:val="28"/>
          <w:szCs w:val="28"/>
          <w:rtl w:val="true"/>
          <w:lang w:bidi="ar-SA"/>
        </w:rPr>
        <w:t>الخلاف فلابدّ من القول بعدم صحّة الصلاة؛ وذلك لعدم إجزاء الأمر الظاهري أو التخيّلي عن الأمر الواقعي، 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الصلاة بعد انكشاف الخلاف؛ لبطلان التيمّم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 في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يرجع إلى جميع الأمور المذكورة والمتقدّمة، وهي المرض، والسفر، والمجيء من الغائط، ولمس النساء كما هو ظاهر الآية والمشهور، فحينئذٍ يكون معنى عدم الوجدان في الآية الكريمة هو عدم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راجعاً إلى الثلاثة الأخيرة فقط دون المرض؛ وذلك لأنّه لو كان قيداً للمرض أيضاً لما بقي موضوع للمرض، لأنّ غير المتمكّن موضوع لوجوب التيمّم، فحينئذٍ لا موضوعية للمرض، ولكان قيداً مستدركاً، وهذا بخلاف الأمور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عدم وجدان الماء في الآية الشريفة بمعنى فقدان الماء، وإمّا بمعنى عدم التمكّن من استعمال الماء واقعاً أو شرعاً أو عادةً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راجعاً إلى جميع الأمور الأربعة التي ذكرتها الآية الكريمة، وكان المراد هو عدم التمكّن مطلقاً، فحينئذٍ نفس الاعتقاد بالضرر يدرج المكلّف في غير المتمكّن عادةً وشرعاً، وفي هذه الصورة لا تتوقّف صحّة التيمّم على </w:t>
      </w:r>
      <w:bookmarkStart w:id="128" w:name="pg8595_75616"/>
    </w:p>
    <w:p>
      <w:pPr>
        <w:pStyle w:val="BookText"/>
        <w:rPr/>
      </w:pPr>
      <w:bookmarkEnd w:id="128"/>
      <w:r>
        <w:rPr>
          <w:rFonts w:ascii="Amiri" w:hAnsi="Amiri" w:eastAsia="Amiri" w:cs="Amiri"/>
          <w:color w:val="111111"/>
          <w:sz w:val="28"/>
          <w:sz w:val="28"/>
          <w:szCs w:val="28"/>
          <w:rtl w:val="true"/>
          <w:lang w:bidi="ar-SA"/>
        </w:rPr>
        <w:t xml:space="preserve">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في ذلك التمسّك بظهور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عدم الوجدان في الآية المباركة هو الفقدان واقعاً، وكان راجعاً إلى الثلاثة الأخيرة، فالآية حينئذٍ لا تتكفّل بيان صحّة التيمّم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مع ذلك استفادة صحّته من الروايات الدالّة على أنّ موضوع التيمّم هو خوف الضرر من استعمال الماء،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ضمّ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الروايات الدالّة على أنّ موضوع التيمّم هو خوف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بصحّة التيمّم، وصحّة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مبنيّ على القول بإجزاء الأمر الظاهري عن الأمر الواقعي، وكيف كان فهذا بحث طويل الذيل يأتي توضيحه في الفقه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770918_653776707"/>
      <w:bookmarkStart w:id="130" w:name="_Toc46"/>
      <w:bookmarkEnd w:id="129"/>
      <w:r>
        <w:rPr>
          <w:rtl w:val="true"/>
        </w:rPr>
        <w:t>التنبيه الخامس</w:t>
      </w:r>
      <w:r>
        <w:rPr>
          <w:rtl w:val="true"/>
        </w:rPr>
        <w:t xml:space="preserve">: </w:t>
      </w:r>
      <w:r>
        <w:rPr>
          <w:rtl w:val="true"/>
        </w:rPr>
        <w:t>هل المراد بالضرر المنفي هو الضرر الشخصي أو النوعي؟</w:t>
      </w:r>
      <w:bookmarkEnd w:id="130"/>
    </w:p>
    <w:p>
      <w:pPr>
        <w:pStyle w:val="BookText"/>
        <w:rPr/>
      </w:pPr>
      <w:r>
        <w:rPr>
          <w:rFonts w:ascii="Amiri" w:hAnsi="Amiri" w:eastAsia="Amiri" w:cs="Amiri"/>
          <w:color w:val="111111"/>
          <w:sz w:val="28"/>
          <w:sz w:val="28"/>
          <w:szCs w:val="28"/>
          <w:rtl w:val="true"/>
          <w:lang w:bidi="ar-SA"/>
        </w:rPr>
        <w:t>لا إشكال في أنّ المراد بالضرر هو ما يصدق عليه الضرر عرفاً، لا كلّ ضرر وإن كان قليلاً جدّاً، كما أنّه لا فرق في الضرر المنفي بين الضرر المالي، سواء كان في العين أو المنفعة أو الحقوق المالية، وبين الضرر العرضي أو النفسي، فالقاعدة شاملة لجميع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وقع الكلام في أنّ الضرر المنفي بالقاعدة هل هو الضرر الشخصي أو النوعي؟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بالضرر الشخصي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رفع الحكم ترتّب الضرر الشخصي الخارجي عليه، فمن الممكن أن يكون الحكم ضرريّاً في حقّ </w:t>
      </w:r>
    </w:p>
    <w:p>
      <w:pPr>
        <w:pStyle w:val="BookText"/>
        <w:rPr/>
      </w:pPr>
      <w:r>
        <w:rPr>
          <w:rFonts w:ascii="Amiri" w:hAnsi="Amiri" w:eastAsia="Amiri" w:cs="Amiri"/>
          <w:color w:val="111111"/>
          <w:sz w:val="28"/>
          <w:sz w:val="28"/>
          <w:szCs w:val="28"/>
          <w:rtl w:val="true"/>
          <w:lang w:bidi="ar-SA"/>
        </w:rPr>
        <w:t>شخصٍ دون شخصٍ آخر، بل لشخص واحد في مورد دون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الضرر النوعي هو ما يترتّب بالنسبة إلى غالب المكلّفين، أو ما يترتّب على غالب أفراد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تردّد وتأمّل في ذلك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ظهر منه</w:t>
      </w:r>
    </w:p>
    <w:p>
      <w:pPr>
        <w:pStyle w:val="BookText"/>
        <w:rPr/>
      </w:pPr>
      <w:r>
        <w:rPr>
          <w:rFonts w:ascii="Amiri" w:hAnsi="Amiri" w:eastAsia="Amiri" w:cs="Amiri"/>
          <w:color w:val="111111"/>
          <w:sz w:val="28"/>
          <w:sz w:val="28"/>
          <w:szCs w:val="28"/>
          <w:rtl w:val="true"/>
          <w:lang w:bidi="ar-SA"/>
        </w:rPr>
        <w:t>التفصيل بين العبادات والمعاملات، فاعتبر النوعي في الثاني، دون الأوّل</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ظاهر الروايات وكلمات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الضرر الشخصي، وقد استدلّ على ذلك بعدّة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في انحلالية الأحكام الشرعية وكونها على نهج القضايا الحقيقية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وجوده تابع لموضوعه، فكلّما تحقّق الموضوع تحقّق الحكم، فهما بمثابة العلّة والمعلول،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الضرر الشخصي تحقّق نفي الحكم، إلاّ إذا قامت قرينة على كون الضرر المأخوذ في الموضوع نوعياً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امتنانية القاعدة في نفي الأحكام الضررية هو كون الضرر شخصياً؛ حيث إنّ ضرر شخصٍ غير مرتبط بضرر الآخرين، فإذا صدق الضرر في حقّ شخص فمقتضى الامتنان هو رفعه عنه، سواء صدق عليه عنوان الضرر بالنسبة لنوع الأشخاص أو لم يصدق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ظاهر الروايات الواردة في نفي الحكم الضرري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باب الوضوء والغسل والصوم وغير ذلك من موارد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ملاحظة الضرر الشخصي لا النوعي، كما أنّ الفقهاء قد طبّقوا القاعدة في الموارد التي يكون الضرر فيها شخصياً، دون النوعي، فلذا ذكروا بأنّه إذا توقّف الوضوء على شراء الماء أو اقتراضه وجب ولو بأضعاف العوض ما لم يضرّ بحاله، وأمّا إذا كان مضرّاً بحاله فلا، وليس ذلك إلاّ لملاحظة الضرر الشخصي لا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كان في الوجه الثاني كلام، وقد تقدّم، لكنّ الظاهر أنّ هذه الأدلّة تامّة من حيث المجموع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بين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الفقهاء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الغبن والشفعة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الضرر النوعي، ولذلك حكموا بشرعية خيار الغبن؛ نظراً إلى ملاحظة نوع البيع المغبون فيه، وإن فرض عدم تضرّره في مقامٍ، كما إذا لم يوجد راغبٌ في المبيع وكان بقاؤه ضرراً على البائع لكونه في معرض الإباق أو التلف أو الغصب، هذا بالنسبة للبائع، وكذلك بالنسبة للمشتري فيما لو ارتفعت قيمة المتاع بعد البيع، فحينئذٍ لا ضرر على المشتري، وكذلك في الشفعة فيما لو كان في البين شركاء وأمثال ذلك؛ فإنّه لا شفعة مع وجود الضرر، فالنسبة بينهما عموم من وجه كما هو واضح، وكما إذا لم يترتّب على ترك الشفعة ضرر على الشفيع، بل كان له فيه نفع، ففي جميع هذه الموارد لا يكون الضرر مطّرداً، ومع ذلك يكون الحكم ثابتاً، وبذلك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هو الضرر النوعي لا الشخصي، وهذا </w:t>
      </w:r>
      <w:bookmarkStart w:id="131" w:name="pg8595_75619"/>
    </w:p>
    <w:p>
      <w:pPr>
        <w:pStyle w:val="BookText"/>
        <w:rPr/>
      </w:pPr>
      <w:bookmarkEnd w:id="131"/>
      <w:r>
        <w:rPr>
          <w:rFonts w:ascii="Amiri" w:hAnsi="Amiri" w:eastAsia="Amiri" w:cs="Amiri"/>
          <w:color w:val="111111"/>
          <w:sz w:val="28"/>
          <w:sz w:val="28"/>
          <w:szCs w:val="28"/>
          <w:rtl w:val="true"/>
          <w:lang w:bidi="ar-SA"/>
        </w:rPr>
        <w:t>بخلاف العبادات فإنّها مطّردة، فيكون المعتبر فيها هو الضرر الشخصي</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أدلّة خيار الغبن وحقّ الشفعة غير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أجنبية عنها، وقد تقدّم الكلام في التعليل بلا ضرر بالنسبة إلى الشفعة والغبن وأمثال ذلك،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ثابتة بالأدلّة الخاصّة، وإنّها لا تتوقّف على القاعدة، بل تكون القاعدة مؤيّدة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هذين الموردين خرجنا عن عموم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هذا الجواب نظر؛ حيث إنّ هذا لا يصحّ فيما إذا كان لزوم الضرر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ينفع فيما لو كان الضرر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استفدنا في هذه الموارد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هو الضرر النوعي، فيلزم تخصيص القاعدة في الموردين، ويصحّ كلام الشيخ على نحو الإطلاق</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770920_653776707"/>
      <w:bookmarkStart w:id="133" w:name="_Toc47"/>
      <w:bookmarkEnd w:id="132"/>
      <w:r>
        <w:rPr>
          <w:rtl w:val="true"/>
        </w:rPr>
        <w:t>التنبيه السادس</w:t>
      </w:r>
      <w:r>
        <w:rPr>
          <w:rtl w:val="true"/>
        </w:rPr>
        <w:t xml:space="preserve">: </w:t>
      </w:r>
      <w:r>
        <w:rPr>
          <w:rtl w:val="true"/>
        </w:rPr>
        <w:t>هل تشمل القاعدة الضرر الاختياري وغير الاختياري؟</w:t>
      </w:r>
      <w:bookmarkEnd w:id="13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تحقّق موضوع الضرر قهرياً وبلا اختيار من المكلّف، وأمّا إذا كان تحقّقه بيد المكلّف واختياره، كما لو شرب دواءً يوجب عدم تمكّنه من الصوم، أو الصلاة قائماً، أو الحجّ مباشرة، </w:t>
      </w:r>
    </w:p>
    <w:p>
      <w:pPr>
        <w:pStyle w:val="BookText"/>
        <w:rPr/>
      </w:pPr>
      <w:r>
        <w:rPr>
          <w:rFonts w:ascii="Amiri" w:hAnsi="Amiri" w:eastAsia="Amiri" w:cs="Amiri"/>
          <w:color w:val="111111"/>
          <w:sz w:val="28"/>
          <w:sz w:val="28"/>
          <w:szCs w:val="28"/>
          <w:rtl w:val="true"/>
          <w:lang w:bidi="ar-SA"/>
        </w:rPr>
        <w:t>أو غير ذلك، فهل تجري القاعدة في هذه الموارد أو لا؟</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الأنصاري</w:t>
      </w:r>
      <w:r>
        <w:rPr>
          <w:rStyle w:val="FootnoteAnchor"/>
          <w:rtl w:val="true"/>
        </w:rPr>
        <w:footnoteReference w:id="35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 بلا فرق بين كون عمله مباحاً وجائزاً شرعاً، وبين كونه محرّماً، كما لو أجنب نفسه مع العلم بتضرّره بالغسل؛ وذلك لأنّ الحكم تابع لموضوعه، فكلما تحقّق الموضوع ترتّب عليه الحكم، فإنّهما بمثابة العلّة والمعلول، فسواء وجد الموضوع باختيار المكلّف كتبديل السفر بالحضر، أو بالعكس كوجوب الصلاة تماماً، أو الصوم، في الحكم بالقصر ووجوب الإفطار عليه، أو بلا اختيار منه كما في الأمثلة المتقدّمة، وسواء كان هناك مسوّغ شرعي أو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كان ذلك مستلزماً لتفويت مقدار معتدّ به من المصالح والملاكات الموجودة في الأحكام والموضوعات الأوّلية فمع العلم بذلك يوجب كون العمل محرّماً، ولكنّ هذا لا يوجب عدم جواز تبديل الموضوع وعدم ترتّب الحكم، وهو نفي الموضوع، إلاّ أن يقوم دليل خاص على ذلك، كما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بثبوته في وجوب ردّ الغاصب المال المغصوب إلى صاحبه وإن كان ذلك موجباً لتضرّره، وإن كان الغاصب هو السبب لتحقّق موضوع الضرر عليه، ومع ذلك فالقاعدة لا تجري في حقّه؛ وذلك لما ورد في معتبرة عبد العزيز بن محمّد الدراوردي المشهورة،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 أرضاً بغير حقّها وبنى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يرفع بناؤه، وتسلّم التربة إلى صاحبها، ليس لعرق ظالم </w:t>
      </w:r>
      <w:bookmarkStart w:id="134" w:name="pg8595_75621"/>
    </w:p>
    <w:p>
      <w:pPr>
        <w:pStyle w:val="BookText"/>
        <w:rPr/>
      </w:pPr>
      <w:bookmarkEnd w:id="134"/>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الغاصب بما أنّه ظالم لا يلاحظ الضرر الوارد عليه، ولذلك يجبر بقلع كلّ شيء بناه على المال المغصوب وإن كان ذلك موجباً لتضرّره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القول بعدم اعتبار الرواية المذكورة لعدم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يتعارض الضرران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الغاصب الناشئ من رفع بنائه عن المال المغصوب وردّه إلى صاحبه، وضرر المغصوب الناشئ من بقاء المال تحت الغاصب واستمرار يده عليه الموجب لضرر المال، فحينئذٍ يقدّم ضرر الغاصب؛ لأنّه ظالم، ولا يستحقّ الإرفاق والمنّة، وهذا بخلاف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عدم القول بالترجيح والتساقط، لابدّ حينئذٍ من الرجوع إلى العمومات التي مقتضاها حرمة الإضرار بالغير،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الغاصب ردّ المال إلى صاحبه وإن تضرّر بإرجاعه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770922_653776707"/>
      <w:bookmarkStart w:id="136" w:name="_Toc48"/>
      <w:bookmarkEnd w:id="135"/>
      <w:r>
        <w:rPr>
          <w:rtl w:val="true"/>
        </w:rPr>
        <w:t>التنبيه السابع</w:t>
      </w:r>
      <w:r>
        <w:rPr>
          <w:rtl w:val="true"/>
        </w:rPr>
        <w:t xml:space="preserve">: </w:t>
      </w:r>
      <w:r>
        <w:rPr>
          <w:rtl w:val="true"/>
        </w:rPr>
        <w:t>نسبة دليل لا ضرر مع أدلّة أحكام العناوين الثانوية</w:t>
      </w:r>
      <w:r>
        <w:rPr>
          <w:rtl w:val="true"/>
        </w:rPr>
        <w:t>:</w:t>
      </w:r>
      <w:bookmarkEnd w:id="136"/>
    </w:p>
    <w:p>
      <w:pPr>
        <w:pStyle w:val="BookText"/>
        <w:rPr/>
      </w:pPr>
      <w:r>
        <w:rPr>
          <w:rFonts w:ascii="Amiri" w:hAnsi="Amiri" w:eastAsia="Amiri" w:cs="Amiri"/>
          <w:color w:val="111111"/>
          <w:sz w:val="28"/>
          <w:sz w:val="28"/>
          <w:szCs w:val="28"/>
          <w:rtl w:val="true"/>
          <w:lang w:bidi="ar-SA"/>
        </w:rPr>
        <w:t xml:space="preserve">إنّ النسبة بين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أدلّة أحكام العناوين الثانوية على أقسام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فتارة تكون بين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ثانوي آخر، كأدلّة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وأخرى تكون بين ضررين، وعلى التقدير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الدوران بين ضررين بالنسبة لشخص واحد، إمّا على نفسه، أو على غيره، وأخرى يكون </w:t>
      </w:r>
    </w:p>
    <w:p>
      <w:pPr>
        <w:pStyle w:val="BookText"/>
        <w:rPr/>
      </w:pPr>
      <w:r>
        <w:rPr>
          <w:rFonts w:ascii="Amiri" w:hAnsi="Amiri" w:eastAsia="Amiri" w:cs="Amiri"/>
          <w:color w:val="111111"/>
          <w:sz w:val="28"/>
          <w:sz w:val="28"/>
          <w:szCs w:val="28"/>
          <w:rtl w:val="true"/>
          <w:lang w:bidi="ar-SA"/>
        </w:rPr>
        <w:t>الدوران بين ضررين بالنسبة 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الدوران بين ضرر نفسه وضرر غيره بسبب أحدهما، وأخرى يكون الدوران بين ضرر نفسه وضرر غيره بسبب شخص أجنبي، وثالثة يكون الضرر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فمجموع هذه الأقسام خمسة، والكلام يقع في بيان حكمها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في بيان موضوعه، وأخرى في بيان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موضوعه؛ فقد يعبّر عنه بالدوران بين الحكمين الثانويين، كالدوران بين دليلي نفي الضرر ونفي العسر، وقد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كلمات المحقّق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بتوارد دليلي العارضين، كدليل نفي العسر ودليل نفي الضرر مثلاً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والفارق بين التعبيرين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الذي رتّب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واقعياً، وهو نفس أفعال المكلّفين، والحكم مترتّب وعارض عليها بدون توسّط عنوان آخر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يكون عارضاً على أفعال المكلّفين، ولكن بتوسّط عنوان آخر، </w:t>
      </w:r>
    </w:p>
    <w:p>
      <w:pPr>
        <w:pStyle w:val="BookText"/>
        <w:rPr/>
      </w:pPr>
      <w:r>
        <w:rPr>
          <w:rFonts w:ascii="Amiri" w:hAnsi="Amiri" w:eastAsia="Amiri" w:cs="Amiri"/>
          <w:color w:val="111111"/>
          <w:sz w:val="28"/>
          <w:sz w:val="28"/>
          <w:szCs w:val="28"/>
          <w:rtl w:val="true"/>
          <w:lang w:bidi="ar-SA"/>
        </w:rPr>
        <w:t>كالمنذورية والمشروطية مثلاً، فإنّ النذر والشرط قد تعلّق بالأفعال بواسطة العناوين الأوّلية، كالوضوء والصلاة والحج وغيرها، والتي غالباً ما تكون راجحة في نظر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يكون الحكم مترتّباً على العنوان الواقعي، لكن ليس في جميع الأحوال، بل في بعضها، كالعسر والحرج، والضرر العارض على أفعال المكلّفين مباشرة من دون دخل عنوان آخر، فنفس استعمال الماء يكون ضررياً أو حرجياً، سواء كان بعنوان الوضوء أو لا، فالأوّل يصطلح عليه بالحكم الأوّلي، والثاني بالحكم الثانوي، والثالث بالحكم العارضي، وقد ورد في كلام صاحب الكفاية كلا التعبيرين، فقد عبّر تارة بالحكمين الثانويين، وأخرى بالحكمين العارضين ولم يذكر شيئاً،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نفياً للحكم بدون النظر إلى الموضوع فهو من العارض، وإذا كان المنفي هو الموضوع فيكون من الحكم الثانوي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تقدّم دليل الحكم العارضي والثانوي على أدلّة الأحكام الأوّلية وإن كانت جهة التقدّم مختلفة فيها، ولذلك قد يعبّر عنه تارة بالثانوي، وأخرى بالعارضي، كما في المقام، إلاّ إنّه لا يهمّنا بيان هذه الجهة؛ لأنّها خارجة عن محلّ البحث، كما أنّه لايعنينا تشخيص هويّة المتقدّم، ومن أيّ القسمين هو، وإن كان يقوى في النظر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الثانوي والعارضي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الأحكام الثانوية الناظرة والمترتّبة على موضوعات أدلّة الأحكام الأوّلية ولو بنحو الإجمال كما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موضوعهما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بناءً على مسلك المحقّق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بناءً على مسلك الشيخ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كون النفي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الحكم العارضي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حكمه؛ فالظاهر من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القسم من باب التزاحم؛ لثبوت المقتضي في كلا الحكمين غالباً، فلابدّ حينئذٍ من تقديم الأهمّ، أو محتمل الأهمّية، والتخيير مع عدم إحراز أهمّية الملاك أو احتماله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بين وقوعه في الحرج وبين الضرر على آخر، فلابدّ حينئذٍ من ملاحظة الأهمّ، أو محتمل الأهمّية، ومع عدم إحرازه فالتخيير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تقديم دليل نفي الحرج على دليل نفي الضرر ولم يذكر وجهه، أو العكس كما قيل؛ لأنّ كلّ ضرر حرجي ولا عكس، فلو قدّم دليل نفي الحرج لما بقي مورد لدليل نفي الضرر، لم يثبت ذلك، وبما أنّ هذا البحث لم ينقّح في الأصول فلابدّ من التنقيح أكثر من ذلك، 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صاحب الكفاية هو الأقوى؛ حيث إنّهما في مرتبة واحدة، وإنّ حكمهما حكم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الدوران بين الضررين على شخص واحد، إمّا على نفسه، أو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فصوره ثلاث</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أمره بين ضررين مباحين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أمره بين ضررين مختلفين، كما لو كان أحدهما مباحاً والآخر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أمره بين ضررين محرّمين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فإذا كان الضرر على نفسه فلا إشكال في جواز اختيار أيّهما شاء بلا محذور، كما لو كان الضرران على المال أو على النفس بناءً على عدم حرمة الإضرار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أحدهما أهمّ في نظر الشارع، فلابدّ من ارتكاب غير الأهمّ، هذا بالنسبة إلى نفسه، وأمّا بالنسبة لغيره فمن جهة التكليف يكون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الحكم الوضعي، فهل يكون موجباً للضمان أو لا؟</w:t>
      </w:r>
    </w:p>
    <w:p>
      <w:pPr>
        <w:pStyle w:val="BookText"/>
        <w:rPr/>
      </w:pPr>
      <w:r>
        <w:rPr>
          <w:rFonts w:ascii="Amiri" w:hAnsi="Amiri" w:eastAsia="Amiri" w:cs="Amiri"/>
          <w:color w:val="111111"/>
          <w:sz w:val="28"/>
          <w:sz w:val="28"/>
          <w:szCs w:val="28"/>
          <w:rtl w:val="true"/>
          <w:lang w:bidi="ar-SA"/>
        </w:rPr>
        <w:t>الظاهر هو الضمان؛ لأنّ جواز التصرّف لا يبرّر عدم الضمان في إتلاف مال الغير، فإنّه يجوز أكل مال الغير في المخمصة والاضطرار، ومع ذلك يثبت الضمان في ذمّته، إلاّ أن يقوم دليل على عدم الضمان، فلا إشكال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فمن جهة الحكم التكليفي لا ريب في لزوم ارتكاب المباح دون الحرام، ومن جهة الحكم الوضعي فقد 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حاله ممّا تقدّم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الثالثة؛ فيندرجان في باب التزاحم؛ لوجود المقتضي في كلّ منهما في نفسه مع قطع النظر عن الآخر، ومن جهة الحكم التكليفي ينبغي عليه أن يختار أقلّهما ضرراً، والاحتراز عن أشدّهما وأقواهما ضرراً، بل الاحتراز عمّا هو محتمل الأهمّية، ومع العلم بالتساوي أو احتمال أهمّية كلّ منهما فهو </w:t>
      </w:r>
    </w:p>
    <w:p>
      <w:pPr>
        <w:pStyle w:val="BookText"/>
        <w:rPr/>
      </w:pPr>
      <w:r>
        <w:rPr>
          <w:rFonts w:ascii="Amiri" w:hAnsi="Amiri" w:eastAsia="Amiri" w:cs="Amiri"/>
          <w:color w:val="111111"/>
          <w:sz w:val="28"/>
          <w:sz w:val="28"/>
          <w:szCs w:val="28"/>
          <w:rtl w:val="true"/>
          <w:lang w:bidi="ar-SA"/>
        </w:rPr>
        <w:t>مخيّر في ارتكاب أحدهما، أو الرجوع إلى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الضمان إذا كان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تقدّم فيما إذا اختار الأقل، سواء كان سبب الضرر هو أو شخص أجنبي، وأمّا إذا كان الأجنبي سبب الضرر واختار الأشدّ ضرراً، أو اختار الضرر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الصورة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هل يكون الأجنبي ضامناً لتمام</w:t>
      </w:r>
    </w:p>
    <w:p>
      <w:pPr>
        <w:pStyle w:val="BookText"/>
        <w:rPr/>
      </w:pPr>
      <w:r>
        <w:rPr>
          <w:rFonts w:ascii="Amiri" w:hAnsi="Amiri" w:eastAsia="Amiri" w:cs="Amiri"/>
          <w:color w:val="111111"/>
          <w:sz w:val="28"/>
          <w:sz w:val="28"/>
          <w:szCs w:val="28"/>
          <w:rtl w:val="true"/>
          <w:lang w:bidi="ar-SA"/>
        </w:rPr>
        <w:t>القيمة، أو مقدار الجامع دون الزائد، أو هي تمامها على المضطرّ؟ وجوه، قد ذكرها بعض السادة الأجلاّء، واختار الأخير منها في صورة العلم بذلك دون الجهل بالحرمة أو بالأشد والأكثر ضرراً؛ لقاعدة متمّم الجعل التطبيقي، كما يأتي بيانها إن شاء الله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القسم الثالث؛ وهو عكس المسألة الثانية، ومثاله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رأس الدابّة في قدر يملكه غير مالك الدابّة، ولم يمكن التخلّص إلاّ مع تلف أحدهما، فيتوجّه الضرر إلى مالكي الدابّة والقدر معاً؛ وذلك لأنّ تخليص الدابّة منوط بكسر القدر، كما أنّ تخليص القدر منوط أيضاً بذبح الدابّة، وقد ذكرت لهذا القسم صور ثلاث؛ لأنّ منشأ الضرر 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أحد المالكين، وأخرى يكون غير المالكين، وثالثة يكون آفة سماوية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منشأ الضرر وسببه أحد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فحكمها وجوب إتلاف ماله وتخليص مال الآخر؛ لأنّه تصرّف في مال الغير بلا </w:t>
      </w:r>
    </w:p>
    <w:p>
      <w:pPr>
        <w:pStyle w:val="BookText"/>
        <w:rPr/>
      </w:pPr>
      <w:r>
        <w:rPr>
          <w:rFonts w:ascii="Amiri" w:hAnsi="Amiri" w:eastAsia="Amiri" w:cs="Amiri"/>
          <w:color w:val="111111"/>
          <w:sz w:val="28"/>
          <w:sz w:val="28"/>
          <w:szCs w:val="28"/>
          <w:rtl w:val="true"/>
          <w:lang w:bidi="ar-SA"/>
        </w:rPr>
        <w:t>إذنه، ولذلك يضمن له ماله، إمّا لقاعدة اليد فيما إذا كان المال تحت يده، أو لقاعدة جعله في موضع التلف والعيب، فحينئذ لا يجوز إتلاف مال الغير ودفع قيمته أو مثله مع التمكّن من ردّ العين؛ فإنّ دفع القيمة فرع اشتغال الذمّة بها، ومع وجود العين لا معنى لاشتغال الذمّة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تثبت أهمّية أحدهما عند الشارع بحيث لا يرضى الشارع به، كما إذا أدخل رأس عبده في القدر؛ لعدم جواز قتل العبد وإبقاء القدر، كما لا يلاحظ أقلّ الضررين قيمةً، فلا إشكال في وجوب كسر القدر وردّ مثله أو قيمته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بعض السادة الأجلاّء إلى أنّ مالك المال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يأذن بإيقاع الضرر المادّي على ماله ولو بشرط الضمان، أو لا يأذن له في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يلحق هذا الفرع من ناحية الحكم التكليفي بالصورة الأولى، وهي ما إذا كان الضرر يدور بين مالين لشخص واحد، ولابدّ من ملاحظة أنّ إتلاف كلّ من المالين هل هو في نفسه عمل مباح فيتخيّر، أو أنّ إتلاف أحدهما مباح والآخر حرام ولو من جهة صدق الإسراف ونحوه، فيتعيّن اختيار المباح، أو أنّ إتلاف كلّ منهما محرّم، فيجوز ارتكاب المضطرّ إليه منهما، وهو في المتساويين ما اختاره المضطرّ، وفي المختلفين ما كان أخفّ محتملاً، وأضعف احتمالاً، كما سبق بيانه؟ </w:t>
      </w:r>
    </w:p>
    <w:p>
      <w:pPr>
        <w:pStyle w:val="BookText"/>
        <w:rPr/>
      </w:pPr>
      <w:r>
        <w:rPr>
          <w:rFonts w:ascii="Amiri" w:hAnsi="Amiri" w:eastAsia="Amiri" w:cs="Amiri"/>
          <w:color w:val="111111"/>
          <w:sz w:val="28"/>
          <w:sz w:val="28"/>
          <w:szCs w:val="28"/>
          <w:rtl w:val="true"/>
          <w:lang w:bidi="ar-SA"/>
        </w:rPr>
        <w:t>وعلى الثاني؛ حيث لا يأذن مالك المال الآخر بإيقاع الضرر على ماله ويطالب بدفع النقيصة الحاصلة من الحالة الطارئة على ماله بسبب محلّ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إيقاع الضرر على مال نفسه مباحاً، فلابدّ من إيقاع الضرر عليه دون مال الغير؛ وذلك لا من جهة قاعدة اليد، فإنّه ربّما لا يكون تحت يده، بل مقدّمة لدفع العيب الطارئ على مال الآخر، ولا يجوز إيقاع الضرر بمال الغير؛ لأنّه تصرّف في مال الغير بغير إذنه، وأمّا إذا كان الضرر على مال نفسه محرّماً، فيندرج في باب تزاحم الحكمين، ويلحقه أحكام هذا الباب</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المختلفين يلاحظ ما كان أخفّ محتملاً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بمعنى أقلّ قيمة أو حرمة، ففيما هو أقلّ قيمة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المضطرّ هو السبب، فكيف يجب عليه إيقاع الضرر على الغير إن كان الضرر على ماله أخفّ؟ بل الظاهر أنّه لابدّ من إيقاع الضرر على ماله دون مال الغير، أو أنّه مخيّر، وكذلك يأتي الإشكال فيما إذا لم يأذن وكان الضرر على ماله محرّماً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سبب الضرر بفعل شخص ثالث غير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يظهر من المحقّق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أقلّ الضررين، ومع التساوي التخيير بينهما</w:t>
      </w:r>
      <w:r>
        <w:rPr>
          <w:rStyle w:val="FootnoteAnchor"/>
          <w:rtl w:val="true"/>
        </w:rPr>
        <w:footnoteReference w:id="355"/>
      </w:r>
      <w:r>
        <w:rPr>
          <w:rFonts w:ascii="Amiri" w:hAnsi="Amiri" w:eastAsia="Amiri" w:cs="Amiri"/>
          <w:color w:val="111111"/>
          <w:sz w:val="28"/>
          <w:sz w:val="28"/>
          <w:szCs w:val="28"/>
          <w:rtl w:val="true"/>
          <w:lang w:bidi="ar-SA"/>
        </w:rPr>
        <w:t>، كما عن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بالتخيير في إتلاف مال </w:t>
      </w:r>
    </w:p>
    <w:p>
      <w:pPr>
        <w:pStyle w:val="BookText"/>
        <w:rPr/>
      </w:pPr>
      <w:r>
        <w:rPr>
          <w:rFonts w:ascii="Amiri" w:hAnsi="Amiri" w:eastAsia="Amiri" w:cs="Amiri"/>
          <w:color w:val="111111"/>
          <w:sz w:val="28"/>
          <w:sz w:val="28"/>
          <w:szCs w:val="28"/>
          <w:rtl w:val="true"/>
          <w:lang w:bidi="ar-SA"/>
        </w:rPr>
        <w:t>أيّهما يشاء أيضاً</w:t>
      </w:r>
      <w:r>
        <w:rPr>
          <w:rStyle w:val="FootnoteAnchor"/>
          <w:rtl w:val="true"/>
        </w:rPr>
        <w:footnoteReference w:id="356"/>
      </w:r>
      <w:r>
        <w:rPr>
          <w:rFonts w:ascii="Amiri" w:hAnsi="Amiri" w:eastAsia="Amiri" w:cs="Amiri"/>
          <w:color w:val="111111"/>
          <w:sz w:val="28"/>
          <w:sz w:val="28"/>
          <w:szCs w:val="28"/>
          <w:rtl w:val="true"/>
          <w:lang w:bidi="ar-SA"/>
        </w:rPr>
        <w:t>، ولكن عن بعض السادة 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ذلك، بأنّ الظاهر ولو بحكم العقل استئذان كلّ من المالكين في التصرّف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أذن أحدهما دون الآخر فيتعيّن إيقاع الضرر على ماله، وإن كانت إباحته مشروطة بإعطاء قيمته أو مثله أو الأرش، فلابدّ من بذله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أذن كلّ منهما، فلا مانع من هذه الجهة في إيقاع الضرر على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يأذن له كلّ منهما وطالبه برفع الحالة الطارئة الموجبة لنقص ماله فلا محالة يقع النزاع بينهما وبين الأجنبي، فيرجع في حلّ النزاع إلى الحاكم الشرعي، وهو يرجع في الأمر بإيقاع الضرر على أحدهما إلى القرعة؛ لأنّها مرجع عقلائي عند تزاحم الحقوق إن لم يكن مرجّح في البين، كما هو المفروض، لأنّ كلاًّ من الشخصين يريد إرجاع نفس ماله إليه، ولا يريد إيقاع الضرر وإتلافه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بالتخيير للجاني في إيقاع الضرر على مال كلّ منهما أراد وضمانه، فليس له وجه يعتمد عليه، وربّما يكون له غرض خاص في إتلاف مال أحد المالكين، كما إذا كانت البقرة حلوباً وتعلّق غرض شخصي منه بذبحها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التفصيل وجيه، ولعلّ مراد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الأخيرة؛ فإنّ 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المالكين لا يرضيان بإتلاف </w:t>
      </w:r>
    </w:p>
    <w:p>
      <w:pPr>
        <w:pStyle w:val="BookText"/>
        <w:rPr/>
      </w:pPr>
      <w:r>
        <w:rPr>
          <w:rFonts w:ascii="Amiri" w:hAnsi="Amiri" w:eastAsia="Amiri" w:cs="Amiri"/>
          <w:color w:val="111111"/>
          <w:sz w:val="28"/>
          <w:sz w:val="28"/>
          <w:szCs w:val="28"/>
          <w:rtl w:val="true"/>
          <w:lang w:bidi="ar-SA"/>
        </w:rPr>
        <w:t>مالهما، ولكن هنا لابدّ من الرجوع إلى الحاكم الشرعي وهو يعيّن له ذلك، أو يختار الأجنبي إيقاع الضرر على أحدهما، وهو أخفّهما إذا كان، ومع التساوي القرعة، وهذا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الحكم الوضعي؛ فقد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الضمان لا يترتّب على الجامع بين الضررين، ولا على غير المعيّن، بل على أحدهما المعيّن، ولكن في مثل هذه الموارد التي طرأ الإبهام على موضوع الحكم أو متعلّقه تدعو الحاجة لأجل بيانه ورفع الإبهام عنه إلى جعل واعتبار آخر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متمّم الجعل التطبيقي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طبّقه الفقهاء كثيراً على موارد متعدّدة من المباحث الأصولية والفقهية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قاعدة الاضطرار، فقد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اضطرّ إليه ابن آدم فقد أحلّه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فرضنا اضطرار المكلّف إلى أحد المحرّمين، فحينئذٍ نحتاج إلى متمّم الجعل التطبيقي؛ وذلك لأنّ ارتكاب كلا الأمرين معاً غير جائز، لعدم رفع الحرمة عنهما معاً، وارتكاب الجامع بينهما غير مقدور؛ لكونه غير موجود في الخارج، فمن هنا لابدّ من متمّم الجعل التطبيقي لتعيين المضطرّ إليه ليتيسّر رفع حرمته بقاعدة الاضطرار،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أحد الضررين مزيّة ورجحان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أو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فينطبق عليه المهمّ، وهو أحد الأمرين، فيؤخذ به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كانا متساويين، فلابدّ من القول بالتخيير، أو القرعة، أو الرجوع إلى الحاكم الشرعي، وفي هذا المورد إذا كان ارتكاب المضطرّ إليه موجباً </w:t>
      </w:r>
    </w:p>
    <w:p>
      <w:pPr>
        <w:pStyle w:val="BookText"/>
        <w:rPr/>
      </w:pPr>
      <w:r>
        <w:rPr>
          <w:rFonts w:ascii="Amiri" w:hAnsi="Amiri" w:eastAsia="Amiri" w:cs="Amiri"/>
          <w:color w:val="111111"/>
          <w:sz w:val="28"/>
          <w:sz w:val="28"/>
          <w:szCs w:val="28"/>
          <w:rtl w:val="true"/>
          <w:lang w:bidi="ar-SA"/>
        </w:rPr>
        <w:t>للضمان فلا يضمن كلا الأمرين معاً، كما لا يضمن أحدهما بنحو الجامع؛ وذلك لعدم تشخّصه في الخارج، فلذا لابدّ أن يكون متعلّق الضمان معلوماً، ولذلك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الضمان وتطبيقه على أحد الضررين يحتاج إلى متمّم الجعل التطبيقي، سواء كان في التكليف، أو في الضمان، كما هو مقتضى حكم العقلاء، وهذا ما اصطلحوا عليه بموارد التخيير العقلي، ومقامنا يندرج تحت هذه القاعدة أيضاً؛ فإنّه إذا كان أحد الضررين المتوجّه لأحدهما أقلّ ضرراً من الآخر، فلابدّ من ارتكابه، لأنّ الفرض أنّ الضرر المتوجّه إليه أحد أمرين، فتطبيقاً لقاعدة متمّم الجعل هو الأقلّ، وأمّا إذا كانا متساويين، أو لم يكن التفاوت مورداً لاعتناء العقلاء ويتسامح فيه العرف، فالتخيير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وتوضيحاً لكلامه دام بقاه،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قاعدة متمّم الجعل التطبيقي في القسم الثاني، وهو ما إذا دار أمر شخص بين ضررين، وكان منشأ ذلك بفعل شخص أجنبي، فقد اختار وجوب ارتكاب الأضعف محتملاً، أو احتمالاً،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الضرران مختلفين وارتكب المضطرّ الأكثر والأشدّ، فهل يكون الضمان على الأجنبي، أو على المضطرّ؟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الضمان على الأجنبي؛ لأنّه المسبّب للضرر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الأجنبي مقدار الجامع بين الضررين، والمقدار الزائد على المضطرّ؛ لارتكابه بسوء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المضطرّ عالماً بأشدّية أحد الضررين على الآخر فارتكبه، فالضمان عليه دون الأجنبي؛ لأنّه ليس سبباً لهذا الضرر أصلاً، بل كان هذا باختيار المضطرّ؛ وذلك لقاعدة متمّم الجعل التطبيقي، كما فسّرناه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في القسم الثالث، وهو ما إذا دار أمر الضررين بين شخصين، فالظاهر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الصورة الأولى منه، وهي ما إذا كان سبب الضرر أحد المالكين، وكذلك إذا كان شخصاً أجنبياً، سواء كان الضرران مباحين أو محرّمين، فإنّه لابدّ من إعمال المرجّح الطبيعي، وهو الأقلّ قيمة أو حكماً، وعلى فرض التساوي فالقرعة، صرح به في الثاني، وأشار إليه في الأوّل، فعلى ذلك إذا ارتكب المضطرّ في جميع هذه الصور الأكثر والأشدّ فيحكم عليه بالضمان، وليس على المسبّب شيئاً، وتمسّك في ذلك بقاعدة متمّم الجعل التطبيقي</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هو القول بأنّ الضمان الزائد يكون على المرتكب المضطرّ، وضمان الباقي على الأجنبي؛ لكونه هو المسبّب للضرر، وذلك لأنّ القول بكون تمام الضمان على المضطرّ دون الأجنبي بعيد، وعلى خلاف الذوق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التي عبّر عنها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الجعل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تامّة؛ وذلك لأنّ انطباق الكلّي والجامع على كلا الفردين أو الأفراد أمر قهري وجداني، والقول بانطباقه على فرد خاصّ كالأهمّ أو الأخفّ نقض لكلّيته </w:t>
      </w:r>
    </w:p>
    <w:p>
      <w:pPr>
        <w:pStyle w:val="BookText"/>
        <w:rPr/>
      </w:pPr>
      <w:r>
        <w:rPr>
          <w:rFonts w:ascii="Amiri" w:hAnsi="Amiri" w:eastAsia="Amiri" w:cs="Amiri"/>
          <w:color w:val="111111"/>
          <w:sz w:val="28"/>
          <w:sz w:val="28"/>
          <w:szCs w:val="28"/>
          <w:rtl w:val="true"/>
          <w:lang w:bidi="ar-SA"/>
        </w:rPr>
        <w:t xml:space="preserve">وصلاحيته في كونه جامعاً، وعلى هذا لا يحتاج الانطباق إلى قاعدة متمّم الجعل التطبيقي أصلاً؛ لأنّ كلّ فرد من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الاضطرار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عنوان المضطرّ إليه، كما هو كذلك أيضاً في صورة إنقاذ أحد الغريقين، 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هو ثابت شرعاً في المقام هي قاعدة التطبيق العملي والامتثالي،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يجعل قاعدة في بعض الموارد، كما هو المستفاد من الخطابات الشرعية صريحاً أو تلويحاً ومذاقاً،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يرضى بارتكاب المهمّ مع وجود الأهمّ في الواجبات، أو العكس في المحرّمات عند الاضطرار إليها، وهذا أمر آخر لا ربط له بالانطباق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الانطباق في المقام يتحقّق بارتكاب أحد الأمرين، سواء كان هو الأخفّ، أم الأشدّ، ويصدق أنّ الأجنبي هو السبب في الضرر، فحينئذٍ مقتضى القاعدة هو كون الضمان على الأجنبي، ولكن حيث إنّ المقدار الزائد على الأقلّ وقع بسوء اختيار المضطرّ ولم يرخّص فيه الشارع فيكون الضمان عليه دون الأجنبي، كما هو مقتضى ما ذكرناه من قاعدة التطبيق العملي والامتثالي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بقاه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دار الضرران على شخص واحد، وكان سببه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ثلاثة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يكونا مباحين، وأخرى مختلفين، وثالثة محرّمين،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يتصوّر أن يكون الضرران مباحين أو مختلفين مع أنّه ضرر في مال الغير، وهو محرّم دائماً؟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يجري أيضاً فيما فرضه في القسم الثالث،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يتصوّر الضرر </w:t>
      </w:r>
    </w:p>
    <w:p>
      <w:pPr>
        <w:pStyle w:val="BookText"/>
        <w:rPr/>
      </w:pPr>
      <w:r>
        <w:rPr>
          <w:rFonts w:ascii="Amiri" w:hAnsi="Amiri" w:eastAsia="Amiri" w:cs="Amiri"/>
          <w:color w:val="111111"/>
          <w:sz w:val="28"/>
          <w:sz w:val="28"/>
          <w:szCs w:val="28"/>
          <w:rtl w:val="true"/>
          <w:lang w:bidi="ar-SA"/>
        </w:rPr>
        <w:t>على شخصين بسبب الأجنبي مع كونهما مباحين أو مختلفين؟</w:t>
      </w:r>
    </w:p>
    <w:p>
      <w:pPr>
        <w:pStyle w:val="BookText"/>
        <w:rPr/>
      </w:pPr>
      <w:r>
        <w:rPr>
          <w:rFonts w:ascii="Amiri" w:hAnsi="Amiri" w:eastAsia="Amiri" w:cs="Amiri"/>
          <w:color w:val="111111"/>
          <w:sz w:val="28"/>
          <w:sz w:val="28"/>
          <w:szCs w:val="28"/>
          <w:rtl w:val="true"/>
          <w:lang w:bidi="ar-SA"/>
        </w:rPr>
        <w:t xml:space="preserve">هذا، مضافاً إلى ما تقدّم من أنّ مقتضى كلامه أنّه في الصورة الأولى 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دار الأمر بين ضررين على شخصين، وكان السبب أحد المالكين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إذا كان الضرر على المالك المسبّب أكثر من المالك الآخر، فلا يجوز الضرر عليه، بل لابدّ من الضرر على الأقلّ، وهو المالك غير المسبّب، وهذا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حول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إذا كان الضرر بآفة 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المشهور لزوم اختيار أقلّ الضررين، وأنّ ضمانه على مالك الآخر، واختار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تراضى المالكان على إتلاف أحد المالين بخصوصه ولو بتحمّلهما الضرر على نحو الشركة فهو، وإلاّ إذا لم يتراضيا فلابدّ من رفع الحكم إلى الحاكم الشرعي، وله إتلاف أيّهما شاء، ويقسّم الضرر بينهما بقاعدة العدل والإنصاف، هذا إذا تساوى المالان في القيمة، وأمّا إذا كان أحدهما أقلّ قيمة من الآخر فليس للحاكم إلاّ إتلاف ما هو أقلّ قيمة؛ لأنّ إتلاف ما هو أكثر قيمة سبب لزيادة الضرر على المالكين بلا موجب</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الضمان يكون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لذلك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جميع الناس إلى الله تعالى نسبة واحدة، والكلّ بمنزلة عبد واحد، فالضرر المتوجّه إلى أحد شخصين كأحد الضررين المتوجّه إلى شخص واحد، فلابدّ من اختيار أقلّ الضررين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قاصر عن إثبات أنّ تمام الضرر يكون على أحد المالكين، وهو مَن كانت قيمةُ ماله أكثر من قيمة مال الآخر، ولا وجه لإلزامه بتحمّل تمام الضرر من جهة كونِ ماله أكثر من مال الآخر مع كون الضرر مشتركاً بينهما بآفة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إيقاع الضرر على مال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فداء لمال الآخر وتخليصه، فتكون الخسارة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أيضاً غير تامّ؛ لأنّ الخسارة التي طرأت من عامل طبيعي قد وقعت على كلا المالين لا خصوص الأقلّ، وقد نقصت قيمة كلّ واحد منهما، والمفروض أنّ كلَّ واحد من المالكين يطالب بتخليص ماله، فتوجّه الخسارة على خصوص أحدهما دون الآخر، بلا وجه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فيما ذكره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بأنّ المالكين إذا تراضيا بإتلاف أحد المالين بخصوصه ولو بتحمّلهما الضرر على نحو الشركة، فلا إشكال، وإلاّ فإذا تخاصما وكلّ واحد يطالب بماله يرفع الأمر إلى الحاكم، وله إتلاف أيّ منهما شاء، ويقسّم الضرر بينهما بقاعدة العدل والإنصاف الثابتة عند العقلاء، ويؤيّدها ما ورد في تلف درهم عند الودعي من الحكم بإعطاء درهم </w:t>
      </w:r>
    </w:p>
    <w:p>
      <w:pPr>
        <w:pStyle w:val="BookText"/>
        <w:rPr/>
      </w:pPr>
      <w:r>
        <w:rPr>
          <w:rFonts w:ascii="Amiri" w:hAnsi="Amiri" w:eastAsia="Amiri" w:cs="Amiri"/>
          <w:color w:val="111111"/>
          <w:sz w:val="28"/>
          <w:sz w:val="28"/>
          <w:szCs w:val="28"/>
          <w:rtl w:val="true"/>
          <w:lang w:bidi="ar-SA"/>
        </w:rPr>
        <w:t>ونصف لصاحب الدرهمين، ونصف درهم لصاحب الدرهم الواحد، فإنّه لا يستقيم إلاّ على قاعدة العدل والإنصاف، هذا إذا كان المالان متساويين من حيث القيمة، وأمّا إذا كان أحدهما أقلّ قيمة من الآخر فليس للحاكم إلاّ إتلاف ما هو أقلّ قيمة؛ لأنّ إتلاف ما هو أكثر قيمة سبب لزيادة الضرر على المالكين بلا موجب</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الوجه قد ناقش فيه بعض السادة الأجلاّء بعدّة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قاعدة العدل والإنصاف في مورد تلف الدرهم في يد الودعي ليس هو التنصيف، ولم يستقرّ على الحكم بالتنصيف بناء من العقلاء، بل يقتضي العدل عندهم إعطاء صاحب الدرهمين درهماً وثلث درهم، وإعطاء صاحب الدرهم ثلثي درهم؛ لأنّ احتمال التلف من صاحب الدرهمين ضعف الاحتمال من صاحب الدرهم، ويتّضح ذلك فيما لو فرض أنّ رجلاً استودع تسعة وتسعين درهماً عند رجل، واستودع الآخر درهماً واحداً، وتلف أحدهما عند الودعي من دون تفريط، فإنّ احتمال كون التالف من الأوّل بنسبة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ومن الثاني بنسبة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فهي ضعيفة سنداً؛ لعدم ثبوت وثاقة النوفلي، بسبب عدم العبرة بوروده في كامل الزيارات، وعلى تقدير صحّتها فهي تشتمل على حكم </w:t>
      </w:r>
    </w:p>
    <w:p>
      <w:pPr>
        <w:pStyle w:val="BookText"/>
        <w:rPr/>
      </w:pPr>
      <w:r>
        <w:rPr>
          <w:rFonts w:ascii="Amiri" w:hAnsi="Amiri" w:eastAsia="Amiri" w:cs="Amiri"/>
          <w:color w:val="111111"/>
          <w:sz w:val="28"/>
          <w:sz w:val="28"/>
          <w:szCs w:val="28"/>
          <w:rtl w:val="true"/>
          <w:lang w:bidi="ar-SA"/>
        </w:rPr>
        <w:t>تعبّدي غير موافق للقاعدة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المناقشة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 الرواية؛ فإنّ طريق وثاقة النوفلي لا ينحصر بوجوده في كامل الزيارات، مع أنّ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رجع عنه أخيراً، وخصّ شهادة ابن قولويه بمشايخه، والنوفلي ليس منهم، بل لأجل وجوده في تفسير القمّي، وكذلك في نوادر الحكمة، وهذا أيضاً طريق للتوثيق،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الأصحاب يعملون بروايات السكوني ولم يستثن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روايات النوفليّ، مع أنّ جلّ رواياته عنه، بل قلّ الانفكاك بينهما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جهة الدلالة؛ فالظاهر أنّ بعض الأجلاّء خلط بين الضرر والنفع الحاصل من المالين بنحو الإشاعة، وبين الضرر أو النفع الحاصل بنحو الوجود الخارجي، ففي الفرض الأوّل كما ذكره، وأمّا في الفرض الثاني إذا كان درهم خارجي ضاع وهو مردّد بين أن يكون من صاحب الدرهم الواحد، أو من صاحب الدرهمين، وكذلك في المثال الذي ذكره إذا ضاع درهم مردّد بين الدرهم من صاحب الدرهم الواحد، أو من صاحب التسعة والتسعين درهماً، ففي هذه الموارد يقتضي بناء العقلاء وقاعدة العدل والأنصاف أن يقسّم بينهما نصفين، فيوفّى لصاحب الدرهم نصف درهم، ولصاحب الدرهمين درهم ونصف، أو لصاحب التسعة والتسعين درهماً ثمانية وتسعون درهماً ونصف، </w:t>
      </w:r>
    </w:p>
    <w:p>
      <w:pPr>
        <w:pStyle w:val="BookText"/>
        <w:rPr/>
      </w:pPr>
      <w:r>
        <w:rPr>
          <w:rFonts w:ascii="Amiri" w:hAnsi="Amiri" w:eastAsia="Amiri" w:cs="Amiri"/>
          <w:color w:val="111111"/>
          <w:sz w:val="28"/>
          <w:sz w:val="28"/>
          <w:szCs w:val="28"/>
          <w:rtl w:val="true"/>
          <w:lang w:bidi="ar-SA"/>
        </w:rPr>
        <w:t>فينقص من كلّ منهما نصف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ما قال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العدل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على تقديم الموافقة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مع المخالفة القطعية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الموافقة الاحتمالية في تمام المال، فإنّه لو أعطي تمام المال في هذه الموارد لأحدهما للقرعة مثلاً، احتمل وصول المال بتمامه إلى مالكه، ويحتمل عدم وصول شيء منه إليه، بخلاف التنصيف فإنّه يعلم وصول بعض المال إلى مالكه جزماً، ولا يصل بعضه الآخر كذلك، فيكون التنصيف مقدّمة لوصول بعض المال إلى مالكه، ويكون من قبيل صرف مقدار من المال مقدّمة لإيصاله إلى مالكه الغائب حسبَة، إلاّ إنّه من باب المقدّمة الوجودية، والمقام من باب المقدّمة العلمية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وجه عدم جريانه في المقام واضح؛ إذ ليس هنا مال مردّد بين الشخصين حتى يكون التقسيم بالنسبة مقدّمة لإيصاله إلى مالكه من باب المقدّمة العلمية، بل الكلام في الخسارة الواقعة على أحد المالين لابدّ وأن تقسّم بينهما بالنسبة، فهذا غير داخل في القاعدة على التقريب الذي ذكره لها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المناقشة أيضاً لا ترجع إلى شيء؛ وذلك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قاعدة العدل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تقديم الموافقة القطعية في الجملة على الموافقة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بالمنفعة، بل يأتي في الخسارة أيضاً؛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الخسارة واقعة على أحد المالين، ومع عدم العلم بوقوعه على أيّ من المالين فمقتضى القاعدة التقسيم على كليهما حتى تحصل الموافقة القطعية في الجملة، وإذا خصّصنا الخسارة بأحدهما فتحصل موافقة احتمالية؛ لأنّه يمكن أن تكون الخسارة واقعة عليه، كما يمكن أن تكون واقعة على المال الآخر، 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الخسارة لم تقع بعد، ولكنّ وقوعها حتمي على أحدهما غير المعيّن، فيأتي فيها نفس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الودعي أيضاً مآلها إلى توزيع الخسارة على صاحبي المالين، وإن كان في الظاهر تقسيم الدرهم بينهما، ولكنّ هذا الدرهم الموجود ليس منفعة بالنسبة إليهما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إيصال بعض المال إلى صاحبه مع صرف بعضه الآخر مقدّمة للإيصال، بل هو في الواقع تقسيم للضرر الحاصل من تلف الدرهم الذي ضاع، يقسّم بينهما بتقسيم الدرهم الموجود نصفين حتى تكون الخسارة عليهما بقاعدة العدل والإنصاف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بنفسه قد أنكر ثبوت القاعدة في محلّ آخر، وناقش في التقريب الذي سبق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في نفسها غير تامّة؛ إذ لم يثبت بناء ولا سيرة من العقلاء على ذلك حتى تكون ممضاة لدى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فجريان السيرة على ذلك بالتعبّد من العقلاء، أو الشارع؛ استناداً إلى قاعدة </w:t>
      </w:r>
    </w:p>
    <w:p>
      <w:pPr>
        <w:pStyle w:val="BookText"/>
        <w:rPr/>
      </w:pPr>
      <w:r>
        <w:rPr>
          <w:rFonts w:ascii="Amiri" w:hAnsi="Amiri" w:eastAsia="Amiri" w:cs="Amiri"/>
          <w:color w:val="111111"/>
          <w:sz w:val="28"/>
          <w:sz w:val="28"/>
          <w:szCs w:val="28"/>
          <w:rtl w:val="true"/>
          <w:lang w:bidi="ar-SA"/>
        </w:rPr>
        <w:t>العدل والإنصاف، لا أساس له، وإن كان التعبير حسناً</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المناقشة واردة على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ذكر ذلك في باب الخمس، وإذا كان حكمه في المقام يبتني على ذلك فالإشكال في محلّه، ولكن نحن فصّلنا الكلام هناك، واخترنا ثبوت السيرة، واستدللنا على صحّة القاعدة بوجوه، وقد أفردنا في رسالة القواعد البحث حول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بعض السادة الأجلاّء ثبوت القاعدة، ولكن يرى بأنّ مقتضاها أخذ النسبة بين المالين أو الضررين؛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تقريب المدّعى،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الطارئة بسبب طبيعيّ على كلّ من المالين لمّا أوجبت نقصاً في مالية كلّ واحد منهما؛ إذ ليست قيمة البقرة بعد دخول رأسها في القدر متساوية مع قيمتها بدون ذلك، ولا القدر الذي فيه رأس البقرة تساوي قيمته لو لم يكن كذلك، وإرجاع كلّ منهما إلى حالته الطبيعية غير ممكن، وإرجاع أحدهما إليها يستلزم إيقاع الضرر بالنسبة إلى الآخر، والمفروض لزوم إيقاعه على ما هو أقلّ قيمة، فحينئذ يكون النقصان الموجب لزوال ماليته أو نقصانه مسبّباً عن الحالتين غير الطبيعيّتين الطارئتين على كلٍّ منهما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من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الخسارة الحاصلة بأيّ نسبة معلولة لحصول تلك الحالة في القدر، وبأيّ نسبة معلولة لحصولها في البقرة، وبحكم العقلاء يكون ثلثا الخسارة على صاحب البقرة، وثلثها على صاحب القدر على ما فرضناه سابقاً من </w:t>
      </w:r>
    </w:p>
    <w:p>
      <w:pPr>
        <w:pStyle w:val="BookText"/>
        <w:rPr/>
      </w:pPr>
      <w:r>
        <w:rPr>
          <w:rFonts w:ascii="Amiri" w:hAnsi="Amiri" w:eastAsia="Amiri" w:cs="Amiri"/>
          <w:color w:val="111111"/>
          <w:sz w:val="28"/>
          <w:sz w:val="28"/>
          <w:szCs w:val="28"/>
          <w:rtl w:val="true"/>
          <w:lang w:bidi="ar-SA"/>
        </w:rPr>
        <w:t>أنّ التفاوت بين البقرة في حالتها الطبيعية وبين البقرة المذبوحة هو عشرة دنانير، والتفاوت بين القدر على حاله الطبيعي والقدر المكسور خمسة دنانير، فالحالة الطارئة عليهما تدعو إلى إيجاد ما يوجب الخسارة المالية بأدنى مستوياتها الممكنة يقتضي تقسيم الخسارة على المالين بملاحظة النسبة بين الضررين لو فرض وقوع الضرر مع كلٍّ منهما</w:t>
      </w:r>
      <w:r>
        <w:rPr>
          <w:rStyle w:val="FootnoteAnchor"/>
          <w:rtl w:val="true"/>
        </w:rPr>
        <w:footnoteReference w:id="3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الكلام مفاده ثبوت قاعدة العدل عنده، وحاصل كلامه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العامل الطبيعي صار سبباً لحدوث الخسارة في كلّ من المالين لمّا أوجب نقصاً في مالية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إيقاع الضرر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عن الحالتين غير الطبيعيتين الطارئتين على كلّ منهما، فلابدّ من ملاحظة أنّ الخسارة بأيّ نسبة معلولة لحصول تلك الحالة في القدر، وكذلك بأيّ نسبة معلولة لحصولها في البقرة، ويؤخذ من كلّ منهما بهذه النسبة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وإن كان في الواقع ونفس الأمر كذلك، ولكن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الخسارة الحاصلة في الأقلّ سببها أمر الحاكم لرفع النزاع، فلا يبقى وجه لملاحظة النسبة على نحو المزج والإشاعة، بل هو ضرر مستقلّ وارد عليهما، والحاكم قد عيّنه في أحدهما، ومقتضى قاعدة العدل والإنصاف تقسيم الخسارة عليهما بالسوية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ما نسب إلى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إذا لم يكن الضرر مساوياً فيؤخذ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 في كلامه في الفقه، ولا في الأصول،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دوران الضرر بين نفسه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 الضرر هو تصرّف المالك في ملكه الموجب لتضرّر جاره، كما لو أراد المالك أن يحفر بئراً أو بالوعة مع كون الحفر مضرّاً بالجار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هو الأجنبي، وكان مكرهاً على فعل ذلك، كما إذا أكرهه الجائر على أخذ مال من الغير، وإلاّ أخذه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إنّنا قد تعرّضنا للصورة الثانية في أبحاثنا في التقية</w:t>
      </w:r>
      <w:r>
        <w:rPr>
          <w:rStyle w:val="FootnoteAnchor"/>
          <w:rtl w:val="true"/>
        </w:rPr>
        <w:footnoteReference w:id="367"/>
      </w:r>
      <w:r>
        <w:rPr>
          <w:rFonts w:ascii="Amiri" w:hAnsi="Amiri" w:eastAsia="Amiri" w:cs="Amiri"/>
          <w:color w:val="111111"/>
          <w:sz w:val="28"/>
          <w:sz w:val="28"/>
          <w:szCs w:val="28"/>
          <w:rtl w:val="true"/>
          <w:lang w:bidi="ar-SA"/>
        </w:rPr>
        <w:t>، فلذا نعرض عنها صفحاً، ونقصر الحديث حول الأولى؛ لأهمّيتها وكثرة الابتلاء بها،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 المالك في ملكه يقع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المالك قاصداً بتصرّفه في ملكه الإضرار بجاره من دون أن يكون فيه نفع له، أو في تركه 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بعينه مع كون داعيه في التصرّف مجرّد العبث والميل النفساني، لا قصد الإضرار بالجار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إلى التصرّف هو النفع وتركه موجب لفوات منفعته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الداعي التحرّز عن الضرر، بأن يكون في تركه ضرر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الوجهين الأوّلين وقعا مورداً للتسالم في القول بالحرمة والضمان، والوجه في ذلك واضح؛ لأنّه يوجب الإضرار بالغير، خصوصاً باعتبار أنّه محرّم، كما أنّه ليس في مقابله نفع للمالك لكي يوجب ارتفاع حرمته، بل قد يظهر ذلك أيضاً من بعض الروايات الخاصّة في الباب</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الوجهان الأخيران؛ فقد وقع الخلاف فيهما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جواز التصرّف وعدم الضمان مطلقاً، سواء كان ضرر المالك أقلّ، أو مساوياً، أو أكثر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يعمل في الأملاك المعمورة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حريم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أجده، كما عن الشيخ وابني زهرة وإدريس الاعتراف به، بل في الكفاية نسبته إلى الأصحاب مشعراً بالإجماع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صرّح في القواعد وغيرها بأنّ لكلّ منهم التصرّف في ملكه بما شاء، وإن تضرّر صاحبه، وأنّه لا ضمان عليه لو جعل ملكه بيت حدّاد، أو قصّار، أو حمّام، على خلاف العادة، ثمّ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التذكرة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لأرباب الأملاك التصرّف في أملاكهم كيف شاؤوا؛ إذ لو حفر في ملكه بئر بالوعة وفسد بها ماء بئر الجار لم يمنع منه، ولا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الدروس والمسالك في جميع ذلك، لكن قال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منع ما يضرّ بحائطه من البئر والشجر ولو ببروز أصلها إليه والضرب المؤدّي إلى ضرر الحائط ونحوه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نقل عن الرياض القطع بما عليه الأصحاب، فيما إذا كان ضرر المالك أشدّ من ضرر الجار أو مساوياً أو أقلّ بحيث لم يتفاحش معه ضرره، وأمّا فيما عداها فالظاهر أيضاً ذلك؛ لما ذكر، وإن كان الأحوط عدم الإضرار على الإطلاق</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تبعه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الأوفق بالقواعد تقديم المالك؛ لأنّ حجر المالك عن التصرّف في ماله ضررٌ يعارض ضرر الغير، فيرجع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يظهر ذلك من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آخر كلامه، فراجع</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صاحب الجواهر، من المنع وعدم الجواز مطلقاً؛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فالغرض أنّ المسألة لم يكن فيها إجماع محقّق على جهة الإطلاق، فيمكن أن يقال بمنع التصرّف في ماله على وجه يترتّب عليه الضرر في مال الغير مثلاً بتوليدية فعله بحيث يكون له فعل وتصرّف في مال الغير وإتلاف له يتولّد من فعله فعل في مال الغير، لا تلف خاصّة بلا فعل منه، وخصوصاً مع زيادته بفعله عمّا يحتاج إليه وغلبة ظنّه بالسراية، وقاعدة التسلّط على المال لا تقتضي جواز ذلك، ولا رفع الضمان الحاصل بتوليد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w:t>
      </w:r>
    </w:p>
    <w:p>
      <w:pPr>
        <w:pStyle w:val="BookText"/>
        <w:rPr/>
      </w:pPr>
      <w:r>
        <w:rPr>
          <w:rFonts w:ascii="Amiri" w:hAnsi="Amiri" w:eastAsia="Amiri" w:cs="Amiri"/>
          <w:color w:val="111111"/>
          <w:sz w:val="28"/>
          <w:sz w:val="28"/>
          <w:szCs w:val="28"/>
          <w:rtl w:val="true"/>
          <w:lang w:bidi="ar-SA"/>
        </w:rPr>
        <w:t>كان تصرّفه في ماله لا توليد فيه على الوجه المزبور، وإن حصل الضرر مقارناً لذلك لم يمنع منه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ما نقلناه عن المسالك بمنعه ما يضرّ بحائط الجار من البئر أو الشجر</w:t>
      </w:r>
      <w:r>
        <w:rPr>
          <w:rStyle w:val="FootnoteAnchor"/>
          <w:rtl w:val="true"/>
        </w:rPr>
        <w:footnoteReference w:id="3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 في ذلك</w:t>
      </w:r>
      <w:r>
        <w:rPr>
          <w:rStyle w:val="FootnoteAnchor"/>
          <w:rtl w:val="true"/>
        </w:rPr>
        <w:footnoteReference w:id="3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وعن المحقّق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ذلك</w:t>
      </w:r>
      <w:r>
        <w:rPr>
          <w:rStyle w:val="FootnoteAnchor"/>
          <w:rtl w:val="true"/>
        </w:rPr>
        <w:footnoteReference w:id="37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تبعه في ذلك بعض السادة الأجلاّء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السيد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صورة عدم النفع فيحكم بعدم الجواز، وبين صورة الضرر فيحكم بجواز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يحكم بالضمان، هذا ما ذكره في الهداية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ورد في المصباح</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الحكم بعدم الجواز في الصورة الأولى، والحرمة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هفوات قلم المقرّر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سيد 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بالجواز مطلقاً مع الحكم </w:t>
      </w:r>
    </w:p>
    <w:p>
      <w:pPr>
        <w:pStyle w:val="BookText"/>
        <w:rPr/>
      </w:pPr>
      <w:r>
        <w:rPr>
          <w:rFonts w:ascii="IRNazanin" w:hAnsi="IRNazanin" w:eastAsia="IRNazanin"/>
          <w:color w:val="111111"/>
          <w:sz w:val="28"/>
          <w:sz w:val="28"/>
          <w:szCs w:val="28"/>
          <w:rtl w:val="true"/>
          <w:lang w:bidi="fa-IR"/>
        </w:rPr>
        <w:t>بالضمان</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الاستدلال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قاعدة السلطنة؛ حيث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ويمكن تقريبه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صاحب مفتاح الكرامة،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دائر بين الضرر على الجار والضرر على المالك أو عدم نفعه،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الإضرار بالغير مطلقاً، كما أنّ مقتضى قاعدة السلطنة جواز تصرّف المالك في ملكه، الأعمّ من الإضرار بالغير، إلاّ إنّ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تقاوم أدلّة السلطنة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فلكون رواياتها متواترة معمول بها بين المسلمين، والحال أنّ بعض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ضعاف لا تكافئ أدلّة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 ظاهر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تجري فيما لو قصد المتصرّف الإضرار بالغير، ومع عدم قصد ذلك يكون إطلاق قاعدة السلطنة محكماً؛ فإنّها تدلّ على سلطنة المالك في ملكه بأيّ نحو من أنحاء التصرّف، سواء أضرّ بحال غيره، أو لا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شاملة للمقام، إلاّ إنّ المانع من التمسّك بها هو لزوم تعارض صدرها مع ذيلها؛ إذ إنّ مقتضى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حرمة التصرّف، لكون ترك التصرّف موجباً لتضرّر المالك، كما أنّ مقتضى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الإضرار بالغير وعدم جوازه للمالك؛ لأنّه موجبٌ لتضرّر الجار، فيقع التعارض بينهما، والمرجع حينئذٍ عموم قاعدة السلطنة، وعلى فرض عدم ثبوتها فالمرجع هو الأصل العملي، وهو في المقام أصالة البراءة عن حرمة التصرّف، فحينئذٍ يجوز للمالك التصرّف في ملكه بنحو الإطلاق</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 شمول خصوص الصدر للمالك الحكم بالمتناقضين،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التعارض في نفس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تصرّف المالك في ملكه موجب لتضرّر جاره، فيلزم الحكم بحرمته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عدم تصرّفه في ملكه ضرر على نفسه، فنفيه بمقتضى الصدر موجب لجواز تصرّفه، وهذا معنى دلالة الصدر على الحكمين المتناقضين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والجواز</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 المقام أصلاً، لا صدراً ولا ذيلاً؛ لأنّها واردة مورد الامتنان على الأمّة الإسلامية، فلا تشمل مورداً كان شموله له منافياً للامتنان،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التصرّف في ملكه بما يضرّ الجار منافٍ للامتنان عليه، كما أنّ الترخيص </w:t>
      </w:r>
    </w:p>
    <w:p>
      <w:pPr>
        <w:pStyle w:val="BookText"/>
        <w:rPr/>
      </w:pPr>
      <w:r>
        <w:rPr>
          <w:rFonts w:ascii="Amiri" w:hAnsi="Amiri" w:eastAsia="Amiri" w:cs="Amiri"/>
          <w:color w:val="111111"/>
          <w:sz w:val="28"/>
          <w:sz w:val="28"/>
          <w:szCs w:val="28"/>
          <w:rtl w:val="true"/>
          <w:lang w:bidi="ar-SA"/>
        </w:rPr>
        <w:t xml:space="preserve">وجواز التصرّف في ملكه خلاف الامتنان على الجار، فلا يكون شيء منهما مشمولاً للقاعدة، فتكون مجملة في المقام، فيرجع إلى العمومات، ومقتضى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 ملكه مطلقاً، وكذلك مقتضى أصالة البراءة عن الحرمة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الأوفق بالقواعد تقديم المالك؛ لأنّ حجر المالك عن التصرّف في ماله ضررٌ يعارض ضرر الغير، فيرجع إلى 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الحرج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كون ضرر المالك بترك التصرّف أشدّ من ضرر الغير، أو أقلّ؛ إمّا لعدم ثبوت الترجيح بقلّة الضرر كما سيجيء، وإمّا لحكومة نفي الحرج على نفي الضرر، فإنّ تحمّل الغير على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يسيراً لأجل دفع الضرر عن الغير ولو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 وضيق، ولذا اتّفقوا على أنّه يجوز للمكره الإضرار بما دون القتل لأجل دفع الضرر عن نفسه، ولو كان أقلّ من ضرر الغير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نفي الاضطرار؛ فإنّ منع تصرّف المالك في ملكه يوجب الضرر، وكلّ ما يلزم منه الضرر فصاحبه مضطرّ إلى ارتكابه، وبمقتضى قاعدة نفي الاضطرار يحكم بجواز تصرّفه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هي الأدلّة التي يمكن الاستدلال بها على قول المشهور، وقد أجيب عن جميع هذه الوجوه، ونحن نتعرّض إلى المهمّ منها، وهو الأوّل بتقاريبه الثلاثة، ونحيل التحقيق في سائر الوجوه إلى بحث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أشكل على الوجه الأوّل تارة من جهة الكبرى، وأخرى من جهة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الكبرى؛ فقد 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حديث السلطنة لم يرد في شيء من جوامعنا الروائية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ذكره صاحب عوالي اللئالي مرسلاً في عدّة موارد</w:t>
      </w:r>
      <w:r>
        <w:rPr>
          <w:rStyle w:val="FootnoteAnchor"/>
          <w:rtl w:val="true"/>
        </w:rPr>
        <w:footnoteReference w:id="384"/>
      </w:r>
      <w:r>
        <w:rPr>
          <w:rFonts w:ascii="Amiri" w:hAnsi="Amiri" w:eastAsia="Amiri" w:cs="Amiri"/>
          <w:color w:val="111111"/>
          <w:sz w:val="28"/>
          <w:sz w:val="28"/>
          <w:szCs w:val="28"/>
          <w:rtl w:val="true"/>
          <w:lang w:bidi="ar-SA"/>
        </w:rPr>
        <w:t>، كما ذكره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w:t>
      </w:r>
      <w:r>
        <w:rPr>
          <w:rStyle w:val="FootnoteAnchor"/>
          <w:rtl w:val="true"/>
        </w:rPr>
        <w:footnoteReference w:id="3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ومع ذلك ليس للحديث سند معتبر، فضلاً عن كونه متواتراً، وأمّا الشهرة العملية فهي غير ثابتة، كما أنّ الشهرة العملية المتأخّرة لا اعتبار بها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ثابثة وتامّة؛ فإنّه وإن لم يرد حديث السلطنة في الكتب المعتبرة بهذه الصيغة، بَيد أنّ مضمونها ورد في عدّة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باب منجّزات المريض وغيره بأسانيد معتبرة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صاحب المال </w:t>
      </w:r>
    </w:p>
    <w:p>
      <w:pPr>
        <w:pStyle w:val="BookText"/>
        <w:rPr/>
      </w:pPr>
      <w:r>
        <w:rPr>
          <w:rFonts w:ascii="Amiri" w:hAnsi="Amiri" w:eastAsia="Amiri" w:cs="Amiri"/>
          <w:color w:val="111111"/>
          <w:sz w:val="28"/>
          <w:sz w:val="28"/>
          <w:szCs w:val="28"/>
          <w:rtl w:val="true"/>
          <w:lang w:bidi="ar-SA"/>
        </w:rPr>
        <w:t>يعمل في ماله كيف يشاء، أو هو ماله يصنع ما شاء به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أنّ السيرة العقلائية جارية على ذلك قطعاً، وهي متّصلة بزمان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يردع عنها، فثبوت هذا الحقّ للمالك يعدّ من البديهيات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ثبوت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الصغرى؛ فقد 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التسليم بثبوت القاعدة إلاّ إنّها غير شاملة لمورد كون تصرّف المالك في ملكه موجباً للإضرار بالغير؛ لعدم وجود إطلاق فيها، لكون مدركها السيرة، وهي دليل لبّي ليس فيه إطلاق يؤخذ به، وعلى فرض التسليم بها فهي من القواعد الأوّلية، والأحكام الثانوية حاكمة على القواعد الأوّلية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 في الإيراد الثاني في محلّه، وأمّا ما ذكر في الأوّل فلا يمكن المساعدة عليه؛ فإنّ مقتضى ما ورد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ماله يصنع ما شاء به</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المال أن يعمل بماله ما شاء ما دام حيّاً</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الإطلاق، فحينئذٍ في صورة دوران الأمر بين عدم النفع والإضرار بالجار، فالذي يبدو في النظر هو التفصيل بين صورة </w:t>
      </w:r>
    </w:p>
    <w:p>
      <w:pPr>
        <w:pStyle w:val="BookText"/>
        <w:rPr/>
      </w:pPr>
      <w:r>
        <w:rPr>
          <w:rFonts w:ascii="Amiri" w:hAnsi="Amiri" w:eastAsia="Amiri" w:cs="Amiri"/>
          <w:color w:val="111111"/>
          <w:sz w:val="28"/>
          <w:sz w:val="28"/>
          <w:szCs w:val="28"/>
          <w:rtl w:val="true"/>
          <w:lang w:bidi="ar-SA"/>
        </w:rPr>
        <w:t>عدم نفع المالك وإضرار الجار، وبين صورة تضرّر المالك لتركه التصرّف في ملكه والإضرار بالجار، ففي الصورة الأولى نقول بعدم الجواز؛ وذلك لأنّ دليل حرمة الإضرار بالغير حاكم على الأدلّة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 فالظاهر أنّ دليل نفي الضرر بالنسبة إلى المالك والجار على حدّ سواء، فحينئذٍ إذا كان كلا الضررين متساويين في الأهمّية أو المالية، فإذا تصالحا وتوافقا على إدخال الضرر على أحدهما وجبران الآخر فذاك، وإلاّ فالحاكم يحكم بإدخال الضرر على أحدهما، وإجبار الآخر بالضمان؛ لأنّ ذلك وقع لتخليص ماله وسلامته من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اختلفا في الأهمّية أو المالية، فيقدّم الأقلّ، سواء كان لصاحب الدار أو للجار، ويضمن الآخر جبران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في المقام هو الحكم في الصورة الثالثة من القسم الثالث، فإنّه يكون من باب دوران الضرر بين شخصين، فبعد تعارض الضررين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شمول القاعدة لهذه الصورة وإجمالها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قاعدة العدل والإنصاف هو الأخذ بالأقلّ والحكم بالضمان على الآخر، وهذا الوجه هو ما احتمله صاحب الكفاية في ذيل كلامه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تضرّر المالك والجار معاً، فإنّ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أنّه غير شاملٍ لهما معاً؛ لأنّه لا يشمل مورداً كان شموله له منافياً للامتنان، </w:t>
      </w:r>
    </w:p>
    <w:p>
      <w:pPr>
        <w:pStyle w:val="BookText"/>
        <w:rPr/>
      </w:pPr>
      <w:r>
        <w:rPr>
          <w:rFonts w:ascii="Amiri" w:hAnsi="Amiri" w:eastAsia="Amiri" w:cs="Amiri"/>
          <w:color w:val="111111"/>
          <w:sz w:val="28"/>
          <w:sz w:val="28"/>
          <w:szCs w:val="28"/>
          <w:rtl w:val="true"/>
          <w:lang w:bidi="ar-SA"/>
        </w:rPr>
        <w:t>وإمّا لأجل وقوع التعارض بين الصدر والذيل، ولا يمكن العمل بأحدى الفقرتين، فلابدّ من الرجوع إلى العمومات أو الإطلاقات، والفرض أنّ لنا في المقام إطلاقين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أدلّة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بماله 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فيه ضرر على الآخرين،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حرمة الإضرار بالغير، وما يوجب النقص والضرر في ماله، سواء كان موجباً للضرر على المالك، أو لا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فيتعارضان ويتساقطان، فيرجع حينئذٍ إلى قاعدة العدل والإنصاف، فإذا تراضيا وتصالحا فهو، وإلاّ فالحكم هو ما ذكرناه</w:t>
      </w:r>
      <w:r>
        <w:rPr>
          <w:rFonts w:eastAsia="Amiri" w:cs="Amiri" w:ascii="Amiri" w:hAnsi="Amiri"/>
          <w:color w:val="111111"/>
          <w:sz w:val="28"/>
          <w:szCs w:val="28"/>
          <w:rtl w:val="true"/>
          <w:lang w:bidi="ar-SA"/>
        </w:rPr>
        <w:t xml:space="preserve">. </w:t>
      </w:r>
      <w:bookmarkStart w:id="137" w:name="pg8595_75653"/>
    </w:p>
    <w:p>
      <w:pPr>
        <w:pStyle w:val="Heading2"/>
        <w:numPr>
          <w:ilvl w:val="1"/>
          <w:numId w:val="1"/>
        </w:numPr>
        <w:rPr/>
      </w:pPr>
      <w:bookmarkStart w:id="138" w:name="__RefHeading___Toc1770924_653776707"/>
      <w:bookmarkStart w:id="139" w:name="_Toc49"/>
      <w:bookmarkEnd w:id="137"/>
      <w:bookmarkEnd w:id="138"/>
      <w:r>
        <w:rPr>
          <w:rtl w:val="true"/>
        </w:rPr>
        <w:t>فهرس المصادر</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p>
    <w:p>
      <w:pPr>
        <w:pStyle w:val="BookText"/>
        <w:rPr/>
      </w:pPr>
      <w:r>
        <w:rPr>
          <w:rFonts w:ascii="IRNazanin" w:hAnsi="IRNazanin" w:eastAsia="IRNazanin"/>
          <w:color w:val="111111"/>
          <w:sz w:val="28"/>
          <w:sz w:val="28"/>
          <w:szCs w:val="28"/>
          <w:rtl w:val="true"/>
          <w:lang w:bidi="fa-IR"/>
        </w:rPr>
        <w:t>الشيخ الطوسي،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الثالث ميرداماد الاسترآبادي،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 بين النظرية والتطبيق</w:t>
      </w:r>
    </w:p>
    <w:p>
      <w:pPr>
        <w:pStyle w:val="BookText"/>
        <w:rPr/>
      </w:pPr>
      <w:r>
        <w:rPr>
          <w:rFonts w:ascii="IRNazanin" w:hAnsi="IRNazanin" w:eastAsia="IRNazanin"/>
          <w:color w:val="111111"/>
          <w:sz w:val="28"/>
          <w:sz w:val="28"/>
          <w:szCs w:val="28"/>
          <w:rtl w:val="true"/>
          <w:lang w:bidi="fa-IR"/>
        </w:rPr>
        <w:t>تقرير بحث آية الله الشيخ مسلم الداوري، بقلم الشيخ محمّد علي صالح المعلّم، مؤسّسة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للبحث والتحقيق العلمي، الطبعة الرابعة،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p>
    <w:p>
      <w:pPr>
        <w:pStyle w:val="BookText"/>
        <w:rPr/>
      </w:pPr>
      <w:r>
        <w:rPr>
          <w:rFonts w:ascii="Amiri" w:hAnsi="Amiri" w:eastAsia="Amiri" w:cs="Amiri"/>
          <w:color w:val="111111"/>
          <w:sz w:val="28"/>
          <w:sz w:val="28"/>
          <w:szCs w:val="28"/>
          <w:rtl w:val="true"/>
          <w:lang w:bidi="ar-SA"/>
        </w:rPr>
        <w:t>السيّد الشريف المرتضى،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في مؤسّسة النشر الإسلامي، نشر مؤسّسة النشر الإسلامي،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بدائع الدرر في قاعدة نفي الضرر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الإمام الخميني،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الإمام الخميني،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بداية المجتهد ونهاية المقتصد</w:t>
      </w:r>
    </w:p>
    <w:p>
      <w:pPr>
        <w:pStyle w:val="BookText"/>
        <w:rPr/>
      </w:pPr>
      <w:r>
        <w:rPr>
          <w:rFonts w:ascii="Amiri" w:hAnsi="Amiri" w:eastAsia="Amiri" w:cs="Amiri"/>
          <w:color w:val="111111"/>
          <w:sz w:val="28"/>
          <w:sz w:val="28"/>
          <w:szCs w:val="28"/>
          <w:rtl w:val="true"/>
          <w:lang w:bidi="ar-SA"/>
        </w:rPr>
        <w:t>ابن رشد الحفيد،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العطّار، نشر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ﻫ ،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الحسن بن علي بن شعبة الحرّاني،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الطبعة السابعة،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الفقهاء</w:t>
      </w:r>
    </w:p>
    <w:p>
      <w:pPr>
        <w:pStyle w:val="BookText"/>
        <w:rPr/>
      </w:pPr>
      <w:r>
        <w:rPr>
          <w:rFonts w:ascii="IRNazanin" w:hAnsi="IRNazanin" w:eastAsia="IRNazanin"/>
          <w:color w:val="111111"/>
          <w:sz w:val="28"/>
          <w:sz w:val="28"/>
          <w:szCs w:val="28"/>
          <w:rtl w:val="true"/>
          <w:lang w:bidi="fa-IR"/>
        </w:rPr>
        <w:t>العلاّمة الحلّي،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p>
    <w:p>
      <w:pPr>
        <w:pStyle w:val="BookText"/>
        <w:rPr/>
      </w:pPr>
      <w:r>
        <w:rPr>
          <w:rFonts w:ascii="Amiri" w:hAnsi="Amiri" w:eastAsia="Amiri" w:cs="Amiri"/>
          <w:color w:val="111111"/>
          <w:sz w:val="28"/>
          <w:sz w:val="28"/>
          <w:szCs w:val="28"/>
          <w:rtl w:val="true"/>
          <w:lang w:bidi="ar-SA"/>
        </w:rPr>
        <w:t>علي بن إبراهيم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التقية في فقه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تقرير بحث آية الله الشيخ مسلم الداوري، بقلم الشيخ محمّد علي المعلّم،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للبحث والتحقيق العلمي، نشر فاروس، الطبعة الأولى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تنوير الحوالك في شرح موطّأ مالك</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عبدالعزيز الخالدي، منشورات </w:t>
      </w:r>
    </w:p>
    <w:p>
      <w:pPr>
        <w:pStyle w:val="BookText"/>
        <w:rPr/>
      </w:pPr>
      <w:r>
        <w:rPr>
          <w:rFonts w:ascii="Amiri" w:hAnsi="Amiri" w:eastAsia="Amiri" w:cs="Amiri"/>
          <w:color w:val="111111"/>
          <w:sz w:val="28"/>
          <w:sz w:val="28"/>
          <w:szCs w:val="28"/>
          <w:rtl w:val="true"/>
          <w:lang w:bidi="ar-SA"/>
        </w:rPr>
        <w:t xml:space="preserve">محمد علي بيضون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الطبعة الأولى للناشر،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أحاديث الشيعة</w:t>
      </w:r>
    </w:p>
    <w:p>
      <w:pPr>
        <w:pStyle w:val="BookText"/>
        <w:rPr/>
      </w:pPr>
      <w:r>
        <w:rPr>
          <w:rFonts w:ascii="Amiri" w:hAnsi="Amiri" w:eastAsia="Amiri" w:cs="Amiri"/>
          <w:color w:val="111111"/>
          <w:sz w:val="28"/>
          <w:sz w:val="28"/>
          <w:szCs w:val="28"/>
          <w:rtl w:val="true"/>
          <w:lang w:bidi="ar-SA"/>
        </w:rPr>
        <w:t xml:space="preserve">تحت إشراف آية الله العظمى السيد حسين البروجردي،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المقاصد</w:t>
      </w:r>
    </w:p>
    <w:p>
      <w:pPr>
        <w:pStyle w:val="BookText"/>
        <w:rPr/>
      </w:pPr>
      <w:r>
        <w:rPr>
          <w:rFonts w:ascii="IRNazanin" w:hAnsi="IRNazanin" w:eastAsia="IRNazanin"/>
          <w:color w:val="111111"/>
          <w:sz w:val="28"/>
          <w:sz w:val="28"/>
          <w:szCs w:val="28"/>
          <w:rtl w:val="true"/>
          <w:lang w:bidi="fa-IR"/>
        </w:rPr>
        <w:t>المحقّق الثاني، الشيخ علي بن الحسين الكركي، تحقيق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نشر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الشيخ محمّد حسن النجفي،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القوجاني، نشر دار الكتب الإسلامية، الطبعة الثالثة،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المكاسب</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كاظم الآخوند الخراساني،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شمس الدين،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الأقوال</w:t>
      </w:r>
    </w:p>
    <w:p>
      <w:pPr>
        <w:pStyle w:val="BookText"/>
        <w:rPr/>
      </w:pPr>
      <w:r>
        <w:rPr>
          <w:rFonts w:ascii="Amiri" w:hAnsi="Amiri" w:eastAsia="Amiri" w:cs="Amiri"/>
          <w:color w:val="111111"/>
          <w:sz w:val="28"/>
          <w:sz w:val="28"/>
          <w:szCs w:val="28"/>
          <w:rtl w:val="true"/>
          <w:lang w:bidi="ar-SA"/>
        </w:rPr>
        <w:t>العلاّمة الحلّي،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مؤسّسة نشر الفقاهة، الطبعة الثانية،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الفوائد في الحاشية على الفرائد</w:t>
      </w:r>
    </w:p>
    <w:p>
      <w:pPr>
        <w:pStyle w:val="BookText"/>
        <w:rPr/>
      </w:pPr>
      <w:r>
        <w:rPr>
          <w:rFonts w:ascii="Amiri" w:hAnsi="Amiri" w:eastAsia="Amiri" w:cs="Amiri"/>
          <w:color w:val="111111"/>
          <w:sz w:val="28"/>
          <w:sz w:val="28"/>
          <w:szCs w:val="28"/>
          <w:rtl w:val="true"/>
          <w:lang w:bidi="ar-SA"/>
        </w:rPr>
        <w:t>الشيخ محمّد كاظم الآخوند الخراساني،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شمس الدين، انتشارات شفق، الطبعة الأولى للناشر،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w:t>
      </w:r>
    </w:p>
    <w:p>
      <w:pPr>
        <w:pStyle w:val="BookText"/>
        <w:rPr/>
      </w:pPr>
      <w:r>
        <w:rPr>
          <w:rFonts w:ascii="Amiri" w:hAnsi="Amiri" w:eastAsia="Amiri" w:cs="Amiri"/>
          <w:color w:val="111111"/>
          <w:sz w:val="28"/>
          <w:sz w:val="28"/>
          <w:szCs w:val="28"/>
          <w:rtl w:val="true"/>
          <w:lang w:bidi="ar-SA"/>
        </w:rPr>
        <w:t>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مؤسّسة النشر الإسلامي، الطبعة الرابعة،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ق،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rtl w:val="true"/>
          <w:lang w:bidi="ar-SA"/>
        </w:rPr>
        <w:t>الشيخ أحمد بن علي النجاشي،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السيد موسى الشبيري الزنجاني، مؤسسة النشر الإسلامي، الطبعة الثامنة،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مصنّفات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نشر المؤتمر العالمي لألفيّة الشيخ المفيد،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قاعدة لا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ضمن رسائل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لتراث الشيخ الأعظم، نشر</w:t>
      </w:r>
    </w:p>
    <w:p>
      <w:pPr>
        <w:pStyle w:val="BookText"/>
        <w:rPr/>
      </w:pPr>
      <w:r>
        <w:rPr>
          <w:rFonts w:ascii="Amiri" w:hAnsi="Amiri" w:eastAsia="Amiri" w:cs="Amiri"/>
          <w:color w:val="111111"/>
          <w:sz w:val="28"/>
          <w:sz w:val="28"/>
          <w:szCs w:val="28"/>
          <w:rtl w:val="true"/>
          <w:lang w:bidi="ar-SA"/>
        </w:rPr>
        <w:t xml:space="preserve">مجمع الفكر الإسلامي، الطبعة الثالثة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p>
    <w:p>
      <w:pPr>
        <w:pStyle w:val="BookText"/>
        <w:rPr/>
      </w:pPr>
      <w:r>
        <w:rPr>
          <w:rFonts w:ascii="Amiri" w:hAnsi="Amiri" w:eastAsia="Amiri" w:cs="Amiri"/>
          <w:color w:val="111111"/>
          <w:sz w:val="28"/>
          <w:sz w:val="28"/>
          <w:szCs w:val="28"/>
          <w:rtl w:val="true"/>
          <w:lang w:bidi="ar-SA"/>
        </w:rPr>
        <w:t xml:space="preserve">السيد الإمام الخميني، نشر مؤسسة إسماعيليان، الطبعة الثالثة،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p>
    <w:p>
      <w:pPr>
        <w:pStyle w:val="BookText"/>
        <w:rPr/>
      </w:pPr>
      <w:r>
        <w:rPr>
          <w:rFonts w:ascii="Amiri" w:hAnsi="Amiri" w:eastAsia="Amiri" w:cs="Amiri"/>
          <w:color w:val="111111"/>
          <w:sz w:val="28"/>
          <w:sz w:val="28"/>
          <w:szCs w:val="28"/>
          <w:rtl w:val="true"/>
          <w:lang w:bidi="ar-SA"/>
        </w:rPr>
        <w:t>البيهقي،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p>
    <w:p>
      <w:pPr>
        <w:pStyle w:val="BookText"/>
        <w:rPr/>
      </w:pPr>
      <w:r>
        <w:rPr>
          <w:rFonts w:ascii="Amiri" w:hAnsi="Amiri" w:eastAsia="Amiri" w:cs="Amiri"/>
          <w:color w:val="111111"/>
          <w:sz w:val="28"/>
          <w:sz w:val="28"/>
          <w:szCs w:val="28"/>
          <w:rtl w:val="true"/>
          <w:lang w:bidi="ar-SA"/>
        </w:rPr>
        <w:t>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مأمون شيحا، دار المعرفة، الطبعة الثالثة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العروة الوثقى</w:t>
      </w:r>
    </w:p>
    <w:p>
      <w:pPr>
        <w:pStyle w:val="BookText"/>
        <w:rPr/>
      </w:pPr>
      <w:r>
        <w:rPr>
          <w:rFonts w:ascii="Amiri" w:hAnsi="Amiri" w:eastAsia="Amiri" w:cs="Amiri"/>
          <w:color w:val="111111"/>
          <w:sz w:val="28"/>
          <w:sz w:val="28"/>
          <w:szCs w:val="28"/>
          <w:rtl w:val="true"/>
          <w:lang w:bidi="ar-SA"/>
        </w:rPr>
        <w:t>السيد محمّد كاظم الطباطبائي اليزدي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p>
    <w:p>
      <w:pPr>
        <w:pStyle w:val="BookText"/>
        <w:rPr/>
      </w:pPr>
      <w:r>
        <w:rPr>
          <w:rFonts w:ascii="Amiri" w:hAnsi="Amiri" w:eastAsia="Amiri" w:cs="Amiri"/>
          <w:color w:val="111111"/>
          <w:sz w:val="28"/>
          <w:sz w:val="28"/>
          <w:szCs w:val="28"/>
          <w:rtl w:val="true"/>
          <w:lang w:bidi="ar-SA"/>
        </w:rPr>
        <w:t>الشيخ الصدوق،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المكتبة الحيدرية ومطبعتها،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العناوين الفقهية</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مير عبد الفتاح الحسيني المراغي،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w:t>
      </w:r>
    </w:p>
    <w:p>
      <w:pPr>
        <w:pStyle w:val="BookText"/>
        <w:rPr/>
      </w:pPr>
      <w:r>
        <w:rPr>
          <w:rFonts w:ascii="Amiri" w:hAnsi="Amiri" w:eastAsia="Amiri" w:cs="Amiri"/>
          <w:color w:val="111111"/>
          <w:sz w:val="28"/>
          <w:sz w:val="28"/>
          <w:szCs w:val="28"/>
          <w:rtl w:val="true"/>
          <w:lang w:bidi="ar-SA"/>
        </w:rPr>
        <w:t xml:space="preserve">ابن أبي جمهور الأحسائي، انتشارات سيد الشهداء،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الأصول</w:t>
      </w:r>
    </w:p>
    <w:p>
      <w:pPr>
        <w:pStyle w:val="BookText"/>
        <w:rPr/>
      </w:pPr>
      <w:r>
        <w:rPr>
          <w:rFonts w:ascii="Amiri" w:hAnsi="Amiri" w:eastAsia="Amiri" w:cs="Amiri"/>
          <w:color w:val="111111"/>
          <w:sz w:val="28"/>
          <w:sz w:val="28"/>
          <w:szCs w:val="28"/>
          <w:rtl w:val="true"/>
          <w:lang w:bidi="ar-SA"/>
        </w:rPr>
        <w:t>الشيخ الأنصاري،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الطبعة الثامنة،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المنسوب إلى الإمام الثامن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رحمة الله الرحمتي، مؤسّسة النشر الإسلامي، الطبعة الأولى،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الطوسي</w:t>
      </w:r>
    </w:p>
    <w:p>
      <w:pPr>
        <w:pStyle w:val="BookText"/>
        <w:rPr/>
      </w:pPr>
      <w:r>
        <w:rPr>
          <w:rFonts w:ascii="Amiri" w:hAnsi="Amiri" w:eastAsia="Amiri" w:cs="Amiri"/>
          <w:color w:val="111111"/>
          <w:sz w:val="28"/>
          <w:sz w:val="28"/>
          <w:szCs w:val="28"/>
          <w:rtl w:val="true"/>
          <w:lang w:bidi="ar-SA"/>
        </w:rPr>
        <w:t>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مؤسسة نشر الفقاهة، الطبعة الثانية،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ضرر ولا ضرار</w:t>
      </w:r>
    </w:p>
    <w:p>
      <w:pPr>
        <w:pStyle w:val="BookText"/>
        <w:rPr/>
      </w:pPr>
      <w:r>
        <w:rPr>
          <w:rFonts w:ascii="Amiri" w:hAnsi="Amiri" w:eastAsia="Amiri" w:cs="Amiri"/>
          <w:color w:val="111111"/>
          <w:sz w:val="28"/>
          <w:sz w:val="28"/>
          <w:szCs w:val="28"/>
          <w:rtl w:val="true"/>
          <w:lang w:bidi="ar-SA"/>
        </w:rPr>
        <w:t>تقرير أبحاث آية الله العظمى الشيخ ضياء الدين العراقي، تأليف آية الله السيد مرتضى الموسوي الخلخالي،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قاسم الحسيني الجلالي، مركز النشر التابع لمكتب الإعلام الإسلامي،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ضرر ولا ضرار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الشريعة الأصفهاني،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أبو طالبي عراقي، مؤسسة النشر </w:t>
      </w:r>
    </w:p>
    <w:p>
      <w:pPr>
        <w:pStyle w:val="BookText"/>
        <w:rPr/>
      </w:pPr>
      <w:r>
        <w:rPr>
          <w:rFonts w:ascii="Amiri" w:hAnsi="Amiri" w:eastAsia="Amiri" w:cs="Amiri"/>
          <w:color w:val="111111"/>
          <w:sz w:val="28"/>
          <w:sz w:val="28"/>
          <w:szCs w:val="28"/>
          <w:rtl w:val="true"/>
          <w:lang w:bidi="ar-SA"/>
        </w:rPr>
        <w:t xml:space="preserve">الإسلامي،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ضرر ولا ضرار</w:t>
      </w:r>
    </w:p>
    <w:p>
      <w:pPr>
        <w:pStyle w:val="BookText"/>
        <w:rPr/>
      </w:pPr>
      <w:r>
        <w:rPr>
          <w:rFonts w:ascii="Amiri" w:hAnsi="Amiri" w:eastAsia="Amiri" w:cs="Amiri"/>
          <w:color w:val="111111"/>
          <w:sz w:val="28"/>
          <w:sz w:val="28"/>
          <w:szCs w:val="28"/>
          <w:rtl w:val="true"/>
          <w:lang w:bidi="ar-SA"/>
        </w:rPr>
        <w:t xml:space="preserve">محاضرات آية الله العظمى السيد علي الحسيني السيستاني دام ظلّه، دار المؤرّخ العربي،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نفي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مع منية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بقلم الشيخ موسى النجفي الخونساري، وهو ما استفاده من أستاذه المحقّق النائيني،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الثانية،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الشيخ الكليني،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الطبعة السابعة،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الخلاف</w:t>
      </w:r>
    </w:p>
    <w:p>
      <w:pPr>
        <w:pStyle w:val="BookText"/>
        <w:rPr/>
      </w:pPr>
      <w:r>
        <w:rPr>
          <w:rFonts w:ascii="Amiri" w:hAnsi="Amiri" w:eastAsia="Amiri" w:cs="Amiri"/>
          <w:color w:val="111111"/>
          <w:sz w:val="28"/>
          <w:sz w:val="28"/>
          <w:szCs w:val="28"/>
          <w:rtl w:val="true"/>
          <w:lang w:bidi="ar-SA"/>
        </w:rPr>
        <w:t>الشيخ الطوسي،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والسيد جواد الشهرستاني والشيخ مهدي نجف، مؤسسة النشر الإسلامي، الطبعة الرابعة،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الأحكام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 السبزواري،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الواعظي الأراكي، مؤسّسة النشر الإسلامي،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قم المشرّفة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الأصول</w:t>
      </w:r>
    </w:p>
    <w:p>
      <w:pPr>
        <w:pStyle w:val="BookText"/>
        <w:rPr/>
      </w:pPr>
      <w:r>
        <w:rPr>
          <w:rFonts w:ascii="Amiri" w:hAnsi="Amiri" w:eastAsia="Amiri" w:cs="Amiri"/>
          <w:color w:val="111111"/>
          <w:sz w:val="28"/>
          <w:sz w:val="28"/>
          <w:szCs w:val="28"/>
          <w:rtl w:val="true"/>
          <w:lang w:bidi="ar-SA"/>
        </w:rPr>
        <w:t>الشيخ محمّد كاظم الخراساني،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علي الزارعي السبزواري، مؤسّسة النشر الإسلامي، الطبعة الثانية،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p>
    <w:p>
      <w:pPr>
        <w:pStyle w:val="BookText"/>
        <w:rPr/>
      </w:pPr>
      <w:r>
        <w:rPr>
          <w:rFonts w:ascii="Amiri" w:hAnsi="Amiri" w:eastAsia="Amiri" w:cs="Amiri"/>
          <w:color w:val="111111"/>
          <w:sz w:val="28"/>
          <w:sz w:val="28"/>
          <w:szCs w:val="28"/>
          <w:rtl w:val="true"/>
          <w:lang w:bidi="ar-SA"/>
        </w:rPr>
        <w:t>المتّقي الهندي،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بكري حياني، مؤسّسة الرسالة،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p>
    <w:p>
      <w:pPr>
        <w:pStyle w:val="BookText"/>
        <w:rPr/>
      </w:pPr>
      <w:r>
        <w:rPr>
          <w:rFonts w:ascii="Amiri" w:hAnsi="Amiri" w:eastAsia="Amiri" w:cs="Amiri"/>
          <w:color w:val="111111"/>
          <w:sz w:val="28"/>
          <w:sz w:val="28"/>
          <w:szCs w:val="28"/>
          <w:rtl w:val="true"/>
          <w:lang w:bidi="ar-SA"/>
        </w:rPr>
        <w:t>ابن منظور الأفريقي المصري،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إبراهيم شمس الدين، نضال علي، مؤسّسة الأعلمي للمطبوعات،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الشيخ فخر الدين الطريحي،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 نشر الثقافة الإسلامية،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Amiri" w:hAnsi="Amiri" w:eastAsia="Amiri" w:cs="Amiri"/>
          <w:color w:val="111111"/>
          <w:sz w:val="28"/>
          <w:sz w:val="28"/>
          <w:szCs w:val="28"/>
          <w:rtl w:val="true"/>
          <w:lang w:bidi="ar-SA"/>
        </w:rPr>
        <w:t xml:space="preserve">علي بن أبي بكر الهيثمي،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العلاّمة الحلّي،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الشهيد الثاني،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p>
    <w:p>
      <w:pPr>
        <w:pStyle w:val="BookText"/>
        <w:rPr/>
      </w:pPr>
      <w:r>
        <w:rPr>
          <w:rFonts w:ascii="IRNazanin" w:hAnsi="IRNazanin" w:eastAsia="IRNazanin"/>
          <w:color w:val="111111"/>
          <w:sz w:val="28"/>
          <w:sz w:val="28"/>
          <w:szCs w:val="28"/>
          <w:rtl w:val="true"/>
          <w:lang w:bidi="fa-IR"/>
        </w:rPr>
        <w:t>الميرزا الشيخ حسين النوري،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الرابعة،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w:t>
      </w:r>
    </w:p>
    <w:p>
      <w:pPr>
        <w:pStyle w:val="BookText"/>
        <w:rPr/>
      </w:pPr>
      <w:r>
        <w:rPr>
          <w:rFonts w:ascii="Amiri" w:hAnsi="Amiri" w:eastAsia="Amiri" w:cs="Amiri"/>
          <w:color w:val="111111"/>
          <w:sz w:val="28"/>
          <w:sz w:val="28"/>
          <w:szCs w:val="28"/>
          <w:rtl w:val="true"/>
          <w:lang w:bidi="ar-SA"/>
        </w:rPr>
        <w:t xml:space="preserve">السيد محسن الطباطبائي الحكيم، دار إحياء التراث العربي، الطبعة الأولى للناشر،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المستند في شرح العروة الوثقى</w:t>
      </w:r>
    </w:p>
    <w:p>
      <w:pPr>
        <w:pStyle w:val="BookText"/>
        <w:rPr/>
      </w:pPr>
      <w:r>
        <w:rPr>
          <w:rFonts w:ascii="Amiri" w:hAnsi="Amiri" w:eastAsia="Amiri" w:cs="Amiri"/>
          <w:color w:val="111111"/>
          <w:sz w:val="28"/>
          <w:sz w:val="28"/>
          <w:szCs w:val="28"/>
          <w:rtl w:val="true"/>
          <w:lang w:bidi="ar-SA"/>
        </w:rPr>
        <w:t xml:space="preserve">تقرير أبحاث الإمام السيد الخوئي، بقلم الشهيد الشيخ مرتضى البروجردي، مؤسّسة إحياء آثار الإمام الخوئي، الطبعة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الأصول</w:t>
      </w:r>
    </w:p>
    <w:p>
      <w:pPr>
        <w:pStyle w:val="BookText"/>
        <w:rPr/>
      </w:pPr>
      <w:r>
        <w:rPr>
          <w:rFonts w:ascii="Amiri" w:hAnsi="Amiri" w:eastAsia="Amiri" w:cs="Amiri"/>
          <w:color w:val="111111"/>
          <w:sz w:val="28"/>
          <w:sz w:val="28"/>
          <w:szCs w:val="28"/>
          <w:rtl w:val="true"/>
          <w:lang w:bidi="ar-SA"/>
        </w:rPr>
        <w:t xml:space="preserve">تقرير بحث آية الله العظمى السيد الخوئي، بقلم السيد محمّد سرور الواعظ الحسيني البهسودي، موسوعة إحياء آثار الإمام الخوئي، الطبعة الثالثة،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الفيومي، نشر مؤسسة دار الهجرة،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p>
    <w:p>
      <w:pPr>
        <w:pStyle w:val="BookText"/>
        <w:rPr/>
      </w:pPr>
      <w:r>
        <w:rPr>
          <w:rFonts w:ascii="Amiri" w:hAnsi="Amiri" w:eastAsia="Amiri" w:cs="Amiri"/>
          <w:color w:val="111111"/>
          <w:sz w:val="28"/>
          <w:sz w:val="28"/>
          <w:szCs w:val="28"/>
          <w:rtl w:val="true"/>
          <w:lang w:bidi="ar-SA"/>
        </w:rPr>
        <w:t>الشيخ الصدوق،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علي أكبر الغفاري، مؤسّسة النشر الإسلامي، الطبعة السادسة،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p>
    <w:p>
      <w:pPr>
        <w:pStyle w:val="BookText"/>
        <w:rPr/>
      </w:pPr>
      <w:r>
        <w:rPr>
          <w:rFonts w:ascii="Amiri" w:hAnsi="Amiri" w:eastAsia="Amiri" w:cs="Amiri"/>
          <w:color w:val="111111"/>
          <w:sz w:val="28"/>
          <w:sz w:val="28"/>
          <w:szCs w:val="28"/>
          <w:rtl w:val="true"/>
          <w:lang w:bidi="ar-SA"/>
        </w:rPr>
        <w:t xml:space="preserve">آية الله العظمى السيد أبو القاسم الخوئي، الطبعة الخامسة،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الكرامة</w:t>
      </w:r>
    </w:p>
    <w:p>
      <w:pPr>
        <w:pStyle w:val="BookText"/>
        <w:rPr/>
      </w:pPr>
      <w:r>
        <w:rPr>
          <w:rFonts w:ascii="Amiri" w:hAnsi="Amiri" w:eastAsia="Amiri" w:cs="Amiri"/>
          <w:color w:val="111111"/>
          <w:sz w:val="28"/>
          <w:sz w:val="28"/>
          <w:szCs w:val="28"/>
          <w:rtl w:val="true"/>
          <w:lang w:bidi="ar-SA"/>
        </w:rPr>
        <w:t>السيد محمّد جواد الحسيني العاملي،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الخالصي، مؤسّسة النشر الإسلامي،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الأصول</w:t>
      </w:r>
    </w:p>
    <w:p>
      <w:pPr>
        <w:pStyle w:val="BookText"/>
        <w:rPr/>
      </w:pPr>
      <w:r>
        <w:rPr>
          <w:rFonts w:ascii="Amiri" w:hAnsi="Amiri" w:eastAsia="Amiri" w:cs="Amiri"/>
          <w:color w:val="111111"/>
          <w:sz w:val="28"/>
          <w:sz w:val="28"/>
          <w:szCs w:val="28"/>
          <w:rtl w:val="true"/>
          <w:lang w:bidi="ar-SA"/>
        </w:rPr>
        <w:t>الشيخ ضياء الدين العراقي،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مجتبى المحمودي والسيد منذر الحكيم، مجمع الفكر الإسلامي،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الشيخ الصدوق،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w:t>
      </w:r>
    </w:p>
    <w:p>
      <w:pPr>
        <w:pStyle w:val="BookText"/>
        <w:rPr/>
      </w:pPr>
      <w:r>
        <w:rPr>
          <w:rFonts w:ascii="Amiri" w:hAnsi="Amiri" w:eastAsia="Amiri" w:cs="Amiri"/>
          <w:color w:val="111111"/>
          <w:sz w:val="28"/>
          <w:sz w:val="28"/>
          <w:szCs w:val="28"/>
          <w:rtl w:val="true"/>
          <w:lang w:bidi="ar-SA"/>
        </w:rPr>
        <w:t xml:space="preserve">الإسلامي، الطبعة الرابعة،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منتقى الأصول</w:t>
      </w:r>
    </w:p>
    <w:p>
      <w:pPr>
        <w:pStyle w:val="BookText"/>
        <w:rPr/>
      </w:pPr>
      <w:r>
        <w:rPr>
          <w:rFonts w:ascii="Amiri" w:hAnsi="Amiri" w:eastAsia="Amiri" w:cs="Amiri"/>
          <w:color w:val="111111"/>
          <w:sz w:val="28"/>
          <w:sz w:val="28"/>
          <w:szCs w:val="28"/>
          <w:rtl w:val="true"/>
          <w:lang w:bidi="ar-SA"/>
        </w:rPr>
        <w:t xml:space="preserve">تقرير أبحاث آية الله السيد محمّد الروحاني، بقلم الشهيد السيد عبد الصاحب الحكيم،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الأزهار في أحكام الخيار</w:t>
      </w:r>
    </w:p>
    <w:p>
      <w:pPr>
        <w:pStyle w:val="BookText"/>
        <w:rPr/>
      </w:pPr>
      <w:r>
        <w:rPr>
          <w:rFonts w:ascii="Amiri" w:hAnsi="Amiri" w:eastAsia="Amiri" w:cs="Amiri"/>
          <w:color w:val="111111"/>
          <w:sz w:val="28"/>
          <w:sz w:val="28"/>
          <w:szCs w:val="28"/>
          <w:rtl w:val="true"/>
          <w:lang w:bidi="ar-SA"/>
        </w:rPr>
        <w:t xml:space="preserve">تقرير بحث المحقّق شيخ الشريعة الأصفهاني، بقلم الشيخ محمّد حسين السبحاني، طبع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الراية، عبدالله الزيلعي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دار الحديث،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 في شرح الكفاية</w:t>
      </w:r>
    </w:p>
    <w:p>
      <w:pPr>
        <w:pStyle w:val="BookText"/>
        <w:rPr/>
      </w:pPr>
      <w:r>
        <w:rPr>
          <w:rFonts w:ascii="IRNazanin" w:hAnsi="IRNazanin" w:eastAsia="IRNazanin"/>
          <w:color w:val="111111"/>
          <w:sz w:val="28"/>
          <w:sz w:val="28"/>
          <w:szCs w:val="28"/>
          <w:rtl w:val="true"/>
          <w:lang w:bidi="fa-IR"/>
        </w:rPr>
        <w:t>الشيخ محمّد حسين الأصفهاني،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أبو الحسين القائمي،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الثانية،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الأثير،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أحمد الزاوي، محمود محمّد الطناحي، مؤسّسة إسماعيليان،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مجموعة من خطب وحكم وكلمات قصار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جمعها الشريف الرضي، دار الذخائر،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كلام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السيد الشريف الرضي، الطبعة الأولى للناشر،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نشر مؤسسة نهج البلاغة،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p>
    <w:p>
      <w:pPr>
        <w:pStyle w:val="BookText"/>
        <w:rPr/>
      </w:pPr>
      <w:r>
        <w:rPr>
          <w:rFonts w:ascii="IRNazanin" w:hAnsi="IRNazanin" w:eastAsia="IRNazanin"/>
          <w:color w:val="111111"/>
          <w:sz w:val="28"/>
          <w:sz w:val="28"/>
          <w:szCs w:val="28"/>
          <w:rtl w:val="true"/>
          <w:lang w:bidi="fa-IR"/>
        </w:rPr>
        <w:t>الشيخ الصدوق،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الأصول</w:t>
      </w:r>
    </w:p>
    <w:p>
      <w:pPr>
        <w:pStyle w:val="BookText"/>
        <w:rPr/>
      </w:pPr>
      <w:r>
        <w:rPr>
          <w:rFonts w:ascii="Amiri" w:hAnsi="Amiri" w:eastAsia="Amiri" w:cs="Amiri"/>
          <w:color w:val="111111"/>
          <w:sz w:val="28"/>
          <w:sz w:val="28"/>
          <w:szCs w:val="28"/>
          <w:rtl w:val="true"/>
          <w:lang w:bidi="ar-SA"/>
        </w:rPr>
        <w:t>تقرير أبحاث آية الله العظمى السيد أبي القاسم الخوئي، تأليف آية الله الشيخ حسن الصافي الأصفهاني،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الوافية</w:t>
      </w:r>
    </w:p>
    <w:p>
      <w:pPr>
        <w:pStyle w:val="BookText"/>
        <w:rPr/>
      </w:pPr>
      <w:r>
        <w:rPr>
          <w:rFonts w:ascii="Amiri" w:hAnsi="Amiri" w:eastAsia="Amiri" w:cs="Amiri"/>
          <w:color w:val="111111"/>
          <w:sz w:val="28"/>
          <w:sz w:val="28"/>
          <w:szCs w:val="28"/>
          <w:rtl w:val="true"/>
          <w:lang w:bidi="ar-SA"/>
        </w:rPr>
        <w:t>الفاضل التوني،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الرضوي الكشميري، مجمع الفكر الإسلامي، الطبعة الأولى المحقّقة،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محسن الفيض الكاشاني،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الحسيني الأصفهاني، </w:t>
      </w:r>
    </w:p>
    <w:p>
      <w:pPr>
        <w:pStyle w:val="BookText"/>
        <w:rPr/>
      </w:pPr>
      <w:r>
        <w:rPr>
          <w:rFonts w:ascii="IRNazanin" w:hAnsi="IRNazanin" w:eastAsia="IRNazanin"/>
          <w:color w:val="111111"/>
          <w:sz w:val="28"/>
          <w:sz w:val="28"/>
          <w:szCs w:val="28"/>
          <w:rtl w:val="true"/>
          <w:lang w:bidi="fa-IR"/>
        </w:rPr>
        <w:t>نشر مكتبة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أصفهان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محمّد بن الحسن، الحرّ العاملي،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الطبعة الثالثة،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بيروت</w:t>
      </w:r>
      <w:r>
        <w:rPr>
          <w:rFonts w:eastAsia="IRNazanin" w:cs="IRNazanin"/>
          <w:color w:val="111111"/>
          <w:sz w:val="28"/>
          <w:szCs w:val="28"/>
          <w:rtl w:val="true"/>
          <w:lang w:bidi="fa-IR"/>
        </w:rPr>
        <w:t xml:space="preserve">. </w:t>
      </w:r>
      <w:bookmarkStart w:id="140" w:name="pg8595_75666"/>
    </w:p>
    <w:p>
      <w:pPr>
        <w:pStyle w:val="Heading2"/>
        <w:numPr>
          <w:ilvl w:val="1"/>
          <w:numId w:val="1"/>
        </w:numPr>
        <w:rPr/>
      </w:pPr>
      <w:bookmarkStart w:id="141" w:name="__RefHeading___Toc1770926_653776707"/>
      <w:bookmarkStart w:id="142" w:name="_Toc50"/>
      <w:bookmarkEnd w:id="140"/>
      <w:bookmarkEnd w:id="141"/>
      <w:r>
        <w:rPr>
          <w:rtl w:val="true"/>
        </w:rPr>
        <w:t>فهرس المحتويات</w:t>
      </w:r>
      <w:bookmarkEnd w:id="142"/>
    </w:p>
    <w:p>
      <w:pPr>
        <w:pStyle w:val="BookText"/>
        <w:rPr/>
      </w:pPr>
      <w:r>
        <w:rPr>
          <w:rFonts w:ascii="Amiri" w:hAnsi="Amiri" w:eastAsia="Amiri" w:cs="Amiri"/>
          <w:color w:val="111111"/>
          <w:sz w:val="28"/>
          <w:sz w:val="28"/>
          <w:szCs w:val="28"/>
          <w:rtl w:val="true"/>
          <w:lang w:bidi="ar-SA"/>
        </w:rPr>
        <w:t>كلمة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قاعدة لا 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قضية سمرة بن جندب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باب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منع فضل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هدم الجدار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حكم الدابة إذا جنت على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بنحو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أسانيد الطائفة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أسانيد الطائفة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أسانيد الطائفة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أسانيد الطائفة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أسانيد الطائفة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أسانيد الطائفة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متون الأحاديث وفيه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الحديث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وجودهما فهل يترتب أثر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صدرت مستقلّة أو في ضمن القضايا؟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الأحاديث وفيه جهتان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مفردات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 الهيئة التركيبية وفيه مسالك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العناوين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المسلك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أعاظم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الأعلام الأجلاّء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تقرير المسالك وما يرد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تقرير المسلك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تقرير المسلك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تقرير المسلك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تقرير المسلك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تقرير المسلك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تقرير المسلك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القاعدة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القاعدة مع أدلة الأحكام الأوّليّة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دليل نفي الضرر على أدلة الأحكام الترخيصيّة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القاعدة للأحكام العدميّة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المنفي هو الضرر المعلوم أو الواقعي؟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بالضرر المنفي هو الضرر الشخصي أو النوعي؟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تشمل القاعدة الضرر الاختياري وغير الاختياري؟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دليل لا ضرر مع أدلة أحكام العناوين الثانوية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الاستدلال بجملة من الآيات،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تُمْسِكُوهُنَّ ضِرَاراً لِتَعْتَدُوا وَمَنْ يَفْعَلْ ذَلِكَ فَقَدْ ظَلَمَ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 بين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بين الأرضين، جمع، كغرف، وأرّف على الأرض تأريفاً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جعلت لها حدود وقسمت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أرف</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الطاحون، والجمع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الوافي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الأثير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أن يمنع نقع البئر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فضل مائها؛ لأنّه ينقع به العطش، أي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وشرب حتى 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 الماء الناقع، وهو المجتمع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کلام ابن الأثير، وسيأتي مزيد من البيان في ذلك، فلاحظ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10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ورواه في العلل مسنداً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فليلاحظ</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الشافية وشرحها للرضي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قاعدة لا ضرر ولا ضرار للسيد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ألقى جلباب الحياء فلا غيبة 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11025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العناوين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في شرح موطّأ 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حواشي المشكيني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الأزهار في أحكام الخيار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الحاشية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الدرر في قاعدة نفي الضرر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ذلك في الثلاث والأربع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دراسات في علم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ضمن رسائل 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الشيخ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تعاليق الأعلام على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ويظهر من تعليقه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العروة الوثقى القول بالاحتياط بالإعادة مطلقاً، وهذا نصّ عبارته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إشكال، والاحتياط بالإعادة لا يترك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قاعدة لا 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ضمن رسائل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نفي الضرر والضرار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التقية في فقه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نفي 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منية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لا ضرر ولا ضرار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في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سند الرواية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الثانية والرابعة والخامسة والحادية عشرة، المذكور في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معتبر، وإن وقع في بعض أسانيدها ممّن لم يوثّق صريحاً في كلمات الرجاليين، كيحيى بن المبارك في الأولى، وأبي الحسين الساباطي وهو عمر بن شداد الأزدي في الرابعة والخامسة أيضاً، إلاّ إنّه يمكن توثيقهم من جهة وقوعهم في أسانيد نوادر الحكمة</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image" Target="media/image2.jpeg"/><Relationship Id="rId332" Type="http://schemas.openxmlformats.org/officeDocument/2006/relationships/image" Target="media/image2.jpeg"/><Relationship Id="rId333" Type="http://schemas.openxmlformats.org/officeDocument/2006/relationships/footer" Target="footer324.xml"/><Relationship Id="rId334" Type="http://schemas.openxmlformats.org/officeDocument/2006/relationships/footnotes" Target="footnotes.xml"/><Relationship Id="rId335" Type="http://schemas.openxmlformats.org/officeDocument/2006/relationships/numbering" Target="numbering.xml"/><Relationship Id="rId336" Type="http://schemas.openxmlformats.org/officeDocument/2006/relationships/fontTable" Target="fontTable.xml"/><Relationship Id="rId337" Type="http://schemas.openxmlformats.org/officeDocument/2006/relationships/settings" Target="settings.xml"/><Relationship Id="rId3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328</Pages>
  <Words>60857</Words>
  <Characters>271908</Characters>
  <CharactersWithSpaces>330874</CharactersWithSpaces>
  <Paragraphs>2602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2026-08-20T01:58:33Z</dcterms:created>
  <dc:creator>ghaemiyeh.com</dc:creator>
  <dc:description/>
  <dc:language>en-US</dc:language>
  <cp:lastModifiedBy/>
  <dcterms:modified xsi:type="dcterms:W3CDTF">2026-08-20T05:28:41Z</dcterms:modified>
  <cp:revision>1</cp:revision>
  <dc:subject/>
  <dc:title>قاعدة لا ضرر و لا ضرار</dc:title>
</cp:coreProperties>
</file>

<file path=docProps/custom.xml><?xml version="1.0" encoding="utf-8"?>
<Properties xmlns="http://schemas.openxmlformats.org/officeDocument/2006/custom-properties" xmlns:vt="http://schemas.openxmlformats.org/officeDocument/2006/docPropsVTypes"/>
</file>