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تحریر تحریرالوسیلة للامام الخمینی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65060_653776707">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265062_653776707">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265064_653776707">
            <w:r>
              <w:rPr>
                <w:webHidden/>
                <w:rStyle w:val="IndexLink"/>
                <w:rtl w:val="true"/>
              </w:rPr>
              <w:t>المقدّمة</w:t>
            </w:r>
            <w:r>
              <w:rPr>
                <w:rStyle w:val="IndexLink"/>
                <w:rtl w:val="true"/>
              </w:rPr>
              <w:tab/>
            </w:r>
            <w:r>
              <w:rPr>
                <w:rStyle w:val="IndexLink"/>
              </w:rPr>
              <w:t>14</w:t>
            </w:r>
          </w:hyperlink>
        </w:p>
        <w:p>
          <w:pPr>
            <w:pStyle w:val="Contents3"/>
            <w:tabs>
              <w:tab w:val="clear" w:pos="8459"/>
              <w:tab w:val="right" w:pos="9026" w:leader="dot"/>
            </w:tabs>
            <w:rPr/>
          </w:pPr>
          <w:hyperlink w:anchor="__RefHeading___Toc1265066_653776707">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1265068_653776707">
            <w:r>
              <w:rPr>
                <w:webHidden/>
                <w:rStyle w:val="IndexLink"/>
                <w:rtl w:val="true"/>
              </w:rPr>
              <w:t>إلماحات</w:t>
            </w:r>
            <w:r>
              <w:rPr>
                <w:rStyle w:val="IndexLink"/>
                <w:rtl w:val="true"/>
              </w:rPr>
              <w:tab/>
            </w:r>
            <w:r>
              <w:rPr>
                <w:rStyle w:val="IndexLink"/>
              </w:rPr>
              <w:t>15</w:t>
            </w:r>
          </w:hyperlink>
        </w:p>
        <w:p>
          <w:pPr>
            <w:pStyle w:val="Contents3"/>
            <w:tabs>
              <w:tab w:val="clear" w:pos="8459"/>
              <w:tab w:val="right" w:pos="9026" w:leader="dot"/>
            </w:tabs>
            <w:rPr/>
          </w:pPr>
          <w:hyperlink w:anchor="__RefHeading___Toc1265070_653776707">
            <w:r>
              <w:rPr>
                <w:webHidden/>
                <w:rStyle w:val="IndexLink"/>
                <w:rtl w:val="true"/>
              </w:rPr>
              <w:t>صورة خط آیة اللّه علیّ المشکینی رحمه الله</w:t>
            </w:r>
            <w:r>
              <w:rPr>
                <w:rStyle w:val="IndexLink"/>
                <w:rtl w:val="true"/>
              </w:rPr>
              <w:tab/>
            </w:r>
            <w:r>
              <w:rPr>
                <w:rStyle w:val="IndexLink"/>
              </w:rPr>
              <w:t>21</w:t>
            </w:r>
          </w:hyperlink>
        </w:p>
        <w:p>
          <w:pPr>
            <w:pStyle w:val="Contents2"/>
            <w:tabs>
              <w:tab w:val="clear" w:pos="8743"/>
              <w:tab w:val="right" w:pos="9026" w:leader="dot"/>
            </w:tabs>
            <w:rPr/>
          </w:pPr>
          <w:hyperlink w:anchor="__RefHeading___Toc1265072_653776707">
            <w:r>
              <w:rPr>
                <w:webHidden/>
                <w:rStyle w:val="IndexLink"/>
                <w:rtl w:val="true"/>
              </w:rPr>
              <w:t>مسائل الاجتهاد والتقلید</w:t>
            </w:r>
            <w:r>
              <w:rPr>
                <w:rStyle w:val="IndexLink"/>
                <w:rtl w:val="true"/>
              </w:rPr>
              <w:tab/>
            </w:r>
            <w:r>
              <w:rPr>
                <w:rStyle w:val="IndexLink"/>
              </w:rPr>
              <w:t>22</w:t>
            </w:r>
          </w:hyperlink>
        </w:p>
        <w:p>
          <w:pPr>
            <w:pStyle w:val="Contents2"/>
            <w:tabs>
              <w:tab w:val="clear" w:pos="8743"/>
              <w:tab w:val="right" w:pos="9026" w:leader="dot"/>
            </w:tabs>
            <w:rPr/>
          </w:pPr>
          <w:hyperlink w:anchor="__RefHeading___Toc1265074_653776707">
            <w:r>
              <w:rPr>
                <w:webHidden/>
                <w:rStyle w:val="IndexLink"/>
                <w:rtl w:val="true"/>
              </w:rPr>
              <w:t>کتاب الطهارة</w:t>
            </w:r>
            <w:r>
              <w:rPr>
                <w:rStyle w:val="IndexLink"/>
                <w:rtl w:val="true"/>
              </w:rPr>
              <w:tab/>
            </w:r>
            <w:r>
              <w:rPr>
                <w:rStyle w:val="IndexLink"/>
              </w:rPr>
              <w:t>24</w:t>
            </w:r>
          </w:hyperlink>
        </w:p>
        <w:p>
          <w:pPr>
            <w:pStyle w:val="Contents3"/>
            <w:tabs>
              <w:tab w:val="clear" w:pos="8459"/>
              <w:tab w:val="right" w:pos="9026" w:leader="dot"/>
            </w:tabs>
            <w:rPr/>
          </w:pPr>
          <w:hyperlink w:anchor="__RefHeading___Toc1265076_653776707">
            <w:r>
              <w:rPr>
                <w:webHidden/>
                <w:rStyle w:val="IndexLink"/>
                <w:rtl w:val="true"/>
              </w:rPr>
              <w:t>فصل فی المیاه</w:t>
            </w:r>
            <w:r>
              <w:rPr>
                <w:rStyle w:val="IndexLink"/>
                <w:rtl w:val="true"/>
              </w:rPr>
              <w:tab/>
            </w:r>
            <w:r>
              <w:rPr>
                <w:rStyle w:val="IndexLink"/>
              </w:rPr>
              <w:t>24</w:t>
            </w:r>
          </w:hyperlink>
        </w:p>
        <w:p>
          <w:pPr>
            <w:pStyle w:val="Contents3"/>
            <w:tabs>
              <w:tab w:val="clear" w:pos="8459"/>
              <w:tab w:val="right" w:pos="9026" w:leader="dot"/>
            </w:tabs>
            <w:rPr/>
          </w:pPr>
          <w:hyperlink w:anchor="__RefHeading___Toc1265078_653776707">
            <w:r>
              <w:rPr>
                <w:webHidden/>
                <w:rStyle w:val="IndexLink"/>
                <w:rtl w:val="true"/>
              </w:rPr>
              <w:t>فصل فی أحکام التخلّی</w:t>
            </w:r>
            <w:r>
              <w:rPr>
                <w:rStyle w:val="IndexLink"/>
                <w:rtl w:val="true"/>
              </w:rPr>
              <w:tab/>
            </w:r>
            <w:r>
              <w:rPr>
                <w:rStyle w:val="IndexLink"/>
              </w:rPr>
              <w:t>25</w:t>
            </w:r>
          </w:hyperlink>
        </w:p>
        <w:p>
          <w:pPr>
            <w:pStyle w:val="Contents3"/>
            <w:tabs>
              <w:tab w:val="clear" w:pos="8459"/>
              <w:tab w:val="right" w:pos="9026" w:leader="dot"/>
            </w:tabs>
            <w:rPr/>
          </w:pPr>
          <w:hyperlink w:anchor="__RefHeading___Toc1265080_653776707">
            <w:r>
              <w:rPr>
                <w:webHidden/>
                <w:rStyle w:val="IndexLink"/>
                <w:rtl w:val="true"/>
              </w:rPr>
              <w:t>فصل فی الوضوء</w:t>
            </w:r>
            <w:r>
              <w:rPr>
                <w:rStyle w:val="IndexLink"/>
                <w:rtl w:val="true"/>
              </w:rPr>
              <w:tab/>
            </w:r>
            <w:r>
              <w:rPr>
                <w:rStyle w:val="IndexLink"/>
              </w:rPr>
              <w:t>27</w:t>
            </w:r>
          </w:hyperlink>
        </w:p>
        <w:p>
          <w:pPr>
            <w:pStyle w:val="Contents4"/>
            <w:tabs>
              <w:tab w:val="clear" w:pos="8176"/>
              <w:tab w:val="right" w:pos="9026" w:leader="dot"/>
            </w:tabs>
            <w:rPr/>
          </w:pPr>
          <w:hyperlink w:anchor="__RefHeading___Toc1265082_653776707">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1265084_653776707">
            <w:r>
              <w:rPr>
                <w:webHidden/>
                <w:rStyle w:val="IndexLink"/>
                <w:rtl w:val="true"/>
              </w:rPr>
              <w:t>القول فی الواجبات</w:t>
            </w:r>
            <w:r>
              <w:rPr>
                <w:rStyle w:val="IndexLink"/>
                <w:rtl w:val="true"/>
              </w:rPr>
              <w:tab/>
            </w:r>
            <w:r>
              <w:rPr>
                <w:rStyle w:val="IndexLink"/>
              </w:rPr>
              <w:t>27</w:t>
            </w:r>
          </w:hyperlink>
        </w:p>
        <w:p>
          <w:pPr>
            <w:pStyle w:val="Contents4"/>
            <w:tabs>
              <w:tab w:val="clear" w:pos="8176"/>
              <w:tab w:val="right" w:pos="9026" w:leader="dot"/>
            </w:tabs>
            <w:rPr/>
          </w:pPr>
          <w:hyperlink w:anchor="__RefHeading___Toc1265086_653776707">
            <w:r>
              <w:rPr>
                <w:webHidden/>
                <w:rStyle w:val="IndexLink"/>
                <w:rtl w:val="true"/>
              </w:rPr>
              <w:t>فی شرائط الوضوء</w:t>
            </w:r>
            <w:r>
              <w:rPr>
                <w:rStyle w:val="IndexLink"/>
                <w:rtl w:val="true"/>
              </w:rPr>
              <w:tab/>
            </w:r>
            <w:r>
              <w:rPr>
                <w:rStyle w:val="IndexLink"/>
              </w:rPr>
              <w:t>28</w:t>
            </w:r>
          </w:hyperlink>
        </w:p>
        <w:p>
          <w:pPr>
            <w:pStyle w:val="Contents4"/>
            <w:tabs>
              <w:tab w:val="clear" w:pos="8176"/>
              <w:tab w:val="right" w:pos="9026" w:leader="dot"/>
            </w:tabs>
            <w:rPr/>
          </w:pPr>
          <w:hyperlink w:anchor="__RefHeading___Toc1265088_653776707">
            <w:r>
              <w:rPr>
                <w:webHidden/>
                <w:rStyle w:val="IndexLink"/>
                <w:rtl w:val="true"/>
              </w:rPr>
              <w:t>موجبات الوضوء وغایاته</w:t>
            </w:r>
            <w:r>
              <w:rPr>
                <w:rStyle w:val="IndexLink"/>
                <w:rtl w:val="true"/>
              </w:rPr>
              <w:tab/>
            </w:r>
            <w:r>
              <w:rPr>
                <w:rStyle w:val="IndexLink"/>
              </w:rPr>
              <w:t>29</w:t>
            </w:r>
          </w:hyperlink>
        </w:p>
        <w:p>
          <w:pPr>
            <w:pStyle w:val="Contents4"/>
            <w:tabs>
              <w:tab w:val="clear" w:pos="8176"/>
              <w:tab w:val="right" w:pos="9026" w:leader="dot"/>
            </w:tabs>
            <w:rPr/>
          </w:pPr>
          <w:hyperlink w:anchor="__RefHeading___Toc1265090_653776707">
            <w:r>
              <w:rPr>
                <w:webHidden/>
                <w:rStyle w:val="IndexLink"/>
                <w:rtl w:val="true"/>
              </w:rPr>
              <w:t>فی الجبیرة</w:t>
            </w:r>
            <w:r>
              <w:rPr>
                <w:rStyle w:val="IndexLink"/>
                <w:rtl w:val="true"/>
              </w:rPr>
              <w:tab/>
            </w:r>
            <w:r>
              <w:rPr>
                <w:rStyle w:val="IndexLink"/>
              </w:rPr>
              <w:t>30</w:t>
            </w:r>
          </w:hyperlink>
        </w:p>
        <w:p>
          <w:pPr>
            <w:pStyle w:val="Contents3"/>
            <w:tabs>
              <w:tab w:val="clear" w:pos="8459"/>
              <w:tab w:val="right" w:pos="9026" w:leader="dot"/>
            </w:tabs>
            <w:rPr/>
          </w:pPr>
          <w:hyperlink w:anchor="__RefHeading___Toc1265092_653776707">
            <w:r>
              <w:rPr>
                <w:webHidden/>
                <w:rStyle w:val="IndexLink"/>
                <w:rtl w:val="true"/>
              </w:rPr>
              <w:t>فصل فی الأغسال</w:t>
            </w:r>
            <w:r>
              <w:rPr>
                <w:rStyle w:val="IndexLink"/>
                <w:rtl w:val="true"/>
              </w:rPr>
              <w:tab/>
            </w:r>
            <w:r>
              <w:rPr>
                <w:rStyle w:val="IndexLink"/>
              </w:rPr>
              <w:t>32</w:t>
            </w:r>
          </w:hyperlink>
        </w:p>
        <w:p>
          <w:pPr>
            <w:pStyle w:val="Contents3"/>
            <w:tabs>
              <w:tab w:val="clear" w:pos="8459"/>
              <w:tab w:val="right" w:pos="9026" w:leader="dot"/>
            </w:tabs>
            <w:rPr/>
          </w:pPr>
          <w:hyperlink w:anchor="__RefHeading___Toc1265094_653776707">
            <w:r>
              <w:rPr>
                <w:webHidden/>
                <w:rStyle w:val="IndexLink"/>
                <w:rtl w:val="true"/>
              </w:rPr>
              <w:t>فصل فی غسل الجنابة</w:t>
            </w:r>
            <w:r>
              <w:rPr>
                <w:rStyle w:val="IndexLink"/>
                <w:rtl w:val="true"/>
              </w:rPr>
              <w:tab/>
            </w:r>
            <w:r>
              <w:rPr>
                <w:rStyle w:val="IndexLink"/>
              </w:rPr>
              <w:t>32</w:t>
            </w:r>
          </w:hyperlink>
        </w:p>
        <w:p>
          <w:pPr>
            <w:pStyle w:val="Contents4"/>
            <w:tabs>
              <w:tab w:val="clear" w:pos="8176"/>
              <w:tab w:val="right" w:pos="9026" w:leader="dot"/>
            </w:tabs>
            <w:rPr/>
          </w:pPr>
          <w:hyperlink w:anchor="__RefHeading___Toc1265096_653776707">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1265098_653776707">
            <w:r>
              <w:rPr>
                <w:webHidden/>
                <w:rStyle w:val="IndexLink"/>
                <w:rtl w:val="true"/>
              </w:rPr>
              <w:t>أحکام الجُنُب</w:t>
            </w:r>
            <w:r>
              <w:rPr>
                <w:rStyle w:val="IndexLink"/>
                <w:rtl w:val="true"/>
              </w:rPr>
              <w:tab/>
            </w:r>
            <w:r>
              <w:rPr>
                <w:rStyle w:val="IndexLink"/>
              </w:rPr>
              <w:t>32</w:t>
            </w:r>
          </w:hyperlink>
        </w:p>
        <w:p>
          <w:pPr>
            <w:pStyle w:val="Contents4"/>
            <w:tabs>
              <w:tab w:val="clear" w:pos="8176"/>
              <w:tab w:val="right" w:pos="9026" w:leader="dot"/>
            </w:tabs>
            <w:rPr/>
          </w:pPr>
          <w:hyperlink w:anchor="__RefHeading___Toc1265100_653776707">
            <w:r>
              <w:rPr>
                <w:webHidden/>
                <w:rStyle w:val="IndexLink"/>
                <w:rtl w:val="true"/>
              </w:rPr>
              <w:t>واجبات الغسل</w:t>
            </w:r>
            <w:r>
              <w:rPr>
                <w:rStyle w:val="IndexLink"/>
                <w:rtl w:val="true"/>
              </w:rPr>
              <w:tab/>
            </w:r>
            <w:r>
              <w:rPr>
                <w:rStyle w:val="IndexLink"/>
              </w:rPr>
              <w:t>33</w:t>
            </w:r>
          </w:hyperlink>
        </w:p>
        <w:p>
          <w:pPr>
            <w:pStyle w:val="Contents3"/>
            <w:tabs>
              <w:tab w:val="clear" w:pos="8459"/>
              <w:tab w:val="right" w:pos="9026" w:leader="dot"/>
            </w:tabs>
            <w:rPr/>
          </w:pPr>
          <w:hyperlink w:anchor="__RefHeading___Toc1265102_653776707">
            <w:r>
              <w:rPr>
                <w:webHidden/>
                <w:rStyle w:val="IndexLink"/>
                <w:rtl w:val="true"/>
              </w:rPr>
              <w:t>فصلٌ فی غسل مسِّ المیّت</w:t>
            </w:r>
            <w:r>
              <w:rPr>
                <w:rStyle w:val="IndexLink"/>
                <w:rtl w:val="true"/>
              </w:rPr>
              <w:tab/>
            </w:r>
            <w:r>
              <w:rPr>
                <w:rStyle w:val="IndexLink"/>
              </w:rPr>
              <w:t>36</w:t>
            </w:r>
          </w:hyperlink>
        </w:p>
        <w:p>
          <w:pPr>
            <w:pStyle w:val="Contents3"/>
            <w:tabs>
              <w:tab w:val="clear" w:pos="8459"/>
              <w:tab w:val="right" w:pos="9026" w:leader="dot"/>
            </w:tabs>
            <w:rPr/>
          </w:pPr>
          <w:hyperlink w:anchor="__RefHeading___Toc1265104_653776707">
            <w:r>
              <w:rPr>
                <w:webHidden/>
                <w:rStyle w:val="IndexLink"/>
                <w:rtl w:val="true"/>
              </w:rPr>
              <w:t>فصلٌ فی أحکام الأموات</w:t>
            </w:r>
            <w:r>
              <w:rPr>
                <w:rStyle w:val="IndexLink"/>
                <w:rtl w:val="true"/>
              </w:rPr>
              <w:tab/>
            </w:r>
            <w:r>
              <w:rPr>
                <w:rStyle w:val="IndexLink"/>
              </w:rPr>
              <w:t>36</w:t>
            </w:r>
          </w:hyperlink>
        </w:p>
        <w:p>
          <w:pPr>
            <w:pStyle w:val="Contents3"/>
            <w:tabs>
              <w:tab w:val="clear" w:pos="8459"/>
              <w:tab w:val="right" w:pos="9026" w:leader="dot"/>
            </w:tabs>
            <w:rPr/>
          </w:pPr>
          <w:hyperlink w:anchor="__RefHeading___Toc1265106_653776707">
            <w:r>
              <w:rPr>
                <w:webHidden/>
                <w:rStyle w:val="IndexLink"/>
                <w:rtl w:val="true"/>
              </w:rPr>
              <w:t>فصلٌ فی التیمُّم</w:t>
            </w:r>
            <w:r>
              <w:rPr>
                <w:rStyle w:val="IndexLink"/>
                <w:rtl w:val="true"/>
              </w:rPr>
              <w:tab/>
            </w:r>
            <w:r>
              <w:rPr>
                <w:rStyle w:val="IndexLink"/>
              </w:rPr>
              <w:t>38</w:t>
            </w:r>
          </w:hyperlink>
        </w:p>
        <w:p>
          <w:pPr>
            <w:pStyle w:val="Contents3"/>
            <w:tabs>
              <w:tab w:val="clear" w:pos="8459"/>
              <w:tab w:val="right" w:pos="9026" w:leader="dot"/>
            </w:tabs>
            <w:rPr/>
          </w:pPr>
          <w:hyperlink w:anchor="__RefHeading___Toc1265108_653776707">
            <w:r>
              <w:rPr>
                <w:webHidden/>
                <w:rStyle w:val="IndexLink"/>
                <w:rtl w:val="true"/>
              </w:rPr>
              <w:t>فصل فی النجاسات</w:t>
            </w:r>
            <w:r>
              <w:rPr>
                <w:rStyle w:val="IndexLink"/>
                <w:rtl w:val="true"/>
              </w:rPr>
              <w:tab/>
            </w:r>
            <w:r>
              <w:rPr>
                <w:rStyle w:val="IndexLink"/>
              </w:rPr>
              <w:t>39</w:t>
            </w:r>
          </w:hyperlink>
        </w:p>
        <w:p>
          <w:pPr>
            <w:pStyle w:val="Contents4"/>
            <w:tabs>
              <w:tab w:val="clear" w:pos="8176"/>
              <w:tab w:val="right" w:pos="9026" w:leader="dot"/>
            </w:tabs>
            <w:rPr/>
          </w:pPr>
          <w:hyperlink w:anchor="__RefHeading___Toc1265110_653776707">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1265112_653776707">
            <w:r>
              <w:rPr>
                <w:webHidden/>
                <w:rStyle w:val="IndexLink"/>
                <w:rtl w:val="true"/>
              </w:rPr>
              <w:t>فی أحنام النجاسات</w:t>
            </w:r>
            <w:r>
              <w:rPr>
                <w:rStyle w:val="IndexLink"/>
                <w:rtl w:val="true"/>
              </w:rPr>
              <w:tab/>
            </w:r>
            <w:r>
              <w:rPr>
                <w:rStyle w:val="IndexLink"/>
              </w:rPr>
              <w:t>41</w:t>
            </w:r>
          </w:hyperlink>
        </w:p>
        <w:p>
          <w:pPr>
            <w:pStyle w:val="Contents5"/>
            <w:tabs>
              <w:tab w:val="clear" w:pos="7892"/>
              <w:tab w:val="right" w:pos="9026" w:leader="dot"/>
            </w:tabs>
            <w:rPr/>
          </w:pPr>
          <w:hyperlink w:anchor="__RefHeading___Toc1265114_653776707">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1265116_653776707">
            <w:r>
              <w:rPr>
                <w:webHidden/>
                <w:rStyle w:val="IndexLink"/>
                <w:rtl w:val="true"/>
              </w:rPr>
              <w:t>فیما یُعفی عنه فی الصّلاة</w:t>
            </w:r>
            <w:r>
              <w:rPr>
                <w:rStyle w:val="IndexLink"/>
                <w:rtl w:val="true"/>
              </w:rPr>
              <w:tab/>
            </w:r>
            <w:r>
              <w:rPr>
                <w:rStyle w:val="IndexLink"/>
              </w:rPr>
              <w:t>42</w:t>
            </w:r>
          </w:hyperlink>
        </w:p>
        <w:p>
          <w:pPr>
            <w:pStyle w:val="Contents3"/>
            <w:tabs>
              <w:tab w:val="clear" w:pos="8459"/>
              <w:tab w:val="right" w:pos="9026" w:leader="dot"/>
            </w:tabs>
            <w:rPr/>
          </w:pPr>
          <w:hyperlink w:anchor="__RefHeading___Toc1265118_653776707">
            <w:r>
              <w:rPr>
                <w:webHidden/>
                <w:rStyle w:val="IndexLink"/>
                <w:rtl w:val="true"/>
              </w:rPr>
              <w:t>فی المطهِّرات</w:t>
            </w:r>
            <w:r>
              <w:rPr>
                <w:rStyle w:val="IndexLink"/>
                <w:rtl w:val="true"/>
              </w:rPr>
              <w:tab/>
            </w:r>
            <w:r>
              <w:rPr>
                <w:rStyle w:val="IndexLink"/>
              </w:rPr>
              <w:t>43</w:t>
            </w:r>
          </w:hyperlink>
        </w:p>
        <w:p>
          <w:pPr>
            <w:pStyle w:val="Contents4"/>
            <w:tabs>
              <w:tab w:val="clear" w:pos="8176"/>
              <w:tab w:val="right" w:pos="9026" w:leader="dot"/>
            </w:tabs>
            <w:rPr/>
          </w:pPr>
          <w:hyperlink w:anchor="__RefHeading___Toc1265120_653776707">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1265122_653776707">
            <w:r>
              <w:rPr>
                <w:webHidden/>
                <w:rStyle w:val="IndexLink"/>
                <w:rtl w:val="true"/>
              </w:rPr>
              <w:t>فی الأوانی</w:t>
            </w:r>
            <w:r>
              <w:rPr>
                <w:rStyle w:val="IndexLink"/>
                <w:rtl w:val="true"/>
              </w:rPr>
              <w:tab/>
            </w:r>
            <w:r>
              <w:rPr>
                <w:rStyle w:val="IndexLink"/>
              </w:rPr>
              <w:t>45</w:t>
            </w:r>
          </w:hyperlink>
        </w:p>
        <w:p>
          <w:pPr>
            <w:pStyle w:val="Contents2"/>
            <w:tabs>
              <w:tab w:val="clear" w:pos="8743"/>
              <w:tab w:val="right" w:pos="9026" w:leader="dot"/>
            </w:tabs>
            <w:rPr/>
          </w:pPr>
          <w:hyperlink w:anchor="__RefHeading___Toc1265124_653776707">
            <w:r>
              <w:rPr>
                <w:webHidden/>
                <w:rStyle w:val="IndexLink"/>
                <w:rtl w:val="true"/>
              </w:rPr>
              <w:t>کتاب الصلاة</w:t>
            </w:r>
            <w:r>
              <w:rPr>
                <w:rStyle w:val="IndexLink"/>
                <w:rtl w:val="true"/>
              </w:rPr>
              <w:tab/>
            </w:r>
            <w:r>
              <w:rPr>
                <w:rStyle w:val="IndexLink"/>
              </w:rPr>
              <w:t>46</w:t>
            </w:r>
          </w:hyperlink>
        </w:p>
        <w:p>
          <w:pPr>
            <w:pStyle w:val="Contents3"/>
            <w:tabs>
              <w:tab w:val="clear" w:pos="8459"/>
              <w:tab w:val="right" w:pos="9026" w:leader="dot"/>
            </w:tabs>
            <w:rPr/>
          </w:pPr>
          <w:hyperlink w:anchor="__RefHeading___Toc1265126_653776707">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1265128_653776707">
            <w:r>
              <w:rPr>
                <w:webHidden/>
                <w:rStyle w:val="IndexLink"/>
                <w:rtl w:val="true"/>
              </w:rPr>
              <w:t>فصلٌ فی مقدّماتها</w:t>
            </w:r>
            <w:r>
              <w:rPr>
                <w:rStyle w:val="IndexLink"/>
                <w:rtl w:val="true"/>
              </w:rPr>
              <w:tab/>
            </w:r>
            <w:r>
              <w:rPr>
                <w:rStyle w:val="IndexLink"/>
              </w:rPr>
              <w:t>46</w:t>
            </w:r>
          </w:hyperlink>
        </w:p>
        <w:p>
          <w:pPr>
            <w:pStyle w:val="Contents4"/>
            <w:tabs>
              <w:tab w:val="clear" w:pos="8176"/>
              <w:tab w:val="right" w:pos="9026" w:leader="dot"/>
            </w:tabs>
            <w:rPr/>
          </w:pPr>
          <w:hyperlink w:anchor="__RefHeading___Toc1265130_653776707">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1265132_653776707">
            <w:r>
              <w:rPr>
                <w:webHidden/>
                <w:rStyle w:val="IndexLink"/>
                <w:rtl w:val="true"/>
              </w:rPr>
              <w:t>المقدّمة الاُولی</w:t>
            </w:r>
            <w:r>
              <w:rPr>
                <w:rStyle w:val="IndexLink"/>
                <w:rtl w:val="true"/>
              </w:rPr>
              <w:t xml:space="preserve">: </w:t>
            </w:r>
            <w:r>
              <w:rPr>
                <w:rStyle w:val="IndexLink"/>
                <w:rtl w:val="true"/>
              </w:rPr>
              <w:t>فی أعداد الفرائض والمواقیت الیومیّة</w:t>
            </w:r>
            <w:r>
              <w:rPr>
                <w:rStyle w:val="IndexLink"/>
                <w:rtl w:val="true"/>
              </w:rPr>
              <w:tab/>
            </w:r>
            <w:r>
              <w:rPr>
                <w:rStyle w:val="IndexLink"/>
              </w:rPr>
              <w:t>46</w:t>
            </w:r>
          </w:hyperlink>
        </w:p>
        <w:p>
          <w:pPr>
            <w:pStyle w:val="Contents4"/>
            <w:tabs>
              <w:tab w:val="clear" w:pos="8176"/>
              <w:tab w:val="right" w:pos="9026" w:leader="dot"/>
            </w:tabs>
            <w:rPr/>
          </w:pPr>
          <w:hyperlink w:anchor="__RefHeading___Toc1265134_653776707">
            <w:r>
              <w:rPr>
                <w:webHidden/>
                <w:rStyle w:val="IndexLink"/>
                <w:rtl w:val="true"/>
              </w:rPr>
              <w:t>المقدّمة الثانیة</w:t>
            </w:r>
            <w:r>
              <w:rPr>
                <w:rStyle w:val="IndexLink"/>
                <w:rtl w:val="true"/>
              </w:rPr>
              <w:t xml:space="preserve">: </w:t>
            </w:r>
            <w:r>
              <w:rPr>
                <w:rStyle w:val="IndexLink"/>
                <w:rtl w:val="true"/>
              </w:rPr>
              <w:t>فی الاستقبال</w:t>
            </w:r>
            <w:r>
              <w:rPr>
                <w:rStyle w:val="IndexLink"/>
                <w:rtl w:val="true"/>
              </w:rPr>
              <w:tab/>
            </w:r>
            <w:r>
              <w:rPr>
                <w:rStyle w:val="IndexLink"/>
              </w:rPr>
              <w:t>47</w:t>
            </w:r>
          </w:hyperlink>
        </w:p>
        <w:p>
          <w:pPr>
            <w:pStyle w:val="Contents4"/>
            <w:tabs>
              <w:tab w:val="clear" w:pos="8176"/>
              <w:tab w:val="right" w:pos="9026" w:leader="dot"/>
            </w:tabs>
            <w:rPr/>
          </w:pPr>
          <w:hyperlink w:anchor="__RefHeading___Toc1265136_653776707">
            <w:r>
              <w:rPr>
                <w:webHidden/>
                <w:rStyle w:val="IndexLink"/>
                <w:rtl w:val="true"/>
              </w:rPr>
              <w:t>المقدّمة الثالثة</w:t>
            </w:r>
            <w:r>
              <w:rPr>
                <w:rStyle w:val="IndexLink"/>
                <w:rtl w:val="true"/>
              </w:rPr>
              <w:t xml:space="preserve">: </w:t>
            </w:r>
            <w:r>
              <w:rPr>
                <w:rStyle w:val="IndexLink"/>
                <w:rtl w:val="true"/>
              </w:rPr>
              <w:t>فی الستر والساتر</w:t>
            </w:r>
            <w:r>
              <w:rPr>
                <w:rStyle w:val="IndexLink"/>
                <w:rtl w:val="true"/>
              </w:rPr>
              <w:tab/>
            </w:r>
            <w:r>
              <w:rPr>
                <w:rStyle w:val="IndexLink"/>
              </w:rPr>
              <w:t>48</w:t>
            </w:r>
          </w:hyperlink>
        </w:p>
        <w:p>
          <w:pPr>
            <w:pStyle w:val="Contents4"/>
            <w:tabs>
              <w:tab w:val="clear" w:pos="8176"/>
              <w:tab w:val="right" w:pos="9026" w:leader="dot"/>
            </w:tabs>
            <w:rPr/>
          </w:pPr>
          <w:hyperlink w:anchor="__RefHeading___Toc1265138_653776707">
            <w:r>
              <w:rPr>
                <w:webHidden/>
                <w:rStyle w:val="IndexLink"/>
                <w:rtl w:val="true"/>
              </w:rPr>
              <w:t>المقدّمة الرابعة</w:t>
            </w:r>
            <w:r>
              <w:rPr>
                <w:rStyle w:val="IndexLink"/>
                <w:rtl w:val="true"/>
              </w:rPr>
              <w:t xml:space="preserve">: </w:t>
            </w:r>
            <w:r>
              <w:rPr>
                <w:rStyle w:val="IndexLink"/>
                <w:rtl w:val="true"/>
              </w:rPr>
              <w:t>فی المکان</w:t>
            </w:r>
            <w:r>
              <w:rPr>
                <w:rStyle w:val="IndexLink"/>
                <w:rtl w:val="true"/>
              </w:rPr>
              <w:tab/>
            </w:r>
            <w:r>
              <w:rPr>
                <w:rStyle w:val="IndexLink"/>
              </w:rPr>
              <w:t>49</w:t>
            </w:r>
          </w:hyperlink>
        </w:p>
        <w:p>
          <w:pPr>
            <w:pStyle w:val="Contents4"/>
            <w:tabs>
              <w:tab w:val="clear" w:pos="8176"/>
              <w:tab w:val="right" w:pos="9026" w:leader="dot"/>
            </w:tabs>
            <w:rPr/>
          </w:pPr>
          <w:hyperlink w:anchor="__RefHeading___Toc1265140_653776707">
            <w:r>
              <w:rPr>
                <w:webHidden/>
                <w:rStyle w:val="IndexLink"/>
                <w:rtl w:val="true"/>
              </w:rPr>
              <w:t>المقدّمة الخامسة</w:t>
            </w:r>
            <w:r>
              <w:rPr>
                <w:rStyle w:val="IndexLink"/>
                <w:rtl w:val="true"/>
              </w:rPr>
              <w:t xml:space="preserve">: </w:t>
            </w:r>
            <w:r>
              <w:rPr>
                <w:rStyle w:val="IndexLink"/>
                <w:rtl w:val="true"/>
              </w:rPr>
              <w:t>فی الأذان والإقامة</w:t>
            </w:r>
            <w:r>
              <w:rPr>
                <w:rStyle w:val="IndexLink"/>
                <w:rtl w:val="true"/>
              </w:rPr>
              <w:tab/>
            </w:r>
            <w:r>
              <w:rPr>
                <w:rStyle w:val="IndexLink"/>
              </w:rPr>
              <w:t>51</w:t>
            </w:r>
          </w:hyperlink>
        </w:p>
        <w:p>
          <w:pPr>
            <w:pStyle w:val="Contents3"/>
            <w:tabs>
              <w:tab w:val="clear" w:pos="8459"/>
              <w:tab w:val="right" w:pos="9026" w:leader="dot"/>
            </w:tabs>
            <w:rPr/>
          </w:pPr>
          <w:hyperlink w:anchor="__RefHeading___Toc1265142_653776707">
            <w:r>
              <w:rPr>
                <w:webHidden/>
                <w:rStyle w:val="IndexLink"/>
                <w:rtl w:val="true"/>
              </w:rPr>
              <w:t>فصلٌ فی أفعال الصلاة</w:t>
            </w:r>
            <w:r>
              <w:rPr>
                <w:rStyle w:val="IndexLink"/>
                <w:rtl w:val="true"/>
              </w:rPr>
              <w:tab/>
            </w:r>
            <w:r>
              <w:rPr>
                <w:rStyle w:val="IndexLink"/>
              </w:rPr>
              <w:t>51</w:t>
            </w:r>
          </w:hyperlink>
        </w:p>
        <w:p>
          <w:pPr>
            <w:pStyle w:val="Contents4"/>
            <w:tabs>
              <w:tab w:val="clear" w:pos="8176"/>
              <w:tab w:val="right" w:pos="9026" w:leader="dot"/>
            </w:tabs>
            <w:rPr/>
          </w:pPr>
          <w:hyperlink w:anchor="__RefHeading___Toc1265144_653776707">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1265146_653776707">
            <w:r>
              <w:rPr>
                <w:webHidden/>
                <w:rStyle w:val="IndexLink"/>
                <w:rtl w:val="true"/>
              </w:rPr>
              <w:t>فی النیّة</w:t>
            </w:r>
            <w:r>
              <w:rPr>
                <w:rStyle w:val="IndexLink"/>
                <w:rtl w:val="true"/>
              </w:rPr>
              <w:tab/>
            </w:r>
            <w:r>
              <w:rPr>
                <w:rStyle w:val="IndexLink"/>
              </w:rPr>
              <w:t>51</w:t>
            </w:r>
          </w:hyperlink>
        </w:p>
        <w:p>
          <w:pPr>
            <w:pStyle w:val="Contents4"/>
            <w:tabs>
              <w:tab w:val="clear" w:pos="8176"/>
              <w:tab w:val="right" w:pos="9026" w:leader="dot"/>
            </w:tabs>
            <w:rPr/>
          </w:pPr>
          <w:hyperlink w:anchor="__RefHeading___Toc1265148_653776707">
            <w:r>
              <w:rPr>
                <w:webHidden/>
                <w:rStyle w:val="IndexLink"/>
                <w:rtl w:val="true"/>
              </w:rPr>
              <w:t>فی تکبیرة الإحرام</w:t>
            </w:r>
            <w:r>
              <w:rPr>
                <w:rStyle w:val="IndexLink"/>
                <w:rtl w:val="true"/>
              </w:rPr>
              <w:tab/>
            </w:r>
            <w:r>
              <w:rPr>
                <w:rStyle w:val="IndexLink"/>
              </w:rPr>
              <w:t>52</w:t>
            </w:r>
          </w:hyperlink>
        </w:p>
        <w:p>
          <w:pPr>
            <w:pStyle w:val="Contents4"/>
            <w:tabs>
              <w:tab w:val="clear" w:pos="8176"/>
              <w:tab w:val="right" w:pos="9026" w:leader="dot"/>
            </w:tabs>
            <w:rPr/>
          </w:pPr>
          <w:hyperlink w:anchor="__RefHeading___Toc1265150_653776707">
            <w:r>
              <w:rPr>
                <w:webHidden/>
                <w:rStyle w:val="IndexLink"/>
                <w:rtl w:val="true"/>
              </w:rPr>
              <w:t>فی القیام</w:t>
            </w:r>
            <w:r>
              <w:rPr>
                <w:rStyle w:val="IndexLink"/>
                <w:rtl w:val="true"/>
              </w:rPr>
              <w:tab/>
            </w:r>
            <w:r>
              <w:rPr>
                <w:rStyle w:val="IndexLink"/>
              </w:rPr>
              <w:t>52</w:t>
            </w:r>
          </w:hyperlink>
        </w:p>
        <w:p>
          <w:pPr>
            <w:pStyle w:val="Contents4"/>
            <w:tabs>
              <w:tab w:val="clear" w:pos="8176"/>
              <w:tab w:val="right" w:pos="9026" w:leader="dot"/>
            </w:tabs>
            <w:rPr/>
          </w:pPr>
          <w:hyperlink w:anchor="__RefHeading___Toc1265152_653776707">
            <w:r>
              <w:rPr>
                <w:webHidden/>
                <w:rStyle w:val="IndexLink"/>
                <w:rtl w:val="true"/>
              </w:rPr>
              <w:t>فی القراءة والذکر</w:t>
            </w:r>
            <w:r>
              <w:rPr>
                <w:rStyle w:val="IndexLink"/>
                <w:rtl w:val="true"/>
              </w:rPr>
              <w:tab/>
            </w:r>
            <w:r>
              <w:rPr>
                <w:rStyle w:val="IndexLink"/>
              </w:rPr>
              <w:t>53</w:t>
            </w:r>
          </w:hyperlink>
        </w:p>
        <w:p>
          <w:pPr>
            <w:pStyle w:val="Contents4"/>
            <w:tabs>
              <w:tab w:val="clear" w:pos="8176"/>
              <w:tab w:val="right" w:pos="9026" w:leader="dot"/>
            </w:tabs>
            <w:rPr/>
          </w:pPr>
          <w:hyperlink w:anchor="__RefHeading___Toc1265154_653776707">
            <w:r>
              <w:rPr>
                <w:webHidden/>
                <w:rStyle w:val="IndexLink"/>
                <w:rtl w:val="true"/>
              </w:rPr>
              <w:t>فی الرکوع</w:t>
            </w:r>
            <w:r>
              <w:rPr>
                <w:rStyle w:val="IndexLink"/>
                <w:rtl w:val="true"/>
              </w:rPr>
              <w:tab/>
            </w:r>
            <w:r>
              <w:rPr>
                <w:rStyle w:val="IndexLink"/>
              </w:rPr>
              <w:t>55</w:t>
            </w:r>
          </w:hyperlink>
        </w:p>
        <w:p>
          <w:pPr>
            <w:pStyle w:val="Contents4"/>
            <w:tabs>
              <w:tab w:val="clear" w:pos="8176"/>
              <w:tab w:val="right" w:pos="9026" w:leader="dot"/>
            </w:tabs>
            <w:rPr/>
          </w:pPr>
          <w:hyperlink w:anchor="__RefHeading___Toc1265156_653776707">
            <w:r>
              <w:rPr>
                <w:webHidden/>
                <w:rStyle w:val="IndexLink"/>
                <w:rtl w:val="true"/>
              </w:rPr>
              <w:t>فی السجود</w:t>
            </w:r>
            <w:r>
              <w:rPr>
                <w:rStyle w:val="IndexLink"/>
                <w:rtl w:val="true"/>
              </w:rPr>
              <w:tab/>
            </w:r>
            <w:r>
              <w:rPr>
                <w:rStyle w:val="IndexLink"/>
              </w:rPr>
              <w:t>55</w:t>
            </w:r>
          </w:hyperlink>
        </w:p>
        <w:p>
          <w:pPr>
            <w:pStyle w:val="Contents4"/>
            <w:tabs>
              <w:tab w:val="clear" w:pos="8176"/>
              <w:tab w:val="right" w:pos="9026" w:leader="dot"/>
            </w:tabs>
            <w:rPr/>
          </w:pPr>
          <w:hyperlink w:anchor="__RefHeading___Toc1265158_653776707">
            <w:r>
              <w:rPr>
                <w:webHidden/>
                <w:rStyle w:val="IndexLink"/>
                <w:rtl w:val="true"/>
              </w:rPr>
              <w:t>سجدتی الشکر والتلاوة</w:t>
            </w:r>
            <w:r>
              <w:rPr>
                <w:rStyle w:val="IndexLink"/>
                <w:rtl w:val="true"/>
              </w:rPr>
              <w:tab/>
            </w:r>
            <w:r>
              <w:rPr>
                <w:rStyle w:val="IndexLink"/>
              </w:rPr>
              <w:t>56</w:t>
            </w:r>
          </w:hyperlink>
        </w:p>
        <w:p>
          <w:pPr>
            <w:pStyle w:val="Contents4"/>
            <w:tabs>
              <w:tab w:val="clear" w:pos="8176"/>
              <w:tab w:val="right" w:pos="9026" w:leader="dot"/>
            </w:tabs>
            <w:rPr/>
          </w:pPr>
          <w:hyperlink w:anchor="__RefHeading___Toc1265160_653776707">
            <w:r>
              <w:rPr>
                <w:webHidden/>
                <w:rStyle w:val="IndexLink"/>
                <w:rtl w:val="true"/>
              </w:rPr>
              <w:t>فی التشهّد والتسلیم</w:t>
            </w:r>
            <w:r>
              <w:rPr>
                <w:rStyle w:val="IndexLink"/>
                <w:rtl w:val="true"/>
              </w:rPr>
              <w:tab/>
            </w:r>
            <w:r>
              <w:rPr>
                <w:rStyle w:val="IndexLink"/>
              </w:rPr>
              <w:t>57</w:t>
            </w:r>
          </w:hyperlink>
        </w:p>
        <w:p>
          <w:pPr>
            <w:pStyle w:val="Contents4"/>
            <w:tabs>
              <w:tab w:val="clear" w:pos="8176"/>
              <w:tab w:val="right" w:pos="9026" w:leader="dot"/>
            </w:tabs>
            <w:rPr/>
          </w:pPr>
          <w:hyperlink w:anchor="__RefHeading___Toc1265162_653776707">
            <w:r>
              <w:rPr>
                <w:webHidden/>
                <w:rStyle w:val="IndexLink"/>
                <w:rtl w:val="true"/>
              </w:rPr>
              <w:t>فی الترتیب والموالاة</w:t>
            </w:r>
            <w:r>
              <w:rPr>
                <w:rStyle w:val="IndexLink"/>
                <w:rtl w:val="true"/>
              </w:rPr>
              <w:tab/>
            </w:r>
            <w:r>
              <w:rPr>
                <w:rStyle w:val="IndexLink"/>
              </w:rPr>
              <w:t>57</w:t>
            </w:r>
          </w:hyperlink>
        </w:p>
        <w:p>
          <w:pPr>
            <w:pStyle w:val="Contents4"/>
            <w:tabs>
              <w:tab w:val="clear" w:pos="8176"/>
              <w:tab w:val="right" w:pos="9026" w:leader="dot"/>
            </w:tabs>
            <w:rPr/>
          </w:pPr>
          <w:hyperlink w:anchor="__RefHeading___Toc1265164_653776707">
            <w:r>
              <w:rPr>
                <w:webHidden/>
                <w:rStyle w:val="IndexLink"/>
                <w:rtl w:val="true"/>
              </w:rPr>
              <w:t>بقی أمران</w:t>
            </w:r>
            <w:r>
              <w:rPr>
                <w:rStyle w:val="IndexLink"/>
                <w:rtl w:val="true"/>
              </w:rPr>
              <w:t xml:space="preserve">: </w:t>
            </w:r>
            <w:r>
              <w:rPr>
                <w:rStyle w:val="IndexLink"/>
                <w:rtl w:val="true"/>
              </w:rPr>
              <w:t>القنوت والتعقیب</w:t>
            </w:r>
            <w:r>
              <w:rPr>
                <w:rStyle w:val="IndexLink"/>
                <w:rtl w:val="true"/>
              </w:rPr>
              <w:tab/>
            </w:r>
            <w:r>
              <w:rPr>
                <w:rStyle w:val="IndexLink"/>
              </w:rPr>
              <w:t>57</w:t>
            </w:r>
          </w:hyperlink>
        </w:p>
        <w:p>
          <w:pPr>
            <w:pStyle w:val="Contents4"/>
            <w:tabs>
              <w:tab w:val="clear" w:pos="8176"/>
              <w:tab w:val="right" w:pos="9026" w:leader="dot"/>
            </w:tabs>
            <w:rPr/>
          </w:pPr>
          <w:hyperlink w:anchor="__RefHeading___Toc1265166_653776707">
            <w:r>
              <w:rPr>
                <w:webHidden/>
                <w:rStyle w:val="IndexLink"/>
                <w:rtl w:val="true"/>
              </w:rPr>
              <w:t>فی مبطلات الصلاة</w:t>
            </w:r>
            <w:r>
              <w:rPr>
                <w:rStyle w:val="IndexLink"/>
                <w:rtl w:val="true"/>
              </w:rPr>
              <w:tab/>
            </w:r>
            <w:r>
              <w:rPr>
                <w:rStyle w:val="IndexLink"/>
              </w:rPr>
              <w:t>58</w:t>
            </w:r>
          </w:hyperlink>
        </w:p>
        <w:p>
          <w:pPr>
            <w:pStyle w:val="Contents4"/>
            <w:tabs>
              <w:tab w:val="clear" w:pos="8176"/>
              <w:tab w:val="right" w:pos="9026" w:leader="dot"/>
            </w:tabs>
            <w:rPr/>
          </w:pPr>
          <w:hyperlink w:anchor="__RefHeading___Toc1265168_653776707">
            <w:r>
              <w:rPr>
                <w:webHidden/>
                <w:rStyle w:val="IndexLink"/>
                <w:rtl w:val="true"/>
              </w:rPr>
              <w:t>فی صلاة الآیات</w:t>
            </w:r>
            <w:r>
              <w:rPr>
                <w:rStyle w:val="IndexLink"/>
                <w:rtl w:val="true"/>
              </w:rPr>
              <w:tab/>
            </w:r>
            <w:r>
              <w:rPr>
                <w:rStyle w:val="IndexLink"/>
              </w:rPr>
              <w:t>59</w:t>
            </w:r>
          </w:hyperlink>
        </w:p>
        <w:p>
          <w:pPr>
            <w:pStyle w:val="Contents4"/>
            <w:tabs>
              <w:tab w:val="clear" w:pos="8176"/>
              <w:tab w:val="right" w:pos="9026" w:leader="dot"/>
            </w:tabs>
            <w:rPr/>
          </w:pPr>
          <w:hyperlink w:anchor="__RefHeading___Toc1265170_653776707">
            <w:r>
              <w:rPr>
                <w:webHidden/>
                <w:rStyle w:val="IndexLink"/>
                <w:rtl w:val="true"/>
              </w:rPr>
              <w:t>فی الخلل الواقع فی الصلاة</w:t>
            </w:r>
            <w:r>
              <w:rPr>
                <w:rStyle w:val="IndexLink"/>
                <w:rtl w:val="true"/>
              </w:rPr>
              <w:tab/>
            </w:r>
            <w:r>
              <w:rPr>
                <w:rStyle w:val="IndexLink"/>
              </w:rPr>
              <w:t>61</w:t>
            </w:r>
          </w:hyperlink>
        </w:p>
        <w:p>
          <w:pPr>
            <w:pStyle w:val="Contents4"/>
            <w:tabs>
              <w:tab w:val="clear" w:pos="8176"/>
              <w:tab w:val="right" w:pos="9026" w:leader="dot"/>
            </w:tabs>
            <w:rPr/>
          </w:pPr>
          <w:hyperlink w:anchor="__RefHeading___Toc1265172_653776707">
            <w:r>
              <w:rPr>
                <w:webHidden/>
                <w:rStyle w:val="IndexLink"/>
                <w:rtl w:val="true"/>
              </w:rPr>
              <w:t>فی الشکّ</w:t>
            </w:r>
            <w:r>
              <w:rPr>
                <w:rStyle w:val="IndexLink"/>
                <w:rtl w:val="true"/>
              </w:rPr>
              <w:tab/>
            </w:r>
            <w:r>
              <w:rPr>
                <w:rStyle w:val="IndexLink"/>
              </w:rPr>
              <w:t>61</w:t>
            </w:r>
          </w:hyperlink>
        </w:p>
        <w:p>
          <w:pPr>
            <w:pStyle w:val="Contents5"/>
            <w:tabs>
              <w:tab w:val="clear" w:pos="7892"/>
              <w:tab w:val="right" w:pos="9026" w:leader="dot"/>
            </w:tabs>
            <w:rPr/>
          </w:pPr>
          <w:hyperlink w:anchor="__RefHeading___Toc1265174_653776707">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1265176_653776707">
            <w:r>
              <w:rPr>
                <w:webHidden/>
                <w:rStyle w:val="IndexLink"/>
                <w:rtl w:val="true"/>
              </w:rPr>
              <w:t>فی الشکّ فی عدد الرکعات والظنّ فیه</w:t>
            </w:r>
            <w:r>
              <w:rPr>
                <w:rStyle w:val="IndexLink"/>
                <w:rtl w:val="true"/>
              </w:rPr>
              <w:tab/>
            </w:r>
            <w:r>
              <w:rPr>
                <w:rStyle w:val="IndexLink"/>
              </w:rPr>
              <w:t>62</w:t>
            </w:r>
          </w:hyperlink>
        </w:p>
        <w:p>
          <w:pPr>
            <w:pStyle w:val="Contents4"/>
            <w:tabs>
              <w:tab w:val="clear" w:pos="8176"/>
              <w:tab w:val="right" w:pos="9026" w:leader="dot"/>
            </w:tabs>
            <w:rPr/>
          </w:pPr>
          <w:hyperlink w:anchor="__RefHeading___Toc1265178_653776707">
            <w:r>
              <w:rPr>
                <w:webHidden/>
                <w:rStyle w:val="IndexLink"/>
                <w:rtl w:val="true"/>
              </w:rPr>
              <w:t>فی الأجزاء المنسیّة وسجود السهو</w:t>
            </w:r>
            <w:r>
              <w:rPr>
                <w:rStyle w:val="IndexLink"/>
                <w:rtl w:val="true"/>
              </w:rPr>
              <w:tab/>
            </w:r>
            <w:r>
              <w:rPr>
                <w:rStyle w:val="IndexLink"/>
              </w:rPr>
              <w:t>63</w:t>
            </w:r>
          </w:hyperlink>
        </w:p>
        <w:p>
          <w:pPr>
            <w:pStyle w:val="Contents4"/>
            <w:tabs>
              <w:tab w:val="clear" w:pos="8176"/>
              <w:tab w:val="right" w:pos="9026" w:leader="dot"/>
            </w:tabs>
            <w:rPr/>
          </w:pPr>
          <w:hyperlink w:anchor="__RefHeading___Toc1265180_653776707">
            <w:r>
              <w:rPr>
                <w:webHidden/>
                <w:rStyle w:val="IndexLink"/>
                <w:rtl w:val="true"/>
              </w:rPr>
              <w:t>فی صلاة القضاء</w:t>
            </w:r>
            <w:r>
              <w:rPr>
                <w:rStyle w:val="IndexLink"/>
                <w:rtl w:val="true"/>
              </w:rPr>
              <w:tab/>
            </w:r>
            <w:r>
              <w:rPr>
                <w:rStyle w:val="IndexLink"/>
              </w:rPr>
              <w:t>64</w:t>
            </w:r>
          </w:hyperlink>
        </w:p>
        <w:p>
          <w:pPr>
            <w:pStyle w:val="Contents4"/>
            <w:tabs>
              <w:tab w:val="clear" w:pos="8176"/>
              <w:tab w:val="right" w:pos="9026" w:leader="dot"/>
            </w:tabs>
            <w:rPr/>
          </w:pPr>
          <w:hyperlink w:anchor="__RefHeading___Toc1265182_653776707">
            <w:r>
              <w:rPr>
                <w:webHidden/>
                <w:rStyle w:val="IndexLink"/>
                <w:rtl w:val="true"/>
              </w:rPr>
              <w:t>فی صلاة النیابة</w:t>
            </w:r>
            <w:r>
              <w:rPr>
                <w:rStyle w:val="IndexLink"/>
                <w:rtl w:val="true"/>
              </w:rPr>
              <w:tab/>
            </w:r>
            <w:r>
              <w:rPr>
                <w:rStyle w:val="IndexLink"/>
              </w:rPr>
              <w:t>65</w:t>
            </w:r>
          </w:hyperlink>
        </w:p>
        <w:p>
          <w:pPr>
            <w:pStyle w:val="Contents3"/>
            <w:tabs>
              <w:tab w:val="clear" w:pos="8459"/>
              <w:tab w:val="right" w:pos="9026" w:leader="dot"/>
            </w:tabs>
            <w:rPr/>
          </w:pPr>
          <w:hyperlink w:anchor="__RefHeading___Toc1265184_653776707">
            <w:r>
              <w:rPr>
                <w:webHidden/>
                <w:rStyle w:val="IndexLink"/>
                <w:rtl w:val="true"/>
              </w:rPr>
              <w:t>فی صلاة الجمعة</w:t>
            </w:r>
            <w:r>
              <w:rPr>
                <w:rStyle w:val="IndexLink"/>
                <w:rtl w:val="true"/>
              </w:rPr>
              <w:tab/>
            </w:r>
            <w:r>
              <w:rPr>
                <w:rStyle w:val="IndexLink"/>
              </w:rPr>
              <w:t>66</w:t>
            </w:r>
          </w:hyperlink>
        </w:p>
        <w:p>
          <w:pPr>
            <w:pStyle w:val="Contents4"/>
            <w:tabs>
              <w:tab w:val="clear" w:pos="8176"/>
              <w:tab w:val="right" w:pos="9026" w:leader="dot"/>
            </w:tabs>
            <w:rPr/>
          </w:pPr>
          <w:hyperlink w:anchor="__RefHeading___Toc1265186_653776707">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1265188_653776707">
            <w:r>
              <w:rPr>
                <w:webHidden/>
                <w:rStyle w:val="IndexLink"/>
                <w:rtl w:val="true"/>
              </w:rPr>
              <w:t>فیمن تجب علیه ووقتها</w:t>
            </w:r>
            <w:r>
              <w:rPr>
                <w:rStyle w:val="IndexLink"/>
                <w:rtl w:val="true"/>
              </w:rPr>
              <w:tab/>
            </w:r>
            <w:r>
              <w:rPr>
                <w:rStyle w:val="IndexLink"/>
              </w:rPr>
              <w:t>67</w:t>
            </w:r>
          </w:hyperlink>
        </w:p>
        <w:p>
          <w:pPr>
            <w:pStyle w:val="Contents4"/>
            <w:tabs>
              <w:tab w:val="clear" w:pos="8176"/>
              <w:tab w:val="right" w:pos="9026" w:leader="dot"/>
            </w:tabs>
            <w:rPr/>
          </w:pPr>
          <w:hyperlink w:anchor="__RefHeading___Toc1265190_653776707">
            <w:r>
              <w:rPr>
                <w:webHidden/>
                <w:rStyle w:val="IndexLink"/>
                <w:rtl w:val="true"/>
              </w:rPr>
              <w:t>فرعان</w:t>
            </w:r>
            <w:r>
              <w:rPr>
                <w:rStyle w:val="IndexLink"/>
                <w:rtl w:val="true"/>
              </w:rPr>
              <w:t>:</w:t>
              <w:tab/>
            </w:r>
            <w:r>
              <w:rPr>
                <w:rStyle w:val="IndexLink"/>
              </w:rPr>
              <w:t>67</w:t>
            </w:r>
          </w:hyperlink>
        </w:p>
        <w:p>
          <w:pPr>
            <w:pStyle w:val="Contents3"/>
            <w:tabs>
              <w:tab w:val="clear" w:pos="8459"/>
              <w:tab w:val="right" w:pos="9026" w:leader="dot"/>
            </w:tabs>
            <w:rPr/>
          </w:pPr>
          <w:hyperlink w:anchor="__RefHeading___Toc1265192_653776707">
            <w:r>
              <w:rPr>
                <w:webHidden/>
                <w:rStyle w:val="IndexLink"/>
                <w:rtl w:val="true"/>
              </w:rPr>
              <w:t>فی صلاة العیدین</w:t>
            </w:r>
            <w:r>
              <w:rPr>
                <w:rStyle w:val="IndexLink"/>
                <w:rtl w:val="true"/>
              </w:rPr>
              <w:tab/>
            </w:r>
            <w:r>
              <w:rPr>
                <w:rStyle w:val="IndexLink"/>
              </w:rPr>
              <w:t>68</w:t>
            </w:r>
          </w:hyperlink>
        </w:p>
        <w:p>
          <w:pPr>
            <w:pStyle w:val="Contents3"/>
            <w:tabs>
              <w:tab w:val="clear" w:pos="8459"/>
              <w:tab w:val="right" w:pos="9026" w:leader="dot"/>
            </w:tabs>
            <w:rPr/>
          </w:pPr>
          <w:hyperlink w:anchor="__RefHeading___Toc1265194_653776707">
            <w:r>
              <w:rPr>
                <w:webHidden/>
                <w:rStyle w:val="IndexLink"/>
                <w:rtl w:val="true"/>
              </w:rPr>
              <w:t>فی صلاة المسافر</w:t>
            </w:r>
            <w:r>
              <w:rPr>
                <w:rStyle w:val="IndexLink"/>
                <w:rtl w:val="true"/>
              </w:rPr>
              <w:tab/>
            </w:r>
            <w:r>
              <w:rPr>
                <w:rStyle w:val="IndexLink"/>
              </w:rPr>
              <w:t>69</w:t>
            </w:r>
          </w:hyperlink>
        </w:p>
        <w:p>
          <w:pPr>
            <w:pStyle w:val="Contents4"/>
            <w:tabs>
              <w:tab w:val="clear" w:pos="8176"/>
              <w:tab w:val="right" w:pos="9026" w:leader="dot"/>
            </w:tabs>
            <w:rPr/>
          </w:pPr>
          <w:hyperlink w:anchor="__RefHeading___Toc1265196_653776707">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1265198_653776707">
            <w:r>
              <w:rPr>
                <w:webHidden/>
                <w:rStyle w:val="IndexLink"/>
                <w:rtl w:val="true"/>
              </w:rPr>
              <w:t>فی قواطع السفر</w:t>
            </w:r>
            <w:r>
              <w:rPr>
                <w:rStyle w:val="IndexLink"/>
                <w:rtl w:val="true"/>
              </w:rPr>
              <w:tab/>
            </w:r>
            <w:r>
              <w:rPr>
                <w:rStyle w:val="IndexLink"/>
              </w:rPr>
              <w:t>71</w:t>
            </w:r>
          </w:hyperlink>
        </w:p>
        <w:p>
          <w:pPr>
            <w:pStyle w:val="Contents4"/>
            <w:tabs>
              <w:tab w:val="clear" w:pos="8176"/>
              <w:tab w:val="right" w:pos="9026" w:leader="dot"/>
            </w:tabs>
            <w:rPr/>
          </w:pPr>
          <w:hyperlink w:anchor="__RefHeading___Toc1265200_653776707">
            <w:r>
              <w:rPr>
                <w:webHidden/>
                <w:rStyle w:val="IndexLink"/>
                <w:rtl w:val="true"/>
              </w:rPr>
              <w:t>فی أحکام المسافر</w:t>
            </w:r>
            <w:r>
              <w:rPr>
                <w:rStyle w:val="IndexLink"/>
                <w:rtl w:val="true"/>
              </w:rPr>
              <w:tab/>
            </w:r>
            <w:r>
              <w:rPr>
                <w:rStyle w:val="IndexLink"/>
              </w:rPr>
              <w:t>72</w:t>
            </w:r>
          </w:hyperlink>
        </w:p>
        <w:p>
          <w:pPr>
            <w:pStyle w:val="Contents3"/>
            <w:tabs>
              <w:tab w:val="clear" w:pos="8459"/>
              <w:tab w:val="right" w:pos="9026" w:leader="dot"/>
            </w:tabs>
            <w:rPr/>
          </w:pPr>
          <w:hyperlink w:anchor="__RefHeading___Toc1265202_653776707">
            <w:r>
              <w:rPr>
                <w:webHidden/>
                <w:rStyle w:val="IndexLink"/>
                <w:rtl w:val="true"/>
              </w:rPr>
              <w:t>فی صلاة الجماعة</w:t>
            </w:r>
            <w:r>
              <w:rPr>
                <w:rStyle w:val="IndexLink"/>
                <w:rtl w:val="true"/>
              </w:rPr>
              <w:tab/>
            </w:r>
            <w:r>
              <w:rPr>
                <w:rStyle w:val="IndexLink"/>
              </w:rPr>
              <w:t>74</w:t>
            </w:r>
          </w:hyperlink>
        </w:p>
        <w:p>
          <w:pPr>
            <w:pStyle w:val="Contents4"/>
            <w:tabs>
              <w:tab w:val="clear" w:pos="8176"/>
              <w:tab w:val="right" w:pos="9026" w:leader="dot"/>
            </w:tabs>
            <w:rPr/>
          </w:pPr>
          <w:hyperlink w:anchor="__RefHeading___Toc1265204_653776707">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1265206_653776707">
            <w:r>
              <w:rPr>
                <w:webHidden/>
                <w:rStyle w:val="IndexLink"/>
                <w:rtl w:val="true"/>
              </w:rPr>
              <w:t>فی شرائط الجماعة</w:t>
            </w:r>
            <w:r>
              <w:rPr>
                <w:rStyle w:val="IndexLink"/>
                <w:rtl w:val="true"/>
              </w:rPr>
              <w:tab/>
            </w:r>
            <w:r>
              <w:rPr>
                <w:rStyle w:val="IndexLink"/>
              </w:rPr>
              <w:t>75</w:t>
            </w:r>
          </w:hyperlink>
        </w:p>
        <w:p>
          <w:pPr>
            <w:pStyle w:val="Contents4"/>
            <w:tabs>
              <w:tab w:val="clear" w:pos="8176"/>
              <w:tab w:val="right" w:pos="9026" w:leader="dot"/>
            </w:tabs>
            <w:rPr/>
          </w:pPr>
          <w:hyperlink w:anchor="__RefHeading___Toc1265208_653776707">
            <w:r>
              <w:rPr>
                <w:webHidden/>
                <w:rStyle w:val="IndexLink"/>
                <w:rtl w:val="true"/>
              </w:rPr>
              <w:t>فی أحکام الجماعة</w:t>
            </w:r>
            <w:r>
              <w:rPr>
                <w:rStyle w:val="IndexLink"/>
                <w:rtl w:val="true"/>
              </w:rPr>
              <w:tab/>
            </w:r>
            <w:r>
              <w:rPr>
                <w:rStyle w:val="IndexLink"/>
              </w:rPr>
              <w:t>75</w:t>
            </w:r>
          </w:hyperlink>
        </w:p>
        <w:p>
          <w:pPr>
            <w:pStyle w:val="Contents4"/>
            <w:tabs>
              <w:tab w:val="clear" w:pos="8176"/>
              <w:tab w:val="right" w:pos="9026" w:leader="dot"/>
            </w:tabs>
            <w:rPr/>
          </w:pPr>
          <w:hyperlink w:anchor="__RefHeading___Toc1265210_653776707">
            <w:r>
              <w:rPr>
                <w:webHidden/>
                <w:rStyle w:val="IndexLink"/>
                <w:rtl w:val="true"/>
              </w:rPr>
              <w:t>فی شرائط إمام الجماعة</w:t>
            </w:r>
            <w:r>
              <w:rPr>
                <w:rStyle w:val="IndexLink"/>
                <w:rtl w:val="true"/>
              </w:rPr>
              <w:tab/>
            </w:r>
            <w:r>
              <w:rPr>
                <w:rStyle w:val="IndexLink"/>
              </w:rPr>
              <w:t>77</w:t>
            </w:r>
          </w:hyperlink>
        </w:p>
        <w:p>
          <w:pPr>
            <w:pStyle w:val="Contents2"/>
            <w:tabs>
              <w:tab w:val="clear" w:pos="8743"/>
              <w:tab w:val="right" w:pos="9026" w:leader="dot"/>
            </w:tabs>
            <w:rPr/>
          </w:pPr>
          <w:hyperlink w:anchor="__RefHeading___Toc1265212_653776707">
            <w:r>
              <w:rPr>
                <w:webHidden/>
                <w:rStyle w:val="IndexLink"/>
                <w:rtl w:val="true"/>
              </w:rPr>
              <w:t>کتاب الصوم</w:t>
            </w:r>
            <w:r>
              <w:rPr>
                <w:rStyle w:val="IndexLink"/>
                <w:rtl w:val="true"/>
              </w:rPr>
              <w:tab/>
            </w:r>
            <w:r>
              <w:rPr>
                <w:rStyle w:val="IndexLink"/>
              </w:rPr>
              <w:t>78</w:t>
            </w:r>
          </w:hyperlink>
        </w:p>
        <w:p>
          <w:pPr>
            <w:pStyle w:val="Contents3"/>
            <w:tabs>
              <w:tab w:val="clear" w:pos="8459"/>
              <w:tab w:val="right" w:pos="9026" w:leader="dot"/>
            </w:tabs>
            <w:rPr/>
          </w:pPr>
          <w:hyperlink w:anchor="__RefHeading___Toc1265214_653776707">
            <w:r>
              <w:rPr>
                <w:webHidden/>
                <w:rStyle w:val="IndexLink"/>
                <w:rtl w:val="true"/>
              </w:rPr>
              <w:t>کتاب الصوم</w:t>
            </w:r>
            <w:r>
              <w:rPr>
                <w:rStyle w:val="IndexLink"/>
                <w:rtl w:val="true"/>
              </w:rPr>
              <w:tab/>
            </w:r>
            <w:r>
              <w:rPr>
                <w:rStyle w:val="IndexLink"/>
              </w:rPr>
              <w:t>78</w:t>
            </w:r>
          </w:hyperlink>
        </w:p>
        <w:p>
          <w:pPr>
            <w:pStyle w:val="Contents4"/>
            <w:tabs>
              <w:tab w:val="clear" w:pos="8176"/>
              <w:tab w:val="right" w:pos="9026" w:leader="dot"/>
            </w:tabs>
            <w:rPr/>
          </w:pPr>
          <w:hyperlink w:anchor="__RefHeading___Toc1265216_653776707">
            <w:r>
              <w:rPr>
                <w:webHidden/>
                <w:rStyle w:val="IndexLink"/>
                <w:rtl w:val="true"/>
              </w:rPr>
              <w:t>فی النیّة</w:t>
            </w:r>
            <w:r>
              <w:rPr>
                <w:rStyle w:val="IndexLink"/>
                <w:rtl w:val="true"/>
              </w:rPr>
              <w:tab/>
            </w:r>
            <w:r>
              <w:rPr>
                <w:rStyle w:val="IndexLink"/>
              </w:rPr>
              <w:t>78</w:t>
            </w:r>
          </w:hyperlink>
        </w:p>
        <w:p>
          <w:pPr>
            <w:pStyle w:val="Contents4"/>
            <w:tabs>
              <w:tab w:val="clear" w:pos="8176"/>
              <w:tab w:val="right" w:pos="9026" w:leader="dot"/>
            </w:tabs>
            <w:rPr/>
          </w:pPr>
          <w:hyperlink w:anchor="__RefHeading___Toc1265218_653776707">
            <w:r>
              <w:rPr>
                <w:webHidden/>
                <w:rStyle w:val="IndexLink"/>
                <w:rtl w:val="true"/>
              </w:rPr>
              <w:t>فیما یجب الإمساک عنه</w:t>
            </w:r>
            <w:r>
              <w:rPr>
                <w:rStyle w:val="IndexLink"/>
                <w:rtl w:val="true"/>
              </w:rPr>
              <w:tab/>
            </w:r>
            <w:r>
              <w:rPr>
                <w:rStyle w:val="IndexLink"/>
              </w:rPr>
              <w:t>79</w:t>
            </w:r>
          </w:hyperlink>
        </w:p>
        <w:p>
          <w:pPr>
            <w:pStyle w:val="Contents4"/>
            <w:tabs>
              <w:tab w:val="clear" w:pos="8176"/>
              <w:tab w:val="right" w:pos="9026" w:leader="dot"/>
            </w:tabs>
            <w:rPr/>
          </w:pPr>
          <w:hyperlink w:anchor="__RefHeading___Toc1265220_653776707">
            <w:r>
              <w:rPr>
                <w:webHidden/>
                <w:rStyle w:val="IndexLink"/>
                <w:rtl w:val="true"/>
              </w:rPr>
              <w:t>فیما یترتّب علی الإفطار</w:t>
            </w:r>
            <w:r>
              <w:rPr>
                <w:rStyle w:val="IndexLink"/>
                <w:rtl w:val="true"/>
              </w:rPr>
              <w:tab/>
            </w:r>
            <w:r>
              <w:rPr>
                <w:rStyle w:val="IndexLink"/>
              </w:rPr>
              <w:t>81</w:t>
            </w:r>
          </w:hyperlink>
        </w:p>
        <w:p>
          <w:pPr>
            <w:pStyle w:val="Contents4"/>
            <w:tabs>
              <w:tab w:val="clear" w:pos="8176"/>
              <w:tab w:val="right" w:pos="9026" w:leader="dot"/>
            </w:tabs>
            <w:rPr/>
          </w:pPr>
          <w:hyperlink w:anchor="__RefHeading___Toc1265222_653776707">
            <w:r>
              <w:rPr>
                <w:webHidden/>
                <w:rStyle w:val="IndexLink"/>
                <w:rtl w:val="true"/>
              </w:rPr>
              <w:t>فی شرائط صحّة الصوم ووجوبه</w:t>
            </w:r>
            <w:r>
              <w:rPr>
                <w:rStyle w:val="IndexLink"/>
                <w:rtl w:val="true"/>
              </w:rPr>
              <w:tab/>
            </w:r>
            <w:r>
              <w:rPr>
                <w:rStyle w:val="IndexLink"/>
              </w:rPr>
              <w:t>82</w:t>
            </w:r>
          </w:hyperlink>
        </w:p>
        <w:p>
          <w:pPr>
            <w:pStyle w:val="Contents4"/>
            <w:tabs>
              <w:tab w:val="clear" w:pos="8176"/>
              <w:tab w:val="right" w:pos="9026" w:leader="dot"/>
            </w:tabs>
            <w:rPr/>
          </w:pPr>
          <w:hyperlink w:anchor="__RefHeading___Toc1265224_653776707">
            <w:r>
              <w:rPr>
                <w:webHidden/>
                <w:rStyle w:val="IndexLink"/>
                <w:rtl w:val="true"/>
              </w:rPr>
              <w:t>فی ثبوت هلال شهر رمضان</w:t>
            </w:r>
            <w:r>
              <w:rPr>
                <w:rStyle w:val="IndexLink"/>
                <w:rtl w:val="true"/>
              </w:rPr>
              <w:tab/>
            </w:r>
            <w:r>
              <w:rPr>
                <w:rStyle w:val="IndexLink"/>
              </w:rPr>
              <w:t>84</w:t>
            </w:r>
          </w:hyperlink>
        </w:p>
        <w:p>
          <w:pPr>
            <w:pStyle w:val="Contents4"/>
            <w:tabs>
              <w:tab w:val="clear" w:pos="8176"/>
              <w:tab w:val="right" w:pos="9026" w:leader="dot"/>
            </w:tabs>
            <w:rPr/>
          </w:pPr>
          <w:hyperlink w:anchor="__RefHeading___Toc1265226_653776707">
            <w:r>
              <w:rPr>
                <w:webHidden/>
                <w:rStyle w:val="IndexLink"/>
                <w:rtl w:val="true"/>
              </w:rPr>
              <w:t>فی قضاء شهر رمضان</w:t>
            </w:r>
            <w:r>
              <w:rPr>
                <w:rStyle w:val="IndexLink"/>
                <w:rtl w:val="true"/>
              </w:rPr>
              <w:tab/>
            </w:r>
            <w:r>
              <w:rPr>
                <w:rStyle w:val="IndexLink"/>
              </w:rPr>
              <w:t>84</w:t>
            </w:r>
          </w:hyperlink>
        </w:p>
        <w:p>
          <w:pPr>
            <w:pStyle w:val="Contents3"/>
            <w:tabs>
              <w:tab w:val="clear" w:pos="8459"/>
              <w:tab w:val="right" w:pos="9026" w:leader="dot"/>
            </w:tabs>
            <w:rPr/>
          </w:pPr>
          <w:hyperlink w:anchor="__RefHeading___Toc1265228_653776707">
            <w:r>
              <w:rPr>
                <w:webHidden/>
                <w:rStyle w:val="IndexLink"/>
                <w:rtl w:val="true"/>
              </w:rPr>
              <w:t>فی أقسام الصوم</w:t>
            </w:r>
            <w:r>
              <w:rPr>
                <w:rStyle w:val="IndexLink"/>
                <w:rtl w:val="true"/>
              </w:rPr>
              <w:tab/>
            </w:r>
            <w:r>
              <w:rPr>
                <w:rStyle w:val="IndexLink"/>
              </w:rPr>
              <w:t>85</w:t>
            </w:r>
          </w:hyperlink>
        </w:p>
        <w:p>
          <w:pPr>
            <w:pStyle w:val="Contents3"/>
            <w:tabs>
              <w:tab w:val="clear" w:pos="8459"/>
              <w:tab w:val="right" w:pos="9026" w:leader="dot"/>
            </w:tabs>
            <w:rPr/>
          </w:pPr>
          <w:hyperlink w:anchor="__RefHeading___Toc1265230_653776707">
            <w:r>
              <w:rPr>
                <w:webHidden/>
                <w:rStyle w:val="IndexLink"/>
                <w:rtl w:val="true"/>
              </w:rPr>
              <w:t>فی الاعتکاف</w:t>
            </w:r>
            <w:r>
              <w:rPr>
                <w:rStyle w:val="IndexLink"/>
                <w:rtl w:val="true"/>
              </w:rPr>
              <w:tab/>
            </w:r>
            <w:r>
              <w:rPr>
                <w:rStyle w:val="IndexLink"/>
              </w:rPr>
              <w:t>85</w:t>
            </w:r>
          </w:hyperlink>
        </w:p>
        <w:p>
          <w:pPr>
            <w:pStyle w:val="Contents2"/>
            <w:tabs>
              <w:tab w:val="clear" w:pos="8743"/>
              <w:tab w:val="right" w:pos="9026" w:leader="dot"/>
            </w:tabs>
            <w:rPr/>
          </w:pPr>
          <w:hyperlink w:anchor="__RefHeading___Toc1265232_653776707">
            <w:r>
              <w:rPr>
                <w:webHidden/>
                <w:rStyle w:val="IndexLink"/>
                <w:rtl w:val="true"/>
              </w:rPr>
              <w:t>کتاب الزکاة</w:t>
            </w:r>
            <w:r>
              <w:rPr>
                <w:rStyle w:val="IndexLink"/>
                <w:rtl w:val="true"/>
              </w:rPr>
              <w:tab/>
            </w:r>
            <w:r>
              <w:rPr>
                <w:rStyle w:val="IndexLink"/>
              </w:rPr>
              <w:t>87</w:t>
            </w:r>
          </w:hyperlink>
        </w:p>
        <w:p>
          <w:pPr>
            <w:pStyle w:val="Contents3"/>
            <w:tabs>
              <w:tab w:val="clear" w:pos="8459"/>
              <w:tab w:val="right" w:pos="9026" w:leader="dot"/>
            </w:tabs>
            <w:rPr/>
          </w:pPr>
          <w:hyperlink w:anchor="__RefHeading___Toc1265234_653776707">
            <w:r>
              <w:rPr>
                <w:webHidden/>
                <w:rStyle w:val="IndexLink"/>
                <w:rtl w:val="true"/>
              </w:rPr>
              <w:t>کتاب الزکاة</w:t>
            </w:r>
            <w:r>
              <w:rPr>
                <w:rStyle w:val="IndexLink"/>
                <w:rtl w:val="true"/>
              </w:rPr>
              <w:tab/>
            </w:r>
            <w:r>
              <w:rPr>
                <w:rStyle w:val="IndexLink"/>
              </w:rPr>
              <w:t>87</w:t>
            </w:r>
          </w:hyperlink>
        </w:p>
        <w:p>
          <w:pPr>
            <w:pStyle w:val="Contents4"/>
            <w:tabs>
              <w:tab w:val="clear" w:pos="8176"/>
              <w:tab w:val="right" w:pos="9026" w:leader="dot"/>
            </w:tabs>
            <w:rPr/>
          </w:pPr>
          <w:hyperlink w:anchor="__RefHeading___Toc1265236_653776707">
            <w:r>
              <w:rPr>
                <w:webHidden/>
                <w:rStyle w:val="IndexLink"/>
                <w:rtl w:val="true"/>
              </w:rPr>
              <w:t>القول فی زکاة المال</w:t>
            </w:r>
            <w:r>
              <w:rPr>
                <w:rStyle w:val="IndexLink"/>
                <w:rtl w:val="true"/>
              </w:rPr>
              <w:tab/>
            </w:r>
            <w:r>
              <w:rPr>
                <w:rStyle w:val="IndexLink"/>
              </w:rPr>
              <w:t>87</w:t>
            </w:r>
          </w:hyperlink>
        </w:p>
        <w:p>
          <w:pPr>
            <w:pStyle w:val="Contents4"/>
            <w:tabs>
              <w:tab w:val="clear" w:pos="8176"/>
              <w:tab w:val="right" w:pos="9026" w:leader="dot"/>
            </w:tabs>
            <w:rPr/>
          </w:pPr>
          <w:hyperlink w:anchor="__RefHeading___Toc1265238_653776707">
            <w:r>
              <w:rPr>
                <w:webHidden/>
                <w:rStyle w:val="IndexLink"/>
                <w:rtl w:val="true"/>
              </w:rPr>
              <w:t>القول فیمن تجب علیه</w:t>
            </w:r>
            <w:r>
              <w:rPr>
                <w:rStyle w:val="IndexLink"/>
                <w:rtl w:val="true"/>
              </w:rPr>
              <w:tab/>
            </w:r>
            <w:r>
              <w:rPr>
                <w:rStyle w:val="IndexLink"/>
              </w:rPr>
              <w:t>87</w:t>
            </w:r>
          </w:hyperlink>
        </w:p>
        <w:p>
          <w:pPr>
            <w:pStyle w:val="Contents4"/>
            <w:tabs>
              <w:tab w:val="clear" w:pos="8176"/>
              <w:tab w:val="right" w:pos="9026" w:leader="dot"/>
            </w:tabs>
            <w:rPr/>
          </w:pPr>
          <w:hyperlink w:anchor="__RefHeading___Toc1265240_653776707">
            <w:r>
              <w:rPr>
                <w:webHidden/>
                <w:rStyle w:val="IndexLink"/>
                <w:rtl w:val="true"/>
              </w:rPr>
              <w:t>فیما تجب فیه الزکاة</w:t>
            </w:r>
            <w:r>
              <w:rPr>
                <w:rStyle w:val="IndexLink"/>
                <w:rtl w:val="true"/>
              </w:rPr>
              <w:tab/>
            </w:r>
            <w:r>
              <w:rPr>
                <w:rStyle w:val="IndexLink"/>
              </w:rPr>
              <w:t>88</w:t>
            </w:r>
          </w:hyperlink>
        </w:p>
        <w:p>
          <w:pPr>
            <w:pStyle w:val="Contents4"/>
            <w:tabs>
              <w:tab w:val="clear" w:pos="8176"/>
              <w:tab w:val="right" w:pos="9026" w:leader="dot"/>
            </w:tabs>
            <w:rPr/>
          </w:pPr>
          <w:hyperlink w:anchor="__RefHeading___Toc1265242_653776707">
            <w:r>
              <w:rPr>
                <w:webHidden/>
                <w:rStyle w:val="IndexLink"/>
                <w:rtl w:val="true"/>
              </w:rPr>
              <w:t>فی النصاب</w:t>
            </w:r>
            <w:r>
              <w:rPr>
                <w:rStyle w:val="IndexLink"/>
                <w:rtl w:val="true"/>
              </w:rPr>
              <w:tab/>
            </w:r>
            <w:r>
              <w:rPr>
                <w:rStyle w:val="IndexLink"/>
              </w:rPr>
              <w:t>88</w:t>
            </w:r>
          </w:hyperlink>
        </w:p>
        <w:p>
          <w:pPr>
            <w:pStyle w:val="Contents4"/>
            <w:tabs>
              <w:tab w:val="clear" w:pos="8176"/>
              <w:tab w:val="right" w:pos="9026" w:leader="dot"/>
            </w:tabs>
            <w:rPr/>
          </w:pPr>
          <w:hyperlink w:anchor="__RefHeading___Toc1265244_653776707">
            <w:r>
              <w:rPr>
                <w:webHidden/>
                <w:rStyle w:val="IndexLink"/>
                <w:rtl w:val="true"/>
              </w:rPr>
              <w:t>فی السَّوم والشرطین الأخیرین</w:t>
            </w:r>
            <w:r>
              <w:rPr>
                <w:rStyle w:val="IndexLink"/>
                <w:rtl w:val="true"/>
              </w:rPr>
              <w:tab/>
            </w:r>
            <w:r>
              <w:rPr>
                <w:rStyle w:val="IndexLink"/>
              </w:rPr>
              <w:t>89</w:t>
            </w:r>
          </w:hyperlink>
        </w:p>
        <w:p>
          <w:pPr>
            <w:pStyle w:val="Contents3"/>
            <w:tabs>
              <w:tab w:val="clear" w:pos="8459"/>
              <w:tab w:val="right" w:pos="9026" w:leader="dot"/>
            </w:tabs>
            <w:rPr/>
          </w:pPr>
          <w:hyperlink w:anchor="__RefHeading___Toc1265246_653776707">
            <w:r>
              <w:rPr>
                <w:webHidden/>
                <w:rStyle w:val="IndexLink"/>
                <w:rtl w:val="true"/>
              </w:rPr>
              <w:t>فی زکاة النقدین</w:t>
            </w:r>
            <w:r>
              <w:rPr>
                <w:rStyle w:val="IndexLink"/>
                <w:rtl w:val="true"/>
              </w:rPr>
              <w:tab/>
            </w:r>
            <w:r>
              <w:rPr>
                <w:rStyle w:val="IndexLink"/>
              </w:rPr>
              <w:t>90</w:t>
            </w:r>
          </w:hyperlink>
        </w:p>
        <w:p>
          <w:pPr>
            <w:pStyle w:val="Contents3"/>
            <w:tabs>
              <w:tab w:val="clear" w:pos="8459"/>
              <w:tab w:val="right" w:pos="9026" w:leader="dot"/>
            </w:tabs>
            <w:rPr/>
          </w:pPr>
          <w:hyperlink w:anchor="__RefHeading___Toc1265248_653776707">
            <w:r>
              <w:rPr>
                <w:webHidden/>
                <w:rStyle w:val="IndexLink"/>
                <w:rtl w:val="true"/>
              </w:rPr>
              <w:t>فی زکاة الغلّات</w:t>
            </w:r>
            <w:r>
              <w:rPr>
                <w:rStyle w:val="IndexLink"/>
                <w:rtl w:val="true"/>
              </w:rPr>
              <w:tab/>
            </w:r>
            <w:r>
              <w:rPr>
                <w:rStyle w:val="IndexLink"/>
              </w:rPr>
              <w:t>91</w:t>
            </w:r>
          </w:hyperlink>
        </w:p>
        <w:p>
          <w:pPr>
            <w:pStyle w:val="Contents4"/>
            <w:tabs>
              <w:tab w:val="clear" w:pos="8176"/>
              <w:tab w:val="right" w:pos="9026" w:leader="dot"/>
            </w:tabs>
            <w:rPr/>
          </w:pPr>
          <w:hyperlink w:anchor="__RefHeading___Toc1265250_653776707">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1265252_653776707">
            <w:r>
              <w:rPr>
                <w:webHidden/>
                <w:rStyle w:val="IndexLink"/>
                <w:rtl w:val="true"/>
              </w:rPr>
              <w:t>فی أصناف المستحقّین</w:t>
            </w:r>
            <w:r>
              <w:rPr>
                <w:rStyle w:val="IndexLink"/>
                <w:rtl w:val="true"/>
              </w:rPr>
              <w:tab/>
            </w:r>
            <w:r>
              <w:rPr>
                <w:rStyle w:val="IndexLink"/>
              </w:rPr>
              <w:t>93</w:t>
            </w:r>
          </w:hyperlink>
        </w:p>
        <w:p>
          <w:pPr>
            <w:pStyle w:val="Contents4"/>
            <w:tabs>
              <w:tab w:val="clear" w:pos="8176"/>
              <w:tab w:val="right" w:pos="9026" w:leader="dot"/>
            </w:tabs>
            <w:rPr/>
          </w:pPr>
          <w:hyperlink w:anchor="__RefHeading___Toc1265254_653776707">
            <w:r>
              <w:rPr>
                <w:webHidden/>
                <w:rStyle w:val="IndexLink"/>
                <w:rtl w:val="true"/>
              </w:rPr>
              <w:t>فی أوصاف المستحقّین للزکاة</w:t>
            </w:r>
            <w:r>
              <w:rPr>
                <w:rStyle w:val="IndexLink"/>
                <w:rtl w:val="true"/>
              </w:rPr>
              <w:tab/>
            </w:r>
            <w:r>
              <w:rPr>
                <w:rStyle w:val="IndexLink"/>
              </w:rPr>
              <w:t>95</w:t>
            </w:r>
          </w:hyperlink>
        </w:p>
        <w:p>
          <w:pPr>
            <w:pStyle w:val="Contents4"/>
            <w:tabs>
              <w:tab w:val="clear" w:pos="8176"/>
              <w:tab w:val="right" w:pos="9026" w:leader="dot"/>
            </w:tabs>
            <w:rPr/>
          </w:pPr>
          <w:hyperlink w:anchor="__RefHeading___Toc1265256_653776707">
            <w:r>
              <w:rPr>
                <w:webHidden/>
                <w:rStyle w:val="IndexLink"/>
                <w:rtl w:val="true"/>
              </w:rPr>
              <w:t>فی بقیّة أحکام الزّکاة</w:t>
            </w:r>
            <w:r>
              <w:rPr>
                <w:rStyle w:val="IndexLink"/>
                <w:rtl w:val="true"/>
              </w:rPr>
              <w:tab/>
            </w:r>
            <w:r>
              <w:rPr>
                <w:rStyle w:val="IndexLink"/>
              </w:rPr>
              <w:t>95</w:t>
            </w:r>
          </w:hyperlink>
        </w:p>
        <w:p>
          <w:pPr>
            <w:pStyle w:val="Contents3"/>
            <w:tabs>
              <w:tab w:val="clear" w:pos="8459"/>
              <w:tab w:val="right" w:pos="9026" w:leader="dot"/>
            </w:tabs>
            <w:rPr/>
          </w:pPr>
          <w:hyperlink w:anchor="__RefHeading___Toc1265258_653776707">
            <w:r>
              <w:rPr>
                <w:webHidden/>
                <w:rStyle w:val="IndexLink"/>
                <w:rtl w:val="true"/>
              </w:rPr>
              <w:t>فی زکاة الفطرة</w:t>
            </w:r>
            <w:r>
              <w:rPr>
                <w:rStyle w:val="IndexLink"/>
                <w:rtl w:val="true"/>
              </w:rPr>
              <w:tab/>
            </w:r>
            <w:r>
              <w:rPr>
                <w:rStyle w:val="IndexLink"/>
              </w:rPr>
              <w:t>97</w:t>
            </w:r>
          </w:hyperlink>
        </w:p>
        <w:p>
          <w:pPr>
            <w:pStyle w:val="Contents2"/>
            <w:tabs>
              <w:tab w:val="clear" w:pos="8743"/>
              <w:tab w:val="right" w:pos="9026" w:leader="dot"/>
            </w:tabs>
            <w:rPr/>
          </w:pPr>
          <w:hyperlink w:anchor="__RefHeading___Toc1265260_653776707">
            <w:r>
              <w:rPr>
                <w:webHidden/>
                <w:rStyle w:val="IndexLink"/>
                <w:rtl w:val="true"/>
              </w:rPr>
              <w:t>کتاب الخمس</w:t>
            </w:r>
            <w:r>
              <w:rPr>
                <w:rStyle w:val="IndexLink"/>
                <w:rtl w:val="true"/>
              </w:rPr>
              <w:tab/>
            </w:r>
            <w:r>
              <w:rPr>
                <w:rStyle w:val="IndexLink"/>
              </w:rPr>
              <w:t>99</w:t>
            </w:r>
          </w:hyperlink>
        </w:p>
        <w:p>
          <w:pPr>
            <w:pStyle w:val="Contents3"/>
            <w:tabs>
              <w:tab w:val="clear" w:pos="8459"/>
              <w:tab w:val="right" w:pos="9026" w:leader="dot"/>
            </w:tabs>
            <w:rPr/>
          </w:pPr>
          <w:hyperlink w:anchor="__RefHeading___Toc1265262_653776707">
            <w:r>
              <w:rPr>
                <w:webHidden/>
                <w:rStyle w:val="IndexLink"/>
                <w:rtl w:val="true"/>
              </w:rPr>
              <w:t>کتاب الخمس</w:t>
            </w:r>
            <w:r>
              <w:rPr>
                <w:rStyle w:val="IndexLink"/>
                <w:rtl w:val="true"/>
              </w:rPr>
              <w:tab/>
            </w:r>
            <w:r>
              <w:rPr>
                <w:rStyle w:val="IndexLink"/>
              </w:rPr>
              <w:t>99</w:t>
            </w:r>
          </w:hyperlink>
        </w:p>
        <w:p>
          <w:pPr>
            <w:pStyle w:val="Contents4"/>
            <w:tabs>
              <w:tab w:val="clear" w:pos="8176"/>
              <w:tab w:val="right" w:pos="9026" w:leader="dot"/>
            </w:tabs>
            <w:rPr/>
          </w:pPr>
          <w:hyperlink w:anchor="__RefHeading___Toc1265264_653776707">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1265266_653776707">
            <w:r>
              <w:rPr>
                <w:webHidden/>
                <w:rStyle w:val="IndexLink"/>
                <w:rtl w:val="true"/>
              </w:rPr>
              <w:t>فی ما یجب فیه</w:t>
            </w:r>
            <w:r>
              <w:rPr>
                <w:rStyle w:val="IndexLink"/>
                <w:rtl w:val="true"/>
              </w:rPr>
              <w:tab/>
            </w:r>
            <w:r>
              <w:rPr>
                <w:rStyle w:val="IndexLink"/>
              </w:rPr>
              <w:t>99</w:t>
            </w:r>
          </w:hyperlink>
        </w:p>
        <w:p>
          <w:pPr>
            <w:pStyle w:val="Contents4"/>
            <w:tabs>
              <w:tab w:val="clear" w:pos="8176"/>
              <w:tab w:val="right" w:pos="9026" w:leader="dot"/>
            </w:tabs>
            <w:rPr/>
          </w:pPr>
          <w:hyperlink w:anchor="__RefHeading___Toc1265268_653776707">
            <w:r>
              <w:rPr>
                <w:webHidden/>
                <w:rStyle w:val="IndexLink"/>
                <w:rtl w:val="true"/>
              </w:rPr>
              <w:t>فی قسمته ومستحقّیه</w:t>
            </w:r>
            <w:r>
              <w:rPr>
                <w:rStyle w:val="IndexLink"/>
                <w:rtl w:val="true"/>
              </w:rPr>
              <w:tab/>
            </w:r>
            <w:r>
              <w:rPr>
                <w:rStyle w:val="IndexLink"/>
              </w:rPr>
              <w:t>102</w:t>
            </w:r>
          </w:hyperlink>
        </w:p>
        <w:p>
          <w:pPr>
            <w:pStyle w:val="Contents3"/>
            <w:tabs>
              <w:tab w:val="clear" w:pos="8459"/>
              <w:tab w:val="right" w:pos="9026" w:leader="dot"/>
            </w:tabs>
            <w:rPr/>
          </w:pPr>
          <w:hyperlink w:anchor="__RefHeading___Toc1265270_653776707">
            <w:r>
              <w:rPr>
                <w:webHidden/>
                <w:rStyle w:val="IndexLink"/>
                <w:rtl w:val="true"/>
              </w:rPr>
              <w:t>فی الأنفال</w:t>
            </w:r>
            <w:r>
              <w:rPr>
                <w:rStyle w:val="IndexLink"/>
                <w:rtl w:val="true"/>
              </w:rPr>
              <w:tab/>
            </w:r>
            <w:r>
              <w:rPr>
                <w:rStyle w:val="IndexLink"/>
              </w:rPr>
              <w:t>104</w:t>
            </w:r>
          </w:hyperlink>
        </w:p>
        <w:p>
          <w:pPr>
            <w:pStyle w:val="Contents2"/>
            <w:tabs>
              <w:tab w:val="clear" w:pos="8743"/>
              <w:tab w:val="right" w:pos="9026" w:leader="dot"/>
            </w:tabs>
            <w:rPr/>
          </w:pPr>
          <w:hyperlink w:anchor="__RefHeading___Toc1265272_653776707">
            <w:r>
              <w:rPr>
                <w:webHidden/>
                <w:rStyle w:val="IndexLink"/>
                <w:rtl w:val="true"/>
              </w:rPr>
              <w:t>کتاب الحجّ</w:t>
            </w:r>
            <w:r>
              <w:rPr>
                <w:rStyle w:val="IndexLink"/>
                <w:rtl w:val="true"/>
              </w:rPr>
              <w:tab/>
            </w:r>
            <w:r>
              <w:rPr>
                <w:rStyle w:val="IndexLink"/>
              </w:rPr>
              <w:t>105</w:t>
            </w:r>
          </w:hyperlink>
        </w:p>
        <w:p>
          <w:pPr>
            <w:pStyle w:val="Contents3"/>
            <w:tabs>
              <w:tab w:val="clear" w:pos="8459"/>
              <w:tab w:val="right" w:pos="9026" w:leader="dot"/>
            </w:tabs>
            <w:rPr/>
          </w:pPr>
          <w:hyperlink w:anchor="__RefHeading___Toc1265274_653776707">
            <w:r>
              <w:rPr>
                <w:webHidden/>
                <w:rStyle w:val="IndexLink"/>
                <w:rtl w:val="true"/>
              </w:rPr>
              <w:t>اشارة</w:t>
            </w:r>
            <w:r>
              <w:rPr>
                <w:rStyle w:val="IndexLink"/>
                <w:rtl w:val="true"/>
              </w:rPr>
              <w:tab/>
            </w:r>
            <w:r>
              <w:rPr>
                <w:rStyle w:val="IndexLink"/>
              </w:rPr>
              <w:t>105</w:t>
            </w:r>
          </w:hyperlink>
        </w:p>
        <w:p>
          <w:pPr>
            <w:pStyle w:val="Contents3"/>
            <w:tabs>
              <w:tab w:val="clear" w:pos="8459"/>
              <w:tab w:val="right" w:pos="9026" w:leader="dot"/>
            </w:tabs>
            <w:rPr/>
          </w:pPr>
          <w:hyperlink w:anchor="__RefHeading___Toc1265276_653776707">
            <w:r>
              <w:rPr>
                <w:webHidden/>
                <w:rStyle w:val="IndexLink"/>
                <w:rtl w:val="true"/>
              </w:rPr>
              <w:t>فی النیابة</w:t>
            </w:r>
            <w:r>
              <w:rPr>
                <w:rStyle w:val="IndexLink"/>
                <w:rtl w:val="true"/>
              </w:rPr>
              <w:tab/>
            </w:r>
            <w:r>
              <w:rPr>
                <w:rStyle w:val="IndexLink"/>
              </w:rPr>
              <w:t>108</w:t>
            </w:r>
          </w:hyperlink>
        </w:p>
        <w:p>
          <w:pPr>
            <w:pStyle w:val="Contents3"/>
            <w:tabs>
              <w:tab w:val="clear" w:pos="8459"/>
              <w:tab w:val="right" w:pos="9026" w:leader="dot"/>
            </w:tabs>
            <w:rPr/>
          </w:pPr>
          <w:hyperlink w:anchor="__RefHeading___Toc1265278_653776707">
            <w:r>
              <w:rPr>
                <w:webHidden/>
                <w:rStyle w:val="IndexLink"/>
                <w:rtl w:val="true"/>
              </w:rPr>
              <w:t>فی الوصیّة بالحجّ</w:t>
            </w:r>
            <w:r>
              <w:rPr>
                <w:rStyle w:val="IndexLink"/>
                <w:rtl w:val="true"/>
              </w:rPr>
              <w:tab/>
            </w:r>
            <w:r>
              <w:rPr>
                <w:rStyle w:val="IndexLink"/>
              </w:rPr>
              <w:t>108</w:t>
            </w:r>
          </w:hyperlink>
        </w:p>
        <w:p>
          <w:pPr>
            <w:pStyle w:val="Contents3"/>
            <w:tabs>
              <w:tab w:val="clear" w:pos="8459"/>
              <w:tab w:val="right" w:pos="9026" w:leader="dot"/>
            </w:tabs>
            <w:rPr/>
          </w:pPr>
          <w:hyperlink w:anchor="__RefHeading___Toc1265280_653776707">
            <w:r>
              <w:rPr>
                <w:webHidden/>
                <w:rStyle w:val="IndexLink"/>
                <w:rtl w:val="true"/>
              </w:rPr>
              <w:t>فی أقسام الحجّ وأفعالها</w:t>
            </w:r>
            <w:r>
              <w:rPr>
                <w:rStyle w:val="IndexLink"/>
                <w:rtl w:val="true"/>
              </w:rPr>
              <w:tab/>
            </w:r>
            <w:r>
              <w:rPr>
                <w:rStyle w:val="IndexLink"/>
              </w:rPr>
              <w:t>109</w:t>
            </w:r>
          </w:hyperlink>
        </w:p>
        <w:p>
          <w:pPr>
            <w:pStyle w:val="Contents4"/>
            <w:tabs>
              <w:tab w:val="clear" w:pos="8176"/>
              <w:tab w:val="right" w:pos="9026" w:leader="dot"/>
            </w:tabs>
            <w:rPr/>
          </w:pPr>
          <w:hyperlink w:anchor="__RefHeading___Toc1265282_653776707">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1265284_653776707">
            <w:r>
              <w:rPr>
                <w:webHidden/>
                <w:rStyle w:val="IndexLink"/>
                <w:rtl w:val="true"/>
              </w:rPr>
              <w:t>فی المواقیت</w:t>
            </w:r>
            <w:r>
              <w:rPr>
                <w:rStyle w:val="IndexLink"/>
                <w:rtl w:val="true"/>
              </w:rPr>
              <w:tab/>
            </w:r>
            <w:r>
              <w:rPr>
                <w:rStyle w:val="IndexLink"/>
              </w:rPr>
              <w:t>111</w:t>
            </w:r>
          </w:hyperlink>
        </w:p>
        <w:p>
          <w:pPr>
            <w:pStyle w:val="Contents4"/>
            <w:tabs>
              <w:tab w:val="clear" w:pos="8176"/>
              <w:tab w:val="right" w:pos="9026" w:leader="dot"/>
            </w:tabs>
            <w:rPr/>
          </w:pPr>
          <w:hyperlink w:anchor="__RefHeading___Toc1265286_653776707">
            <w:r>
              <w:rPr>
                <w:webHidden/>
                <w:rStyle w:val="IndexLink"/>
                <w:rtl w:val="true"/>
              </w:rPr>
              <w:t>أحکام المواقیت</w:t>
            </w:r>
            <w:r>
              <w:rPr>
                <w:rStyle w:val="IndexLink"/>
                <w:rtl w:val="true"/>
              </w:rPr>
              <w:tab/>
            </w:r>
            <w:r>
              <w:rPr>
                <w:rStyle w:val="IndexLink"/>
              </w:rPr>
              <w:t>112</w:t>
            </w:r>
          </w:hyperlink>
        </w:p>
        <w:p>
          <w:pPr>
            <w:pStyle w:val="Contents4"/>
            <w:tabs>
              <w:tab w:val="clear" w:pos="8176"/>
              <w:tab w:val="right" w:pos="9026" w:leader="dot"/>
            </w:tabs>
            <w:rPr/>
          </w:pPr>
          <w:hyperlink w:anchor="__RefHeading___Toc1265288_653776707">
            <w:r>
              <w:rPr>
                <w:webHidden/>
                <w:rStyle w:val="IndexLink"/>
                <w:rtl w:val="true"/>
              </w:rPr>
              <w:t>کیفیّة الإحرام</w:t>
            </w:r>
            <w:r>
              <w:rPr>
                <w:rStyle w:val="IndexLink"/>
                <w:rtl w:val="true"/>
              </w:rPr>
              <w:tab/>
            </w:r>
            <w:r>
              <w:rPr>
                <w:rStyle w:val="IndexLink"/>
              </w:rPr>
              <w:t>113</w:t>
            </w:r>
          </w:hyperlink>
        </w:p>
        <w:p>
          <w:pPr>
            <w:pStyle w:val="Contents4"/>
            <w:tabs>
              <w:tab w:val="clear" w:pos="8176"/>
              <w:tab w:val="right" w:pos="9026" w:leader="dot"/>
            </w:tabs>
            <w:rPr/>
          </w:pPr>
          <w:hyperlink w:anchor="__RefHeading___Toc1265290_653776707">
            <w:r>
              <w:rPr>
                <w:webHidden/>
                <w:rStyle w:val="IndexLink"/>
                <w:rtl w:val="true"/>
              </w:rPr>
              <w:t>تروک الإحرام</w:t>
            </w:r>
            <w:r>
              <w:rPr>
                <w:rStyle w:val="IndexLink"/>
                <w:rtl w:val="true"/>
              </w:rPr>
              <w:tab/>
            </w:r>
            <w:r>
              <w:rPr>
                <w:rStyle w:val="IndexLink"/>
              </w:rPr>
              <w:t>114</w:t>
            </w:r>
          </w:hyperlink>
        </w:p>
        <w:p>
          <w:pPr>
            <w:pStyle w:val="Contents4"/>
            <w:tabs>
              <w:tab w:val="clear" w:pos="8176"/>
              <w:tab w:val="right" w:pos="9026" w:leader="dot"/>
            </w:tabs>
            <w:rPr/>
          </w:pPr>
          <w:hyperlink w:anchor="__RefHeading___Toc1265292_653776707">
            <w:r>
              <w:rPr>
                <w:webHidden/>
                <w:rStyle w:val="IndexLink"/>
                <w:rtl w:val="true"/>
              </w:rPr>
              <w:t>فی الطواف</w:t>
            </w:r>
            <w:r>
              <w:rPr>
                <w:rStyle w:val="IndexLink"/>
                <w:rtl w:val="true"/>
              </w:rPr>
              <w:tab/>
            </w:r>
            <w:r>
              <w:rPr>
                <w:rStyle w:val="IndexLink"/>
              </w:rPr>
              <w:t>116</w:t>
            </w:r>
          </w:hyperlink>
        </w:p>
        <w:p>
          <w:pPr>
            <w:pStyle w:val="Contents5"/>
            <w:tabs>
              <w:tab w:val="clear" w:pos="7892"/>
              <w:tab w:val="right" w:pos="9026" w:leader="dot"/>
            </w:tabs>
            <w:rPr/>
          </w:pPr>
          <w:hyperlink w:anchor="__RefHeading___Toc1265294_653776707">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1265296_653776707">
            <w:r>
              <w:rPr>
                <w:webHidden/>
                <w:rStyle w:val="IndexLink"/>
                <w:rtl w:val="true"/>
              </w:rPr>
              <w:t>فی واجباته</w:t>
            </w:r>
            <w:r>
              <w:rPr>
                <w:rStyle w:val="IndexLink"/>
                <w:rtl w:val="true"/>
              </w:rPr>
              <w:tab/>
            </w:r>
            <w:r>
              <w:rPr>
                <w:rStyle w:val="IndexLink"/>
              </w:rPr>
              <w:t>116</w:t>
            </w:r>
          </w:hyperlink>
        </w:p>
        <w:p>
          <w:pPr>
            <w:pStyle w:val="Contents5"/>
            <w:tabs>
              <w:tab w:val="clear" w:pos="7892"/>
              <w:tab w:val="right" w:pos="9026" w:leader="dot"/>
            </w:tabs>
            <w:rPr/>
          </w:pPr>
          <w:hyperlink w:anchor="__RefHeading___Toc1265298_653776707">
            <w:r>
              <w:rPr>
                <w:webHidden/>
                <w:rStyle w:val="IndexLink"/>
                <w:rtl w:val="true"/>
              </w:rPr>
              <w:t>فی صلاة الطواف</w:t>
            </w:r>
            <w:r>
              <w:rPr>
                <w:rStyle w:val="IndexLink"/>
                <w:rtl w:val="true"/>
              </w:rPr>
              <w:tab/>
            </w:r>
            <w:r>
              <w:rPr>
                <w:rStyle w:val="IndexLink"/>
              </w:rPr>
              <w:t>118</w:t>
            </w:r>
          </w:hyperlink>
        </w:p>
        <w:p>
          <w:pPr>
            <w:pStyle w:val="Contents4"/>
            <w:tabs>
              <w:tab w:val="clear" w:pos="8176"/>
              <w:tab w:val="right" w:pos="9026" w:leader="dot"/>
            </w:tabs>
            <w:rPr/>
          </w:pPr>
          <w:hyperlink w:anchor="__RefHeading___Toc1265300_653776707">
            <w:r>
              <w:rPr>
                <w:webHidden/>
                <w:rStyle w:val="IndexLink"/>
                <w:rtl w:val="true"/>
              </w:rPr>
              <w:t>فی السعی</w:t>
            </w:r>
            <w:r>
              <w:rPr>
                <w:rStyle w:val="IndexLink"/>
                <w:rtl w:val="true"/>
              </w:rPr>
              <w:tab/>
            </w:r>
            <w:r>
              <w:rPr>
                <w:rStyle w:val="IndexLink"/>
              </w:rPr>
              <w:t>118</w:t>
            </w:r>
          </w:hyperlink>
        </w:p>
        <w:p>
          <w:pPr>
            <w:pStyle w:val="Contents4"/>
            <w:tabs>
              <w:tab w:val="clear" w:pos="8176"/>
              <w:tab w:val="right" w:pos="9026" w:leader="dot"/>
            </w:tabs>
            <w:rPr/>
          </w:pPr>
          <w:hyperlink w:anchor="__RefHeading___Toc1265302_653776707">
            <w:r>
              <w:rPr>
                <w:webHidden/>
                <w:rStyle w:val="IndexLink"/>
                <w:rtl w:val="true"/>
              </w:rPr>
              <w:t>فی التقصیر</w:t>
            </w:r>
            <w:r>
              <w:rPr>
                <w:rStyle w:val="IndexLink"/>
                <w:rtl w:val="true"/>
              </w:rPr>
              <w:tab/>
            </w:r>
            <w:r>
              <w:rPr>
                <w:rStyle w:val="IndexLink"/>
              </w:rPr>
              <w:t>118</w:t>
            </w:r>
          </w:hyperlink>
        </w:p>
        <w:p>
          <w:pPr>
            <w:pStyle w:val="Contents4"/>
            <w:tabs>
              <w:tab w:val="clear" w:pos="8176"/>
              <w:tab w:val="right" w:pos="9026" w:leader="dot"/>
            </w:tabs>
            <w:rPr/>
          </w:pPr>
          <w:hyperlink w:anchor="__RefHeading___Toc1265304_653776707">
            <w:r>
              <w:rPr>
                <w:webHidden/>
                <w:rStyle w:val="IndexLink"/>
                <w:rtl w:val="true"/>
              </w:rPr>
              <w:t>فی الوقوف بعرفات</w:t>
            </w:r>
            <w:r>
              <w:rPr>
                <w:rStyle w:val="IndexLink"/>
                <w:rtl w:val="true"/>
              </w:rPr>
              <w:tab/>
            </w:r>
            <w:r>
              <w:rPr>
                <w:rStyle w:val="IndexLink"/>
              </w:rPr>
              <w:t>119</w:t>
            </w:r>
          </w:hyperlink>
        </w:p>
        <w:p>
          <w:pPr>
            <w:pStyle w:val="Contents4"/>
            <w:tabs>
              <w:tab w:val="clear" w:pos="8176"/>
              <w:tab w:val="right" w:pos="9026" w:leader="dot"/>
            </w:tabs>
            <w:rPr/>
          </w:pPr>
          <w:hyperlink w:anchor="__RefHeading___Toc1265306_653776707">
            <w:r>
              <w:rPr>
                <w:webHidden/>
                <w:rStyle w:val="IndexLink"/>
                <w:rtl w:val="true"/>
              </w:rPr>
              <w:t>فی الوقوف بالمشعر</w:t>
            </w:r>
            <w:r>
              <w:rPr>
                <w:rStyle w:val="IndexLink"/>
                <w:rtl w:val="true"/>
              </w:rPr>
              <w:tab/>
            </w:r>
            <w:r>
              <w:rPr>
                <w:rStyle w:val="IndexLink"/>
              </w:rPr>
              <w:t>119</w:t>
            </w:r>
          </w:hyperlink>
        </w:p>
        <w:p>
          <w:pPr>
            <w:pStyle w:val="Contents4"/>
            <w:tabs>
              <w:tab w:val="clear" w:pos="8176"/>
              <w:tab w:val="right" w:pos="9026" w:leader="dot"/>
            </w:tabs>
            <w:rPr/>
          </w:pPr>
          <w:hyperlink w:anchor="__RefHeading___Toc1265308_653776707">
            <w:r>
              <w:rPr>
                <w:webHidden/>
                <w:rStyle w:val="IndexLink"/>
                <w:rtl w:val="true"/>
              </w:rPr>
              <w:t>فی واجبات منی</w:t>
            </w:r>
            <w:r>
              <w:rPr>
                <w:rStyle w:val="IndexLink"/>
                <w:rtl w:val="true"/>
              </w:rPr>
              <w:tab/>
            </w:r>
            <w:r>
              <w:rPr>
                <w:rStyle w:val="IndexLink"/>
              </w:rPr>
              <w:t>120</w:t>
            </w:r>
          </w:hyperlink>
        </w:p>
        <w:p>
          <w:pPr>
            <w:pStyle w:val="Contents4"/>
            <w:tabs>
              <w:tab w:val="clear" w:pos="8176"/>
              <w:tab w:val="right" w:pos="9026" w:leader="dot"/>
            </w:tabs>
            <w:rPr/>
          </w:pPr>
          <w:hyperlink w:anchor="__RefHeading___Toc1265310_653776707">
            <w:r>
              <w:rPr>
                <w:webHidden/>
                <w:rStyle w:val="IndexLink"/>
                <w:rtl w:val="true"/>
              </w:rPr>
              <w:t>فیما یجب بعد أعمال منی</w:t>
            </w:r>
            <w:r>
              <w:rPr>
                <w:rStyle w:val="IndexLink"/>
                <w:rtl w:val="true"/>
              </w:rPr>
              <w:tab/>
            </w:r>
            <w:r>
              <w:rPr>
                <w:rStyle w:val="IndexLink"/>
              </w:rPr>
              <w:t>121</w:t>
            </w:r>
          </w:hyperlink>
        </w:p>
        <w:p>
          <w:pPr>
            <w:pStyle w:val="Contents4"/>
            <w:tabs>
              <w:tab w:val="clear" w:pos="8176"/>
              <w:tab w:val="right" w:pos="9026" w:leader="dot"/>
            </w:tabs>
            <w:rPr/>
          </w:pPr>
          <w:hyperlink w:anchor="__RefHeading___Toc1265312_653776707">
            <w:r>
              <w:rPr>
                <w:webHidden/>
                <w:rStyle w:val="IndexLink"/>
                <w:rtl w:val="true"/>
              </w:rPr>
              <w:t>فی المبیت بمنی</w:t>
            </w:r>
            <w:r>
              <w:rPr>
                <w:rStyle w:val="IndexLink"/>
                <w:rtl w:val="true"/>
              </w:rPr>
              <w:tab/>
            </w:r>
            <w:r>
              <w:rPr>
                <w:rStyle w:val="IndexLink"/>
              </w:rPr>
              <w:t>122</w:t>
            </w:r>
          </w:hyperlink>
        </w:p>
        <w:p>
          <w:pPr>
            <w:pStyle w:val="Contents4"/>
            <w:tabs>
              <w:tab w:val="clear" w:pos="8176"/>
              <w:tab w:val="right" w:pos="9026" w:leader="dot"/>
            </w:tabs>
            <w:rPr/>
          </w:pPr>
          <w:hyperlink w:anchor="__RefHeading___Toc1265314_653776707">
            <w:r>
              <w:rPr>
                <w:webHidden/>
                <w:rStyle w:val="IndexLink"/>
                <w:rtl w:val="true"/>
              </w:rPr>
              <w:t>فی رمی الجمار الثلاث</w:t>
            </w:r>
            <w:r>
              <w:rPr>
                <w:rStyle w:val="IndexLink"/>
                <w:rtl w:val="true"/>
              </w:rPr>
              <w:tab/>
            </w:r>
            <w:r>
              <w:rPr>
                <w:rStyle w:val="IndexLink"/>
              </w:rPr>
              <w:t>123</w:t>
            </w:r>
          </w:hyperlink>
        </w:p>
        <w:p>
          <w:pPr>
            <w:pStyle w:val="Contents4"/>
            <w:tabs>
              <w:tab w:val="clear" w:pos="8176"/>
              <w:tab w:val="right" w:pos="9026" w:leader="dot"/>
            </w:tabs>
            <w:rPr/>
          </w:pPr>
          <w:hyperlink w:anchor="__RefHeading___Toc1265316_653776707">
            <w:r>
              <w:rPr>
                <w:webHidden/>
                <w:rStyle w:val="IndexLink"/>
                <w:rtl w:val="true"/>
              </w:rPr>
              <w:t>فی الصدّ والإحصار</w:t>
            </w:r>
            <w:r>
              <w:rPr>
                <w:rStyle w:val="IndexLink"/>
                <w:rtl w:val="true"/>
              </w:rPr>
              <w:tab/>
            </w:r>
            <w:r>
              <w:rPr>
                <w:rStyle w:val="IndexLink"/>
              </w:rPr>
              <w:t>123</w:t>
            </w:r>
          </w:hyperlink>
        </w:p>
        <w:p>
          <w:pPr>
            <w:pStyle w:val="Contents2"/>
            <w:tabs>
              <w:tab w:val="clear" w:pos="8743"/>
              <w:tab w:val="right" w:pos="9026" w:leader="dot"/>
            </w:tabs>
            <w:rPr/>
          </w:pPr>
          <w:hyperlink w:anchor="__RefHeading___Toc1265318_653776707">
            <w:r>
              <w:rPr>
                <w:webHidden/>
                <w:rStyle w:val="IndexLink"/>
                <w:rtl w:val="true"/>
              </w:rPr>
              <w:t>کتاب الأمر بالمعروف والنهی عن المنکر</w:t>
            </w:r>
            <w:r>
              <w:rPr>
                <w:rStyle w:val="IndexLink"/>
                <w:rtl w:val="true"/>
              </w:rPr>
              <w:tab/>
            </w:r>
            <w:r>
              <w:rPr>
                <w:rStyle w:val="IndexLink"/>
              </w:rPr>
              <w:t>124</w:t>
            </w:r>
          </w:hyperlink>
        </w:p>
        <w:p>
          <w:pPr>
            <w:pStyle w:val="Contents3"/>
            <w:tabs>
              <w:tab w:val="clear" w:pos="8459"/>
              <w:tab w:val="right" w:pos="9026" w:leader="dot"/>
            </w:tabs>
            <w:rPr/>
          </w:pPr>
          <w:hyperlink w:anchor="__RefHeading___Toc1265320_653776707">
            <w:r>
              <w:rPr>
                <w:webHidden/>
                <w:rStyle w:val="IndexLink"/>
                <w:rtl w:val="true"/>
              </w:rPr>
              <w:t>فی أقسامهما وأحکامهما</w:t>
            </w:r>
            <w:r>
              <w:rPr>
                <w:rStyle w:val="IndexLink"/>
                <w:rtl w:val="true"/>
              </w:rPr>
              <w:tab/>
            </w:r>
            <w:r>
              <w:rPr>
                <w:rStyle w:val="IndexLink"/>
              </w:rPr>
              <w:t>124</w:t>
            </w:r>
          </w:hyperlink>
        </w:p>
        <w:p>
          <w:pPr>
            <w:pStyle w:val="Contents3"/>
            <w:tabs>
              <w:tab w:val="clear" w:pos="8459"/>
              <w:tab w:val="right" w:pos="9026" w:leader="dot"/>
            </w:tabs>
            <w:rPr/>
          </w:pPr>
          <w:hyperlink w:anchor="__RefHeading___Toc1265322_653776707">
            <w:r>
              <w:rPr>
                <w:webHidden/>
                <w:rStyle w:val="IndexLink"/>
                <w:rtl w:val="true"/>
              </w:rPr>
              <w:t>فی شرائط وجوبهما</w:t>
            </w:r>
            <w:r>
              <w:rPr>
                <w:rStyle w:val="IndexLink"/>
                <w:rtl w:val="true"/>
              </w:rPr>
              <w:tab/>
            </w:r>
            <w:r>
              <w:rPr>
                <w:rStyle w:val="IndexLink"/>
              </w:rPr>
              <w:t>125</w:t>
            </w:r>
          </w:hyperlink>
        </w:p>
        <w:p>
          <w:pPr>
            <w:pStyle w:val="Contents3"/>
            <w:tabs>
              <w:tab w:val="clear" w:pos="8459"/>
              <w:tab w:val="right" w:pos="9026" w:leader="dot"/>
            </w:tabs>
            <w:rPr/>
          </w:pPr>
          <w:hyperlink w:anchor="__RefHeading___Toc1265324_653776707">
            <w:r>
              <w:rPr>
                <w:webHidden/>
                <w:rStyle w:val="IndexLink"/>
                <w:rtl w:val="true"/>
              </w:rPr>
              <w:t>مراتب الأمر بالمعروف والنهی عن المنکر</w:t>
            </w:r>
            <w:r>
              <w:rPr>
                <w:rStyle w:val="IndexLink"/>
                <w:rtl w:val="true"/>
              </w:rPr>
              <w:tab/>
            </w:r>
            <w:r>
              <w:rPr>
                <w:rStyle w:val="IndexLink"/>
              </w:rPr>
              <w:t>128</w:t>
            </w:r>
          </w:hyperlink>
        </w:p>
        <w:p>
          <w:pPr>
            <w:pStyle w:val="Contents3"/>
            <w:tabs>
              <w:tab w:val="clear" w:pos="8459"/>
              <w:tab w:val="right" w:pos="9026" w:leader="dot"/>
            </w:tabs>
            <w:rPr/>
          </w:pPr>
          <w:hyperlink w:anchor="__RefHeading___Toc1265326_653776707">
            <w:r>
              <w:rPr>
                <w:webHidden/>
                <w:rStyle w:val="IndexLink"/>
                <w:rtl w:val="true"/>
              </w:rPr>
              <w:t>ختام فیه مسائل</w:t>
            </w:r>
            <w:r>
              <w:rPr>
                <w:rStyle w:val="IndexLink"/>
                <w:rtl w:val="true"/>
              </w:rPr>
              <w:tab/>
            </w:r>
            <w:r>
              <w:rPr>
                <w:rStyle w:val="IndexLink"/>
              </w:rPr>
              <w:t>130</w:t>
            </w:r>
          </w:hyperlink>
        </w:p>
        <w:p>
          <w:pPr>
            <w:pStyle w:val="Contents2"/>
            <w:tabs>
              <w:tab w:val="clear" w:pos="8743"/>
              <w:tab w:val="right" w:pos="9026" w:leader="dot"/>
            </w:tabs>
            <w:rPr/>
          </w:pPr>
          <w:hyperlink w:anchor="__RefHeading___Toc1265328_653776707">
            <w:r>
              <w:rPr>
                <w:webHidden/>
                <w:rStyle w:val="IndexLink"/>
                <w:rtl w:val="true"/>
              </w:rPr>
              <w:t>کتاب المکاسب والمتاجر</w:t>
            </w:r>
            <w:r>
              <w:rPr>
                <w:rStyle w:val="IndexLink"/>
                <w:rtl w:val="true"/>
              </w:rPr>
              <w:tab/>
            </w:r>
            <w:r>
              <w:rPr>
                <w:rStyle w:val="IndexLink"/>
              </w:rPr>
              <w:t>131</w:t>
            </w:r>
          </w:hyperlink>
        </w:p>
        <w:p>
          <w:pPr>
            <w:pStyle w:val="Contents2"/>
            <w:tabs>
              <w:tab w:val="clear" w:pos="8743"/>
              <w:tab w:val="right" w:pos="9026" w:leader="dot"/>
            </w:tabs>
            <w:rPr/>
          </w:pPr>
          <w:hyperlink w:anchor="__RefHeading___Toc1265330_653776707">
            <w:r>
              <w:rPr>
                <w:webHidden/>
                <w:rStyle w:val="IndexLink"/>
                <w:rtl w:val="true"/>
              </w:rPr>
              <w:t>کتاب البیع</w:t>
            </w:r>
            <w:r>
              <w:rPr>
                <w:rStyle w:val="IndexLink"/>
                <w:rtl w:val="true"/>
              </w:rPr>
              <w:tab/>
            </w:r>
            <w:r>
              <w:rPr>
                <w:rStyle w:val="IndexLink"/>
              </w:rPr>
              <w:t>135</w:t>
            </w:r>
          </w:hyperlink>
        </w:p>
        <w:p>
          <w:pPr>
            <w:pStyle w:val="Contents3"/>
            <w:tabs>
              <w:tab w:val="clear" w:pos="8459"/>
              <w:tab w:val="right" w:pos="9026" w:leader="dot"/>
            </w:tabs>
            <w:rPr/>
          </w:pPr>
          <w:hyperlink w:anchor="__RefHeading___Toc1265332_653776707">
            <w:r>
              <w:rPr>
                <w:webHidden/>
                <w:rStyle w:val="IndexLink"/>
                <w:rtl w:val="true"/>
              </w:rPr>
              <w:t>اشارة</w:t>
            </w:r>
            <w:r>
              <w:rPr>
                <w:rStyle w:val="IndexLink"/>
                <w:rtl w:val="true"/>
              </w:rPr>
              <w:tab/>
            </w:r>
            <w:r>
              <w:rPr>
                <w:rStyle w:val="IndexLink"/>
              </w:rPr>
              <w:t>135</w:t>
            </w:r>
          </w:hyperlink>
        </w:p>
        <w:p>
          <w:pPr>
            <w:pStyle w:val="Contents3"/>
            <w:tabs>
              <w:tab w:val="clear" w:pos="8459"/>
              <w:tab w:val="right" w:pos="9026" w:leader="dot"/>
            </w:tabs>
            <w:rPr/>
          </w:pPr>
          <w:hyperlink w:anchor="__RefHeading___Toc1265334_653776707">
            <w:r>
              <w:rPr>
                <w:webHidden/>
                <w:rStyle w:val="IndexLink"/>
                <w:rtl w:val="true"/>
              </w:rPr>
              <w:t>شروط البیع</w:t>
            </w:r>
            <w:r>
              <w:rPr>
                <w:rStyle w:val="IndexLink"/>
                <w:rtl w:val="true"/>
              </w:rPr>
              <w:tab/>
            </w:r>
            <w:r>
              <w:rPr>
                <w:rStyle w:val="IndexLink"/>
              </w:rPr>
              <w:t>136</w:t>
            </w:r>
          </w:hyperlink>
        </w:p>
        <w:p>
          <w:pPr>
            <w:pStyle w:val="Contents4"/>
            <w:tabs>
              <w:tab w:val="clear" w:pos="8176"/>
              <w:tab w:val="right" w:pos="9026" w:leader="dot"/>
            </w:tabs>
            <w:rPr/>
          </w:pPr>
          <w:hyperlink w:anchor="__RefHeading___Toc1265336_653776707">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1265338_653776707">
            <w:r>
              <w:rPr>
                <w:webHidden/>
                <w:rStyle w:val="IndexLink"/>
                <w:rtl w:val="true"/>
              </w:rPr>
              <w:t>شرائط العوضین</w:t>
            </w:r>
            <w:r>
              <w:rPr>
                <w:rStyle w:val="IndexLink"/>
                <w:rtl w:val="true"/>
              </w:rPr>
              <w:tab/>
            </w:r>
            <w:r>
              <w:rPr>
                <w:rStyle w:val="IndexLink"/>
              </w:rPr>
              <w:t>137</w:t>
            </w:r>
          </w:hyperlink>
        </w:p>
        <w:p>
          <w:pPr>
            <w:pStyle w:val="Contents3"/>
            <w:tabs>
              <w:tab w:val="clear" w:pos="8459"/>
              <w:tab w:val="right" w:pos="9026" w:leader="dot"/>
            </w:tabs>
            <w:rPr/>
          </w:pPr>
          <w:hyperlink w:anchor="__RefHeading___Toc1265340_653776707">
            <w:r>
              <w:rPr>
                <w:webHidden/>
                <w:rStyle w:val="IndexLink"/>
                <w:rtl w:val="true"/>
              </w:rPr>
              <w:t>فی الخیارات</w:t>
            </w:r>
            <w:r>
              <w:rPr>
                <w:rStyle w:val="IndexLink"/>
                <w:rtl w:val="true"/>
              </w:rPr>
              <w:tab/>
            </w:r>
            <w:r>
              <w:rPr>
                <w:rStyle w:val="IndexLink"/>
              </w:rPr>
              <w:t>139</w:t>
            </w:r>
          </w:hyperlink>
        </w:p>
        <w:p>
          <w:pPr>
            <w:pStyle w:val="Contents4"/>
            <w:tabs>
              <w:tab w:val="clear" w:pos="8176"/>
              <w:tab w:val="right" w:pos="9026" w:leader="dot"/>
            </w:tabs>
            <w:rPr/>
          </w:pPr>
          <w:hyperlink w:anchor="__RefHeading___Toc1265342_653776707">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1265344_653776707">
            <w:r>
              <w:rPr>
                <w:webHidden/>
                <w:rStyle w:val="IndexLink"/>
                <w:rtl w:val="true"/>
              </w:rPr>
              <w:t>الأوّل</w:t>
            </w:r>
            <w:r>
              <w:rPr>
                <w:rStyle w:val="IndexLink"/>
                <w:rtl w:val="true"/>
              </w:rPr>
              <w:t xml:space="preserve">: </w:t>
            </w:r>
            <w:r>
              <w:rPr>
                <w:rStyle w:val="IndexLink"/>
                <w:rtl w:val="true"/>
              </w:rPr>
              <w:t>خیار المجلس</w:t>
            </w:r>
            <w:r>
              <w:rPr>
                <w:rStyle w:val="IndexLink"/>
                <w:rtl w:val="true"/>
              </w:rPr>
              <w:tab/>
            </w:r>
            <w:r>
              <w:rPr>
                <w:rStyle w:val="IndexLink"/>
              </w:rPr>
              <w:t>139</w:t>
            </w:r>
          </w:hyperlink>
        </w:p>
        <w:p>
          <w:pPr>
            <w:pStyle w:val="Contents4"/>
            <w:tabs>
              <w:tab w:val="clear" w:pos="8176"/>
              <w:tab w:val="right" w:pos="9026" w:leader="dot"/>
            </w:tabs>
            <w:rPr/>
          </w:pPr>
          <w:hyperlink w:anchor="__RefHeading___Toc1265346_653776707">
            <w:r>
              <w:rPr>
                <w:webHidden/>
                <w:rStyle w:val="IndexLink"/>
                <w:rtl w:val="true"/>
              </w:rPr>
              <w:t>الثانی</w:t>
            </w:r>
            <w:r>
              <w:rPr>
                <w:rStyle w:val="IndexLink"/>
                <w:rtl w:val="true"/>
              </w:rPr>
              <w:t xml:space="preserve">: </w:t>
            </w:r>
            <w:r>
              <w:rPr>
                <w:rStyle w:val="IndexLink"/>
                <w:rtl w:val="true"/>
              </w:rPr>
              <w:t>خیار الحیوان</w:t>
            </w:r>
            <w:r>
              <w:rPr>
                <w:rStyle w:val="IndexLink"/>
                <w:rtl w:val="true"/>
              </w:rPr>
              <w:tab/>
            </w:r>
            <w:r>
              <w:rPr>
                <w:rStyle w:val="IndexLink"/>
              </w:rPr>
              <w:t>139</w:t>
            </w:r>
          </w:hyperlink>
        </w:p>
        <w:p>
          <w:pPr>
            <w:pStyle w:val="Contents4"/>
            <w:tabs>
              <w:tab w:val="clear" w:pos="8176"/>
              <w:tab w:val="right" w:pos="9026" w:leader="dot"/>
            </w:tabs>
            <w:rPr/>
          </w:pPr>
          <w:hyperlink w:anchor="__RefHeading___Toc1265348_653776707">
            <w:r>
              <w:rPr>
                <w:webHidden/>
                <w:rStyle w:val="IndexLink"/>
                <w:rtl w:val="true"/>
              </w:rPr>
              <w:t>الثالث</w:t>
            </w:r>
            <w:r>
              <w:rPr>
                <w:rStyle w:val="IndexLink"/>
                <w:rtl w:val="true"/>
              </w:rPr>
              <w:t xml:space="preserve">: </w:t>
            </w:r>
            <w:r>
              <w:rPr>
                <w:rStyle w:val="IndexLink"/>
                <w:rtl w:val="true"/>
              </w:rPr>
              <w:t>خیار الشرط</w:t>
            </w:r>
            <w:r>
              <w:rPr>
                <w:rStyle w:val="IndexLink"/>
                <w:rtl w:val="true"/>
              </w:rPr>
              <w:tab/>
            </w:r>
            <w:r>
              <w:rPr>
                <w:rStyle w:val="IndexLink"/>
              </w:rPr>
              <w:t>139</w:t>
            </w:r>
          </w:hyperlink>
        </w:p>
        <w:p>
          <w:pPr>
            <w:pStyle w:val="Contents4"/>
            <w:tabs>
              <w:tab w:val="clear" w:pos="8176"/>
              <w:tab w:val="right" w:pos="9026" w:leader="dot"/>
            </w:tabs>
            <w:rPr/>
          </w:pPr>
          <w:hyperlink w:anchor="__RefHeading___Toc1265350_653776707">
            <w:r>
              <w:rPr>
                <w:webHidden/>
                <w:rStyle w:val="IndexLink"/>
                <w:rtl w:val="true"/>
              </w:rPr>
              <w:t>الرابع</w:t>
            </w:r>
            <w:r>
              <w:rPr>
                <w:rStyle w:val="IndexLink"/>
                <w:rtl w:val="true"/>
              </w:rPr>
              <w:t xml:space="preserve">: </w:t>
            </w:r>
            <w:r>
              <w:rPr>
                <w:rStyle w:val="IndexLink"/>
                <w:rtl w:val="true"/>
              </w:rPr>
              <w:t>خیار الغبن</w:t>
            </w:r>
            <w:r>
              <w:rPr>
                <w:rStyle w:val="IndexLink"/>
                <w:rtl w:val="true"/>
              </w:rPr>
              <w:tab/>
            </w:r>
            <w:r>
              <w:rPr>
                <w:rStyle w:val="IndexLink"/>
              </w:rPr>
              <w:t>140</w:t>
            </w:r>
          </w:hyperlink>
        </w:p>
        <w:p>
          <w:pPr>
            <w:pStyle w:val="Contents4"/>
            <w:tabs>
              <w:tab w:val="clear" w:pos="8176"/>
              <w:tab w:val="right" w:pos="9026" w:leader="dot"/>
            </w:tabs>
            <w:rPr/>
          </w:pPr>
          <w:hyperlink w:anchor="__RefHeading___Toc1265352_653776707">
            <w:r>
              <w:rPr>
                <w:webHidden/>
                <w:rStyle w:val="IndexLink"/>
                <w:rtl w:val="true"/>
              </w:rPr>
              <w:t>الخامس</w:t>
            </w:r>
            <w:r>
              <w:rPr>
                <w:rStyle w:val="IndexLink"/>
                <w:rtl w:val="true"/>
              </w:rPr>
              <w:t xml:space="preserve">: </w:t>
            </w:r>
            <w:r>
              <w:rPr>
                <w:rStyle w:val="IndexLink"/>
                <w:rtl w:val="true"/>
              </w:rPr>
              <w:t>خیار التأخیر</w:t>
            </w:r>
            <w:r>
              <w:rPr>
                <w:rStyle w:val="IndexLink"/>
                <w:rtl w:val="true"/>
              </w:rPr>
              <w:tab/>
            </w:r>
            <w:r>
              <w:rPr>
                <w:rStyle w:val="IndexLink"/>
              </w:rPr>
              <w:t>140</w:t>
            </w:r>
          </w:hyperlink>
        </w:p>
        <w:p>
          <w:pPr>
            <w:pStyle w:val="Contents4"/>
            <w:tabs>
              <w:tab w:val="clear" w:pos="8176"/>
              <w:tab w:val="right" w:pos="9026" w:leader="dot"/>
            </w:tabs>
            <w:rPr/>
          </w:pPr>
          <w:hyperlink w:anchor="__RefHeading___Toc1265354_653776707">
            <w:r>
              <w:rPr>
                <w:webHidden/>
                <w:rStyle w:val="IndexLink"/>
                <w:rtl w:val="true"/>
              </w:rPr>
              <w:t>السادس</w:t>
            </w:r>
            <w:r>
              <w:rPr>
                <w:rStyle w:val="IndexLink"/>
                <w:rtl w:val="true"/>
              </w:rPr>
              <w:t xml:space="preserve">: </w:t>
            </w:r>
            <w:r>
              <w:rPr>
                <w:rStyle w:val="IndexLink"/>
                <w:rtl w:val="true"/>
              </w:rPr>
              <w:t>خیار الرؤیة</w:t>
            </w:r>
            <w:r>
              <w:rPr>
                <w:rStyle w:val="IndexLink"/>
                <w:rtl w:val="true"/>
              </w:rPr>
              <w:tab/>
            </w:r>
            <w:r>
              <w:rPr>
                <w:rStyle w:val="IndexLink"/>
              </w:rPr>
              <w:t>141</w:t>
            </w:r>
          </w:hyperlink>
        </w:p>
        <w:p>
          <w:pPr>
            <w:pStyle w:val="Contents4"/>
            <w:tabs>
              <w:tab w:val="clear" w:pos="8176"/>
              <w:tab w:val="right" w:pos="9026" w:leader="dot"/>
            </w:tabs>
            <w:rPr/>
          </w:pPr>
          <w:hyperlink w:anchor="__RefHeading___Toc1265356_653776707">
            <w:r>
              <w:rPr>
                <w:webHidden/>
                <w:rStyle w:val="IndexLink"/>
                <w:rtl w:val="true"/>
              </w:rPr>
              <w:t>السابع</w:t>
            </w:r>
            <w:r>
              <w:rPr>
                <w:rStyle w:val="IndexLink"/>
                <w:rtl w:val="true"/>
              </w:rPr>
              <w:t xml:space="preserve">: </w:t>
            </w:r>
            <w:r>
              <w:rPr>
                <w:rStyle w:val="IndexLink"/>
                <w:rtl w:val="true"/>
              </w:rPr>
              <w:t>خیار العیب</w:t>
            </w:r>
            <w:r>
              <w:rPr>
                <w:rStyle w:val="IndexLink"/>
                <w:rtl w:val="true"/>
              </w:rPr>
              <w:tab/>
            </w:r>
            <w:r>
              <w:rPr>
                <w:rStyle w:val="IndexLink"/>
              </w:rPr>
              <w:t>141</w:t>
            </w:r>
          </w:hyperlink>
        </w:p>
        <w:p>
          <w:pPr>
            <w:pStyle w:val="Contents4"/>
            <w:tabs>
              <w:tab w:val="clear" w:pos="8176"/>
              <w:tab w:val="right" w:pos="9026" w:leader="dot"/>
            </w:tabs>
            <w:rPr/>
          </w:pPr>
          <w:hyperlink w:anchor="__RefHeading___Toc1265358_653776707">
            <w:r>
              <w:rPr>
                <w:webHidden/>
                <w:rStyle w:val="IndexLink"/>
                <w:rtl w:val="true"/>
              </w:rPr>
              <w:t>تتمیمٌ</w:t>
            </w:r>
            <w:r>
              <w:rPr>
                <w:rStyle w:val="IndexLink"/>
                <w:rtl w:val="true"/>
              </w:rPr>
              <w:tab/>
            </w:r>
            <w:r>
              <w:rPr>
                <w:rStyle w:val="IndexLink"/>
              </w:rPr>
              <w:t>141</w:t>
            </w:r>
          </w:hyperlink>
        </w:p>
        <w:p>
          <w:pPr>
            <w:pStyle w:val="Contents3"/>
            <w:tabs>
              <w:tab w:val="clear" w:pos="8459"/>
              <w:tab w:val="right" w:pos="9026" w:leader="dot"/>
            </w:tabs>
            <w:rPr/>
          </w:pPr>
          <w:hyperlink w:anchor="__RefHeading___Toc1265360_653776707">
            <w:r>
              <w:rPr>
                <w:webHidden/>
                <w:rStyle w:val="IndexLink"/>
                <w:rtl w:val="true"/>
              </w:rPr>
              <w:t>فی القبض والتسلیم</w:t>
            </w:r>
            <w:r>
              <w:rPr>
                <w:rStyle w:val="IndexLink"/>
                <w:rtl w:val="true"/>
              </w:rPr>
              <w:tab/>
            </w:r>
            <w:r>
              <w:rPr>
                <w:rStyle w:val="IndexLink"/>
              </w:rPr>
              <w:t>142</w:t>
            </w:r>
          </w:hyperlink>
        </w:p>
        <w:p>
          <w:pPr>
            <w:pStyle w:val="Contents3"/>
            <w:tabs>
              <w:tab w:val="clear" w:pos="8459"/>
              <w:tab w:val="right" w:pos="9026" w:leader="dot"/>
            </w:tabs>
            <w:rPr/>
          </w:pPr>
          <w:hyperlink w:anchor="__RefHeading___Toc1265362_653776707">
            <w:r>
              <w:rPr>
                <w:webHidden/>
                <w:rStyle w:val="IndexLink"/>
                <w:rtl w:val="true"/>
              </w:rPr>
              <w:t>فی النقد والنسیئة</w:t>
            </w:r>
            <w:r>
              <w:rPr>
                <w:rStyle w:val="IndexLink"/>
                <w:rtl w:val="true"/>
              </w:rPr>
              <w:tab/>
            </w:r>
            <w:r>
              <w:rPr>
                <w:rStyle w:val="IndexLink"/>
              </w:rPr>
              <w:t>142</w:t>
            </w:r>
          </w:hyperlink>
        </w:p>
        <w:p>
          <w:pPr>
            <w:pStyle w:val="Contents3"/>
            <w:tabs>
              <w:tab w:val="clear" w:pos="8459"/>
              <w:tab w:val="right" w:pos="9026" w:leader="dot"/>
            </w:tabs>
            <w:rPr/>
          </w:pPr>
          <w:hyperlink w:anchor="__RefHeading___Toc1265364_653776707">
            <w:r>
              <w:rPr>
                <w:webHidden/>
                <w:rStyle w:val="IndexLink"/>
                <w:rtl w:val="true"/>
              </w:rPr>
              <w:t>فی الربا</w:t>
            </w:r>
            <w:r>
              <w:rPr>
                <w:rStyle w:val="IndexLink"/>
                <w:rtl w:val="true"/>
              </w:rPr>
              <w:tab/>
            </w:r>
            <w:r>
              <w:rPr>
                <w:rStyle w:val="IndexLink"/>
              </w:rPr>
              <w:t>143</w:t>
            </w:r>
          </w:hyperlink>
        </w:p>
        <w:p>
          <w:pPr>
            <w:pStyle w:val="Contents4"/>
            <w:tabs>
              <w:tab w:val="clear" w:pos="8176"/>
              <w:tab w:val="right" w:pos="9026" w:leader="dot"/>
            </w:tabs>
            <w:rPr/>
          </w:pPr>
          <w:hyperlink w:anchor="__RefHeading___Toc1265366_653776707">
            <w:r>
              <w:rPr>
                <w:webHidden/>
                <w:rStyle w:val="IndexLink"/>
                <w:rtl w:val="true"/>
              </w:rPr>
              <w:t>الذی هو فی الشرع حرام، بل هو من الکبائر العظام</w:t>
            </w:r>
            <w:r>
              <w:rPr>
                <w:rStyle w:val="IndexLink"/>
                <w:rtl w:val="true"/>
              </w:rPr>
              <w:tab/>
            </w:r>
            <w:r>
              <w:rPr>
                <w:rStyle w:val="IndexLink"/>
              </w:rPr>
              <w:t>143</w:t>
            </w:r>
          </w:hyperlink>
        </w:p>
        <w:p>
          <w:pPr>
            <w:pStyle w:val="Contents3"/>
            <w:tabs>
              <w:tab w:val="clear" w:pos="8459"/>
              <w:tab w:val="right" w:pos="9026" w:leader="dot"/>
            </w:tabs>
            <w:rPr/>
          </w:pPr>
          <w:hyperlink w:anchor="__RefHeading___Toc1265368_653776707">
            <w:r>
              <w:rPr>
                <w:webHidden/>
                <w:rStyle w:val="IndexLink"/>
                <w:rtl w:val="true"/>
              </w:rPr>
              <w:t>فی بیع الصرف</w:t>
            </w:r>
            <w:r>
              <w:rPr>
                <w:rStyle w:val="IndexLink"/>
                <w:rtl w:val="true"/>
              </w:rPr>
              <w:tab/>
            </w:r>
            <w:r>
              <w:rPr>
                <w:rStyle w:val="IndexLink"/>
              </w:rPr>
              <w:t>144</w:t>
            </w:r>
          </w:hyperlink>
        </w:p>
        <w:p>
          <w:pPr>
            <w:pStyle w:val="Contents3"/>
            <w:tabs>
              <w:tab w:val="clear" w:pos="8459"/>
              <w:tab w:val="right" w:pos="9026" w:leader="dot"/>
            </w:tabs>
            <w:rPr/>
          </w:pPr>
          <w:hyperlink w:anchor="__RefHeading___Toc1265370_653776707">
            <w:r>
              <w:rPr>
                <w:webHidden/>
                <w:rStyle w:val="IndexLink"/>
                <w:rtl w:val="true"/>
              </w:rPr>
              <w:t>فی السلف والسلم</w:t>
            </w:r>
            <w:r>
              <w:rPr>
                <w:rStyle w:val="IndexLink"/>
                <w:rtl w:val="true"/>
              </w:rPr>
              <w:tab/>
            </w:r>
            <w:r>
              <w:rPr>
                <w:rStyle w:val="IndexLink"/>
              </w:rPr>
              <w:t>144</w:t>
            </w:r>
          </w:hyperlink>
        </w:p>
        <w:p>
          <w:pPr>
            <w:pStyle w:val="Contents3"/>
            <w:tabs>
              <w:tab w:val="clear" w:pos="8459"/>
              <w:tab w:val="right" w:pos="9026" w:leader="dot"/>
            </w:tabs>
            <w:rPr/>
          </w:pPr>
          <w:hyperlink w:anchor="__RefHeading___Toc1265372_653776707">
            <w:r>
              <w:rPr>
                <w:webHidden/>
                <w:rStyle w:val="IndexLink"/>
                <w:rtl w:val="true"/>
              </w:rPr>
              <w:t>فی المرابحة والمواضعة والتولیة</w:t>
            </w:r>
            <w:r>
              <w:rPr>
                <w:rStyle w:val="IndexLink"/>
                <w:rtl w:val="true"/>
              </w:rPr>
              <w:tab/>
            </w:r>
            <w:r>
              <w:rPr>
                <w:rStyle w:val="IndexLink"/>
              </w:rPr>
              <w:t>145</w:t>
            </w:r>
          </w:hyperlink>
        </w:p>
        <w:p>
          <w:pPr>
            <w:pStyle w:val="Contents3"/>
            <w:tabs>
              <w:tab w:val="clear" w:pos="8459"/>
              <w:tab w:val="right" w:pos="9026" w:leader="dot"/>
            </w:tabs>
            <w:rPr/>
          </w:pPr>
          <w:hyperlink w:anchor="__RefHeading___Toc1265374_653776707">
            <w:r>
              <w:rPr>
                <w:webHidden/>
                <w:rStyle w:val="IndexLink"/>
                <w:rtl w:val="true"/>
              </w:rPr>
              <w:t>فی بیع الثمار</w:t>
            </w:r>
            <w:r>
              <w:rPr>
                <w:rStyle w:val="IndexLink"/>
                <w:rtl w:val="true"/>
              </w:rPr>
              <w:tab/>
            </w:r>
            <w:r>
              <w:rPr>
                <w:rStyle w:val="IndexLink"/>
              </w:rPr>
              <w:t>146</w:t>
            </w:r>
          </w:hyperlink>
        </w:p>
        <w:p>
          <w:pPr>
            <w:pStyle w:val="Contents4"/>
            <w:tabs>
              <w:tab w:val="clear" w:pos="8176"/>
              <w:tab w:val="right" w:pos="9026" w:leader="dot"/>
            </w:tabs>
            <w:rPr/>
          </w:pPr>
          <w:hyperlink w:anchor="__RefHeading___Toc1265376_653776707">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1265378_653776707">
            <w:r>
              <w:rPr>
                <w:webHidden/>
                <w:rStyle w:val="IndexLink"/>
                <w:rtl w:val="true"/>
              </w:rPr>
              <w:t>مسألتان</w:t>
            </w:r>
            <w:r>
              <w:rPr>
                <w:rStyle w:val="IndexLink"/>
                <w:rtl w:val="true"/>
              </w:rPr>
              <w:tab/>
            </w:r>
            <w:r>
              <w:rPr>
                <w:rStyle w:val="IndexLink"/>
              </w:rPr>
              <w:t>147</w:t>
            </w:r>
          </w:hyperlink>
        </w:p>
        <w:p>
          <w:pPr>
            <w:pStyle w:val="Contents2"/>
            <w:tabs>
              <w:tab w:val="clear" w:pos="8743"/>
              <w:tab w:val="right" w:pos="9026" w:leader="dot"/>
            </w:tabs>
            <w:rPr/>
          </w:pPr>
          <w:hyperlink w:anchor="__RefHeading___Toc1265380_653776707">
            <w:r>
              <w:rPr>
                <w:webHidden/>
                <w:rStyle w:val="IndexLink"/>
                <w:rtl w:val="true"/>
              </w:rPr>
              <w:t>کتاب الشفعة</w:t>
            </w:r>
            <w:r>
              <w:rPr>
                <w:rStyle w:val="IndexLink"/>
                <w:rtl w:val="true"/>
              </w:rPr>
              <w:tab/>
            </w:r>
            <w:r>
              <w:rPr>
                <w:rStyle w:val="IndexLink"/>
              </w:rPr>
              <w:t>148</w:t>
            </w:r>
          </w:hyperlink>
        </w:p>
        <w:p>
          <w:pPr>
            <w:pStyle w:val="Contents2"/>
            <w:tabs>
              <w:tab w:val="clear" w:pos="8743"/>
              <w:tab w:val="right" w:pos="9026" w:leader="dot"/>
            </w:tabs>
            <w:rPr/>
          </w:pPr>
          <w:hyperlink w:anchor="__RefHeading___Toc1265382_653776707">
            <w:r>
              <w:rPr>
                <w:webHidden/>
                <w:rStyle w:val="IndexLink"/>
                <w:rtl w:val="true"/>
              </w:rPr>
              <w:t>کتاب الصلح</w:t>
            </w:r>
            <w:r>
              <w:rPr>
                <w:rStyle w:val="IndexLink"/>
                <w:rtl w:val="true"/>
              </w:rPr>
              <w:tab/>
            </w:r>
            <w:r>
              <w:rPr>
                <w:rStyle w:val="IndexLink"/>
              </w:rPr>
              <w:t>150</w:t>
            </w:r>
          </w:hyperlink>
        </w:p>
        <w:p>
          <w:pPr>
            <w:pStyle w:val="Contents2"/>
            <w:tabs>
              <w:tab w:val="clear" w:pos="8743"/>
              <w:tab w:val="right" w:pos="9026" w:leader="dot"/>
            </w:tabs>
            <w:rPr/>
          </w:pPr>
          <w:hyperlink w:anchor="__RefHeading___Toc1265384_653776707">
            <w:r>
              <w:rPr>
                <w:webHidden/>
                <w:rStyle w:val="IndexLink"/>
                <w:rtl w:val="true"/>
              </w:rPr>
              <w:t>کتاب الإجارة</w:t>
            </w:r>
            <w:r>
              <w:rPr>
                <w:rStyle w:val="IndexLink"/>
                <w:rtl w:val="true"/>
              </w:rPr>
              <w:tab/>
            </w:r>
            <w:r>
              <w:rPr>
                <w:rStyle w:val="IndexLink"/>
              </w:rPr>
              <w:t>152</w:t>
            </w:r>
          </w:hyperlink>
        </w:p>
        <w:p>
          <w:pPr>
            <w:pStyle w:val="Contents2"/>
            <w:tabs>
              <w:tab w:val="clear" w:pos="8743"/>
              <w:tab w:val="right" w:pos="9026" w:leader="dot"/>
            </w:tabs>
            <w:rPr/>
          </w:pPr>
          <w:hyperlink w:anchor="__RefHeading___Toc1265386_653776707">
            <w:r>
              <w:rPr>
                <w:webHidden/>
                <w:rStyle w:val="IndexLink"/>
                <w:rtl w:val="true"/>
              </w:rPr>
              <w:t>کتاب الجعالة</w:t>
            </w:r>
            <w:r>
              <w:rPr>
                <w:rStyle w:val="IndexLink"/>
                <w:rtl w:val="true"/>
              </w:rPr>
              <w:tab/>
            </w:r>
            <w:r>
              <w:rPr>
                <w:rStyle w:val="IndexLink"/>
              </w:rPr>
              <w:t>158</w:t>
            </w:r>
          </w:hyperlink>
        </w:p>
        <w:p>
          <w:pPr>
            <w:pStyle w:val="Contents2"/>
            <w:tabs>
              <w:tab w:val="clear" w:pos="8743"/>
              <w:tab w:val="right" w:pos="9026" w:leader="dot"/>
            </w:tabs>
            <w:rPr/>
          </w:pPr>
          <w:hyperlink w:anchor="__RefHeading___Toc1265388_653776707">
            <w:r>
              <w:rPr>
                <w:webHidden/>
                <w:rStyle w:val="IndexLink"/>
                <w:rtl w:val="true"/>
              </w:rPr>
              <w:t>کتاب العاریة</w:t>
            </w:r>
            <w:r>
              <w:rPr>
                <w:rStyle w:val="IndexLink"/>
                <w:rtl w:val="true"/>
              </w:rPr>
              <w:tab/>
            </w:r>
            <w:r>
              <w:rPr>
                <w:rStyle w:val="IndexLink"/>
              </w:rPr>
              <w:t>160</w:t>
            </w:r>
          </w:hyperlink>
        </w:p>
        <w:p>
          <w:pPr>
            <w:pStyle w:val="Contents2"/>
            <w:tabs>
              <w:tab w:val="clear" w:pos="8743"/>
              <w:tab w:val="right" w:pos="9026" w:leader="dot"/>
            </w:tabs>
            <w:rPr/>
          </w:pPr>
          <w:hyperlink w:anchor="__RefHeading___Toc1265390_653776707">
            <w:r>
              <w:rPr>
                <w:webHidden/>
                <w:rStyle w:val="IndexLink"/>
                <w:rtl w:val="true"/>
              </w:rPr>
              <w:t>کتاب الودیعة</w:t>
            </w:r>
            <w:r>
              <w:rPr>
                <w:rStyle w:val="IndexLink"/>
                <w:rtl w:val="true"/>
              </w:rPr>
              <w:tab/>
            </w:r>
            <w:r>
              <w:rPr>
                <w:rStyle w:val="IndexLink"/>
              </w:rPr>
              <w:t>162</w:t>
            </w:r>
          </w:hyperlink>
        </w:p>
        <w:p>
          <w:pPr>
            <w:pStyle w:val="Contents2"/>
            <w:tabs>
              <w:tab w:val="clear" w:pos="8743"/>
              <w:tab w:val="right" w:pos="9026" w:leader="dot"/>
            </w:tabs>
            <w:rPr/>
          </w:pPr>
          <w:hyperlink w:anchor="__RefHeading___Toc1265392_653776707">
            <w:r>
              <w:rPr>
                <w:webHidden/>
                <w:rStyle w:val="IndexLink"/>
                <w:rtl w:val="true"/>
              </w:rPr>
              <w:t>کتاب المضاربة</w:t>
            </w:r>
            <w:r>
              <w:rPr>
                <w:rStyle w:val="IndexLink"/>
                <w:rtl w:val="true"/>
              </w:rPr>
              <w:tab/>
            </w:r>
            <w:r>
              <w:rPr>
                <w:rStyle w:val="IndexLink"/>
              </w:rPr>
              <w:t>165</w:t>
            </w:r>
          </w:hyperlink>
        </w:p>
        <w:p>
          <w:pPr>
            <w:pStyle w:val="Contents2"/>
            <w:tabs>
              <w:tab w:val="clear" w:pos="8743"/>
              <w:tab w:val="right" w:pos="9026" w:leader="dot"/>
            </w:tabs>
            <w:rPr/>
          </w:pPr>
          <w:hyperlink w:anchor="__RefHeading___Toc1265394_653776707">
            <w:r>
              <w:rPr>
                <w:webHidden/>
                <w:rStyle w:val="IndexLink"/>
                <w:rtl w:val="true"/>
              </w:rPr>
              <w:t>کتاب الشرکة</w:t>
            </w:r>
            <w:r>
              <w:rPr>
                <w:rStyle w:val="IndexLink"/>
                <w:rtl w:val="true"/>
              </w:rPr>
              <w:tab/>
            </w:r>
            <w:r>
              <w:rPr>
                <w:rStyle w:val="IndexLink"/>
              </w:rPr>
              <w:t>168</w:t>
            </w:r>
          </w:hyperlink>
        </w:p>
        <w:p>
          <w:pPr>
            <w:pStyle w:val="Contents3"/>
            <w:tabs>
              <w:tab w:val="clear" w:pos="8459"/>
              <w:tab w:val="right" w:pos="9026" w:leader="dot"/>
            </w:tabs>
            <w:rPr/>
          </w:pPr>
          <w:hyperlink w:anchor="__RefHeading___Toc1265396_653776707">
            <w:r>
              <w:rPr>
                <w:webHidden/>
                <w:rStyle w:val="IndexLink"/>
                <w:rtl w:val="true"/>
              </w:rPr>
              <w:t>اشارة</w:t>
            </w:r>
            <w:r>
              <w:rPr>
                <w:rStyle w:val="IndexLink"/>
                <w:rtl w:val="true"/>
              </w:rPr>
              <w:tab/>
            </w:r>
            <w:r>
              <w:rPr>
                <w:rStyle w:val="IndexLink"/>
              </w:rPr>
              <w:t>168</w:t>
            </w:r>
          </w:hyperlink>
        </w:p>
        <w:p>
          <w:pPr>
            <w:pStyle w:val="Contents3"/>
            <w:tabs>
              <w:tab w:val="clear" w:pos="8459"/>
              <w:tab w:val="right" w:pos="9026" w:leader="dot"/>
            </w:tabs>
            <w:rPr/>
          </w:pPr>
          <w:hyperlink w:anchor="__RefHeading___Toc1265398_653776707">
            <w:r>
              <w:rPr>
                <w:webHidden/>
                <w:rStyle w:val="IndexLink"/>
                <w:rtl w:val="true"/>
              </w:rPr>
              <w:t>القول فی القسمة</w:t>
            </w:r>
            <w:r>
              <w:rPr>
                <w:rStyle w:val="IndexLink"/>
                <w:rtl w:val="true"/>
              </w:rPr>
              <w:tab/>
            </w:r>
            <w:r>
              <w:rPr>
                <w:rStyle w:val="IndexLink"/>
              </w:rPr>
              <w:t>170</w:t>
            </w:r>
          </w:hyperlink>
        </w:p>
        <w:p>
          <w:pPr>
            <w:pStyle w:val="Contents2"/>
            <w:tabs>
              <w:tab w:val="clear" w:pos="8743"/>
              <w:tab w:val="right" w:pos="9026" w:leader="dot"/>
            </w:tabs>
            <w:rPr/>
          </w:pPr>
          <w:hyperlink w:anchor="__RefHeading___Toc1265400_653776707">
            <w:r>
              <w:rPr>
                <w:webHidden/>
                <w:rStyle w:val="IndexLink"/>
                <w:rtl w:val="true"/>
              </w:rPr>
              <w:t>کتاب المزارعة</w:t>
            </w:r>
            <w:r>
              <w:rPr>
                <w:rStyle w:val="IndexLink"/>
                <w:rtl w:val="true"/>
              </w:rPr>
              <w:tab/>
            </w:r>
            <w:r>
              <w:rPr>
                <w:rStyle w:val="IndexLink"/>
              </w:rPr>
              <w:t>174</w:t>
            </w:r>
          </w:hyperlink>
        </w:p>
        <w:p>
          <w:pPr>
            <w:pStyle w:val="Contents2"/>
            <w:tabs>
              <w:tab w:val="clear" w:pos="8743"/>
              <w:tab w:val="right" w:pos="9026" w:leader="dot"/>
            </w:tabs>
            <w:rPr/>
          </w:pPr>
          <w:hyperlink w:anchor="__RefHeading___Toc1265402_653776707">
            <w:r>
              <w:rPr>
                <w:webHidden/>
                <w:rStyle w:val="IndexLink"/>
                <w:rtl w:val="true"/>
              </w:rPr>
              <w:t>کتاب المساقاة</w:t>
            </w:r>
            <w:r>
              <w:rPr>
                <w:rStyle w:val="IndexLink"/>
                <w:rtl w:val="true"/>
              </w:rPr>
              <w:tab/>
            </w:r>
            <w:r>
              <w:rPr>
                <w:rStyle w:val="IndexLink"/>
              </w:rPr>
              <w:t>177</w:t>
            </w:r>
          </w:hyperlink>
        </w:p>
        <w:p>
          <w:pPr>
            <w:pStyle w:val="Contents2"/>
            <w:tabs>
              <w:tab w:val="clear" w:pos="8743"/>
              <w:tab w:val="right" w:pos="9026" w:leader="dot"/>
            </w:tabs>
            <w:rPr/>
          </w:pPr>
          <w:hyperlink w:anchor="__RefHeading___Toc1265404_653776707">
            <w:r>
              <w:rPr>
                <w:webHidden/>
                <w:rStyle w:val="IndexLink"/>
                <w:rtl w:val="true"/>
              </w:rPr>
              <w:t>کتاب الدین والقرض</w:t>
            </w:r>
            <w:r>
              <w:rPr>
                <w:rStyle w:val="IndexLink"/>
                <w:rtl w:val="true"/>
              </w:rPr>
              <w:tab/>
            </w:r>
            <w:r>
              <w:rPr>
                <w:rStyle w:val="IndexLink"/>
              </w:rPr>
              <w:t>179</w:t>
            </w:r>
          </w:hyperlink>
        </w:p>
        <w:p>
          <w:pPr>
            <w:pStyle w:val="Contents3"/>
            <w:tabs>
              <w:tab w:val="clear" w:pos="8459"/>
              <w:tab w:val="right" w:pos="9026" w:leader="dot"/>
            </w:tabs>
            <w:rPr/>
          </w:pPr>
          <w:hyperlink w:anchor="__RefHeading___Toc1265406_653776707">
            <w:r>
              <w:rPr>
                <w:webHidden/>
                <w:rStyle w:val="IndexLink"/>
                <w:rtl w:val="true"/>
              </w:rPr>
              <w:t>اشارة</w:t>
            </w:r>
            <w:r>
              <w:rPr>
                <w:rStyle w:val="IndexLink"/>
                <w:rtl w:val="true"/>
              </w:rPr>
              <w:tab/>
            </w:r>
            <w:r>
              <w:rPr>
                <w:rStyle w:val="IndexLink"/>
              </w:rPr>
              <w:t>179</w:t>
            </w:r>
          </w:hyperlink>
        </w:p>
        <w:p>
          <w:pPr>
            <w:pStyle w:val="Contents3"/>
            <w:tabs>
              <w:tab w:val="clear" w:pos="8459"/>
              <w:tab w:val="right" w:pos="9026" w:leader="dot"/>
            </w:tabs>
            <w:rPr/>
          </w:pPr>
          <w:hyperlink w:anchor="__RefHeading___Toc1265408_653776707">
            <w:r>
              <w:rPr>
                <w:webHidden/>
                <w:rStyle w:val="IndexLink"/>
                <w:rtl w:val="true"/>
              </w:rPr>
              <w:t>فی أحکام الدین</w:t>
            </w:r>
            <w:r>
              <w:rPr>
                <w:rStyle w:val="IndexLink"/>
                <w:rtl w:val="true"/>
              </w:rPr>
              <w:tab/>
            </w:r>
            <w:r>
              <w:rPr>
                <w:rStyle w:val="IndexLink"/>
              </w:rPr>
              <w:t>179</w:t>
            </w:r>
          </w:hyperlink>
        </w:p>
        <w:p>
          <w:pPr>
            <w:pStyle w:val="Contents3"/>
            <w:tabs>
              <w:tab w:val="clear" w:pos="8459"/>
              <w:tab w:val="right" w:pos="9026" w:leader="dot"/>
            </w:tabs>
            <w:rPr/>
          </w:pPr>
          <w:hyperlink w:anchor="__RefHeading___Toc1265410_653776707">
            <w:r>
              <w:rPr>
                <w:webHidden/>
                <w:rStyle w:val="IndexLink"/>
                <w:rtl w:val="true"/>
              </w:rPr>
              <w:t>فی القرض</w:t>
            </w:r>
            <w:r>
              <w:rPr>
                <w:rStyle w:val="IndexLink"/>
                <w:rtl w:val="true"/>
              </w:rPr>
              <w:tab/>
            </w:r>
            <w:r>
              <w:rPr>
                <w:rStyle w:val="IndexLink"/>
              </w:rPr>
              <w:t>181</w:t>
            </w:r>
          </w:hyperlink>
        </w:p>
        <w:p>
          <w:pPr>
            <w:pStyle w:val="Contents2"/>
            <w:tabs>
              <w:tab w:val="clear" w:pos="8743"/>
              <w:tab w:val="right" w:pos="9026" w:leader="dot"/>
            </w:tabs>
            <w:rPr/>
          </w:pPr>
          <w:hyperlink w:anchor="__RefHeading___Toc1265412_653776707">
            <w:r>
              <w:rPr>
                <w:webHidden/>
                <w:rStyle w:val="IndexLink"/>
                <w:rtl w:val="true"/>
              </w:rPr>
              <w:t>کتاب الرهن</w:t>
            </w:r>
            <w:r>
              <w:rPr>
                <w:rStyle w:val="IndexLink"/>
                <w:rtl w:val="true"/>
              </w:rPr>
              <w:tab/>
            </w:r>
            <w:r>
              <w:rPr>
                <w:rStyle w:val="IndexLink"/>
              </w:rPr>
              <w:t>184</w:t>
            </w:r>
          </w:hyperlink>
        </w:p>
        <w:p>
          <w:pPr>
            <w:pStyle w:val="Contents2"/>
            <w:tabs>
              <w:tab w:val="clear" w:pos="8743"/>
              <w:tab w:val="right" w:pos="9026" w:leader="dot"/>
            </w:tabs>
            <w:rPr/>
          </w:pPr>
          <w:hyperlink w:anchor="__RefHeading___Toc1265414_653776707">
            <w:r>
              <w:rPr>
                <w:webHidden/>
                <w:rStyle w:val="IndexLink"/>
                <w:rtl w:val="true"/>
              </w:rPr>
              <w:t>کتاب الحَجر</w:t>
            </w:r>
            <w:r>
              <w:rPr>
                <w:rStyle w:val="IndexLink"/>
                <w:rtl w:val="true"/>
              </w:rPr>
              <w:tab/>
            </w:r>
            <w:r>
              <w:rPr>
                <w:rStyle w:val="IndexLink"/>
              </w:rPr>
              <w:t>187</w:t>
            </w:r>
          </w:hyperlink>
        </w:p>
        <w:p>
          <w:pPr>
            <w:pStyle w:val="Contents3"/>
            <w:tabs>
              <w:tab w:val="clear" w:pos="8459"/>
              <w:tab w:val="right" w:pos="9026" w:leader="dot"/>
            </w:tabs>
            <w:rPr/>
          </w:pPr>
          <w:hyperlink w:anchor="__RefHeading___Toc1265416_653776707">
            <w:r>
              <w:rPr>
                <w:webHidden/>
                <w:rStyle w:val="IndexLink"/>
                <w:rtl w:val="true"/>
              </w:rPr>
              <w:t>اشارة</w:t>
            </w:r>
            <w:r>
              <w:rPr>
                <w:rStyle w:val="IndexLink"/>
                <w:rtl w:val="true"/>
              </w:rPr>
              <w:tab/>
            </w:r>
            <w:r>
              <w:rPr>
                <w:rStyle w:val="IndexLink"/>
              </w:rPr>
              <w:t>187</w:t>
            </w:r>
          </w:hyperlink>
        </w:p>
        <w:p>
          <w:pPr>
            <w:pStyle w:val="Contents3"/>
            <w:tabs>
              <w:tab w:val="clear" w:pos="8459"/>
              <w:tab w:val="right" w:pos="9026" w:leader="dot"/>
            </w:tabs>
            <w:rPr/>
          </w:pPr>
          <w:hyperlink w:anchor="__RefHeading___Toc1265418_653776707">
            <w:r>
              <w:rPr>
                <w:webHidden/>
                <w:rStyle w:val="IndexLink"/>
                <w:rtl w:val="true"/>
              </w:rPr>
              <w:t>فی الصغر</w:t>
            </w:r>
            <w:r>
              <w:rPr>
                <w:rStyle w:val="IndexLink"/>
                <w:rtl w:val="true"/>
              </w:rPr>
              <w:tab/>
            </w:r>
            <w:r>
              <w:rPr>
                <w:rStyle w:val="IndexLink"/>
              </w:rPr>
              <w:t>187</w:t>
            </w:r>
          </w:hyperlink>
        </w:p>
        <w:p>
          <w:pPr>
            <w:pStyle w:val="Contents3"/>
            <w:tabs>
              <w:tab w:val="clear" w:pos="8459"/>
              <w:tab w:val="right" w:pos="9026" w:leader="dot"/>
            </w:tabs>
            <w:rPr/>
          </w:pPr>
          <w:hyperlink w:anchor="__RefHeading___Toc1265420_653776707">
            <w:r>
              <w:rPr>
                <w:webHidden/>
                <w:rStyle w:val="IndexLink"/>
                <w:rtl w:val="true"/>
              </w:rPr>
              <w:t>فی السفیه</w:t>
            </w:r>
            <w:r>
              <w:rPr>
                <w:rStyle w:val="IndexLink"/>
                <w:rtl w:val="true"/>
              </w:rPr>
              <w:tab/>
            </w:r>
            <w:r>
              <w:rPr>
                <w:rStyle w:val="IndexLink"/>
              </w:rPr>
              <w:t>188</w:t>
            </w:r>
          </w:hyperlink>
        </w:p>
        <w:p>
          <w:pPr>
            <w:pStyle w:val="Contents3"/>
            <w:tabs>
              <w:tab w:val="clear" w:pos="8459"/>
              <w:tab w:val="right" w:pos="9026" w:leader="dot"/>
            </w:tabs>
            <w:rPr/>
          </w:pPr>
          <w:hyperlink w:anchor="__RefHeading___Toc1265422_653776707">
            <w:r>
              <w:rPr>
                <w:webHidden/>
                <w:rStyle w:val="IndexLink"/>
                <w:rtl w:val="true"/>
              </w:rPr>
              <w:t>فی المفلَّس</w:t>
            </w:r>
            <w:r>
              <w:rPr>
                <w:rStyle w:val="IndexLink"/>
                <w:rtl w:val="true"/>
              </w:rPr>
              <w:tab/>
            </w:r>
            <w:r>
              <w:rPr>
                <w:rStyle w:val="IndexLink"/>
              </w:rPr>
              <w:t>189</w:t>
            </w:r>
          </w:hyperlink>
        </w:p>
        <w:p>
          <w:pPr>
            <w:pStyle w:val="Contents3"/>
            <w:tabs>
              <w:tab w:val="clear" w:pos="8459"/>
              <w:tab w:val="right" w:pos="9026" w:leader="dot"/>
            </w:tabs>
            <w:rPr/>
          </w:pPr>
          <w:hyperlink w:anchor="__RefHeading___Toc1265424_653776707">
            <w:r>
              <w:rPr>
                <w:webHidden/>
                <w:rStyle w:val="IndexLink"/>
                <w:rtl w:val="true"/>
              </w:rPr>
              <w:t>فی المرض</w:t>
            </w:r>
            <w:r>
              <w:rPr>
                <w:rStyle w:val="IndexLink"/>
                <w:rtl w:val="true"/>
              </w:rPr>
              <w:tab/>
            </w:r>
            <w:r>
              <w:rPr>
                <w:rStyle w:val="IndexLink"/>
              </w:rPr>
              <w:t>190</w:t>
            </w:r>
          </w:hyperlink>
        </w:p>
        <w:p>
          <w:pPr>
            <w:pStyle w:val="Contents2"/>
            <w:tabs>
              <w:tab w:val="clear" w:pos="8743"/>
              <w:tab w:val="right" w:pos="9026" w:leader="dot"/>
            </w:tabs>
            <w:rPr/>
          </w:pPr>
          <w:hyperlink w:anchor="__RefHeading___Toc1265426_653776707">
            <w:r>
              <w:rPr>
                <w:webHidden/>
                <w:rStyle w:val="IndexLink"/>
                <w:rtl w:val="true"/>
              </w:rPr>
              <w:t>کتاب الضمان</w:t>
            </w:r>
            <w:r>
              <w:rPr>
                <w:rStyle w:val="IndexLink"/>
                <w:rtl w:val="true"/>
              </w:rPr>
              <w:tab/>
            </w:r>
            <w:r>
              <w:rPr>
                <w:rStyle w:val="IndexLink"/>
              </w:rPr>
              <w:t>192</w:t>
            </w:r>
          </w:hyperlink>
        </w:p>
        <w:p>
          <w:pPr>
            <w:pStyle w:val="Contents2"/>
            <w:tabs>
              <w:tab w:val="clear" w:pos="8743"/>
              <w:tab w:val="right" w:pos="9026" w:leader="dot"/>
            </w:tabs>
            <w:rPr/>
          </w:pPr>
          <w:hyperlink w:anchor="__RefHeading___Toc1265428_653776707">
            <w:r>
              <w:rPr>
                <w:webHidden/>
                <w:rStyle w:val="IndexLink"/>
                <w:rtl w:val="true"/>
              </w:rPr>
              <w:t>کتاب الحوالة</w:t>
            </w:r>
            <w:r>
              <w:rPr>
                <w:rStyle w:val="IndexLink"/>
                <w:rtl w:val="true"/>
              </w:rPr>
              <w:tab/>
            </w:r>
            <w:r>
              <w:rPr>
                <w:rStyle w:val="IndexLink"/>
              </w:rPr>
              <w:t>194</w:t>
            </w:r>
          </w:hyperlink>
        </w:p>
        <w:p>
          <w:pPr>
            <w:pStyle w:val="Contents2"/>
            <w:tabs>
              <w:tab w:val="clear" w:pos="8743"/>
              <w:tab w:val="right" w:pos="9026" w:leader="dot"/>
            </w:tabs>
            <w:rPr/>
          </w:pPr>
          <w:hyperlink w:anchor="__RefHeading___Toc1265430_653776707">
            <w:r>
              <w:rPr>
                <w:webHidden/>
                <w:rStyle w:val="IndexLink"/>
                <w:rtl w:val="true"/>
              </w:rPr>
              <w:t>کتاب الکفالة</w:t>
            </w:r>
            <w:r>
              <w:rPr>
                <w:rStyle w:val="IndexLink"/>
                <w:rtl w:val="true"/>
              </w:rPr>
              <w:tab/>
            </w:r>
            <w:r>
              <w:rPr>
                <w:rStyle w:val="IndexLink"/>
              </w:rPr>
              <w:t>196</w:t>
            </w:r>
          </w:hyperlink>
        </w:p>
        <w:p>
          <w:pPr>
            <w:pStyle w:val="Contents2"/>
            <w:tabs>
              <w:tab w:val="clear" w:pos="8743"/>
              <w:tab w:val="right" w:pos="9026" w:leader="dot"/>
            </w:tabs>
            <w:rPr/>
          </w:pPr>
          <w:hyperlink w:anchor="__RefHeading___Toc1265432_653776707">
            <w:r>
              <w:rPr>
                <w:webHidden/>
                <w:rStyle w:val="IndexLink"/>
                <w:rtl w:val="true"/>
              </w:rPr>
              <w:t>کتاب الوکالة</w:t>
            </w:r>
            <w:r>
              <w:rPr>
                <w:rStyle w:val="IndexLink"/>
                <w:rtl w:val="true"/>
              </w:rPr>
              <w:tab/>
            </w:r>
            <w:r>
              <w:rPr>
                <w:rStyle w:val="IndexLink"/>
              </w:rPr>
              <w:t>198</w:t>
            </w:r>
          </w:hyperlink>
        </w:p>
        <w:p>
          <w:pPr>
            <w:pStyle w:val="Contents2"/>
            <w:tabs>
              <w:tab w:val="clear" w:pos="8743"/>
              <w:tab w:val="right" w:pos="9026" w:leader="dot"/>
            </w:tabs>
            <w:rPr/>
          </w:pPr>
          <w:hyperlink w:anchor="__RefHeading___Toc1265434_653776707">
            <w:r>
              <w:rPr>
                <w:webHidden/>
                <w:rStyle w:val="IndexLink"/>
                <w:rtl w:val="true"/>
              </w:rPr>
              <w:t>کتاب الإقرار</w:t>
            </w:r>
            <w:r>
              <w:rPr>
                <w:rStyle w:val="IndexLink"/>
                <w:rtl w:val="true"/>
              </w:rPr>
              <w:tab/>
            </w:r>
            <w:r>
              <w:rPr>
                <w:rStyle w:val="IndexLink"/>
              </w:rPr>
              <w:t>202</w:t>
            </w:r>
          </w:hyperlink>
        </w:p>
        <w:p>
          <w:pPr>
            <w:pStyle w:val="Contents2"/>
            <w:tabs>
              <w:tab w:val="clear" w:pos="8743"/>
              <w:tab w:val="right" w:pos="9026" w:leader="dot"/>
            </w:tabs>
            <w:rPr/>
          </w:pPr>
          <w:hyperlink w:anchor="__RefHeading___Toc1265436_653776707">
            <w:r>
              <w:rPr>
                <w:webHidden/>
                <w:rStyle w:val="IndexLink"/>
                <w:rtl w:val="true"/>
              </w:rPr>
              <w:t>کتاب الهبة</w:t>
            </w:r>
            <w:r>
              <w:rPr>
                <w:rStyle w:val="IndexLink"/>
                <w:rtl w:val="true"/>
              </w:rPr>
              <w:tab/>
            </w:r>
            <w:r>
              <w:rPr>
                <w:rStyle w:val="IndexLink"/>
              </w:rPr>
              <w:t>204</w:t>
            </w:r>
          </w:hyperlink>
        </w:p>
        <w:p>
          <w:pPr>
            <w:pStyle w:val="Contents2"/>
            <w:tabs>
              <w:tab w:val="clear" w:pos="8743"/>
              <w:tab w:val="right" w:pos="9026" w:leader="dot"/>
            </w:tabs>
            <w:rPr/>
          </w:pPr>
          <w:hyperlink w:anchor="__RefHeading___Toc1265438_653776707">
            <w:r>
              <w:rPr>
                <w:webHidden/>
                <w:rStyle w:val="IndexLink"/>
                <w:rtl w:val="true"/>
              </w:rPr>
              <w:t>کتاب الوقف وأخواته</w:t>
            </w:r>
            <w:r>
              <w:rPr>
                <w:rStyle w:val="IndexLink"/>
                <w:rtl w:val="true"/>
              </w:rPr>
              <w:tab/>
            </w:r>
            <w:r>
              <w:rPr>
                <w:rStyle w:val="IndexLink"/>
              </w:rPr>
              <w:t>206</w:t>
            </w:r>
          </w:hyperlink>
        </w:p>
        <w:p>
          <w:pPr>
            <w:pStyle w:val="Contents3"/>
            <w:tabs>
              <w:tab w:val="clear" w:pos="8459"/>
              <w:tab w:val="right" w:pos="9026" w:leader="dot"/>
            </w:tabs>
            <w:rPr/>
          </w:pPr>
          <w:hyperlink w:anchor="__RefHeading___Toc1265440_653776707">
            <w:r>
              <w:rPr>
                <w:webHidden/>
                <w:rStyle w:val="IndexLink"/>
                <w:rtl w:val="true"/>
              </w:rPr>
              <w:t>اشارة</w:t>
            </w:r>
            <w:r>
              <w:rPr>
                <w:rStyle w:val="IndexLink"/>
                <w:rtl w:val="true"/>
              </w:rPr>
              <w:tab/>
            </w:r>
            <w:r>
              <w:rPr>
                <w:rStyle w:val="IndexLink"/>
              </w:rPr>
              <w:t>206</w:t>
            </w:r>
          </w:hyperlink>
        </w:p>
        <w:p>
          <w:pPr>
            <w:pStyle w:val="Contents3"/>
            <w:tabs>
              <w:tab w:val="clear" w:pos="8459"/>
              <w:tab w:val="right" w:pos="9026" w:leader="dot"/>
            </w:tabs>
            <w:rPr/>
          </w:pPr>
          <w:hyperlink w:anchor="__RefHeading___Toc1265442_653776707">
            <w:r>
              <w:rPr>
                <w:webHidden/>
                <w:rStyle w:val="IndexLink"/>
                <w:rtl w:val="true"/>
              </w:rPr>
              <w:t>خاتمة فی الصدقة</w:t>
            </w:r>
            <w:r>
              <w:rPr>
                <w:rStyle w:val="IndexLink"/>
                <w:rtl w:val="true"/>
              </w:rPr>
              <w:tab/>
            </w:r>
            <w:r>
              <w:rPr>
                <w:rStyle w:val="IndexLink"/>
              </w:rPr>
              <w:t>212</w:t>
            </w:r>
          </w:hyperlink>
        </w:p>
        <w:p>
          <w:pPr>
            <w:pStyle w:val="Contents2"/>
            <w:tabs>
              <w:tab w:val="clear" w:pos="8743"/>
              <w:tab w:val="right" w:pos="9026" w:leader="dot"/>
            </w:tabs>
            <w:rPr/>
          </w:pPr>
          <w:hyperlink w:anchor="__RefHeading___Toc1265444_653776707">
            <w:r>
              <w:rPr>
                <w:webHidden/>
                <w:rStyle w:val="IndexLink"/>
                <w:rtl w:val="true"/>
              </w:rPr>
              <w:t>کتاب الوصیّة</w:t>
            </w:r>
            <w:r>
              <w:rPr>
                <w:rStyle w:val="IndexLink"/>
                <w:rtl w:val="true"/>
              </w:rPr>
              <w:tab/>
            </w:r>
            <w:r>
              <w:rPr>
                <w:rStyle w:val="IndexLink"/>
              </w:rPr>
              <w:t>213</w:t>
            </w:r>
          </w:hyperlink>
        </w:p>
        <w:p>
          <w:pPr>
            <w:pStyle w:val="Contents2"/>
            <w:tabs>
              <w:tab w:val="clear" w:pos="8743"/>
              <w:tab w:val="right" w:pos="9026" w:leader="dot"/>
            </w:tabs>
            <w:rPr/>
          </w:pPr>
          <w:hyperlink w:anchor="__RefHeading___Toc1265446_653776707">
            <w:r>
              <w:rPr>
                <w:webHidden/>
                <w:rStyle w:val="IndexLink"/>
                <w:rtl w:val="true"/>
              </w:rPr>
              <w:t>کتاب الأیمان والنذور</w:t>
            </w:r>
            <w:r>
              <w:rPr>
                <w:rStyle w:val="IndexLink"/>
                <w:rtl w:val="true"/>
              </w:rPr>
              <w:tab/>
            </w:r>
            <w:r>
              <w:rPr>
                <w:rStyle w:val="IndexLink"/>
              </w:rPr>
              <w:t>218</w:t>
            </w:r>
          </w:hyperlink>
        </w:p>
        <w:p>
          <w:pPr>
            <w:pStyle w:val="Contents3"/>
            <w:tabs>
              <w:tab w:val="clear" w:pos="8459"/>
              <w:tab w:val="right" w:pos="9026" w:leader="dot"/>
            </w:tabs>
            <w:rPr/>
          </w:pPr>
          <w:hyperlink w:anchor="__RefHeading___Toc1265448_653776707">
            <w:r>
              <w:rPr>
                <w:webHidden/>
                <w:rStyle w:val="IndexLink"/>
                <w:rtl w:val="true"/>
              </w:rPr>
              <w:t>فی الیمین</w:t>
            </w:r>
            <w:r>
              <w:rPr>
                <w:rStyle w:val="IndexLink"/>
                <w:rtl w:val="true"/>
              </w:rPr>
              <w:tab/>
            </w:r>
            <w:r>
              <w:rPr>
                <w:rStyle w:val="IndexLink"/>
              </w:rPr>
              <w:t>218</w:t>
            </w:r>
          </w:hyperlink>
        </w:p>
        <w:p>
          <w:pPr>
            <w:pStyle w:val="Contents3"/>
            <w:tabs>
              <w:tab w:val="clear" w:pos="8459"/>
              <w:tab w:val="right" w:pos="9026" w:leader="dot"/>
            </w:tabs>
            <w:rPr/>
          </w:pPr>
          <w:hyperlink w:anchor="__RefHeading___Toc1265450_653776707">
            <w:r>
              <w:rPr>
                <w:webHidden/>
                <w:rStyle w:val="IndexLink"/>
                <w:rtl w:val="true"/>
              </w:rPr>
              <w:t>فی النذر</w:t>
            </w:r>
            <w:r>
              <w:rPr>
                <w:rStyle w:val="IndexLink"/>
                <w:rtl w:val="true"/>
              </w:rPr>
              <w:tab/>
            </w:r>
            <w:r>
              <w:rPr>
                <w:rStyle w:val="IndexLink"/>
              </w:rPr>
              <w:t>220</w:t>
            </w:r>
          </w:hyperlink>
        </w:p>
        <w:p>
          <w:pPr>
            <w:pStyle w:val="Contents3"/>
            <w:tabs>
              <w:tab w:val="clear" w:pos="8459"/>
              <w:tab w:val="right" w:pos="9026" w:leader="dot"/>
            </w:tabs>
            <w:rPr/>
          </w:pPr>
          <w:hyperlink w:anchor="__RefHeading___Toc1265452_653776707">
            <w:r>
              <w:rPr>
                <w:webHidden/>
                <w:rStyle w:val="IndexLink"/>
                <w:rtl w:val="true"/>
              </w:rPr>
              <w:t>فی العهد</w:t>
            </w:r>
            <w:r>
              <w:rPr>
                <w:rStyle w:val="IndexLink"/>
                <w:rtl w:val="true"/>
              </w:rPr>
              <w:tab/>
            </w:r>
            <w:r>
              <w:rPr>
                <w:rStyle w:val="IndexLink"/>
              </w:rPr>
              <w:t>222</w:t>
            </w:r>
          </w:hyperlink>
        </w:p>
        <w:p>
          <w:pPr>
            <w:pStyle w:val="Contents2"/>
            <w:tabs>
              <w:tab w:val="clear" w:pos="8743"/>
              <w:tab w:val="right" w:pos="9026" w:leader="dot"/>
            </w:tabs>
            <w:rPr/>
          </w:pPr>
          <w:hyperlink w:anchor="__RefHeading___Toc1265454_653776707">
            <w:r>
              <w:rPr>
                <w:webHidden/>
                <w:rStyle w:val="IndexLink"/>
                <w:rtl w:val="true"/>
              </w:rPr>
              <w:t>کتاب الکفّارات</w:t>
            </w:r>
            <w:r>
              <w:rPr>
                <w:rStyle w:val="IndexLink"/>
                <w:rtl w:val="true"/>
              </w:rPr>
              <w:tab/>
            </w:r>
            <w:r>
              <w:rPr>
                <w:rStyle w:val="IndexLink"/>
              </w:rPr>
              <w:t>223</w:t>
            </w:r>
          </w:hyperlink>
        </w:p>
        <w:p>
          <w:pPr>
            <w:pStyle w:val="Contents3"/>
            <w:tabs>
              <w:tab w:val="clear" w:pos="8459"/>
              <w:tab w:val="right" w:pos="9026" w:leader="dot"/>
            </w:tabs>
            <w:rPr/>
          </w:pPr>
          <w:hyperlink w:anchor="__RefHeading___Toc1265456_653776707">
            <w:r>
              <w:rPr>
                <w:webHidden/>
                <w:rStyle w:val="IndexLink"/>
                <w:rtl w:val="true"/>
              </w:rPr>
              <w:t>فی أقسامها</w:t>
            </w:r>
            <w:r>
              <w:rPr>
                <w:rStyle w:val="IndexLink"/>
                <w:rtl w:val="true"/>
              </w:rPr>
              <w:tab/>
            </w:r>
            <w:r>
              <w:rPr>
                <w:rStyle w:val="IndexLink"/>
              </w:rPr>
              <w:t>223</w:t>
            </w:r>
          </w:hyperlink>
        </w:p>
        <w:p>
          <w:pPr>
            <w:pStyle w:val="Contents3"/>
            <w:tabs>
              <w:tab w:val="clear" w:pos="8459"/>
              <w:tab w:val="right" w:pos="9026" w:leader="dot"/>
            </w:tabs>
            <w:rPr/>
          </w:pPr>
          <w:hyperlink w:anchor="__RefHeading___Toc1265458_653776707">
            <w:r>
              <w:rPr>
                <w:webHidden/>
                <w:rStyle w:val="IndexLink"/>
                <w:rtl w:val="true"/>
              </w:rPr>
              <w:t>فی أحکام الکفّارات</w:t>
            </w:r>
            <w:r>
              <w:rPr>
                <w:rStyle w:val="IndexLink"/>
                <w:rtl w:val="true"/>
              </w:rPr>
              <w:tab/>
            </w:r>
            <w:r>
              <w:rPr>
                <w:rStyle w:val="IndexLink"/>
              </w:rPr>
              <w:t>224</w:t>
            </w:r>
          </w:hyperlink>
        </w:p>
        <w:p>
          <w:pPr>
            <w:pStyle w:val="Contents2"/>
            <w:tabs>
              <w:tab w:val="clear" w:pos="8743"/>
              <w:tab w:val="right" w:pos="9026" w:leader="dot"/>
            </w:tabs>
            <w:rPr/>
          </w:pPr>
          <w:hyperlink w:anchor="__RefHeading___Toc1265460_653776707">
            <w:r>
              <w:rPr>
                <w:webHidden/>
                <w:rStyle w:val="IndexLink"/>
                <w:rtl w:val="true"/>
              </w:rPr>
              <w:t>کتاب الصید والذباحة</w:t>
            </w:r>
            <w:r>
              <w:rPr>
                <w:rStyle w:val="IndexLink"/>
                <w:rtl w:val="true"/>
              </w:rPr>
              <w:tab/>
            </w:r>
            <w:r>
              <w:rPr>
                <w:rStyle w:val="IndexLink"/>
              </w:rPr>
              <w:t>226</w:t>
            </w:r>
          </w:hyperlink>
        </w:p>
        <w:p>
          <w:pPr>
            <w:pStyle w:val="Contents3"/>
            <w:tabs>
              <w:tab w:val="clear" w:pos="8459"/>
              <w:tab w:val="right" w:pos="9026" w:leader="dot"/>
            </w:tabs>
            <w:rPr/>
          </w:pPr>
          <w:hyperlink w:anchor="__RefHeading___Toc1265462_653776707">
            <w:r>
              <w:rPr>
                <w:webHidden/>
                <w:rStyle w:val="IndexLink"/>
                <w:rtl w:val="true"/>
              </w:rPr>
              <w:t>فی الصید</w:t>
            </w:r>
            <w:r>
              <w:rPr>
                <w:rStyle w:val="IndexLink"/>
                <w:rtl w:val="true"/>
              </w:rPr>
              <w:tab/>
            </w:r>
            <w:r>
              <w:rPr>
                <w:rStyle w:val="IndexLink"/>
              </w:rPr>
              <w:t>226</w:t>
            </w:r>
          </w:hyperlink>
        </w:p>
        <w:p>
          <w:pPr>
            <w:pStyle w:val="Contents3"/>
            <w:tabs>
              <w:tab w:val="clear" w:pos="8459"/>
              <w:tab w:val="right" w:pos="9026" w:leader="dot"/>
            </w:tabs>
            <w:rPr/>
          </w:pPr>
          <w:hyperlink w:anchor="__RefHeading___Toc1265464_653776707">
            <w:r>
              <w:rPr>
                <w:webHidden/>
                <w:rStyle w:val="IndexLink"/>
                <w:rtl w:val="true"/>
              </w:rPr>
              <w:t>فی الذباحة</w:t>
            </w:r>
            <w:r>
              <w:rPr>
                <w:rStyle w:val="IndexLink"/>
                <w:rtl w:val="true"/>
              </w:rPr>
              <w:tab/>
            </w:r>
            <w:r>
              <w:rPr>
                <w:rStyle w:val="IndexLink"/>
              </w:rPr>
              <w:t>229</w:t>
            </w:r>
          </w:hyperlink>
        </w:p>
        <w:p>
          <w:pPr>
            <w:pStyle w:val="Contents2"/>
            <w:tabs>
              <w:tab w:val="clear" w:pos="8743"/>
              <w:tab w:val="right" w:pos="9026" w:leader="dot"/>
            </w:tabs>
            <w:rPr/>
          </w:pPr>
          <w:hyperlink w:anchor="__RefHeading___Toc1265466_653776707">
            <w:r>
              <w:rPr>
                <w:webHidden/>
                <w:rStyle w:val="IndexLink"/>
                <w:rtl w:val="true"/>
              </w:rPr>
              <w:t>کتاب الأطعمة والأشربة</w:t>
            </w:r>
            <w:r>
              <w:rPr>
                <w:rStyle w:val="IndexLink"/>
                <w:rtl w:val="true"/>
              </w:rPr>
              <w:tab/>
            </w:r>
            <w:r>
              <w:rPr>
                <w:rStyle w:val="IndexLink"/>
              </w:rPr>
              <w:t>233</w:t>
            </w:r>
          </w:hyperlink>
        </w:p>
        <w:p>
          <w:pPr>
            <w:pStyle w:val="Contents3"/>
            <w:tabs>
              <w:tab w:val="clear" w:pos="8459"/>
              <w:tab w:val="right" w:pos="9026" w:leader="dot"/>
            </w:tabs>
            <w:rPr/>
          </w:pPr>
          <w:hyperlink w:anchor="__RefHeading___Toc1265468_653776707">
            <w:r>
              <w:rPr>
                <w:webHidden/>
                <w:rStyle w:val="IndexLink"/>
                <w:rtl w:val="true"/>
              </w:rPr>
              <w:t>اشارة</w:t>
            </w:r>
            <w:r>
              <w:rPr>
                <w:rStyle w:val="IndexLink"/>
                <w:rtl w:val="true"/>
              </w:rPr>
              <w:tab/>
            </w:r>
            <w:r>
              <w:rPr>
                <w:rStyle w:val="IndexLink"/>
              </w:rPr>
              <w:t>233</w:t>
            </w:r>
          </w:hyperlink>
        </w:p>
        <w:p>
          <w:pPr>
            <w:pStyle w:val="Contents3"/>
            <w:tabs>
              <w:tab w:val="clear" w:pos="8459"/>
              <w:tab w:val="right" w:pos="9026" w:leader="dot"/>
            </w:tabs>
            <w:rPr/>
          </w:pPr>
          <w:hyperlink w:anchor="__RefHeading___Toc1265470_653776707">
            <w:r>
              <w:rPr>
                <w:webHidden/>
                <w:rStyle w:val="IndexLink"/>
                <w:rtl w:val="true"/>
              </w:rPr>
              <w:t>فی الحیوان</w:t>
            </w:r>
            <w:r>
              <w:rPr>
                <w:rStyle w:val="IndexLink"/>
                <w:rtl w:val="true"/>
              </w:rPr>
              <w:tab/>
            </w:r>
            <w:r>
              <w:rPr>
                <w:rStyle w:val="IndexLink"/>
              </w:rPr>
              <w:t>233</w:t>
            </w:r>
          </w:hyperlink>
        </w:p>
        <w:p>
          <w:pPr>
            <w:pStyle w:val="Contents3"/>
            <w:tabs>
              <w:tab w:val="clear" w:pos="8459"/>
              <w:tab w:val="right" w:pos="9026" w:leader="dot"/>
            </w:tabs>
            <w:rPr/>
          </w:pPr>
          <w:hyperlink w:anchor="__RefHeading___Toc1265472_653776707">
            <w:r>
              <w:rPr>
                <w:webHidden/>
                <w:rStyle w:val="IndexLink"/>
                <w:rtl w:val="true"/>
              </w:rPr>
              <w:t>فی غیر الحیوان</w:t>
            </w:r>
            <w:r>
              <w:rPr>
                <w:rStyle w:val="IndexLink"/>
                <w:rtl w:val="true"/>
              </w:rPr>
              <w:tab/>
            </w:r>
            <w:r>
              <w:rPr>
                <w:rStyle w:val="IndexLink"/>
              </w:rPr>
              <w:t>235</w:t>
            </w:r>
          </w:hyperlink>
        </w:p>
        <w:p>
          <w:pPr>
            <w:pStyle w:val="Contents2"/>
            <w:tabs>
              <w:tab w:val="clear" w:pos="8743"/>
              <w:tab w:val="right" w:pos="9026" w:leader="dot"/>
            </w:tabs>
            <w:rPr/>
          </w:pPr>
          <w:hyperlink w:anchor="__RefHeading___Toc1265474_653776707">
            <w:r>
              <w:rPr>
                <w:webHidden/>
                <w:rStyle w:val="IndexLink"/>
                <w:rtl w:val="true"/>
              </w:rPr>
              <w:t>کتاب الغصب</w:t>
            </w:r>
            <w:r>
              <w:rPr>
                <w:rStyle w:val="IndexLink"/>
                <w:rtl w:val="true"/>
              </w:rPr>
              <w:tab/>
            </w:r>
            <w:r>
              <w:rPr>
                <w:rStyle w:val="IndexLink"/>
              </w:rPr>
              <w:t>239</w:t>
            </w:r>
          </w:hyperlink>
        </w:p>
        <w:p>
          <w:pPr>
            <w:pStyle w:val="Contents2"/>
            <w:tabs>
              <w:tab w:val="clear" w:pos="8743"/>
              <w:tab w:val="right" w:pos="9026" w:leader="dot"/>
            </w:tabs>
            <w:rPr/>
          </w:pPr>
          <w:hyperlink w:anchor="__RefHeading___Toc1265476_653776707">
            <w:r>
              <w:rPr>
                <w:webHidden/>
                <w:rStyle w:val="IndexLink"/>
                <w:rtl w:val="true"/>
              </w:rPr>
              <w:t>کتاب إحیاء الموات والمشترکات</w:t>
            </w:r>
            <w:r>
              <w:rPr>
                <w:rStyle w:val="IndexLink"/>
                <w:rtl w:val="true"/>
              </w:rPr>
              <w:tab/>
            </w:r>
            <w:r>
              <w:rPr>
                <w:rStyle w:val="IndexLink"/>
              </w:rPr>
              <w:t>246</w:t>
            </w:r>
          </w:hyperlink>
        </w:p>
        <w:p>
          <w:pPr>
            <w:pStyle w:val="Contents3"/>
            <w:tabs>
              <w:tab w:val="clear" w:pos="8459"/>
              <w:tab w:val="right" w:pos="9026" w:leader="dot"/>
            </w:tabs>
            <w:rPr/>
          </w:pPr>
          <w:hyperlink w:anchor="__RefHeading___Toc1265478_653776707">
            <w:r>
              <w:rPr>
                <w:webHidden/>
                <w:rStyle w:val="IndexLink"/>
                <w:rtl w:val="true"/>
              </w:rPr>
              <w:t>فی إحیاء الموات</w:t>
            </w:r>
            <w:r>
              <w:rPr>
                <w:rStyle w:val="IndexLink"/>
                <w:rtl w:val="true"/>
              </w:rPr>
              <w:tab/>
            </w:r>
            <w:r>
              <w:rPr>
                <w:rStyle w:val="IndexLink"/>
              </w:rPr>
              <w:t>246</w:t>
            </w:r>
          </w:hyperlink>
        </w:p>
        <w:p>
          <w:pPr>
            <w:pStyle w:val="Contents3"/>
            <w:tabs>
              <w:tab w:val="clear" w:pos="8459"/>
              <w:tab w:val="right" w:pos="9026" w:leader="dot"/>
            </w:tabs>
            <w:rPr/>
          </w:pPr>
          <w:hyperlink w:anchor="__RefHeading___Toc1265480_653776707">
            <w:r>
              <w:rPr>
                <w:webHidden/>
                <w:rStyle w:val="IndexLink"/>
                <w:rtl w:val="true"/>
              </w:rPr>
              <w:t>فی المشترکات</w:t>
            </w:r>
            <w:r>
              <w:rPr>
                <w:rStyle w:val="IndexLink"/>
                <w:rtl w:val="true"/>
              </w:rPr>
              <w:tab/>
            </w:r>
            <w:r>
              <w:rPr>
                <w:rStyle w:val="IndexLink"/>
              </w:rPr>
              <w:t>249</w:t>
            </w:r>
          </w:hyperlink>
        </w:p>
        <w:p>
          <w:pPr>
            <w:pStyle w:val="Contents2"/>
            <w:tabs>
              <w:tab w:val="clear" w:pos="8743"/>
              <w:tab w:val="right" w:pos="9026" w:leader="dot"/>
            </w:tabs>
            <w:rPr/>
          </w:pPr>
          <w:hyperlink w:anchor="__RefHeading___Toc1265482_653776707">
            <w:r>
              <w:rPr>
                <w:webHidden/>
                <w:rStyle w:val="IndexLink"/>
                <w:rtl w:val="true"/>
              </w:rPr>
              <w:t>کتاب اللُّقَطَة</w:t>
            </w:r>
            <w:r>
              <w:rPr>
                <w:rStyle w:val="IndexLink"/>
                <w:rtl w:val="true"/>
              </w:rPr>
              <w:tab/>
            </w:r>
            <w:r>
              <w:rPr>
                <w:rStyle w:val="IndexLink"/>
              </w:rPr>
              <w:t>252</w:t>
            </w:r>
          </w:hyperlink>
        </w:p>
        <w:p>
          <w:pPr>
            <w:pStyle w:val="Contents3"/>
            <w:tabs>
              <w:tab w:val="clear" w:pos="8459"/>
              <w:tab w:val="right" w:pos="9026" w:leader="dot"/>
            </w:tabs>
            <w:rPr/>
          </w:pPr>
          <w:hyperlink w:anchor="__RefHeading___Toc1265484_653776707">
            <w:r>
              <w:rPr>
                <w:webHidden/>
                <w:rStyle w:val="IndexLink"/>
                <w:rtl w:val="true"/>
              </w:rPr>
              <w:t>اشارة</w:t>
            </w:r>
            <w:r>
              <w:rPr>
                <w:rStyle w:val="IndexLink"/>
                <w:rtl w:val="true"/>
              </w:rPr>
              <w:tab/>
            </w:r>
            <w:r>
              <w:rPr>
                <w:rStyle w:val="IndexLink"/>
              </w:rPr>
              <w:t>252</w:t>
            </w:r>
          </w:hyperlink>
        </w:p>
        <w:p>
          <w:pPr>
            <w:pStyle w:val="Contents3"/>
            <w:tabs>
              <w:tab w:val="clear" w:pos="8459"/>
              <w:tab w:val="right" w:pos="9026" w:leader="dot"/>
            </w:tabs>
            <w:rPr/>
          </w:pPr>
          <w:hyperlink w:anchor="__RefHeading___Toc1265486_653776707">
            <w:r>
              <w:rPr>
                <w:webHidden/>
                <w:rStyle w:val="IndexLink"/>
                <w:rtl w:val="true"/>
              </w:rPr>
              <w:t>فی لقطة الحیوان</w:t>
            </w:r>
            <w:r>
              <w:rPr>
                <w:rStyle w:val="IndexLink"/>
                <w:rtl w:val="true"/>
              </w:rPr>
              <w:tab/>
            </w:r>
            <w:r>
              <w:rPr>
                <w:rStyle w:val="IndexLink"/>
              </w:rPr>
              <w:t>252</w:t>
            </w:r>
          </w:hyperlink>
        </w:p>
        <w:p>
          <w:pPr>
            <w:pStyle w:val="Contents3"/>
            <w:tabs>
              <w:tab w:val="clear" w:pos="8459"/>
              <w:tab w:val="right" w:pos="9026" w:leader="dot"/>
            </w:tabs>
            <w:rPr/>
          </w:pPr>
          <w:hyperlink w:anchor="__RefHeading___Toc1265488_653776707">
            <w:r>
              <w:rPr>
                <w:webHidden/>
                <w:rStyle w:val="IndexLink"/>
                <w:rtl w:val="true"/>
              </w:rPr>
              <w:t>فی لقطة غیر الحیوان</w:t>
            </w:r>
            <w:r>
              <w:rPr>
                <w:rStyle w:val="IndexLink"/>
                <w:rtl w:val="true"/>
              </w:rPr>
              <w:tab/>
            </w:r>
            <w:r>
              <w:rPr>
                <w:rStyle w:val="IndexLink"/>
              </w:rPr>
              <w:t>253</w:t>
            </w:r>
          </w:hyperlink>
        </w:p>
        <w:p>
          <w:pPr>
            <w:pStyle w:val="Contents2"/>
            <w:tabs>
              <w:tab w:val="clear" w:pos="8743"/>
              <w:tab w:val="right" w:pos="9026" w:leader="dot"/>
            </w:tabs>
            <w:rPr/>
          </w:pPr>
          <w:hyperlink w:anchor="__RefHeading___Toc1265490_653776707">
            <w:r>
              <w:rPr>
                <w:webHidden/>
                <w:rStyle w:val="IndexLink"/>
                <w:rtl w:val="true"/>
              </w:rPr>
              <w:t>کتاب النکاح</w:t>
            </w:r>
            <w:r>
              <w:rPr>
                <w:rStyle w:val="IndexLink"/>
                <w:rtl w:val="true"/>
              </w:rPr>
              <w:tab/>
            </w:r>
            <w:r>
              <w:rPr>
                <w:rStyle w:val="IndexLink"/>
              </w:rPr>
              <w:t>258</w:t>
            </w:r>
          </w:hyperlink>
        </w:p>
        <w:p>
          <w:pPr>
            <w:pStyle w:val="Contents3"/>
            <w:tabs>
              <w:tab w:val="clear" w:pos="8459"/>
              <w:tab w:val="right" w:pos="9026" w:leader="dot"/>
            </w:tabs>
            <w:rPr/>
          </w:pPr>
          <w:hyperlink w:anchor="__RefHeading___Toc1265492_653776707">
            <w:r>
              <w:rPr>
                <w:webHidden/>
                <w:rStyle w:val="IndexLink"/>
                <w:rtl w:val="true"/>
              </w:rPr>
              <w:t>مقدّمة فیها مسائل</w:t>
            </w:r>
            <w:r>
              <w:rPr>
                <w:rStyle w:val="IndexLink"/>
                <w:rtl w:val="true"/>
              </w:rPr>
              <w:tab/>
            </w:r>
            <w:r>
              <w:rPr>
                <w:rStyle w:val="IndexLink"/>
              </w:rPr>
              <w:t>258</w:t>
            </w:r>
          </w:hyperlink>
        </w:p>
        <w:p>
          <w:pPr>
            <w:pStyle w:val="Contents2"/>
            <w:tabs>
              <w:tab w:val="clear" w:pos="8743"/>
              <w:tab w:val="right" w:pos="9026" w:leader="dot"/>
            </w:tabs>
            <w:rPr/>
          </w:pPr>
          <w:hyperlink w:anchor="__RefHeading___Toc1265494_653776707">
            <w:r>
              <w:rPr>
                <w:webHidden/>
                <w:rStyle w:val="IndexLink"/>
                <w:rtl w:val="true"/>
              </w:rPr>
              <w:t>فی عقد النکاح</w:t>
            </w:r>
            <w:r>
              <w:rPr>
                <w:rStyle w:val="IndexLink"/>
                <w:rtl w:val="true"/>
              </w:rPr>
              <w:tab/>
            </w:r>
            <w:r>
              <w:rPr>
                <w:rStyle w:val="IndexLink"/>
              </w:rPr>
              <w:t>260</w:t>
            </w:r>
          </w:hyperlink>
        </w:p>
        <w:p>
          <w:pPr>
            <w:pStyle w:val="Contents2"/>
            <w:tabs>
              <w:tab w:val="clear" w:pos="8743"/>
              <w:tab w:val="right" w:pos="9026" w:leader="dot"/>
            </w:tabs>
            <w:rPr/>
          </w:pPr>
          <w:hyperlink w:anchor="__RefHeading___Toc1265496_653776707">
            <w:r>
              <w:rPr>
                <w:webHidden/>
                <w:rStyle w:val="IndexLink"/>
                <w:rtl w:val="true"/>
              </w:rPr>
              <w:t>فی أولیاء العقد</w:t>
            </w:r>
            <w:r>
              <w:rPr>
                <w:rStyle w:val="IndexLink"/>
                <w:rtl w:val="true"/>
              </w:rPr>
              <w:tab/>
            </w:r>
            <w:r>
              <w:rPr>
                <w:rStyle w:val="IndexLink"/>
              </w:rPr>
              <w:t>262</w:t>
            </w:r>
          </w:hyperlink>
        </w:p>
        <w:p>
          <w:pPr>
            <w:pStyle w:val="Contents2"/>
            <w:tabs>
              <w:tab w:val="clear" w:pos="8743"/>
              <w:tab w:val="right" w:pos="9026" w:leader="dot"/>
            </w:tabs>
            <w:rPr/>
          </w:pPr>
          <w:hyperlink w:anchor="__RefHeading___Toc1265498_653776707">
            <w:r>
              <w:rPr>
                <w:webHidden/>
                <w:rStyle w:val="IndexLink"/>
                <w:rtl w:val="true"/>
              </w:rPr>
              <w:t>فی أسباب التحریم</w:t>
            </w:r>
            <w:r>
              <w:rPr>
                <w:rStyle w:val="IndexLink"/>
                <w:rtl w:val="true"/>
              </w:rPr>
              <w:tab/>
            </w:r>
            <w:r>
              <w:rPr>
                <w:rStyle w:val="IndexLink"/>
              </w:rPr>
              <w:t>263</w:t>
            </w:r>
          </w:hyperlink>
        </w:p>
        <w:p>
          <w:pPr>
            <w:pStyle w:val="Contents3"/>
            <w:tabs>
              <w:tab w:val="clear" w:pos="8459"/>
              <w:tab w:val="right" w:pos="9026" w:leader="dot"/>
            </w:tabs>
            <w:rPr/>
          </w:pPr>
          <w:hyperlink w:anchor="__RefHeading___Toc1265500_653776707">
            <w:r>
              <w:rPr>
                <w:webHidden/>
                <w:rStyle w:val="IndexLink"/>
                <w:rtl w:val="true"/>
              </w:rPr>
              <w:t>اشارة</w:t>
            </w:r>
            <w:r>
              <w:rPr>
                <w:rStyle w:val="IndexLink"/>
                <w:rtl w:val="true"/>
              </w:rPr>
              <w:tab/>
            </w:r>
            <w:r>
              <w:rPr>
                <w:rStyle w:val="IndexLink"/>
              </w:rPr>
              <w:t>263</w:t>
            </w:r>
          </w:hyperlink>
        </w:p>
        <w:p>
          <w:pPr>
            <w:pStyle w:val="Contents3"/>
            <w:tabs>
              <w:tab w:val="clear" w:pos="8459"/>
              <w:tab w:val="right" w:pos="9026" w:leader="dot"/>
            </w:tabs>
            <w:rPr/>
          </w:pPr>
          <w:hyperlink w:anchor="__RefHeading___Toc1265502_653776707">
            <w:r>
              <w:rPr>
                <w:webHidden/>
                <w:rStyle w:val="IndexLink"/>
                <w:rtl w:val="true"/>
              </w:rPr>
              <w:t>فی النسب</w:t>
            </w:r>
            <w:r>
              <w:rPr>
                <w:rStyle w:val="IndexLink"/>
                <w:rtl w:val="true"/>
              </w:rPr>
              <w:tab/>
            </w:r>
            <w:r>
              <w:rPr>
                <w:rStyle w:val="IndexLink"/>
              </w:rPr>
              <w:t>263</w:t>
            </w:r>
          </w:hyperlink>
        </w:p>
        <w:p>
          <w:pPr>
            <w:pStyle w:val="Contents3"/>
            <w:tabs>
              <w:tab w:val="clear" w:pos="8459"/>
              <w:tab w:val="right" w:pos="9026" w:leader="dot"/>
            </w:tabs>
            <w:rPr/>
          </w:pPr>
          <w:hyperlink w:anchor="__RefHeading___Toc1265504_653776707">
            <w:r>
              <w:rPr>
                <w:webHidden/>
                <w:rStyle w:val="IndexLink"/>
                <w:rtl w:val="true"/>
              </w:rPr>
              <w:t>فی الرضاع</w:t>
            </w:r>
            <w:r>
              <w:rPr>
                <w:rStyle w:val="IndexLink"/>
                <w:rtl w:val="true"/>
              </w:rPr>
              <w:tab/>
            </w:r>
            <w:r>
              <w:rPr>
                <w:rStyle w:val="IndexLink"/>
              </w:rPr>
              <w:t>264</w:t>
            </w:r>
          </w:hyperlink>
        </w:p>
        <w:p>
          <w:pPr>
            <w:pStyle w:val="Contents3"/>
            <w:tabs>
              <w:tab w:val="clear" w:pos="8459"/>
              <w:tab w:val="right" w:pos="9026" w:leader="dot"/>
            </w:tabs>
            <w:rPr/>
          </w:pPr>
          <w:hyperlink w:anchor="__RefHeading___Toc1265506_653776707">
            <w:r>
              <w:rPr>
                <w:webHidden/>
                <w:rStyle w:val="IndexLink"/>
                <w:rtl w:val="true"/>
              </w:rPr>
              <w:t>فی المصاهرة</w:t>
            </w:r>
            <w:r>
              <w:rPr>
                <w:rStyle w:val="IndexLink"/>
                <w:rtl w:val="true"/>
              </w:rPr>
              <w:tab/>
            </w:r>
            <w:r>
              <w:rPr>
                <w:rStyle w:val="IndexLink"/>
              </w:rPr>
              <w:t>266</w:t>
            </w:r>
          </w:hyperlink>
        </w:p>
        <w:p>
          <w:pPr>
            <w:pStyle w:val="Contents2"/>
            <w:tabs>
              <w:tab w:val="clear" w:pos="8743"/>
              <w:tab w:val="right" w:pos="9026" w:leader="dot"/>
            </w:tabs>
            <w:rPr/>
          </w:pPr>
          <w:hyperlink w:anchor="__RefHeading___Toc1265508_653776707">
            <w:r>
              <w:rPr>
                <w:webHidden/>
                <w:rStyle w:val="IndexLink"/>
                <w:rtl w:val="true"/>
              </w:rPr>
              <w:t>فی النکاح فی العدّة</w:t>
            </w:r>
            <w:r>
              <w:rPr>
                <w:rStyle w:val="IndexLink"/>
                <w:rtl w:val="true"/>
              </w:rPr>
              <w:tab/>
            </w:r>
            <w:r>
              <w:rPr>
                <w:rStyle w:val="IndexLink"/>
              </w:rPr>
              <w:t>268</w:t>
            </w:r>
          </w:hyperlink>
        </w:p>
        <w:p>
          <w:pPr>
            <w:pStyle w:val="Contents2"/>
            <w:tabs>
              <w:tab w:val="clear" w:pos="8743"/>
              <w:tab w:val="right" w:pos="9026" w:leader="dot"/>
            </w:tabs>
            <w:rPr/>
          </w:pPr>
          <w:hyperlink w:anchor="__RefHeading___Toc1265510_653776707">
            <w:r>
              <w:rPr>
                <w:webHidden/>
                <w:rStyle w:val="IndexLink"/>
                <w:rtl w:val="true"/>
              </w:rPr>
              <w:t>فی الکفر</w:t>
            </w:r>
            <w:r>
              <w:rPr>
                <w:rStyle w:val="IndexLink"/>
                <w:rtl w:val="true"/>
              </w:rPr>
              <w:tab/>
            </w:r>
            <w:r>
              <w:rPr>
                <w:rStyle w:val="IndexLink"/>
              </w:rPr>
              <w:t>269</w:t>
            </w:r>
          </w:hyperlink>
        </w:p>
        <w:p>
          <w:pPr>
            <w:pStyle w:val="Contents2"/>
            <w:tabs>
              <w:tab w:val="clear" w:pos="8743"/>
              <w:tab w:val="right" w:pos="9026" w:leader="dot"/>
            </w:tabs>
            <w:rPr/>
          </w:pPr>
          <w:hyperlink w:anchor="__RefHeading___Toc1265512_653776707">
            <w:r>
              <w:rPr>
                <w:webHidden/>
                <w:rStyle w:val="IndexLink"/>
                <w:rtl w:val="true"/>
              </w:rPr>
              <w:t>فی النکاح المنقطع</w:t>
            </w:r>
            <w:r>
              <w:rPr>
                <w:rStyle w:val="IndexLink"/>
                <w:rtl w:val="true"/>
              </w:rPr>
              <w:tab/>
            </w:r>
            <w:r>
              <w:rPr>
                <w:rStyle w:val="IndexLink"/>
              </w:rPr>
              <w:t>270</w:t>
            </w:r>
          </w:hyperlink>
        </w:p>
        <w:p>
          <w:pPr>
            <w:pStyle w:val="Contents2"/>
            <w:tabs>
              <w:tab w:val="clear" w:pos="8743"/>
              <w:tab w:val="right" w:pos="9026" w:leader="dot"/>
            </w:tabs>
            <w:rPr/>
          </w:pPr>
          <w:hyperlink w:anchor="__RefHeading___Toc1265514_653776707">
            <w:r>
              <w:rPr>
                <w:webHidden/>
                <w:rStyle w:val="IndexLink"/>
                <w:rtl w:val="true"/>
              </w:rPr>
              <w:t>فی العیوب</w:t>
            </w:r>
            <w:r>
              <w:rPr>
                <w:rStyle w:val="IndexLink"/>
                <w:rtl w:val="true"/>
              </w:rPr>
              <w:tab/>
            </w:r>
            <w:r>
              <w:rPr>
                <w:rStyle w:val="IndexLink"/>
              </w:rPr>
              <w:t>271</w:t>
            </w:r>
          </w:hyperlink>
        </w:p>
        <w:p>
          <w:pPr>
            <w:pStyle w:val="Contents2"/>
            <w:tabs>
              <w:tab w:val="clear" w:pos="8743"/>
              <w:tab w:val="right" w:pos="9026" w:leader="dot"/>
            </w:tabs>
            <w:rPr/>
          </w:pPr>
          <w:hyperlink w:anchor="__RefHeading___Toc1265516_653776707">
            <w:r>
              <w:rPr>
                <w:webHidden/>
                <w:rStyle w:val="IndexLink"/>
                <w:rtl w:val="true"/>
              </w:rPr>
              <w:t>فی المهر</w:t>
            </w:r>
            <w:r>
              <w:rPr>
                <w:rStyle w:val="IndexLink"/>
                <w:rtl w:val="true"/>
              </w:rPr>
              <w:tab/>
            </w:r>
            <w:r>
              <w:rPr>
                <w:rStyle w:val="IndexLink"/>
              </w:rPr>
              <w:t>272</w:t>
            </w:r>
          </w:hyperlink>
        </w:p>
        <w:p>
          <w:pPr>
            <w:pStyle w:val="Contents3"/>
            <w:tabs>
              <w:tab w:val="clear" w:pos="8459"/>
              <w:tab w:val="right" w:pos="9026" w:leader="dot"/>
            </w:tabs>
            <w:rPr/>
          </w:pPr>
          <w:hyperlink w:anchor="__RefHeading___Toc1265518_653776707">
            <w:r>
              <w:rPr>
                <w:webHidden/>
                <w:rStyle w:val="IndexLink"/>
                <w:rtl w:val="true"/>
              </w:rPr>
              <w:t>اشارة</w:t>
            </w:r>
            <w:r>
              <w:rPr>
                <w:rStyle w:val="IndexLink"/>
                <w:rtl w:val="true"/>
              </w:rPr>
              <w:tab/>
            </w:r>
            <w:r>
              <w:rPr>
                <w:rStyle w:val="IndexLink"/>
              </w:rPr>
              <w:t>272</w:t>
            </w:r>
          </w:hyperlink>
        </w:p>
        <w:p>
          <w:pPr>
            <w:pStyle w:val="Contents3"/>
            <w:tabs>
              <w:tab w:val="clear" w:pos="8459"/>
              <w:tab w:val="right" w:pos="9026" w:leader="dot"/>
            </w:tabs>
            <w:rPr/>
          </w:pPr>
          <w:hyperlink w:anchor="__RefHeading___Toc1265520_653776707">
            <w:r>
              <w:rPr>
                <w:webHidden/>
                <w:rStyle w:val="IndexLink"/>
                <w:rtl w:val="true"/>
              </w:rPr>
              <w:t>فی القَسْم والنشوز والشقاق</w:t>
            </w:r>
            <w:r>
              <w:rPr>
                <w:rStyle w:val="IndexLink"/>
                <w:rtl w:val="true"/>
              </w:rPr>
              <w:tab/>
            </w:r>
            <w:r>
              <w:rPr>
                <w:rStyle w:val="IndexLink"/>
              </w:rPr>
              <w:t>274</w:t>
            </w:r>
          </w:hyperlink>
        </w:p>
        <w:p>
          <w:pPr>
            <w:pStyle w:val="Contents2"/>
            <w:tabs>
              <w:tab w:val="clear" w:pos="8743"/>
              <w:tab w:val="right" w:pos="9026" w:leader="dot"/>
            </w:tabs>
            <w:rPr/>
          </w:pPr>
          <w:hyperlink w:anchor="__RefHeading___Toc1265522_653776707">
            <w:r>
              <w:rPr>
                <w:webHidden/>
                <w:rStyle w:val="IndexLink"/>
                <w:rtl w:val="true"/>
              </w:rPr>
              <w:t>فی أحکام الولادة</w:t>
            </w:r>
            <w:r>
              <w:rPr>
                <w:rStyle w:val="IndexLink"/>
                <w:rtl w:val="true"/>
              </w:rPr>
              <w:tab/>
            </w:r>
            <w:r>
              <w:rPr>
                <w:rStyle w:val="IndexLink"/>
              </w:rPr>
              <w:t>275</w:t>
            </w:r>
          </w:hyperlink>
        </w:p>
        <w:p>
          <w:pPr>
            <w:pStyle w:val="Contents2"/>
            <w:tabs>
              <w:tab w:val="clear" w:pos="8743"/>
              <w:tab w:val="right" w:pos="9026" w:leader="dot"/>
            </w:tabs>
            <w:rPr/>
          </w:pPr>
          <w:hyperlink w:anchor="__RefHeading___Toc1265524_653776707">
            <w:r>
              <w:rPr>
                <w:webHidden/>
                <w:rStyle w:val="IndexLink"/>
                <w:rtl w:val="true"/>
              </w:rPr>
              <w:t>فی النفقات</w:t>
            </w:r>
            <w:r>
              <w:rPr>
                <w:rStyle w:val="IndexLink"/>
                <w:rtl w:val="true"/>
              </w:rPr>
              <w:tab/>
            </w:r>
            <w:r>
              <w:rPr>
                <w:rStyle w:val="IndexLink"/>
              </w:rPr>
              <w:t>277</w:t>
            </w:r>
          </w:hyperlink>
        </w:p>
        <w:p>
          <w:pPr>
            <w:pStyle w:val="Contents3"/>
            <w:tabs>
              <w:tab w:val="clear" w:pos="8459"/>
              <w:tab w:val="right" w:pos="9026" w:leader="dot"/>
            </w:tabs>
            <w:rPr/>
          </w:pPr>
          <w:hyperlink w:anchor="__RefHeading___Toc1265526_653776707">
            <w:r>
              <w:rPr>
                <w:webHidden/>
                <w:rStyle w:val="IndexLink"/>
                <w:rtl w:val="true"/>
              </w:rPr>
              <w:t>اشارة</w:t>
            </w:r>
            <w:r>
              <w:rPr>
                <w:rStyle w:val="IndexLink"/>
                <w:rtl w:val="true"/>
              </w:rPr>
              <w:tab/>
            </w:r>
            <w:r>
              <w:rPr>
                <w:rStyle w:val="IndexLink"/>
              </w:rPr>
              <w:t>277</w:t>
            </w:r>
          </w:hyperlink>
        </w:p>
        <w:p>
          <w:pPr>
            <w:pStyle w:val="Contents3"/>
            <w:tabs>
              <w:tab w:val="clear" w:pos="8459"/>
              <w:tab w:val="right" w:pos="9026" w:leader="dot"/>
            </w:tabs>
            <w:rPr/>
          </w:pPr>
          <w:hyperlink w:anchor="__RefHeading___Toc1265528_653776707">
            <w:r>
              <w:rPr>
                <w:webHidden/>
                <w:rStyle w:val="IndexLink"/>
                <w:rtl w:val="true"/>
              </w:rPr>
              <w:t>فی نفقة الأقارب</w:t>
            </w:r>
            <w:r>
              <w:rPr>
                <w:rStyle w:val="IndexLink"/>
                <w:rtl w:val="true"/>
              </w:rPr>
              <w:tab/>
            </w:r>
            <w:r>
              <w:rPr>
                <w:rStyle w:val="IndexLink"/>
              </w:rPr>
              <w:t>278</w:t>
            </w:r>
          </w:hyperlink>
        </w:p>
        <w:p>
          <w:pPr>
            <w:pStyle w:val="Contents2"/>
            <w:tabs>
              <w:tab w:val="clear" w:pos="8743"/>
              <w:tab w:val="right" w:pos="9026" w:leader="dot"/>
            </w:tabs>
            <w:rPr/>
          </w:pPr>
          <w:hyperlink w:anchor="__RefHeading___Toc1265530_653776707">
            <w:r>
              <w:rPr>
                <w:webHidden/>
                <w:rStyle w:val="IndexLink"/>
                <w:rtl w:val="true"/>
              </w:rPr>
              <w:t>کتاب الطلاق</w:t>
            </w:r>
            <w:r>
              <w:rPr>
                <w:rStyle w:val="IndexLink"/>
                <w:rtl w:val="true"/>
              </w:rPr>
              <w:tab/>
            </w:r>
            <w:r>
              <w:rPr>
                <w:rStyle w:val="IndexLink"/>
              </w:rPr>
              <w:t>280</w:t>
            </w:r>
          </w:hyperlink>
        </w:p>
        <w:p>
          <w:pPr>
            <w:pStyle w:val="Contents3"/>
            <w:tabs>
              <w:tab w:val="clear" w:pos="8459"/>
              <w:tab w:val="right" w:pos="9026" w:leader="dot"/>
            </w:tabs>
            <w:rPr/>
          </w:pPr>
          <w:hyperlink w:anchor="__RefHeading___Toc1265532_653776707">
            <w:r>
              <w:rPr>
                <w:webHidden/>
                <w:rStyle w:val="IndexLink"/>
                <w:rtl w:val="true"/>
              </w:rPr>
              <w:t>کتاب الطلاق</w:t>
            </w:r>
            <w:r>
              <w:rPr>
                <w:rStyle w:val="IndexLink"/>
                <w:rtl w:val="true"/>
              </w:rPr>
              <w:tab/>
            </w:r>
            <w:r>
              <w:rPr>
                <w:rStyle w:val="IndexLink"/>
              </w:rPr>
              <w:t>280</w:t>
            </w:r>
          </w:hyperlink>
        </w:p>
        <w:p>
          <w:pPr>
            <w:pStyle w:val="Contents4"/>
            <w:tabs>
              <w:tab w:val="clear" w:pos="8176"/>
              <w:tab w:val="right" w:pos="9026" w:leader="dot"/>
            </w:tabs>
            <w:rPr/>
          </w:pPr>
          <w:hyperlink w:anchor="__RefHeading___Toc1265534_653776707">
            <w:r>
              <w:rPr>
                <w:webHidden/>
                <w:rStyle w:val="IndexLink"/>
                <w:rtl w:val="true"/>
              </w:rPr>
              <w:t>اشارة</w:t>
            </w:r>
            <w:r>
              <w:rPr>
                <w:rStyle w:val="IndexLink"/>
                <w:rtl w:val="true"/>
              </w:rPr>
              <w:tab/>
            </w:r>
            <w:r>
              <w:rPr>
                <w:rStyle w:val="IndexLink"/>
              </w:rPr>
              <w:t>280</w:t>
            </w:r>
          </w:hyperlink>
        </w:p>
        <w:p>
          <w:pPr>
            <w:pStyle w:val="Contents4"/>
            <w:tabs>
              <w:tab w:val="clear" w:pos="8176"/>
              <w:tab w:val="right" w:pos="9026" w:leader="dot"/>
            </w:tabs>
            <w:rPr/>
          </w:pPr>
          <w:hyperlink w:anchor="__RefHeading___Toc1265536_653776707">
            <w:r>
              <w:rPr>
                <w:webHidden/>
                <w:rStyle w:val="IndexLink"/>
                <w:rtl w:val="true"/>
              </w:rPr>
              <w:t>فی شروطه</w:t>
            </w:r>
            <w:r>
              <w:rPr>
                <w:rStyle w:val="IndexLink"/>
                <w:rtl w:val="true"/>
              </w:rPr>
              <w:tab/>
            </w:r>
            <w:r>
              <w:rPr>
                <w:rStyle w:val="IndexLink"/>
              </w:rPr>
              <w:t>280</w:t>
            </w:r>
          </w:hyperlink>
        </w:p>
        <w:p>
          <w:pPr>
            <w:pStyle w:val="Contents4"/>
            <w:tabs>
              <w:tab w:val="clear" w:pos="8176"/>
              <w:tab w:val="right" w:pos="9026" w:leader="dot"/>
            </w:tabs>
            <w:rPr/>
          </w:pPr>
          <w:hyperlink w:anchor="__RefHeading___Toc1265538_653776707">
            <w:r>
              <w:rPr>
                <w:webHidden/>
                <w:rStyle w:val="IndexLink"/>
                <w:rtl w:val="true"/>
              </w:rPr>
              <w:t>فی أقسام الطلاق</w:t>
            </w:r>
            <w:r>
              <w:rPr>
                <w:rStyle w:val="IndexLink"/>
                <w:rtl w:val="true"/>
              </w:rPr>
              <w:tab/>
            </w:r>
            <w:r>
              <w:rPr>
                <w:rStyle w:val="IndexLink"/>
              </w:rPr>
              <w:t>281</w:t>
            </w:r>
          </w:hyperlink>
        </w:p>
        <w:p>
          <w:pPr>
            <w:pStyle w:val="Contents3"/>
            <w:tabs>
              <w:tab w:val="clear" w:pos="8459"/>
              <w:tab w:val="right" w:pos="9026" w:leader="dot"/>
            </w:tabs>
            <w:rPr/>
          </w:pPr>
          <w:hyperlink w:anchor="__RefHeading___Toc1265540_653776707">
            <w:r>
              <w:rPr>
                <w:webHidden/>
                <w:rStyle w:val="IndexLink"/>
                <w:rtl w:val="true"/>
              </w:rPr>
              <w:t>فی العدّة</w:t>
            </w:r>
            <w:r>
              <w:rPr>
                <w:rStyle w:val="IndexLink"/>
                <w:rtl w:val="true"/>
              </w:rPr>
              <w:tab/>
            </w:r>
            <w:r>
              <w:rPr>
                <w:rStyle w:val="IndexLink"/>
              </w:rPr>
              <w:t>282</w:t>
            </w:r>
          </w:hyperlink>
        </w:p>
        <w:p>
          <w:pPr>
            <w:pStyle w:val="Contents4"/>
            <w:tabs>
              <w:tab w:val="clear" w:pos="8176"/>
              <w:tab w:val="right" w:pos="9026" w:leader="dot"/>
            </w:tabs>
            <w:rPr/>
          </w:pPr>
          <w:hyperlink w:anchor="__RefHeading___Toc1265542_653776707">
            <w:r>
              <w:rPr>
                <w:webHidden/>
                <w:rStyle w:val="IndexLink"/>
                <w:rtl w:val="true"/>
              </w:rPr>
              <w:t>اشارة</w:t>
            </w:r>
            <w:r>
              <w:rPr>
                <w:rStyle w:val="IndexLink"/>
                <w:rtl w:val="true"/>
              </w:rPr>
              <w:tab/>
            </w:r>
            <w:r>
              <w:rPr>
                <w:rStyle w:val="IndexLink"/>
              </w:rPr>
              <w:t>282</w:t>
            </w:r>
          </w:hyperlink>
        </w:p>
        <w:p>
          <w:pPr>
            <w:pStyle w:val="Contents4"/>
            <w:tabs>
              <w:tab w:val="clear" w:pos="8176"/>
              <w:tab w:val="right" w:pos="9026" w:leader="dot"/>
            </w:tabs>
            <w:rPr/>
          </w:pPr>
          <w:hyperlink w:anchor="__RefHeading___Toc1265544_653776707">
            <w:r>
              <w:rPr>
                <w:webHidden/>
                <w:rStyle w:val="IndexLink"/>
                <w:rtl w:val="true"/>
              </w:rPr>
              <w:t>فی عدّة الفراق</w:t>
            </w:r>
            <w:r>
              <w:rPr>
                <w:rStyle w:val="IndexLink"/>
                <w:rtl w:val="true"/>
              </w:rPr>
              <w:t>:</w:t>
              <w:tab/>
            </w:r>
            <w:r>
              <w:rPr>
                <w:rStyle w:val="IndexLink"/>
              </w:rPr>
              <w:t>282</w:t>
            </w:r>
          </w:hyperlink>
        </w:p>
        <w:p>
          <w:pPr>
            <w:pStyle w:val="Contents4"/>
            <w:tabs>
              <w:tab w:val="clear" w:pos="8176"/>
              <w:tab w:val="right" w:pos="9026" w:leader="dot"/>
            </w:tabs>
            <w:rPr/>
          </w:pPr>
          <w:hyperlink w:anchor="__RefHeading___Toc1265546_653776707">
            <w:r>
              <w:rPr>
                <w:webHidden/>
                <w:rStyle w:val="IndexLink"/>
                <w:rtl w:val="true"/>
              </w:rPr>
              <w:t>فی عدّة الوفاة والشّبهة</w:t>
            </w:r>
            <w:r>
              <w:rPr>
                <w:rStyle w:val="IndexLink"/>
                <w:rtl w:val="true"/>
              </w:rPr>
              <w:tab/>
            </w:r>
            <w:r>
              <w:rPr>
                <w:rStyle w:val="IndexLink"/>
              </w:rPr>
              <w:t>283</w:t>
            </w:r>
          </w:hyperlink>
        </w:p>
        <w:p>
          <w:pPr>
            <w:pStyle w:val="Contents4"/>
            <w:tabs>
              <w:tab w:val="clear" w:pos="8176"/>
              <w:tab w:val="right" w:pos="9026" w:leader="dot"/>
            </w:tabs>
            <w:rPr/>
          </w:pPr>
          <w:hyperlink w:anchor="__RefHeading___Toc1265548_653776707">
            <w:r>
              <w:rPr>
                <w:webHidden/>
                <w:rStyle w:val="IndexLink"/>
                <w:rtl w:val="true"/>
              </w:rPr>
              <w:t>تنبیه</w:t>
            </w:r>
            <w:r>
              <w:rPr>
                <w:rStyle w:val="IndexLink"/>
                <w:rtl w:val="true"/>
              </w:rPr>
              <w:tab/>
            </w:r>
            <w:r>
              <w:rPr>
                <w:rStyle w:val="IndexLink"/>
              </w:rPr>
              <w:t>284</w:t>
            </w:r>
          </w:hyperlink>
        </w:p>
        <w:p>
          <w:pPr>
            <w:pStyle w:val="Contents4"/>
            <w:tabs>
              <w:tab w:val="clear" w:pos="8176"/>
              <w:tab w:val="right" w:pos="9026" w:leader="dot"/>
            </w:tabs>
            <w:rPr/>
          </w:pPr>
          <w:hyperlink w:anchor="__RefHeading___Toc1265550_653776707">
            <w:r>
              <w:rPr>
                <w:webHidden/>
                <w:rStyle w:val="IndexLink"/>
                <w:rtl w:val="true"/>
              </w:rPr>
              <w:t>فی الرجعة</w:t>
            </w:r>
            <w:r>
              <w:rPr>
                <w:rStyle w:val="IndexLink"/>
                <w:rtl w:val="true"/>
              </w:rPr>
              <w:tab/>
            </w:r>
            <w:r>
              <w:rPr>
                <w:rStyle w:val="IndexLink"/>
              </w:rPr>
              <w:t>285</w:t>
            </w:r>
          </w:hyperlink>
        </w:p>
        <w:p>
          <w:pPr>
            <w:pStyle w:val="Contents4"/>
            <w:tabs>
              <w:tab w:val="clear" w:pos="8176"/>
              <w:tab w:val="right" w:pos="9026" w:leader="dot"/>
            </w:tabs>
            <w:rPr/>
          </w:pPr>
          <w:hyperlink w:anchor="__RefHeading___Toc1265552_653776707">
            <w:r>
              <w:rPr>
                <w:webHidden/>
                <w:rStyle w:val="IndexLink"/>
                <w:rtl w:val="true"/>
              </w:rPr>
              <w:t>فی الخلع والمبارات</w:t>
            </w:r>
            <w:r>
              <w:rPr>
                <w:rStyle w:val="IndexLink"/>
                <w:rtl w:val="true"/>
              </w:rPr>
              <w:tab/>
            </w:r>
            <w:r>
              <w:rPr>
                <w:rStyle w:val="IndexLink"/>
              </w:rPr>
              <w:t>285</w:t>
            </w:r>
          </w:hyperlink>
        </w:p>
        <w:p>
          <w:pPr>
            <w:pStyle w:val="Contents2"/>
            <w:tabs>
              <w:tab w:val="clear" w:pos="8743"/>
              <w:tab w:val="right" w:pos="9026" w:leader="dot"/>
            </w:tabs>
            <w:rPr/>
          </w:pPr>
          <w:hyperlink w:anchor="__RefHeading___Toc1265554_653776707">
            <w:r>
              <w:rPr>
                <w:webHidden/>
                <w:rStyle w:val="IndexLink"/>
                <w:rtl w:val="true"/>
              </w:rPr>
              <w:t>کتاب المواریث</w:t>
            </w:r>
            <w:r>
              <w:rPr>
                <w:rStyle w:val="IndexLink"/>
                <w:rtl w:val="true"/>
              </w:rPr>
              <w:tab/>
            </w:r>
            <w:r>
              <w:rPr>
                <w:rStyle w:val="IndexLink"/>
              </w:rPr>
              <w:t>288</w:t>
            </w:r>
          </w:hyperlink>
        </w:p>
        <w:p>
          <w:pPr>
            <w:pStyle w:val="Contents3"/>
            <w:tabs>
              <w:tab w:val="clear" w:pos="8459"/>
              <w:tab w:val="right" w:pos="9026" w:leader="dot"/>
            </w:tabs>
            <w:rPr/>
          </w:pPr>
          <w:hyperlink w:anchor="__RefHeading___Toc1265556_653776707">
            <w:r>
              <w:rPr>
                <w:webHidden/>
                <w:rStyle w:val="IndexLink"/>
                <w:rtl w:val="true"/>
              </w:rPr>
              <w:t>اشارة</w:t>
            </w:r>
            <w:r>
              <w:rPr>
                <w:rStyle w:val="IndexLink"/>
                <w:rtl w:val="true"/>
              </w:rPr>
              <w:tab/>
            </w:r>
            <w:r>
              <w:rPr>
                <w:rStyle w:val="IndexLink"/>
              </w:rPr>
              <w:t>288</w:t>
            </w:r>
          </w:hyperlink>
        </w:p>
        <w:p>
          <w:pPr>
            <w:pStyle w:val="Contents3"/>
            <w:tabs>
              <w:tab w:val="clear" w:pos="8459"/>
              <w:tab w:val="right" w:pos="9026" w:leader="dot"/>
            </w:tabs>
            <w:rPr/>
          </w:pPr>
          <w:hyperlink w:anchor="__RefHeading___Toc1265558_653776707">
            <w:r>
              <w:rPr>
                <w:webHidden/>
                <w:rStyle w:val="IndexLink"/>
                <w:rtl w:val="true"/>
              </w:rPr>
              <w:t>الأوّل</w:t>
            </w:r>
            <w:r>
              <w:rPr>
                <w:rStyle w:val="IndexLink"/>
                <w:rtl w:val="true"/>
              </w:rPr>
              <w:t xml:space="preserve">: </w:t>
            </w:r>
            <w:r>
              <w:rPr>
                <w:rStyle w:val="IndexLink"/>
                <w:rtl w:val="true"/>
              </w:rPr>
              <w:t>فی موجبات الإرث</w:t>
            </w:r>
            <w:r>
              <w:rPr>
                <w:rStyle w:val="IndexLink"/>
                <w:rtl w:val="true"/>
              </w:rPr>
              <w:tab/>
            </w:r>
            <w:r>
              <w:rPr>
                <w:rStyle w:val="IndexLink"/>
              </w:rPr>
              <w:t>288</w:t>
            </w:r>
          </w:hyperlink>
        </w:p>
        <w:p>
          <w:pPr>
            <w:pStyle w:val="Contents3"/>
            <w:tabs>
              <w:tab w:val="clear" w:pos="8459"/>
              <w:tab w:val="right" w:pos="9026" w:leader="dot"/>
            </w:tabs>
            <w:rPr/>
          </w:pPr>
          <w:hyperlink w:anchor="__RefHeading___Toc1265560_653776707">
            <w:r>
              <w:rPr>
                <w:webHidden/>
                <w:rStyle w:val="IndexLink"/>
                <w:rtl w:val="true"/>
              </w:rPr>
              <w:t>الأمر الثانی</w:t>
            </w:r>
            <w:r>
              <w:rPr>
                <w:rStyle w:val="IndexLink"/>
                <w:rtl w:val="true"/>
              </w:rPr>
              <w:t xml:space="preserve">: </w:t>
            </w:r>
            <w:r>
              <w:rPr>
                <w:rStyle w:val="IndexLink"/>
                <w:rtl w:val="true"/>
              </w:rPr>
              <w:t>فی موانع الإرث</w:t>
            </w:r>
            <w:r>
              <w:rPr>
                <w:rStyle w:val="IndexLink"/>
                <w:rtl w:val="true"/>
              </w:rPr>
              <w:tab/>
            </w:r>
            <w:r>
              <w:rPr>
                <w:rStyle w:val="IndexLink"/>
              </w:rPr>
              <w:t>288</w:t>
            </w:r>
          </w:hyperlink>
        </w:p>
        <w:p>
          <w:pPr>
            <w:pStyle w:val="Contents4"/>
            <w:tabs>
              <w:tab w:val="clear" w:pos="8176"/>
              <w:tab w:val="right" w:pos="9026" w:leader="dot"/>
            </w:tabs>
            <w:rPr/>
          </w:pPr>
          <w:hyperlink w:anchor="__RefHeading___Toc1265562_653776707">
            <w:r>
              <w:rPr>
                <w:webHidden/>
                <w:rStyle w:val="IndexLink"/>
                <w:rtl w:val="true"/>
              </w:rPr>
              <w:t>اشارة</w:t>
            </w:r>
            <w:r>
              <w:rPr>
                <w:rStyle w:val="IndexLink"/>
                <w:rtl w:val="true"/>
              </w:rPr>
              <w:tab/>
            </w:r>
            <w:r>
              <w:rPr>
                <w:rStyle w:val="IndexLink"/>
              </w:rPr>
              <w:t>288</w:t>
            </w:r>
          </w:hyperlink>
        </w:p>
        <w:p>
          <w:pPr>
            <w:pStyle w:val="Contents4"/>
            <w:tabs>
              <w:tab w:val="clear" w:pos="8176"/>
              <w:tab w:val="right" w:pos="9026" w:leader="dot"/>
            </w:tabs>
            <w:rPr/>
          </w:pPr>
          <w:hyperlink w:anchor="__RefHeading___Toc1265564_653776707">
            <w:r>
              <w:rPr>
                <w:webHidden/>
                <w:rStyle w:val="IndexLink"/>
                <w:rtl w:val="true"/>
              </w:rPr>
              <w:t>الأوّل</w:t>
            </w:r>
            <w:r>
              <w:rPr>
                <w:rStyle w:val="IndexLink"/>
                <w:rtl w:val="true"/>
              </w:rPr>
              <w:t xml:space="preserve">: </w:t>
            </w:r>
            <w:r>
              <w:rPr>
                <w:rStyle w:val="IndexLink"/>
                <w:rtl w:val="true"/>
              </w:rPr>
              <w:t>الکفر</w:t>
            </w:r>
            <w:r>
              <w:rPr>
                <w:rStyle w:val="IndexLink"/>
                <w:rtl w:val="true"/>
              </w:rPr>
              <w:tab/>
            </w:r>
            <w:r>
              <w:rPr>
                <w:rStyle w:val="IndexLink"/>
              </w:rPr>
              <w:t>288</w:t>
            </w:r>
          </w:hyperlink>
        </w:p>
        <w:p>
          <w:pPr>
            <w:pStyle w:val="Contents4"/>
            <w:tabs>
              <w:tab w:val="clear" w:pos="8176"/>
              <w:tab w:val="right" w:pos="9026" w:leader="dot"/>
            </w:tabs>
            <w:rPr/>
          </w:pPr>
          <w:hyperlink w:anchor="__RefHeading___Toc1265566_653776707">
            <w:r>
              <w:rPr>
                <w:webHidden/>
                <w:rStyle w:val="IndexLink"/>
                <w:rtl w:val="true"/>
              </w:rPr>
              <w:t>الثانی</w:t>
            </w:r>
            <w:r>
              <w:rPr>
                <w:rStyle w:val="IndexLink"/>
                <w:rtl w:val="true"/>
              </w:rPr>
              <w:t xml:space="preserve">: </w:t>
            </w:r>
            <w:r>
              <w:rPr>
                <w:rStyle w:val="IndexLink"/>
                <w:rtl w:val="true"/>
              </w:rPr>
              <w:t>القتل</w:t>
            </w:r>
            <w:r>
              <w:rPr>
                <w:rStyle w:val="IndexLink"/>
                <w:rtl w:val="true"/>
              </w:rPr>
              <w:tab/>
            </w:r>
            <w:r>
              <w:rPr>
                <w:rStyle w:val="IndexLink"/>
              </w:rPr>
              <w:t>290</w:t>
            </w:r>
          </w:hyperlink>
        </w:p>
        <w:p>
          <w:pPr>
            <w:pStyle w:val="Contents4"/>
            <w:tabs>
              <w:tab w:val="clear" w:pos="8176"/>
              <w:tab w:val="right" w:pos="9026" w:leader="dot"/>
            </w:tabs>
            <w:rPr/>
          </w:pPr>
          <w:hyperlink w:anchor="__RefHeading___Toc1265568_653776707">
            <w:r>
              <w:rPr>
                <w:webHidden/>
                <w:rStyle w:val="IndexLink"/>
                <w:rtl w:val="true"/>
              </w:rPr>
              <w:t>الثالث</w:t>
            </w:r>
            <w:r>
              <w:rPr>
                <w:rStyle w:val="IndexLink"/>
                <w:rtl w:val="true"/>
              </w:rPr>
              <w:t xml:space="preserve">: </w:t>
            </w:r>
            <w:r>
              <w:rPr>
                <w:rStyle w:val="IndexLink"/>
                <w:rtl w:val="true"/>
              </w:rPr>
              <w:t>التولّد من الزنا</w:t>
            </w:r>
            <w:r>
              <w:rPr>
                <w:rStyle w:val="IndexLink"/>
                <w:rtl w:val="true"/>
              </w:rPr>
              <w:tab/>
            </w:r>
            <w:r>
              <w:rPr>
                <w:rStyle w:val="IndexLink"/>
              </w:rPr>
              <w:t>291</w:t>
            </w:r>
          </w:hyperlink>
        </w:p>
        <w:p>
          <w:pPr>
            <w:pStyle w:val="Contents3"/>
            <w:tabs>
              <w:tab w:val="clear" w:pos="8459"/>
              <w:tab w:val="right" w:pos="9026" w:leader="dot"/>
            </w:tabs>
            <w:rPr/>
          </w:pPr>
          <w:hyperlink w:anchor="__RefHeading___Toc1265570_653776707">
            <w:r>
              <w:rPr>
                <w:webHidden/>
                <w:rStyle w:val="IndexLink"/>
                <w:rtl w:val="true"/>
              </w:rPr>
              <w:t>الأمر الثالث</w:t>
            </w:r>
            <w:r>
              <w:rPr>
                <w:rStyle w:val="IndexLink"/>
                <w:rtl w:val="true"/>
              </w:rPr>
              <w:t xml:space="preserve">: </w:t>
            </w:r>
            <w:r>
              <w:rPr>
                <w:rStyle w:val="IndexLink"/>
                <w:rtl w:val="true"/>
              </w:rPr>
              <w:t>فی السهام</w:t>
            </w:r>
            <w:r>
              <w:rPr>
                <w:rStyle w:val="IndexLink"/>
                <w:rtl w:val="true"/>
              </w:rPr>
              <w:tab/>
            </w:r>
            <w:r>
              <w:rPr>
                <w:rStyle w:val="IndexLink"/>
              </w:rPr>
              <w:t>292</w:t>
            </w:r>
          </w:hyperlink>
        </w:p>
        <w:p>
          <w:pPr>
            <w:pStyle w:val="Contents4"/>
            <w:tabs>
              <w:tab w:val="clear" w:pos="8176"/>
              <w:tab w:val="right" w:pos="9026" w:leader="dot"/>
            </w:tabs>
            <w:rPr/>
          </w:pPr>
          <w:hyperlink w:anchor="__RefHeading___Toc1265572_653776707">
            <w:r>
              <w:rPr>
                <w:webHidden/>
                <w:rStyle w:val="IndexLink"/>
                <w:rtl w:val="true"/>
              </w:rPr>
              <w:t>اشارة</w:t>
            </w:r>
            <w:r>
              <w:rPr>
                <w:rStyle w:val="IndexLink"/>
                <w:rtl w:val="true"/>
              </w:rPr>
              <w:tab/>
            </w:r>
            <w:r>
              <w:rPr>
                <w:rStyle w:val="IndexLink"/>
              </w:rPr>
              <w:t>292</w:t>
            </w:r>
          </w:hyperlink>
        </w:p>
        <w:p>
          <w:pPr>
            <w:pStyle w:val="Contents4"/>
            <w:tabs>
              <w:tab w:val="clear" w:pos="8176"/>
              <w:tab w:val="right" w:pos="9026" w:leader="dot"/>
            </w:tabs>
            <w:rPr/>
          </w:pPr>
          <w:hyperlink w:anchor="__RefHeading___Toc1265574_653776707">
            <w:r>
              <w:rPr>
                <w:webHidden/>
                <w:rStyle w:val="IndexLink"/>
                <w:rtl w:val="true"/>
              </w:rPr>
              <w:t>التعصیب والعول باطلان</w:t>
            </w:r>
            <w:r>
              <w:rPr>
                <w:rStyle w:val="IndexLink"/>
                <w:rtl w:val="true"/>
              </w:rPr>
              <w:tab/>
            </w:r>
            <w:r>
              <w:rPr>
                <w:rStyle w:val="IndexLink"/>
              </w:rPr>
              <w:t>293</w:t>
            </w:r>
          </w:hyperlink>
        </w:p>
        <w:p>
          <w:pPr>
            <w:pStyle w:val="Contents3"/>
            <w:tabs>
              <w:tab w:val="clear" w:pos="8459"/>
              <w:tab w:val="right" w:pos="9026" w:leader="dot"/>
            </w:tabs>
            <w:rPr/>
          </w:pPr>
          <w:hyperlink w:anchor="__RefHeading___Toc1265576_653776707">
            <w:r>
              <w:rPr>
                <w:webHidden/>
                <w:rStyle w:val="IndexLink"/>
                <w:rtl w:val="true"/>
              </w:rPr>
              <w:t>المقصد الأوّل</w:t>
            </w:r>
            <w:r>
              <w:rPr>
                <w:rStyle w:val="IndexLink"/>
                <w:rtl w:val="true"/>
              </w:rPr>
              <w:t xml:space="preserve">: </w:t>
            </w:r>
            <w:r>
              <w:rPr>
                <w:rStyle w:val="IndexLink"/>
                <w:rtl w:val="true"/>
              </w:rPr>
              <w:t>فی میراث الأنساب</w:t>
            </w:r>
            <w:r>
              <w:rPr>
                <w:rStyle w:val="IndexLink"/>
                <w:rtl w:val="true"/>
              </w:rPr>
              <w:tab/>
            </w:r>
            <w:r>
              <w:rPr>
                <w:rStyle w:val="IndexLink"/>
              </w:rPr>
              <w:t>294</w:t>
            </w:r>
          </w:hyperlink>
        </w:p>
        <w:p>
          <w:pPr>
            <w:pStyle w:val="Contents4"/>
            <w:tabs>
              <w:tab w:val="clear" w:pos="8176"/>
              <w:tab w:val="right" w:pos="9026" w:leader="dot"/>
            </w:tabs>
            <w:rPr/>
          </w:pPr>
          <w:hyperlink w:anchor="__RefHeading___Toc1265578_653776707">
            <w:r>
              <w:rPr>
                <w:webHidden/>
                <w:rStyle w:val="IndexLink"/>
                <w:rtl w:val="true"/>
              </w:rPr>
              <w:t>اشارة</w:t>
            </w:r>
            <w:r>
              <w:rPr>
                <w:rStyle w:val="IndexLink"/>
                <w:rtl w:val="true"/>
              </w:rPr>
              <w:tab/>
            </w:r>
            <w:r>
              <w:rPr>
                <w:rStyle w:val="IndexLink"/>
              </w:rPr>
              <w:t>294</w:t>
            </w:r>
          </w:hyperlink>
        </w:p>
        <w:p>
          <w:pPr>
            <w:pStyle w:val="Contents4"/>
            <w:tabs>
              <w:tab w:val="clear" w:pos="8176"/>
              <w:tab w:val="right" w:pos="9026" w:leader="dot"/>
            </w:tabs>
            <w:rPr/>
          </w:pPr>
          <w:hyperlink w:anchor="__RefHeading___Toc1265580_653776707">
            <w:r>
              <w:rPr>
                <w:webHidden/>
                <w:rStyle w:val="IndexLink"/>
                <w:rtl w:val="true"/>
              </w:rPr>
              <w:t>الاُولی</w:t>
            </w:r>
            <w:r>
              <w:rPr>
                <w:rStyle w:val="IndexLink"/>
                <w:rtl w:val="true"/>
              </w:rPr>
              <w:t>:</w:t>
              <w:tab/>
            </w:r>
            <w:r>
              <w:rPr>
                <w:rStyle w:val="IndexLink"/>
              </w:rPr>
              <w:t>294</w:t>
            </w:r>
          </w:hyperlink>
        </w:p>
        <w:p>
          <w:pPr>
            <w:pStyle w:val="Contents5"/>
            <w:tabs>
              <w:tab w:val="clear" w:pos="7892"/>
              <w:tab w:val="right" w:pos="9026" w:leader="dot"/>
            </w:tabs>
            <w:rPr/>
          </w:pPr>
          <w:hyperlink w:anchor="__RefHeading___Toc1265582_653776707">
            <w:r>
              <w:rPr>
                <w:webHidden/>
                <w:rStyle w:val="IndexLink"/>
                <w:rtl w:val="true"/>
              </w:rPr>
              <w:t>اشارة</w:t>
            </w:r>
            <w:r>
              <w:rPr>
                <w:rStyle w:val="IndexLink"/>
                <w:rtl w:val="true"/>
              </w:rPr>
              <w:tab/>
            </w:r>
            <w:r>
              <w:rPr>
                <w:rStyle w:val="IndexLink"/>
              </w:rPr>
              <w:t>294</w:t>
            </w:r>
          </w:hyperlink>
        </w:p>
        <w:p>
          <w:pPr>
            <w:pStyle w:val="Contents5"/>
            <w:tabs>
              <w:tab w:val="clear" w:pos="7892"/>
              <w:tab w:val="right" w:pos="9026" w:leader="dot"/>
            </w:tabs>
            <w:rPr/>
          </w:pPr>
          <w:hyperlink w:anchor="__RefHeading___Toc1265584_653776707">
            <w:r>
              <w:rPr>
                <w:webHidden/>
                <w:rStyle w:val="IndexLink"/>
                <w:rtl w:val="true"/>
              </w:rPr>
              <w:t>وهنا اُمور</w:t>
            </w:r>
            <w:r>
              <w:rPr>
                <w:rStyle w:val="IndexLink"/>
                <w:rtl w:val="true"/>
              </w:rPr>
              <w:t>:</w:t>
              <w:tab/>
            </w:r>
            <w:r>
              <w:rPr>
                <w:rStyle w:val="IndexLink"/>
              </w:rPr>
              <w:t>296</w:t>
            </w:r>
          </w:hyperlink>
        </w:p>
        <w:p>
          <w:pPr>
            <w:pStyle w:val="Contents4"/>
            <w:tabs>
              <w:tab w:val="clear" w:pos="8176"/>
              <w:tab w:val="right" w:pos="9026" w:leader="dot"/>
            </w:tabs>
            <w:rPr/>
          </w:pPr>
          <w:hyperlink w:anchor="__RefHeading___Toc1265586_653776707">
            <w:r>
              <w:rPr>
                <w:webHidden/>
                <w:rStyle w:val="IndexLink"/>
                <w:rtl w:val="true"/>
              </w:rPr>
              <w:t>المرتبة الثانیة</w:t>
            </w:r>
            <w:r>
              <w:rPr>
                <w:rStyle w:val="IndexLink"/>
                <w:rtl w:val="true"/>
              </w:rPr>
              <w:tab/>
            </w:r>
            <w:r>
              <w:rPr>
                <w:rStyle w:val="IndexLink"/>
              </w:rPr>
              <w:t>297</w:t>
            </w:r>
          </w:hyperlink>
        </w:p>
        <w:p>
          <w:pPr>
            <w:pStyle w:val="Contents5"/>
            <w:tabs>
              <w:tab w:val="clear" w:pos="7892"/>
              <w:tab w:val="right" w:pos="9026" w:leader="dot"/>
            </w:tabs>
            <w:rPr/>
          </w:pPr>
          <w:hyperlink w:anchor="__RefHeading___Toc1265588_653776707">
            <w:r>
              <w:rPr>
                <w:webHidden/>
                <w:rStyle w:val="IndexLink"/>
                <w:rtl w:val="true"/>
              </w:rPr>
              <w:t>اشارة</w:t>
            </w:r>
            <w:r>
              <w:rPr>
                <w:rStyle w:val="IndexLink"/>
                <w:rtl w:val="true"/>
              </w:rPr>
              <w:tab/>
            </w:r>
            <w:r>
              <w:rPr>
                <w:rStyle w:val="IndexLink"/>
              </w:rPr>
              <w:t>297</w:t>
            </w:r>
          </w:hyperlink>
        </w:p>
        <w:p>
          <w:pPr>
            <w:pStyle w:val="Contents5"/>
            <w:tabs>
              <w:tab w:val="clear" w:pos="7892"/>
              <w:tab w:val="right" w:pos="9026" w:leader="dot"/>
            </w:tabs>
            <w:rPr/>
          </w:pPr>
          <w:hyperlink w:anchor="__RefHeading___Toc1265590_653776707">
            <w:r>
              <w:rPr>
                <w:webHidden/>
                <w:rStyle w:val="IndexLink"/>
                <w:rtl w:val="true"/>
              </w:rPr>
              <w:t>وهنا اُمور</w:t>
            </w:r>
            <w:r>
              <w:rPr>
                <w:rStyle w:val="IndexLink"/>
                <w:rtl w:val="true"/>
              </w:rPr>
              <w:t>:</w:t>
              <w:tab/>
            </w:r>
            <w:r>
              <w:rPr>
                <w:rStyle w:val="IndexLink"/>
              </w:rPr>
              <w:t>298</w:t>
            </w:r>
          </w:hyperlink>
        </w:p>
        <w:p>
          <w:pPr>
            <w:pStyle w:val="Contents4"/>
            <w:tabs>
              <w:tab w:val="clear" w:pos="8176"/>
              <w:tab w:val="right" w:pos="9026" w:leader="dot"/>
            </w:tabs>
            <w:rPr/>
          </w:pPr>
          <w:hyperlink w:anchor="__RefHeading___Toc1265592_653776707">
            <w:r>
              <w:rPr>
                <w:webHidden/>
                <w:rStyle w:val="IndexLink"/>
                <w:rtl w:val="true"/>
              </w:rPr>
              <w:t>المرتبة الثالثة</w:t>
            </w:r>
            <w:r>
              <w:rPr>
                <w:rStyle w:val="IndexLink"/>
                <w:rtl w:val="true"/>
              </w:rPr>
              <w:tab/>
            </w:r>
            <w:r>
              <w:rPr>
                <w:rStyle w:val="IndexLink"/>
              </w:rPr>
              <w:t>299</w:t>
            </w:r>
          </w:hyperlink>
        </w:p>
        <w:p>
          <w:pPr>
            <w:pStyle w:val="Contents5"/>
            <w:tabs>
              <w:tab w:val="clear" w:pos="7892"/>
              <w:tab w:val="right" w:pos="9026" w:leader="dot"/>
            </w:tabs>
            <w:rPr/>
          </w:pPr>
          <w:hyperlink w:anchor="__RefHeading___Toc1265594_653776707">
            <w:r>
              <w:rPr>
                <w:webHidden/>
                <w:rStyle w:val="IndexLink"/>
                <w:rtl w:val="true"/>
              </w:rPr>
              <w:t>اشارة</w:t>
            </w:r>
            <w:r>
              <w:rPr>
                <w:rStyle w:val="IndexLink"/>
                <w:rtl w:val="true"/>
              </w:rPr>
              <w:tab/>
            </w:r>
            <w:r>
              <w:rPr>
                <w:rStyle w:val="IndexLink"/>
              </w:rPr>
              <w:t>299</w:t>
            </w:r>
          </w:hyperlink>
        </w:p>
        <w:p>
          <w:pPr>
            <w:pStyle w:val="Contents5"/>
            <w:tabs>
              <w:tab w:val="clear" w:pos="7892"/>
              <w:tab w:val="right" w:pos="9026" w:leader="dot"/>
            </w:tabs>
            <w:rPr/>
          </w:pPr>
          <w:hyperlink w:anchor="__RefHeading___Toc1265596_653776707">
            <w:r>
              <w:rPr>
                <w:webHidden/>
                <w:rStyle w:val="IndexLink"/>
                <w:rtl w:val="true"/>
              </w:rPr>
              <w:t>وهنا اُمور</w:t>
            </w:r>
            <w:r>
              <w:rPr>
                <w:rStyle w:val="IndexLink"/>
                <w:rtl w:val="true"/>
              </w:rPr>
              <w:t>:</w:t>
              <w:tab/>
            </w:r>
            <w:r>
              <w:rPr>
                <w:rStyle w:val="IndexLink"/>
              </w:rPr>
              <w:t>301</w:t>
            </w:r>
          </w:hyperlink>
        </w:p>
        <w:p>
          <w:pPr>
            <w:pStyle w:val="Contents3"/>
            <w:tabs>
              <w:tab w:val="clear" w:pos="8459"/>
              <w:tab w:val="right" w:pos="9026" w:leader="dot"/>
            </w:tabs>
            <w:rPr/>
          </w:pPr>
          <w:hyperlink w:anchor="__RefHeading___Toc1265598_653776707">
            <w:r>
              <w:rPr>
                <w:webHidden/>
                <w:rStyle w:val="IndexLink"/>
                <w:rtl w:val="true"/>
              </w:rPr>
              <w:t>المقصد الثانی</w:t>
            </w:r>
            <w:r>
              <w:rPr>
                <w:rStyle w:val="IndexLink"/>
                <w:rtl w:val="true"/>
              </w:rPr>
              <w:t xml:space="preserve">: </w:t>
            </w:r>
            <w:r>
              <w:rPr>
                <w:rStyle w:val="IndexLink"/>
                <w:rtl w:val="true"/>
              </w:rPr>
              <w:t>فی المیراث بالزوجیّة</w:t>
            </w:r>
            <w:r>
              <w:rPr>
                <w:rStyle w:val="IndexLink"/>
                <w:rtl w:val="true"/>
              </w:rPr>
              <w:tab/>
            </w:r>
            <w:r>
              <w:rPr>
                <w:rStyle w:val="IndexLink"/>
              </w:rPr>
              <w:t>302</w:t>
            </w:r>
          </w:hyperlink>
        </w:p>
        <w:p>
          <w:pPr>
            <w:pStyle w:val="Contents3"/>
            <w:tabs>
              <w:tab w:val="clear" w:pos="8459"/>
              <w:tab w:val="right" w:pos="9026" w:leader="dot"/>
            </w:tabs>
            <w:rPr/>
          </w:pPr>
          <w:hyperlink w:anchor="__RefHeading___Toc1265600_653776707">
            <w:r>
              <w:rPr>
                <w:webHidden/>
                <w:rStyle w:val="IndexLink"/>
                <w:rtl w:val="true"/>
              </w:rPr>
              <w:t>خاتمة فی میراث الغرقی والمهدوم علیهم</w:t>
            </w:r>
            <w:r>
              <w:rPr>
                <w:rStyle w:val="IndexLink"/>
                <w:rtl w:val="true"/>
              </w:rPr>
              <w:tab/>
            </w:r>
            <w:r>
              <w:rPr>
                <w:rStyle w:val="IndexLink"/>
              </w:rPr>
              <w:t>303</w:t>
            </w:r>
          </w:hyperlink>
        </w:p>
        <w:p>
          <w:pPr>
            <w:pStyle w:val="Contents2"/>
            <w:tabs>
              <w:tab w:val="clear" w:pos="8743"/>
              <w:tab w:val="right" w:pos="9026" w:leader="dot"/>
            </w:tabs>
            <w:rPr/>
          </w:pPr>
          <w:hyperlink w:anchor="__RefHeading___Toc1265602_653776707">
            <w:r>
              <w:rPr>
                <w:webHidden/>
                <w:rStyle w:val="IndexLink"/>
                <w:rtl w:val="true"/>
              </w:rPr>
              <w:t>کتاب القضاء</w:t>
            </w:r>
            <w:r>
              <w:rPr>
                <w:rStyle w:val="IndexLink"/>
                <w:rtl w:val="true"/>
              </w:rPr>
              <w:tab/>
            </w:r>
            <w:r>
              <w:rPr>
                <w:rStyle w:val="IndexLink"/>
              </w:rPr>
              <w:t>304</w:t>
            </w:r>
          </w:hyperlink>
        </w:p>
        <w:p>
          <w:pPr>
            <w:pStyle w:val="Contents3"/>
            <w:tabs>
              <w:tab w:val="clear" w:pos="8459"/>
              <w:tab w:val="right" w:pos="9026" w:leader="dot"/>
            </w:tabs>
            <w:rPr/>
          </w:pPr>
          <w:hyperlink w:anchor="__RefHeading___Toc1265604_653776707">
            <w:r>
              <w:rPr>
                <w:webHidden/>
                <w:rStyle w:val="IndexLink"/>
                <w:rtl w:val="true"/>
              </w:rPr>
              <w:t>اشارة</w:t>
            </w:r>
            <w:r>
              <w:rPr>
                <w:rStyle w:val="IndexLink"/>
                <w:rtl w:val="true"/>
              </w:rPr>
              <w:tab/>
            </w:r>
            <w:r>
              <w:rPr>
                <w:rStyle w:val="IndexLink"/>
              </w:rPr>
              <w:t>304</w:t>
            </w:r>
          </w:hyperlink>
        </w:p>
        <w:p>
          <w:pPr>
            <w:pStyle w:val="Contents3"/>
            <w:tabs>
              <w:tab w:val="clear" w:pos="8459"/>
              <w:tab w:val="right" w:pos="9026" w:leader="dot"/>
            </w:tabs>
            <w:rPr/>
          </w:pPr>
          <w:hyperlink w:anchor="__RefHeading___Toc1265606_653776707">
            <w:r>
              <w:rPr>
                <w:webHidden/>
                <w:rStyle w:val="IndexLink"/>
                <w:rtl w:val="true"/>
              </w:rPr>
              <w:t>فی صفات القاضی</w:t>
            </w:r>
            <w:r>
              <w:rPr>
                <w:rStyle w:val="IndexLink"/>
                <w:rtl w:val="true"/>
              </w:rPr>
              <w:tab/>
            </w:r>
            <w:r>
              <w:rPr>
                <w:rStyle w:val="IndexLink"/>
              </w:rPr>
              <w:t>304</w:t>
            </w:r>
          </w:hyperlink>
        </w:p>
        <w:p>
          <w:pPr>
            <w:pStyle w:val="Contents3"/>
            <w:tabs>
              <w:tab w:val="clear" w:pos="8459"/>
              <w:tab w:val="right" w:pos="9026" w:leader="dot"/>
            </w:tabs>
            <w:rPr/>
          </w:pPr>
          <w:hyperlink w:anchor="__RefHeading___Toc1265608_653776707">
            <w:r>
              <w:rPr>
                <w:webHidden/>
                <w:rStyle w:val="IndexLink"/>
                <w:rtl w:val="true"/>
              </w:rPr>
              <w:t>فی وظائف القاضی</w:t>
            </w:r>
            <w:r>
              <w:rPr>
                <w:rStyle w:val="IndexLink"/>
                <w:rtl w:val="true"/>
              </w:rPr>
              <w:tab/>
            </w:r>
            <w:r>
              <w:rPr>
                <w:rStyle w:val="IndexLink"/>
              </w:rPr>
              <w:t>305</w:t>
            </w:r>
          </w:hyperlink>
        </w:p>
        <w:p>
          <w:pPr>
            <w:pStyle w:val="Contents3"/>
            <w:tabs>
              <w:tab w:val="clear" w:pos="8459"/>
              <w:tab w:val="right" w:pos="9026" w:leader="dot"/>
            </w:tabs>
            <w:rPr/>
          </w:pPr>
          <w:hyperlink w:anchor="__RefHeading___Toc1265610_653776707">
            <w:r>
              <w:rPr>
                <w:webHidden/>
                <w:rStyle w:val="IndexLink"/>
                <w:rtl w:val="true"/>
              </w:rPr>
              <w:t>فی شروط سماع الدّعوی</w:t>
            </w:r>
            <w:r>
              <w:rPr>
                <w:rStyle w:val="IndexLink"/>
                <w:rtl w:val="true"/>
              </w:rPr>
              <w:tab/>
            </w:r>
            <w:r>
              <w:rPr>
                <w:rStyle w:val="IndexLink"/>
              </w:rPr>
              <w:t>305</w:t>
            </w:r>
          </w:hyperlink>
        </w:p>
        <w:p>
          <w:pPr>
            <w:pStyle w:val="Contents3"/>
            <w:tabs>
              <w:tab w:val="clear" w:pos="8459"/>
              <w:tab w:val="right" w:pos="9026" w:leader="dot"/>
            </w:tabs>
            <w:rPr/>
          </w:pPr>
          <w:hyperlink w:anchor="__RefHeading___Toc1265612_653776707">
            <w:r>
              <w:rPr>
                <w:webHidden/>
                <w:rStyle w:val="IndexLink"/>
                <w:rtl w:val="true"/>
              </w:rPr>
              <w:t>فی جواب المدّعی علیه</w:t>
            </w:r>
            <w:r>
              <w:rPr>
                <w:rStyle w:val="IndexLink"/>
                <w:rtl w:val="true"/>
              </w:rPr>
              <w:tab/>
            </w:r>
            <w:r>
              <w:rPr>
                <w:rStyle w:val="IndexLink"/>
              </w:rPr>
              <w:t>306</w:t>
            </w:r>
          </w:hyperlink>
        </w:p>
        <w:p>
          <w:pPr>
            <w:pStyle w:val="Contents3"/>
            <w:tabs>
              <w:tab w:val="clear" w:pos="8459"/>
              <w:tab w:val="right" w:pos="9026" w:leader="dot"/>
            </w:tabs>
            <w:rPr/>
          </w:pPr>
          <w:hyperlink w:anchor="__RefHeading___Toc1265614_653776707">
            <w:r>
              <w:rPr>
                <w:webHidden/>
                <w:rStyle w:val="IndexLink"/>
                <w:rtl w:val="true"/>
              </w:rPr>
              <w:t>فی الشاهد والیمین</w:t>
            </w:r>
            <w:r>
              <w:rPr>
                <w:rStyle w:val="IndexLink"/>
                <w:rtl w:val="true"/>
              </w:rPr>
              <w:tab/>
            </w:r>
            <w:r>
              <w:rPr>
                <w:rStyle w:val="IndexLink"/>
              </w:rPr>
              <w:t>307</w:t>
            </w:r>
          </w:hyperlink>
        </w:p>
        <w:p>
          <w:pPr>
            <w:pStyle w:val="Contents3"/>
            <w:tabs>
              <w:tab w:val="clear" w:pos="8459"/>
              <w:tab w:val="right" w:pos="9026" w:leader="dot"/>
            </w:tabs>
            <w:rPr/>
          </w:pPr>
          <w:hyperlink w:anchor="__RefHeading___Toc1265616_653776707">
            <w:r>
              <w:rPr>
                <w:webHidden/>
                <w:rStyle w:val="IndexLink"/>
                <w:rtl w:val="true"/>
              </w:rPr>
              <w:t>فی السکوت</w:t>
            </w:r>
            <w:r>
              <w:rPr>
                <w:rStyle w:val="IndexLink"/>
                <w:rtl w:val="true"/>
              </w:rPr>
              <w:tab/>
            </w:r>
            <w:r>
              <w:rPr>
                <w:rStyle w:val="IndexLink"/>
              </w:rPr>
              <w:t>308</w:t>
            </w:r>
          </w:hyperlink>
        </w:p>
        <w:p>
          <w:pPr>
            <w:pStyle w:val="Contents3"/>
            <w:tabs>
              <w:tab w:val="clear" w:pos="8459"/>
              <w:tab w:val="right" w:pos="9026" w:leader="dot"/>
            </w:tabs>
            <w:rPr/>
          </w:pPr>
          <w:hyperlink w:anchor="__RefHeading___Toc1265618_653776707">
            <w:r>
              <w:rPr>
                <w:webHidden/>
                <w:rStyle w:val="IndexLink"/>
                <w:rtl w:val="true"/>
              </w:rPr>
              <w:t>فی الحلف</w:t>
            </w:r>
            <w:r>
              <w:rPr>
                <w:rStyle w:val="IndexLink"/>
                <w:rtl w:val="true"/>
              </w:rPr>
              <w:tab/>
            </w:r>
            <w:r>
              <w:rPr>
                <w:rStyle w:val="IndexLink"/>
              </w:rPr>
              <w:t>308</w:t>
            </w:r>
          </w:hyperlink>
        </w:p>
        <w:p>
          <w:pPr>
            <w:pStyle w:val="Contents3"/>
            <w:tabs>
              <w:tab w:val="clear" w:pos="8459"/>
              <w:tab w:val="right" w:pos="9026" w:leader="dot"/>
            </w:tabs>
            <w:rPr/>
          </w:pPr>
          <w:hyperlink w:anchor="__RefHeading___Toc1265620_653776707">
            <w:r>
              <w:rPr>
                <w:webHidden/>
                <w:rStyle w:val="IndexLink"/>
                <w:rtl w:val="true"/>
              </w:rPr>
              <w:t>فی أحکام الید</w:t>
            </w:r>
            <w:r>
              <w:rPr>
                <w:rStyle w:val="IndexLink"/>
                <w:rtl w:val="true"/>
              </w:rPr>
              <w:tab/>
            </w:r>
            <w:r>
              <w:rPr>
                <w:rStyle w:val="IndexLink"/>
              </w:rPr>
              <w:t>309</w:t>
            </w:r>
          </w:hyperlink>
        </w:p>
        <w:p>
          <w:pPr>
            <w:pStyle w:val="Contents3"/>
            <w:tabs>
              <w:tab w:val="clear" w:pos="8459"/>
              <w:tab w:val="right" w:pos="9026" w:leader="dot"/>
            </w:tabs>
            <w:rPr/>
          </w:pPr>
          <w:hyperlink w:anchor="__RefHeading___Toc1265622_653776707">
            <w:r>
              <w:rPr>
                <w:webHidden/>
                <w:rStyle w:val="IndexLink"/>
                <w:rtl w:val="true"/>
              </w:rPr>
              <w:t>فی المقاصّة</w:t>
            </w:r>
            <w:r>
              <w:rPr>
                <w:rStyle w:val="IndexLink"/>
                <w:rtl w:val="true"/>
              </w:rPr>
              <w:tab/>
            </w:r>
            <w:r>
              <w:rPr>
                <w:rStyle w:val="IndexLink"/>
              </w:rPr>
              <w:t>309</w:t>
            </w:r>
          </w:hyperlink>
        </w:p>
        <w:p>
          <w:pPr>
            <w:pStyle w:val="Contents2"/>
            <w:tabs>
              <w:tab w:val="clear" w:pos="8743"/>
              <w:tab w:val="right" w:pos="9026" w:leader="dot"/>
            </w:tabs>
            <w:rPr/>
          </w:pPr>
          <w:hyperlink w:anchor="__RefHeading___Toc1265624_653776707">
            <w:r>
              <w:rPr>
                <w:webHidden/>
                <w:rStyle w:val="IndexLink"/>
                <w:rtl w:val="true"/>
              </w:rPr>
              <w:t>کتاب الشهادات</w:t>
            </w:r>
            <w:r>
              <w:rPr>
                <w:rStyle w:val="IndexLink"/>
                <w:rtl w:val="true"/>
              </w:rPr>
              <w:tab/>
            </w:r>
            <w:r>
              <w:rPr>
                <w:rStyle w:val="IndexLink"/>
              </w:rPr>
              <w:t>311</w:t>
            </w:r>
          </w:hyperlink>
        </w:p>
        <w:p>
          <w:pPr>
            <w:pStyle w:val="Contents3"/>
            <w:tabs>
              <w:tab w:val="clear" w:pos="8459"/>
              <w:tab w:val="right" w:pos="9026" w:leader="dot"/>
            </w:tabs>
            <w:rPr/>
          </w:pPr>
          <w:hyperlink w:anchor="__RefHeading___Toc1265626_653776707">
            <w:r>
              <w:rPr>
                <w:webHidden/>
                <w:rStyle w:val="IndexLink"/>
                <w:rtl w:val="true"/>
              </w:rPr>
              <w:t>فی صفات الشهود</w:t>
            </w:r>
            <w:r>
              <w:rPr>
                <w:rStyle w:val="IndexLink"/>
                <w:rtl w:val="true"/>
              </w:rPr>
              <w:tab/>
            </w:r>
            <w:r>
              <w:rPr>
                <w:rStyle w:val="IndexLink"/>
              </w:rPr>
              <w:t>311</w:t>
            </w:r>
          </w:hyperlink>
        </w:p>
        <w:p>
          <w:pPr>
            <w:pStyle w:val="Contents4"/>
            <w:tabs>
              <w:tab w:val="clear" w:pos="8176"/>
              <w:tab w:val="right" w:pos="9026" w:leader="dot"/>
            </w:tabs>
            <w:rPr/>
          </w:pPr>
          <w:hyperlink w:anchor="__RefHeading___Toc1265628_653776707">
            <w:r>
              <w:rPr>
                <w:webHidden/>
                <w:rStyle w:val="IndexLink"/>
                <w:rtl w:val="true"/>
              </w:rPr>
              <w:t>اشارة</w:t>
            </w:r>
            <w:r>
              <w:rPr>
                <w:rStyle w:val="IndexLink"/>
                <w:rtl w:val="true"/>
              </w:rPr>
              <w:tab/>
            </w:r>
            <w:r>
              <w:rPr>
                <w:rStyle w:val="IndexLink"/>
              </w:rPr>
              <w:t>311</w:t>
            </w:r>
          </w:hyperlink>
        </w:p>
        <w:p>
          <w:pPr>
            <w:pStyle w:val="Contents4"/>
            <w:tabs>
              <w:tab w:val="clear" w:pos="8176"/>
              <w:tab w:val="right" w:pos="9026" w:leader="dot"/>
            </w:tabs>
            <w:rPr/>
          </w:pPr>
          <w:hyperlink w:anchor="__RefHeading___Toc1265630_653776707">
            <w:r>
              <w:rPr>
                <w:webHidden/>
                <w:rStyle w:val="IndexLink"/>
                <w:rtl w:val="true"/>
              </w:rPr>
              <w:t>فی ضابط الشهادة ولواحقها</w:t>
            </w:r>
            <w:r>
              <w:rPr>
                <w:rStyle w:val="IndexLink"/>
                <w:rtl w:val="true"/>
              </w:rPr>
              <w:tab/>
            </w:r>
            <w:r>
              <w:rPr>
                <w:rStyle w:val="IndexLink"/>
              </w:rPr>
              <w:t>311</w:t>
            </w:r>
          </w:hyperlink>
        </w:p>
        <w:p>
          <w:pPr>
            <w:pStyle w:val="Contents2"/>
            <w:tabs>
              <w:tab w:val="clear" w:pos="8743"/>
              <w:tab w:val="right" w:pos="9026" w:leader="dot"/>
            </w:tabs>
            <w:rPr/>
          </w:pPr>
          <w:hyperlink w:anchor="__RefHeading___Toc1265632_653776707">
            <w:r>
              <w:rPr>
                <w:webHidden/>
                <w:rStyle w:val="IndexLink"/>
                <w:rtl w:val="true"/>
              </w:rPr>
              <w:t>کتاب الحدود</w:t>
            </w:r>
            <w:r>
              <w:rPr>
                <w:rStyle w:val="IndexLink"/>
                <w:rtl w:val="true"/>
              </w:rPr>
              <w:tab/>
            </w:r>
            <w:r>
              <w:rPr>
                <w:rStyle w:val="IndexLink"/>
              </w:rPr>
              <w:t>313</w:t>
            </w:r>
          </w:hyperlink>
        </w:p>
        <w:p>
          <w:pPr>
            <w:pStyle w:val="Contents3"/>
            <w:tabs>
              <w:tab w:val="clear" w:pos="8459"/>
              <w:tab w:val="right" w:pos="9026" w:leader="dot"/>
            </w:tabs>
            <w:rPr/>
          </w:pPr>
          <w:hyperlink w:anchor="__RefHeading___Toc1265634_653776707">
            <w:r>
              <w:rPr>
                <w:webHidden/>
                <w:rStyle w:val="IndexLink"/>
                <w:rtl w:val="true"/>
              </w:rPr>
              <w:t>اشارة</w:t>
            </w:r>
            <w:r>
              <w:rPr>
                <w:rStyle w:val="IndexLink"/>
                <w:rtl w:val="true"/>
              </w:rPr>
              <w:tab/>
            </w:r>
            <w:r>
              <w:rPr>
                <w:rStyle w:val="IndexLink"/>
              </w:rPr>
              <w:t>313</w:t>
            </w:r>
          </w:hyperlink>
        </w:p>
        <w:p>
          <w:pPr>
            <w:pStyle w:val="Contents3"/>
            <w:tabs>
              <w:tab w:val="clear" w:pos="8459"/>
              <w:tab w:val="right" w:pos="9026" w:leader="dot"/>
            </w:tabs>
            <w:rPr/>
          </w:pPr>
          <w:hyperlink w:anchor="__RefHeading___Toc1265636_653776707">
            <w:r>
              <w:rPr>
                <w:webHidden/>
                <w:rStyle w:val="IndexLink"/>
                <w:rtl w:val="true"/>
              </w:rPr>
              <w:t>الفصل الأوّل</w:t>
            </w:r>
            <w:r>
              <w:rPr>
                <w:rStyle w:val="IndexLink"/>
                <w:rtl w:val="true"/>
              </w:rPr>
              <w:t xml:space="preserve">: </w:t>
            </w:r>
            <w:r>
              <w:rPr>
                <w:rStyle w:val="IndexLink"/>
                <w:rtl w:val="true"/>
              </w:rPr>
              <w:t>فی حدّ الزنا</w:t>
            </w:r>
            <w:r>
              <w:rPr>
                <w:rStyle w:val="IndexLink"/>
                <w:rtl w:val="true"/>
              </w:rPr>
              <w:tab/>
            </w:r>
            <w:r>
              <w:rPr>
                <w:rStyle w:val="IndexLink"/>
              </w:rPr>
              <w:t>313</w:t>
            </w:r>
          </w:hyperlink>
        </w:p>
        <w:p>
          <w:pPr>
            <w:pStyle w:val="Contents4"/>
            <w:tabs>
              <w:tab w:val="clear" w:pos="8176"/>
              <w:tab w:val="right" w:pos="9026" w:leader="dot"/>
            </w:tabs>
            <w:rPr/>
          </w:pPr>
          <w:hyperlink w:anchor="__RefHeading___Toc1265638_653776707">
            <w:r>
              <w:rPr>
                <w:webHidden/>
                <w:rStyle w:val="IndexLink"/>
                <w:rtl w:val="true"/>
              </w:rPr>
              <w:t>فی حدّ الزنا</w:t>
            </w:r>
            <w:r>
              <w:rPr>
                <w:rStyle w:val="IndexLink"/>
                <w:rtl w:val="true"/>
              </w:rPr>
              <w:tab/>
            </w:r>
            <w:r>
              <w:rPr>
                <w:rStyle w:val="IndexLink"/>
              </w:rPr>
              <w:t>313</w:t>
            </w:r>
          </w:hyperlink>
        </w:p>
        <w:p>
          <w:pPr>
            <w:pStyle w:val="Contents5"/>
            <w:tabs>
              <w:tab w:val="clear" w:pos="7892"/>
              <w:tab w:val="right" w:pos="9026" w:leader="dot"/>
            </w:tabs>
            <w:rPr/>
          </w:pPr>
          <w:hyperlink w:anchor="__RefHeading___Toc1265640_653776707">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1265642_653776707">
            <w:r>
              <w:rPr>
                <w:webHidden/>
                <w:rStyle w:val="IndexLink"/>
                <w:rtl w:val="true"/>
              </w:rPr>
              <w:t>فی الموجب</w:t>
            </w:r>
            <w:r>
              <w:rPr>
                <w:rStyle w:val="IndexLink"/>
                <w:rtl w:val="true"/>
              </w:rPr>
              <w:tab/>
            </w:r>
            <w:r>
              <w:rPr>
                <w:rStyle w:val="IndexLink"/>
              </w:rPr>
              <w:t>313</w:t>
            </w:r>
          </w:hyperlink>
        </w:p>
        <w:p>
          <w:pPr>
            <w:pStyle w:val="Contents5"/>
            <w:tabs>
              <w:tab w:val="clear" w:pos="7892"/>
              <w:tab w:val="right" w:pos="9026" w:leader="dot"/>
            </w:tabs>
            <w:rPr/>
          </w:pPr>
          <w:hyperlink w:anchor="__RefHeading___Toc1265644_653776707">
            <w:r>
              <w:rPr>
                <w:webHidden/>
                <w:rStyle w:val="IndexLink"/>
                <w:rtl w:val="true"/>
              </w:rPr>
              <w:t>فیما یثبت به</w:t>
            </w:r>
            <w:r>
              <w:rPr>
                <w:rStyle w:val="IndexLink"/>
                <w:rtl w:val="true"/>
              </w:rPr>
              <w:tab/>
            </w:r>
            <w:r>
              <w:rPr>
                <w:rStyle w:val="IndexLink"/>
              </w:rPr>
              <w:t>314</w:t>
            </w:r>
          </w:hyperlink>
        </w:p>
        <w:p>
          <w:pPr>
            <w:pStyle w:val="Contents4"/>
            <w:tabs>
              <w:tab w:val="clear" w:pos="8176"/>
              <w:tab w:val="right" w:pos="9026" w:leader="dot"/>
            </w:tabs>
            <w:rPr/>
          </w:pPr>
          <w:hyperlink w:anchor="__RefHeading___Toc1265646_653776707">
            <w:r>
              <w:rPr>
                <w:webHidden/>
                <w:rStyle w:val="IndexLink"/>
                <w:rtl w:val="true"/>
              </w:rPr>
              <w:t>فی الحدّ</w:t>
            </w:r>
            <w:r>
              <w:rPr>
                <w:rStyle w:val="IndexLink"/>
                <w:rtl w:val="true"/>
              </w:rPr>
              <w:tab/>
            </w:r>
            <w:r>
              <w:rPr>
                <w:rStyle w:val="IndexLink"/>
              </w:rPr>
              <w:t>314</w:t>
            </w:r>
          </w:hyperlink>
        </w:p>
        <w:p>
          <w:pPr>
            <w:pStyle w:val="Contents5"/>
            <w:tabs>
              <w:tab w:val="clear" w:pos="7892"/>
              <w:tab w:val="right" w:pos="9026" w:leader="dot"/>
            </w:tabs>
            <w:rPr/>
          </w:pPr>
          <w:hyperlink w:anchor="__RefHeading___Toc1265648_653776707">
            <w:r>
              <w:rPr>
                <w:webHidden/>
                <w:rStyle w:val="IndexLink"/>
                <w:rtl w:val="true"/>
              </w:rPr>
              <w:t>فی أقسامه وکیفیّة إقامته</w:t>
            </w:r>
            <w:r>
              <w:rPr>
                <w:rStyle w:val="IndexLink"/>
                <w:rtl w:val="true"/>
              </w:rPr>
              <w:tab/>
            </w:r>
            <w:r>
              <w:rPr>
                <w:rStyle w:val="IndexLink"/>
              </w:rPr>
              <w:t>314</w:t>
            </w:r>
          </w:hyperlink>
        </w:p>
        <w:p>
          <w:pPr>
            <w:pStyle w:val="Contents3"/>
            <w:tabs>
              <w:tab w:val="clear" w:pos="8459"/>
              <w:tab w:val="right" w:pos="9026" w:leader="dot"/>
            </w:tabs>
            <w:rPr/>
          </w:pPr>
          <w:hyperlink w:anchor="__RefHeading___Toc1265650_653776707">
            <w:r>
              <w:rPr>
                <w:webHidden/>
                <w:rStyle w:val="IndexLink"/>
                <w:rtl w:val="true"/>
              </w:rPr>
              <w:t>الفصل الثانی</w:t>
            </w:r>
            <w:r>
              <w:rPr>
                <w:rStyle w:val="IndexLink"/>
                <w:rtl w:val="true"/>
              </w:rPr>
              <w:t xml:space="preserve">: </w:t>
            </w:r>
            <w:r>
              <w:rPr>
                <w:rStyle w:val="IndexLink"/>
                <w:rtl w:val="true"/>
              </w:rPr>
              <w:t>فی اللواط والسحق والقیادة</w:t>
            </w:r>
            <w:r>
              <w:rPr>
                <w:rStyle w:val="IndexLink"/>
                <w:rtl w:val="true"/>
              </w:rPr>
              <w:tab/>
            </w:r>
            <w:r>
              <w:rPr>
                <w:rStyle w:val="IndexLink"/>
              </w:rPr>
              <w:t>316</w:t>
            </w:r>
          </w:hyperlink>
        </w:p>
        <w:p>
          <w:pPr>
            <w:pStyle w:val="Contents3"/>
            <w:tabs>
              <w:tab w:val="clear" w:pos="8459"/>
              <w:tab w:val="right" w:pos="9026" w:leader="dot"/>
            </w:tabs>
            <w:rPr/>
          </w:pPr>
          <w:hyperlink w:anchor="__RefHeading___Toc1265652_653776707">
            <w:r>
              <w:rPr>
                <w:webHidden/>
                <w:rStyle w:val="IndexLink"/>
                <w:rtl w:val="true"/>
              </w:rPr>
              <w:t>الفصل الثالث</w:t>
            </w:r>
            <w:r>
              <w:rPr>
                <w:rStyle w:val="IndexLink"/>
                <w:rtl w:val="true"/>
              </w:rPr>
              <w:t xml:space="preserve">: </w:t>
            </w:r>
            <w:r>
              <w:rPr>
                <w:rStyle w:val="IndexLink"/>
                <w:rtl w:val="true"/>
              </w:rPr>
              <w:t>فی حدّ القذف</w:t>
            </w:r>
            <w:r>
              <w:rPr>
                <w:rStyle w:val="IndexLink"/>
                <w:rtl w:val="true"/>
              </w:rPr>
              <w:tab/>
            </w:r>
            <w:r>
              <w:rPr>
                <w:rStyle w:val="IndexLink"/>
              </w:rPr>
              <w:t>317</w:t>
            </w:r>
          </w:hyperlink>
        </w:p>
        <w:p>
          <w:pPr>
            <w:pStyle w:val="Contents4"/>
            <w:tabs>
              <w:tab w:val="clear" w:pos="8176"/>
              <w:tab w:val="right" w:pos="9026" w:leader="dot"/>
            </w:tabs>
            <w:rPr/>
          </w:pPr>
          <w:hyperlink w:anchor="__RefHeading___Toc1265654_653776707">
            <w:r>
              <w:rPr>
                <w:webHidden/>
                <w:rStyle w:val="IndexLink"/>
                <w:rtl w:val="true"/>
              </w:rPr>
              <w:t>اشارة</w:t>
            </w:r>
            <w:r>
              <w:rPr>
                <w:rStyle w:val="IndexLink"/>
                <w:rtl w:val="true"/>
              </w:rPr>
              <w:tab/>
            </w:r>
            <w:r>
              <w:rPr>
                <w:rStyle w:val="IndexLink"/>
              </w:rPr>
              <w:t>317</w:t>
            </w:r>
          </w:hyperlink>
        </w:p>
        <w:p>
          <w:pPr>
            <w:pStyle w:val="Contents4"/>
            <w:tabs>
              <w:tab w:val="clear" w:pos="8176"/>
              <w:tab w:val="right" w:pos="9026" w:leader="dot"/>
            </w:tabs>
            <w:rPr/>
          </w:pPr>
          <w:hyperlink w:anchor="__RefHeading___Toc1265656_653776707">
            <w:r>
              <w:rPr>
                <w:webHidden/>
                <w:rStyle w:val="IndexLink"/>
                <w:rtl w:val="true"/>
              </w:rPr>
              <w:t>فروع</w:t>
            </w:r>
            <w:r>
              <w:rPr>
                <w:rStyle w:val="IndexLink"/>
                <w:rtl w:val="true"/>
              </w:rPr>
              <w:tab/>
            </w:r>
            <w:r>
              <w:rPr>
                <w:rStyle w:val="IndexLink"/>
              </w:rPr>
              <w:t>318</w:t>
            </w:r>
          </w:hyperlink>
        </w:p>
        <w:p>
          <w:pPr>
            <w:pStyle w:val="Contents3"/>
            <w:tabs>
              <w:tab w:val="clear" w:pos="8459"/>
              <w:tab w:val="right" w:pos="9026" w:leader="dot"/>
            </w:tabs>
            <w:rPr/>
          </w:pPr>
          <w:hyperlink w:anchor="__RefHeading___Toc1265658_653776707">
            <w:r>
              <w:rPr>
                <w:webHidden/>
                <w:rStyle w:val="IndexLink"/>
                <w:rtl w:val="true"/>
              </w:rPr>
              <w:t>الفصل الرابع</w:t>
            </w:r>
            <w:r>
              <w:rPr>
                <w:rStyle w:val="IndexLink"/>
                <w:rtl w:val="true"/>
              </w:rPr>
              <w:t xml:space="preserve">: </w:t>
            </w:r>
            <w:r>
              <w:rPr>
                <w:rStyle w:val="IndexLink"/>
                <w:rtl w:val="true"/>
              </w:rPr>
              <w:t>فی حدّ المسکر</w:t>
            </w:r>
            <w:r>
              <w:rPr>
                <w:rStyle w:val="IndexLink"/>
                <w:rtl w:val="true"/>
              </w:rPr>
              <w:tab/>
            </w:r>
            <w:r>
              <w:rPr>
                <w:rStyle w:val="IndexLink"/>
              </w:rPr>
              <w:t>319</w:t>
            </w:r>
          </w:hyperlink>
        </w:p>
        <w:p>
          <w:pPr>
            <w:pStyle w:val="Contents3"/>
            <w:tabs>
              <w:tab w:val="clear" w:pos="8459"/>
              <w:tab w:val="right" w:pos="9026" w:leader="dot"/>
            </w:tabs>
            <w:rPr/>
          </w:pPr>
          <w:hyperlink w:anchor="__RefHeading___Toc1265660_653776707">
            <w:r>
              <w:rPr>
                <w:webHidden/>
                <w:rStyle w:val="IndexLink"/>
                <w:rtl w:val="true"/>
              </w:rPr>
              <w:t>الفصل الخامس</w:t>
            </w:r>
            <w:r>
              <w:rPr>
                <w:rStyle w:val="IndexLink"/>
                <w:rtl w:val="true"/>
              </w:rPr>
              <w:t xml:space="preserve">: </w:t>
            </w:r>
            <w:r>
              <w:rPr>
                <w:rStyle w:val="IndexLink"/>
                <w:rtl w:val="true"/>
              </w:rPr>
              <w:t>فی حدّ السرقة</w:t>
            </w:r>
            <w:r>
              <w:rPr>
                <w:rStyle w:val="IndexLink"/>
                <w:rtl w:val="true"/>
              </w:rPr>
              <w:tab/>
            </w:r>
            <w:r>
              <w:rPr>
                <w:rStyle w:val="IndexLink"/>
              </w:rPr>
              <w:t>320</w:t>
            </w:r>
          </w:hyperlink>
        </w:p>
        <w:p>
          <w:pPr>
            <w:pStyle w:val="Contents3"/>
            <w:tabs>
              <w:tab w:val="clear" w:pos="8459"/>
              <w:tab w:val="right" w:pos="9026" w:leader="dot"/>
            </w:tabs>
            <w:rPr/>
          </w:pPr>
          <w:hyperlink w:anchor="__RefHeading___Toc1265662_653776707">
            <w:r>
              <w:rPr>
                <w:webHidden/>
                <w:rStyle w:val="IndexLink"/>
                <w:rtl w:val="true"/>
              </w:rPr>
              <w:t>الفصل السادس</w:t>
            </w:r>
            <w:r>
              <w:rPr>
                <w:rStyle w:val="IndexLink"/>
                <w:rtl w:val="true"/>
              </w:rPr>
              <w:t xml:space="preserve">: </w:t>
            </w:r>
            <w:r>
              <w:rPr>
                <w:rStyle w:val="IndexLink"/>
                <w:rtl w:val="true"/>
              </w:rPr>
              <w:t>فی حدّ المحارب</w:t>
            </w:r>
            <w:r>
              <w:rPr>
                <w:rStyle w:val="IndexLink"/>
                <w:rtl w:val="true"/>
              </w:rPr>
              <w:tab/>
            </w:r>
            <w:r>
              <w:rPr>
                <w:rStyle w:val="IndexLink"/>
              </w:rPr>
              <w:t>321</w:t>
            </w:r>
          </w:hyperlink>
        </w:p>
        <w:p>
          <w:pPr>
            <w:pStyle w:val="Contents3"/>
            <w:tabs>
              <w:tab w:val="clear" w:pos="8459"/>
              <w:tab w:val="right" w:pos="9026" w:leader="dot"/>
            </w:tabs>
            <w:rPr/>
          </w:pPr>
          <w:hyperlink w:anchor="__RefHeading___Toc1265664_653776707">
            <w:r>
              <w:rPr>
                <w:webHidden/>
                <w:rStyle w:val="IndexLink"/>
                <w:rtl w:val="true"/>
              </w:rPr>
              <w:t>خاتمة فی عقوبات متفرّقه</w:t>
            </w:r>
            <w:r>
              <w:rPr>
                <w:rStyle w:val="IndexLink"/>
                <w:rtl w:val="true"/>
              </w:rPr>
              <w:tab/>
            </w:r>
            <w:r>
              <w:rPr>
                <w:rStyle w:val="IndexLink"/>
              </w:rPr>
              <w:t>322</w:t>
            </w:r>
          </w:hyperlink>
        </w:p>
        <w:p>
          <w:pPr>
            <w:pStyle w:val="Contents4"/>
            <w:tabs>
              <w:tab w:val="clear" w:pos="8176"/>
              <w:tab w:val="right" w:pos="9026" w:leader="dot"/>
            </w:tabs>
            <w:rPr/>
          </w:pPr>
          <w:hyperlink w:anchor="__RefHeading___Toc1265666_653776707">
            <w:r>
              <w:rPr>
                <w:webHidden/>
                <w:rStyle w:val="IndexLink"/>
                <w:rtl w:val="true"/>
              </w:rPr>
              <w:t>فی الارتداد</w:t>
            </w:r>
            <w:r>
              <w:rPr>
                <w:rStyle w:val="IndexLink"/>
                <w:rtl w:val="true"/>
              </w:rPr>
              <w:tab/>
            </w:r>
            <w:r>
              <w:rPr>
                <w:rStyle w:val="IndexLink"/>
              </w:rPr>
              <w:t>322</w:t>
            </w:r>
          </w:hyperlink>
        </w:p>
        <w:p>
          <w:pPr>
            <w:pStyle w:val="Contents4"/>
            <w:tabs>
              <w:tab w:val="clear" w:pos="8176"/>
              <w:tab w:val="right" w:pos="9026" w:leader="dot"/>
            </w:tabs>
            <w:rPr/>
          </w:pPr>
          <w:hyperlink w:anchor="__RefHeading___Toc1265668_653776707">
            <w:r>
              <w:rPr>
                <w:webHidden/>
                <w:rStyle w:val="IndexLink"/>
                <w:rtl w:val="true"/>
              </w:rPr>
              <w:t>فی وطء البهیمة</w:t>
            </w:r>
            <w:r>
              <w:rPr>
                <w:rStyle w:val="IndexLink"/>
                <w:rtl w:val="true"/>
              </w:rPr>
              <w:tab/>
            </w:r>
            <w:r>
              <w:rPr>
                <w:rStyle w:val="IndexLink"/>
              </w:rPr>
              <w:t>322</w:t>
            </w:r>
          </w:hyperlink>
        </w:p>
        <w:p>
          <w:pPr>
            <w:pStyle w:val="Contents2"/>
            <w:tabs>
              <w:tab w:val="clear" w:pos="8743"/>
              <w:tab w:val="right" w:pos="9026" w:leader="dot"/>
            </w:tabs>
            <w:rPr/>
          </w:pPr>
          <w:hyperlink w:anchor="__RefHeading___Toc1265670_653776707">
            <w:r>
              <w:rPr>
                <w:webHidden/>
                <w:rStyle w:val="IndexLink"/>
                <w:rtl w:val="true"/>
              </w:rPr>
              <w:t>کتاب القصاص</w:t>
            </w:r>
            <w:r>
              <w:rPr>
                <w:rStyle w:val="IndexLink"/>
                <w:rtl w:val="true"/>
              </w:rPr>
              <w:tab/>
            </w:r>
            <w:r>
              <w:rPr>
                <w:rStyle w:val="IndexLink"/>
              </w:rPr>
              <w:t>323</w:t>
            </w:r>
          </w:hyperlink>
        </w:p>
        <w:p>
          <w:pPr>
            <w:pStyle w:val="Contents3"/>
            <w:tabs>
              <w:tab w:val="clear" w:pos="8459"/>
              <w:tab w:val="right" w:pos="9026" w:leader="dot"/>
            </w:tabs>
            <w:rPr/>
          </w:pPr>
          <w:hyperlink w:anchor="__RefHeading___Toc1265672_653776707">
            <w:r>
              <w:rPr>
                <w:webHidden/>
                <w:rStyle w:val="IndexLink"/>
                <w:rtl w:val="true"/>
              </w:rPr>
              <w:t>القصاص</w:t>
            </w:r>
            <w:r>
              <w:rPr>
                <w:rStyle w:val="IndexLink"/>
                <w:rtl w:val="true"/>
              </w:rPr>
              <w:tab/>
            </w:r>
            <w:r>
              <w:rPr>
                <w:rStyle w:val="IndexLink"/>
              </w:rPr>
              <w:t>323</w:t>
            </w:r>
          </w:hyperlink>
        </w:p>
        <w:p>
          <w:pPr>
            <w:pStyle w:val="Contents4"/>
            <w:tabs>
              <w:tab w:val="clear" w:pos="8176"/>
              <w:tab w:val="right" w:pos="9026" w:leader="dot"/>
            </w:tabs>
            <w:rPr/>
          </w:pPr>
          <w:hyperlink w:anchor="__RefHeading___Toc1265674_653776707">
            <w:r>
              <w:rPr>
                <w:webHidden/>
                <w:rStyle w:val="IndexLink"/>
                <w:rtl w:val="true"/>
              </w:rPr>
              <w:t>اشارة</w:t>
            </w:r>
            <w:r>
              <w:rPr>
                <w:rStyle w:val="IndexLink"/>
                <w:rtl w:val="true"/>
              </w:rPr>
              <w:tab/>
            </w:r>
            <w:r>
              <w:rPr>
                <w:rStyle w:val="IndexLink"/>
              </w:rPr>
              <w:t>323</w:t>
            </w:r>
          </w:hyperlink>
        </w:p>
        <w:p>
          <w:pPr>
            <w:pStyle w:val="Contents4"/>
            <w:tabs>
              <w:tab w:val="clear" w:pos="8176"/>
              <w:tab w:val="right" w:pos="9026" w:leader="dot"/>
            </w:tabs>
            <w:rPr/>
          </w:pPr>
          <w:hyperlink w:anchor="__RefHeading___Toc1265676_653776707">
            <w:r>
              <w:rPr>
                <w:webHidden/>
                <w:rStyle w:val="IndexLink"/>
                <w:rtl w:val="true"/>
              </w:rPr>
              <w:t>فی قصاص النفس</w:t>
            </w:r>
            <w:r>
              <w:rPr>
                <w:rStyle w:val="IndexLink"/>
                <w:rtl w:val="true"/>
              </w:rPr>
              <w:tab/>
            </w:r>
            <w:r>
              <w:rPr>
                <w:rStyle w:val="IndexLink"/>
              </w:rPr>
              <w:t>323</w:t>
            </w:r>
          </w:hyperlink>
        </w:p>
        <w:p>
          <w:pPr>
            <w:pStyle w:val="Contents4"/>
            <w:tabs>
              <w:tab w:val="clear" w:pos="8176"/>
              <w:tab w:val="right" w:pos="9026" w:leader="dot"/>
            </w:tabs>
            <w:rPr/>
          </w:pPr>
          <w:hyperlink w:anchor="__RefHeading___Toc1265678_653776707">
            <w:r>
              <w:rPr>
                <w:webHidden/>
                <w:rStyle w:val="IndexLink"/>
                <w:rtl w:val="true"/>
              </w:rPr>
              <w:t>فی الموجب</w:t>
            </w:r>
            <w:r>
              <w:rPr>
                <w:rStyle w:val="IndexLink"/>
                <w:rtl w:val="true"/>
              </w:rPr>
              <w:tab/>
            </w:r>
            <w:r>
              <w:rPr>
                <w:rStyle w:val="IndexLink"/>
              </w:rPr>
              <w:t>323</w:t>
            </w:r>
          </w:hyperlink>
        </w:p>
        <w:p>
          <w:pPr>
            <w:pStyle w:val="Contents4"/>
            <w:tabs>
              <w:tab w:val="clear" w:pos="8176"/>
              <w:tab w:val="right" w:pos="9026" w:leader="dot"/>
            </w:tabs>
            <w:rPr/>
          </w:pPr>
          <w:hyperlink w:anchor="__RefHeading___Toc1265680_653776707">
            <w:r>
              <w:rPr>
                <w:webHidden/>
                <w:rStyle w:val="IndexLink"/>
                <w:rtl w:val="true"/>
              </w:rPr>
              <w:t>فی شرائط القصاص</w:t>
            </w:r>
            <w:r>
              <w:rPr>
                <w:rStyle w:val="IndexLink"/>
                <w:rtl w:val="true"/>
              </w:rPr>
              <w:tab/>
            </w:r>
            <w:r>
              <w:rPr>
                <w:rStyle w:val="IndexLink"/>
              </w:rPr>
              <w:t>324</w:t>
            </w:r>
          </w:hyperlink>
        </w:p>
        <w:p>
          <w:pPr>
            <w:pStyle w:val="Contents4"/>
            <w:tabs>
              <w:tab w:val="clear" w:pos="8176"/>
              <w:tab w:val="right" w:pos="9026" w:leader="dot"/>
            </w:tabs>
            <w:rPr/>
          </w:pPr>
          <w:hyperlink w:anchor="__RefHeading___Toc1265682_653776707">
            <w:r>
              <w:rPr>
                <w:webHidden/>
                <w:rStyle w:val="IndexLink"/>
                <w:rtl w:val="true"/>
              </w:rPr>
              <w:t>فیما یثبت به القود</w:t>
            </w:r>
            <w:r>
              <w:rPr>
                <w:rStyle w:val="IndexLink"/>
                <w:rtl w:val="true"/>
              </w:rPr>
              <w:tab/>
            </w:r>
            <w:r>
              <w:rPr>
                <w:rStyle w:val="IndexLink"/>
              </w:rPr>
              <w:t>325</w:t>
            </w:r>
          </w:hyperlink>
        </w:p>
        <w:p>
          <w:pPr>
            <w:pStyle w:val="Contents4"/>
            <w:tabs>
              <w:tab w:val="clear" w:pos="8176"/>
              <w:tab w:val="right" w:pos="9026" w:leader="dot"/>
            </w:tabs>
            <w:rPr/>
          </w:pPr>
          <w:hyperlink w:anchor="__RefHeading___Toc1265684_653776707">
            <w:r>
              <w:rPr>
                <w:webHidden/>
                <w:rStyle w:val="IndexLink"/>
                <w:rtl w:val="true"/>
              </w:rPr>
              <w:t>فی کیفیّة الاستیفاء</w:t>
            </w:r>
            <w:r>
              <w:rPr>
                <w:rStyle w:val="IndexLink"/>
                <w:rtl w:val="true"/>
              </w:rPr>
              <w:tab/>
            </w:r>
            <w:r>
              <w:rPr>
                <w:rStyle w:val="IndexLink"/>
              </w:rPr>
              <w:t>326</w:t>
            </w:r>
          </w:hyperlink>
        </w:p>
        <w:p>
          <w:pPr>
            <w:pStyle w:val="Contents3"/>
            <w:tabs>
              <w:tab w:val="clear" w:pos="8459"/>
              <w:tab w:val="right" w:pos="9026" w:leader="dot"/>
            </w:tabs>
            <w:rPr/>
          </w:pPr>
          <w:hyperlink w:anchor="__RefHeading___Toc1265686_653776707">
            <w:r>
              <w:rPr>
                <w:webHidden/>
                <w:rStyle w:val="IndexLink"/>
                <w:rtl w:val="true"/>
              </w:rPr>
              <w:t>القسم الثانی</w:t>
            </w:r>
            <w:r>
              <w:rPr>
                <w:rStyle w:val="IndexLink"/>
                <w:rtl w:val="true"/>
              </w:rPr>
              <w:t xml:space="preserve">: </w:t>
            </w:r>
            <w:r>
              <w:rPr>
                <w:rStyle w:val="IndexLink"/>
                <w:rtl w:val="true"/>
              </w:rPr>
              <w:t>فی قصاص الطرف</w:t>
            </w:r>
            <w:r>
              <w:rPr>
                <w:rStyle w:val="IndexLink"/>
                <w:rtl w:val="true"/>
              </w:rPr>
              <w:tab/>
            </w:r>
            <w:r>
              <w:rPr>
                <w:rStyle w:val="IndexLink"/>
              </w:rPr>
              <w:t>327</w:t>
            </w:r>
          </w:hyperlink>
        </w:p>
        <w:p>
          <w:pPr>
            <w:pStyle w:val="Contents2"/>
            <w:tabs>
              <w:tab w:val="clear" w:pos="8743"/>
              <w:tab w:val="right" w:pos="9026" w:leader="dot"/>
            </w:tabs>
            <w:rPr/>
          </w:pPr>
          <w:hyperlink w:anchor="__RefHeading___Toc1265688_653776707">
            <w:r>
              <w:rPr>
                <w:webHidden/>
                <w:rStyle w:val="IndexLink"/>
                <w:rtl w:val="true"/>
              </w:rPr>
              <w:t>کتاب الدیات</w:t>
            </w:r>
            <w:r>
              <w:rPr>
                <w:rStyle w:val="IndexLink"/>
                <w:rtl w:val="true"/>
              </w:rPr>
              <w:tab/>
            </w:r>
            <w:r>
              <w:rPr>
                <w:rStyle w:val="IndexLink"/>
              </w:rPr>
              <w:t>328</w:t>
            </w:r>
          </w:hyperlink>
        </w:p>
        <w:p>
          <w:pPr>
            <w:pStyle w:val="Contents3"/>
            <w:tabs>
              <w:tab w:val="clear" w:pos="8459"/>
              <w:tab w:val="right" w:pos="9026" w:leader="dot"/>
            </w:tabs>
            <w:rPr/>
          </w:pPr>
          <w:hyperlink w:anchor="__RefHeading___Toc1265690_653776707">
            <w:r>
              <w:rPr>
                <w:webHidden/>
                <w:rStyle w:val="IndexLink"/>
                <w:rtl w:val="true"/>
              </w:rPr>
              <w:t>اشارة</w:t>
            </w:r>
            <w:r>
              <w:rPr>
                <w:rStyle w:val="IndexLink"/>
                <w:rtl w:val="true"/>
              </w:rPr>
              <w:tab/>
            </w:r>
            <w:r>
              <w:rPr>
                <w:rStyle w:val="IndexLink"/>
              </w:rPr>
              <w:t>328</w:t>
            </w:r>
          </w:hyperlink>
        </w:p>
        <w:p>
          <w:pPr>
            <w:pStyle w:val="Contents3"/>
            <w:tabs>
              <w:tab w:val="clear" w:pos="8459"/>
              <w:tab w:val="right" w:pos="9026" w:leader="dot"/>
            </w:tabs>
            <w:rPr/>
          </w:pPr>
          <w:hyperlink w:anchor="__RefHeading___Toc1265692_653776707">
            <w:r>
              <w:rPr>
                <w:webHidden/>
                <w:rStyle w:val="IndexLink"/>
                <w:rtl w:val="true"/>
              </w:rPr>
              <w:t>فی أقسام القتل</w:t>
            </w:r>
            <w:r>
              <w:rPr>
                <w:rStyle w:val="IndexLink"/>
                <w:rtl w:val="true"/>
              </w:rPr>
              <w:tab/>
            </w:r>
            <w:r>
              <w:rPr>
                <w:rStyle w:val="IndexLink"/>
              </w:rPr>
              <w:t>328</w:t>
            </w:r>
          </w:hyperlink>
        </w:p>
        <w:p>
          <w:pPr>
            <w:pStyle w:val="Contents3"/>
            <w:tabs>
              <w:tab w:val="clear" w:pos="8459"/>
              <w:tab w:val="right" w:pos="9026" w:leader="dot"/>
            </w:tabs>
            <w:rPr/>
          </w:pPr>
          <w:hyperlink w:anchor="__RefHeading___Toc1265694_653776707">
            <w:r>
              <w:rPr>
                <w:webHidden/>
                <w:rStyle w:val="IndexLink"/>
                <w:rtl w:val="true"/>
              </w:rPr>
              <w:t>فی موجبات الضمان</w:t>
            </w:r>
            <w:r>
              <w:rPr>
                <w:rStyle w:val="IndexLink"/>
                <w:rtl w:val="true"/>
              </w:rPr>
              <w:tab/>
            </w:r>
            <w:r>
              <w:rPr>
                <w:rStyle w:val="IndexLink"/>
              </w:rPr>
              <w:t>330</w:t>
            </w:r>
          </w:hyperlink>
        </w:p>
        <w:p>
          <w:pPr>
            <w:pStyle w:val="Contents4"/>
            <w:tabs>
              <w:tab w:val="clear" w:pos="8176"/>
              <w:tab w:val="right" w:pos="9026" w:leader="dot"/>
            </w:tabs>
            <w:rPr/>
          </w:pPr>
          <w:hyperlink w:anchor="__RefHeading___Toc1265696_653776707">
            <w:r>
              <w:rPr>
                <w:webHidden/>
                <w:rStyle w:val="IndexLink"/>
                <w:rtl w:val="true"/>
              </w:rPr>
              <w:t>اشارة</w:t>
            </w:r>
            <w:r>
              <w:rPr>
                <w:rStyle w:val="IndexLink"/>
                <w:rtl w:val="true"/>
              </w:rPr>
              <w:tab/>
            </w:r>
            <w:r>
              <w:rPr>
                <w:rStyle w:val="IndexLink"/>
              </w:rPr>
              <w:t>330</w:t>
            </w:r>
          </w:hyperlink>
        </w:p>
        <w:p>
          <w:pPr>
            <w:pStyle w:val="Contents4"/>
            <w:tabs>
              <w:tab w:val="clear" w:pos="8176"/>
              <w:tab w:val="right" w:pos="9026" w:leader="dot"/>
            </w:tabs>
            <w:rPr/>
          </w:pPr>
          <w:hyperlink w:anchor="__RefHeading___Toc1265698_653776707">
            <w:r>
              <w:rPr>
                <w:webHidden/>
                <w:rStyle w:val="IndexLink"/>
                <w:rtl w:val="true"/>
              </w:rPr>
              <w:t>الأوّل</w:t>
            </w:r>
            <w:r>
              <w:rPr>
                <w:rStyle w:val="IndexLink"/>
                <w:rtl w:val="true"/>
              </w:rPr>
              <w:t xml:space="preserve">: </w:t>
            </w:r>
            <w:r>
              <w:rPr>
                <w:rStyle w:val="IndexLink"/>
                <w:rtl w:val="true"/>
              </w:rPr>
              <w:t>فی المباشر</w:t>
            </w:r>
            <w:r>
              <w:rPr>
                <w:rStyle w:val="IndexLink"/>
                <w:rtl w:val="true"/>
              </w:rPr>
              <w:tab/>
            </w:r>
            <w:r>
              <w:rPr>
                <w:rStyle w:val="IndexLink"/>
              </w:rPr>
              <w:t>330</w:t>
            </w:r>
          </w:hyperlink>
        </w:p>
        <w:p>
          <w:pPr>
            <w:pStyle w:val="Contents4"/>
            <w:tabs>
              <w:tab w:val="clear" w:pos="8176"/>
              <w:tab w:val="right" w:pos="9026" w:leader="dot"/>
            </w:tabs>
            <w:rPr/>
          </w:pPr>
          <w:hyperlink w:anchor="__RefHeading___Toc1265700_653776707">
            <w:r>
              <w:rPr>
                <w:webHidden/>
                <w:rStyle w:val="IndexLink"/>
                <w:rtl w:val="true"/>
              </w:rPr>
              <w:t>البحث الثانی فی السبب</w:t>
            </w:r>
            <w:r>
              <w:rPr>
                <w:rStyle w:val="IndexLink"/>
                <w:rtl w:val="true"/>
              </w:rPr>
              <w:tab/>
            </w:r>
            <w:r>
              <w:rPr>
                <w:rStyle w:val="IndexLink"/>
              </w:rPr>
              <w:t>331</w:t>
            </w:r>
          </w:hyperlink>
        </w:p>
        <w:p>
          <w:pPr>
            <w:pStyle w:val="Contents4"/>
            <w:tabs>
              <w:tab w:val="clear" w:pos="8176"/>
              <w:tab w:val="right" w:pos="9026" w:leader="dot"/>
            </w:tabs>
            <w:rPr/>
          </w:pPr>
          <w:hyperlink w:anchor="__RefHeading___Toc1265702_653776707">
            <w:r>
              <w:rPr>
                <w:webHidden/>
                <w:rStyle w:val="IndexLink"/>
                <w:rtl w:val="true"/>
              </w:rPr>
              <w:t>البحث الثالث فی تزاحم الموجبات</w:t>
            </w:r>
            <w:r>
              <w:rPr>
                <w:rStyle w:val="IndexLink"/>
                <w:rtl w:val="true"/>
              </w:rPr>
              <w:tab/>
            </w:r>
            <w:r>
              <w:rPr>
                <w:rStyle w:val="IndexLink"/>
              </w:rPr>
              <w:t>332</w:t>
            </w:r>
          </w:hyperlink>
        </w:p>
        <w:p>
          <w:pPr>
            <w:pStyle w:val="Contents3"/>
            <w:tabs>
              <w:tab w:val="clear" w:pos="8459"/>
              <w:tab w:val="right" w:pos="9026" w:leader="dot"/>
            </w:tabs>
            <w:rPr/>
          </w:pPr>
          <w:hyperlink w:anchor="__RefHeading___Toc1265704_653776707">
            <w:r>
              <w:rPr>
                <w:webHidden/>
                <w:rStyle w:val="IndexLink"/>
                <w:rtl w:val="true"/>
              </w:rPr>
              <w:t>فی الجنایة علی الأطراف</w:t>
            </w:r>
            <w:r>
              <w:rPr>
                <w:rStyle w:val="IndexLink"/>
                <w:rtl w:val="true"/>
              </w:rPr>
              <w:tab/>
            </w:r>
            <w:r>
              <w:rPr>
                <w:rStyle w:val="IndexLink"/>
              </w:rPr>
              <w:t>332</w:t>
            </w:r>
          </w:hyperlink>
        </w:p>
        <w:p>
          <w:pPr>
            <w:pStyle w:val="Contents4"/>
            <w:tabs>
              <w:tab w:val="clear" w:pos="8176"/>
              <w:tab w:val="right" w:pos="9026" w:leader="dot"/>
            </w:tabs>
            <w:rPr/>
          </w:pPr>
          <w:hyperlink w:anchor="__RefHeading___Toc1265706_653776707">
            <w:r>
              <w:rPr>
                <w:webHidden/>
                <w:rStyle w:val="IndexLink"/>
                <w:rtl w:val="true"/>
              </w:rPr>
              <w:t>اشارة</w:t>
            </w:r>
            <w:r>
              <w:rPr>
                <w:rStyle w:val="IndexLink"/>
                <w:rtl w:val="true"/>
              </w:rPr>
              <w:tab/>
            </w:r>
            <w:r>
              <w:rPr>
                <w:rStyle w:val="IndexLink"/>
              </w:rPr>
              <w:t>332</w:t>
            </w:r>
          </w:hyperlink>
        </w:p>
        <w:p>
          <w:pPr>
            <w:pStyle w:val="Contents4"/>
            <w:tabs>
              <w:tab w:val="clear" w:pos="8176"/>
              <w:tab w:val="right" w:pos="9026" w:leader="dot"/>
            </w:tabs>
            <w:rPr/>
          </w:pPr>
          <w:hyperlink w:anchor="__RefHeading___Toc1265708_653776707">
            <w:r>
              <w:rPr>
                <w:webHidden/>
                <w:rStyle w:val="IndexLink"/>
                <w:rtl w:val="true"/>
              </w:rPr>
              <w:t>المقصد الأوّل</w:t>
            </w:r>
            <w:r>
              <w:rPr>
                <w:rStyle w:val="IndexLink"/>
                <w:rtl w:val="true"/>
              </w:rPr>
              <w:t xml:space="preserve">: </w:t>
            </w:r>
            <w:r>
              <w:rPr>
                <w:rStyle w:val="IndexLink"/>
                <w:rtl w:val="true"/>
              </w:rPr>
              <w:t>فی دیات الأعضاء</w:t>
            </w:r>
            <w:r>
              <w:rPr>
                <w:rStyle w:val="IndexLink"/>
                <w:rtl w:val="true"/>
              </w:rPr>
              <w:tab/>
            </w:r>
            <w:r>
              <w:rPr>
                <w:rStyle w:val="IndexLink"/>
              </w:rPr>
              <w:t>332</w:t>
            </w:r>
          </w:hyperlink>
        </w:p>
        <w:p>
          <w:pPr>
            <w:pStyle w:val="Contents5"/>
            <w:tabs>
              <w:tab w:val="clear" w:pos="7892"/>
              <w:tab w:val="right" w:pos="9026" w:leader="dot"/>
            </w:tabs>
            <w:rPr/>
          </w:pPr>
          <w:hyperlink w:anchor="__RefHeading___Toc1265710_653776707">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1265712_653776707">
            <w:r>
              <w:rPr>
                <w:webHidden/>
                <w:rStyle w:val="IndexLink"/>
                <w:rtl w:val="true"/>
              </w:rPr>
              <w:t>الأوّل</w:t>
            </w:r>
            <w:r>
              <w:rPr>
                <w:rStyle w:val="IndexLink"/>
                <w:rtl w:val="true"/>
              </w:rPr>
              <w:t xml:space="preserve">: </w:t>
            </w:r>
            <w:r>
              <w:rPr>
                <w:rStyle w:val="IndexLink"/>
                <w:rtl w:val="true"/>
              </w:rPr>
              <w:t>الشعر</w:t>
            </w:r>
            <w:r>
              <w:rPr>
                <w:rStyle w:val="IndexLink"/>
                <w:rtl w:val="true"/>
              </w:rPr>
              <w:tab/>
            </w:r>
            <w:r>
              <w:rPr>
                <w:rStyle w:val="IndexLink"/>
              </w:rPr>
              <w:t>333</w:t>
            </w:r>
          </w:hyperlink>
        </w:p>
        <w:p>
          <w:pPr>
            <w:pStyle w:val="Contents5"/>
            <w:tabs>
              <w:tab w:val="clear" w:pos="7892"/>
              <w:tab w:val="right" w:pos="9026" w:leader="dot"/>
            </w:tabs>
            <w:rPr/>
          </w:pPr>
          <w:hyperlink w:anchor="__RefHeading___Toc1265714_653776707">
            <w:r>
              <w:rPr>
                <w:webHidden/>
                <w:rStyle w:val="IndexLink"/>
                <w:rtl w:val="true"/>
              </w:rPr>
              <w:t>الثانی</w:t>
            </w:r>
            <w:r>
              <w:rPr>
                <w:rStyle w:val="IndexLink"/>
                <w:rtl w:val="true"/>
              </w:rPr>
              <w:t xml:space="preserve">: </w:t>
            </w:r>
            <w:r>
              <w:rPr>
                <w:rStyle w:val="IndexLink"/>
                <w:rtl w:val="true"/>
              </w:rPr>
              <w:t>العینان</w:t>
            </w:r>
            <w:r>
              <w:rPr>
                <w:rStyle w:val="IndexLink"/>
                <w:rtl w:val="true"/>
              </w:rPr>
              <w:tab/>
            </w:r>
            <w:r>
              <w:rPr>
                <w:rStyle w:val="IndexLink"/>
              </w:rPr>
              <w:t>333</w:t>
            </w:r>
          </w:hyperlink>
        </w:p>
        <w:p>
          <w:pPr>
            <w:pStyle w:val="Contents5"/>
            <w:tabs>
              <w:tab w:val="clear" w:pos="7892"/>
              <w:tab w:val="right" w:pos="9026" w:leader="dot"/>
            </w:tabs>
            <w:rPr/>
          </w:pPr>
          <w:hyperlink w:anchor="__RefHeading___Toc1265716_653776707">
            <w:r>
              <w:rPr>
                <w:webHidden/>
                <w:rStyle w:val="IndexLink"/>
                <w:rtl w:val="true"/>
              </w:rPr>
              <w:t>الثالث</w:t>
            </w:r>
            <w:r>
              <w:rPr>
                <w:rStyle w:val="IndexLink"/>
                <w:rtl w:val="true"/>
              </w:rPr>
              <w:t xml:space="preserve">: </w:t>
            </w:r>
            <w:r>
              <w:rPr>
                <w:rStyle w:val="IndexLink"/>
                <w:rtl w:val="true"/>
              </w:rPr>
              <w:t>الأنف</w:t>
            </w:r>
            <w:r>
              <w:rPr>
                <w:rStyle w:val="IndexLink"/>
                <w:rtl w:val="true"/>
              </w:rPr>
              <w:tab/>
            </w:r>
            <w:r>
              <w:rPr>
                <w:rStyle w:val="IndexLink"/>
              </w:rPr>
              <w:t>333</w:t>
            </w:r>
          </w:hyperlink>
        </w:p>
        <w:p>
          <w:pPr>
            <w:pStyle w:val="Contents5"/>
            <w:tabs>
              <w:tab w:val="clear" w:pos="7892"/>
              <w:tab w:val="right" w:pos="9026" w:leader="dot"/>
            </w:tabs>
            <w:rPr/>
          </w:pPr>
          <w:hyperlink w:anchor="__RefHeading___Toc1265718_653776707">
            <w:r>
              <w:rPr>
                <w:webHidden/>
                <w:rStyle w:val="IndexLink"/>
                <w:rtl w:val="true"/>
              </w:rPr>
              <w:t>الرابع</w:t>
            </w:r>
            <w:r>
              <w:rPr>
                <w:rStyle w:val="IndexLink"/>
                <w:rtl w:val="true"/>
              </w:rPr>
              <w:t xml:space="preserve">: </w:t>
            </w:r>
            <w:r>
              <w:rPr>
                <w:rStyle w:val="IndexLink"/>
                <w:rtl w:val="true"/>
              </w:rPr>
              <w:t>الاُذن</w:t>
            </w:r>
            <w:r>
              <w:rPr>
                <w:rStyle w:val="IndexLink"/>
                <w:rtl w:val="true"/>
              </w:rPr>
              <w:tab/>
            </w:r>
            <w:r>
              <w:rPr>
                <w:rStyle w:val="IndexLink"/>
              </w:rPr>
              <w:t>333</w:t>
            </w:r>
          </w:hyperlink>
        </w:p>
        <w:p>
          <w:pPr>
            <w:pStyle w:val="Contents5"/>
            <w:tabs>
              <w:tab w:val="clear" w:pos="7892"/>
              <w:tab w:val="right" w:pos="9026" w:leader="dot"/>
            </w:tabs>
            <w:rPr/>
          </w:pPr>
          <w:hyperlink w:anchor="__RefHeading___Toc1265720_653776707">
            <w:r>
              <w:rPr>
                <w:webHidden/>
                <w:rStyle w:val="IndexLink"/>
                <w:rtl w:val="true"/>
              </w:rPr>
              <w:t>الخامس</w:t>
            </w:r>
            <w:r>
              <w:rPr>
                <w:rStyle w:val="IndexLink"/>
                <w:rtl w:val="true"/>
              </w:rPr>
              <w:t xml:space="preserve">: </w:t>
            </w:r>
            <w:r>
              <w:rPr>
                <w:rStyle w:val="IndexLink"/>
                <w:rtl w:val="true"/>
              </w:rPr>
              <w:t>الشفتان</w:t>
            </w:r>
            <w:r>
              <w:rPr>
                <w:rStyle w:val="IndexLink"/>
                <w:rtl w:val="true"/>
              </w:rPr>
              <w:tab/>
            </w:r>
            <w:r>
              <w:rPr>
                <w:rStyle w:val="IndexLink"/>
              </w:rPr>
              <w:t>334</w:t>
            </w:r>
          </w:hyperlink>
        </w:p>
        <w:p>
          <w:pPr>
            <w:pStyle w:val="Contents5"/>
            <w:tabs>
              <w:tab w:val="clear" w:pos="7892"/>
              <w:tab w:val="right" w:pos="9026" w:leader="dot"/>
            </w:tabs>
            <w:rPr/>
          </w:pPr>
          <w:hyperlink w:anchor="__RefHeading___Toc1265722_653776707">
            <w:r>
              <w:rPr>
                <w:webHidden/>
                <w:rStyle w:val="IndexLink"/>
                <w:rtl w:val="true"/>
              </w:rPr>
              <w:t>السادس</w:t>
            </w:r>
            <w:r>
              <w:rPr>
                <w:rStyle w:val="IndexLink"/>
                <w:rtl w:val="true"/>
              </w:rPr>
              <w:t xml:space="preserve">: </w:t>
            </w:r>
            <w:r>
              <w:rPr>
                <w:rStyle w:val="IndexLink"/>
                <w:rtl w:val="true"/>
              </w:rPr>
              <w:t>اللسان</w:t>
            </w:r>
            <w:r>
              <w:rPr>
                <w:rStyle w:val="IndexLink"/>
                <w:rtl w:val="true"/>
              </w:rPr>
              <w:tab/>
            </w:r>
            <w:r>
              <w:rPr>
                <w:rStyle w:val="IndexLink"/>
              </w:rPr>
              <w:t>334</w:t>
            </w:r>
          </w:hyperlink>
        </w:p>
        <w:p>
          <w:pPr>
            <w:pStyle w:val="Contents5"/>
            <w:tabs>
              <w:tab w:val="clear" w:pos="7892"/>
              <w:tab w:val="right" w:pos="9026" w:leader="dot"/>
            </w:tabs>
            <w:rPr/>
          </w:pPr>
          <w:hyperlink w:anchor="__RefHeading___Toc1265724_653776707">
            <w:r>
              <w:rPr>
                <w:webHidden/>
                <w:rStyle w:val="IndexLink"/>
                <w:rtl w:val="true"/>
              </w:rPr>
              <w:t>السابع</w:t>
            </w:r>
            <w:r>
              <w:rPr>
                <w:rStyle w:val="IndexLink"/>
                <w:rtl w:val="true"/>
              </w:rPr>
              <w:t xml:space="preserve">: </w:t>
            </w:r>
            <w:r>
              <w:rPr>
                <w:rStyle w:val="IndexLink"/>
                <w:rtl w:val="true"/>
              </w:rPr>
              <w:t>الأسنان</w:t>
            </w:r>
            <w:r>
              <w:rPr>
                <w:rStyle w:val="IndexLink"/>
                <w:rtl w:val="true"/>
              </w:rPr>
              <w:tab/>
            </w:r>
            <w:r>
              <w:rPr>
                <w:rStyle w:val="IndexLink"/>
              </w:rPr>
              <w:t>334</w:t>
            </w:r>
          </w:hyperlink>
        </w:p>
        <w:p>
          <w:pPr>
            <w:pStyle w:val="Contents5"/>
            <w:tabs>
              <w:tab w:val="clear" w:pos="7892"/>
              <w:tab w:val="right" w:pos="9026" w:leader="dot"/>
            </w:tabs>
            <w:rPr/>
          </w:pPr>
          <w:hyperlink w:anchor="__RefHeading___Toc1265726_653776707">
            <w:r>
              <w:rPr>
                <w:webHidden/>
                <w:rStyle w:val="IndexLink"/>
                <w:rtl w:val="true"/>
              </w:rPr>
              <w:t>الثامن</w:t>
            </w:r>
            <w:r>
              <w:rPr>
                <w:rStyle w:val="IndexLink"/>
                <w:rtl w:val="true"/>
              </w:rPr>
              <w:t xml:space="preserve">: </w:t>
            </w:r>
            <w:r>
              <w:rPr>
                <w:rStyle w:val="IndexLink"/>
                <w:rtl w:val="true"/>
              </w:rPr>
              <w:t>العنق</w:t>
            </w:r>
            <w:r>
              <w:rPr>
                <w:rStyle w:val="IndexLink"/>
                <w:rtl w:val="true"/>
              </w:rPr>
              <w:tab/>
            </w:r>
            <w:r>
              <w:rPr>
                <w:rStyle w:val="IndexLink"/>
              </w:rPr>
              <w:t>335</w:t>
            </w:r>
          </w:hyperlink>
        </w:p>
        <w:p>
          <w:pPr>
            <w:pStyle w:val="Contents5"/>
            <w:tabs>
              <w:tab w:val="clear" w:pos="7892"/>
              <w:tab w:val="right" w:pos="9026" w:leader="dot"/>
            </w:tabs>
            <w:rPr/>
          </w:pPr>
          <w:hyperlink w:anchor="__RefHeading___Toc1265728_653776707">
            <w:r>
              <w:rPr>
                <w:webHidden/>
                <w:rStyle w:val="IndexLink"/>
                <w:rtl w:val="true"/>
              </w:rPr>
              <w:t>التاسع</w:t>
            </w:r>
            <w:r>
              <w:rPr>
                <w:rStyle w:val="IndexLink"/>
                <w:rtl w:val="true"/>
              </w:rPr>
              <w:t xml:space="preserve">: </w:t>
            </w:r>
            <w:r>
              <w:rPr>
                <w:rStyle w:val="IndexLink"/>
                <w:rtl w:val="true"/>
              </w:rPr>
              <w:t>الیدان</w:t>
            </w:r>
            <w:r>
              <w:rPr>
                <w:rStyle w:val="IndexLink"/>
                <w:rtl w:val="true"/>
              </w:rPr>
              <w:tab/>
            </w:r>
            <w:r>
              <w:rPr>
                <w:rStyle w:val="IndexLink"/>
              </w:rPr>
              <w:t>335</w:t>
            </w:r>
          </w:hyperlink>
        </w:p>
        <w:p>
          <w:pPr>
            <w:pStyle w:val="Contents5"/>
            <w:tabs>
              <w:tab w:val="clear" w:pos="7892"/>
              <w:tab w:val="right" w:pos="9026" w:leader="dot"/>
            </w:tabs>
            <w:rPr/>
          </w:pPr>
          <w:hyperlink w:anchor="__RefHeading___Toc1265730_653776707">
            <w:r>
              <w:rPr>
                <w:webHidden/>
                <w:rStyle w:val="IndexLink"/>
                <w:rtl w:val="true"/>
              </w:rPr>
              <w:t>العاشر</w:t>
            </w:r>
            <w:r>
              <w:rPr>
                <w:rStyle w:val="IndexLink"/>
                <w:rtl w:val="true"/>
              </w:rPr>
              <w:t xml:space="preserve">: </w:t>
            </w:r>
            <w:r>
              <w:rPr>
                <w:rStyle w:val="IndexLink"/>
                <w:rtl w:val="true"/>
              </w:rPr>
              <w:t>الأصابع</w:t>
            </w:r>
            <w:r>
              <w:rPr>
                <w:rStyle w:val="IndexLink"/>
                <w:rtl w:val="true"/>
              </w:rPr>
              <w:tab/>
            </w:r>
            <w:r>
              <w:rPr>
                <w:rStyle w:val="IndexLink"/>
              </w:rPr>
              <w:t>335</w:t>
            </w:r>
          </w:hyperlink>
        </w:p>
        <w:p>
          <w:pPr>
            <w:pStyle w:val="Contents5"/>
            <w:tabs>
              <w:tab w:val="clear" w:pos="7892"/>
              <w:tab w:val="right" w:pos="9026" w:leader="dot"/>
            </w:tabs>
            <w:rPr/>
          </w:pPr>
          <w:hyperlink w:anchor="__RefHeading___Toc1265732_653776707">
            <w:r>
              <w:rPr>
                <w:webHidden/>
                <w:rStyle w:val="IndexLink"/>
                <w:rtl w:val="true"/>
              </w:rPr>
              <w:t>الحادی عشر</w:t>
            </w:r>
            <w:r>
              <w:rPr>
                <w:rStyle w:val="IndexLink"/>
                <w:rtl w:val="true"/>
              </w:rPr>
              <w:t xml:space="preserve">: </w:t>
            </w:r>
            <w:r>
              <w:rPr>
                <w:rStyle w:val="IndexLink"/>
                <w:rtl w:val="true"/>
              </w:rPr>
              <w:t>الظهر</w:t>
            </w:r>
            <w:r>
              <w:rPr>
                <w:rStyle w:val="IndexLink"/>
                <w:rtl w:val="true"/>
              </w:rPr>
              <w:tab/>
            </w:r>
            <w:r>
              <w:rPr>
                <w:rStyle w:val="IndexLink"/>
              </w:rPr>
              <w:t>335</w:t>
            </w:r>
          </w:hyperlink>
        </w:p>
        <w:p>
          <w:pPr>
            <w:pStyle w:val="Contents5"/>
            <w:tabs>
              <w:tab w:val="clear" w:pos="7892"/>
              <w:tab w:val="right" w:pos="9026" w:leader="dot"/>
            </w:tabs>
            <w:rPr/>
          </w:pPr>
          <w:hyperlink w:anchor="__RefHeading___Toc1265734_653776707">
            <w:r>
              <w:rPr>
                <w:webHidden/>
                <w:rStyle w:val="IndexLink"/>
                <w:rtl w:val="true"/>
              </w:rPr>
              <w:t>الثانی عشر</w:t>
            </w:r>
            <w:r>
              <w:rPr>
                <w:rStyle w:val="IndexLink"/>
                <w:rtl w:val="true"/>
              </w:rPr>
              <w:t xml:space="preserve">: </w:t>
            </w:r>
            <w:r>
              <w:rPr>
                <w:rStyle w:val="IndexLink"/>
                <w:rtl w:val="true"/>
              </w:rPr>
              <w:t>الثدیان</w:t>
            </w:r>
            <w:r>
              <w:rPr>
                <w:rStyle w:val="IndexLink"/>
                <w:rtl w:val="true"/>
              </w:rPr>
              <w:tab/>
            </w:r>
            <w:r>
              <w:rPr>
                <w:rStyle w:val="IndexLink"/>
              </w:rPr>
              <w:t>336</w:t>
            </w:r>
          </w:hyperlink>
        </w:p>
        <w:p>
          <w:pPr>
            <w:pStyle w:val="Contents5"/>
            <w:tabs>
              <w:tab w:val="clear" w:pos="7892"/>
              <w:tab w:val="right" w:pos="9026" w:leader="dot"/>
            </w:tabs>
            <w:rPr/>
          </w:pPr>
          <w:hyperlink w:anchor="__RefHeading___Toc1265736_653776707">
            <w:r>
              <w:rPr>
                <w:webHidden/>
                <w:rStyle w:val="IndexLink"/>
                <w:rtl w:val="true"/>
              </w:rPr>
              <w:t>الثالث عشر</w:t>
            </w:r>
            <w:r>
              <w:rPr>
                <w:rStyle w:val="IndexLink"/>
                <w:rtl w:val="true"/>
              </w:rPr>
              <w:t xml:space="preserve">: </w:t>
            </w:r>
            <w:r>
              <w:rPr>
                <w:rStyle w:val="IndexLink"/>
                <w:rtl w:val="true"/>
              </w:rPr>
              <w:t>الذکر والخصیتان</w:t>
            </w:r>
            <w:r>
              <w:rPr>
                <w:rStyle w:val="IndexLink"/>
                <w:rtl w:val="true"/>
              </w:rPr>
              <w:tab/>
            </w:r>
            <w:r>
              <w:rPr>
                <w:rStyle w:val="IndexLink"/>
              </w:rPr>
              <w:t>336</w:t>
            </w:r>
          </w:hyperlink>
        </w:p>
        <w:p>
          <w:pPr>
            <w:pStyle w:val="Contents5"/>
            <w:tabs>
              <w:tab w:val="clear" w:pos="7892"/>
              <w:tab w:val="right" w:pos="9026" w:leader="dot"/>
            </w:tabs>
            <w:rPr/>
          </w:pPr>
          <w:hyperlink w:anchor="__RefHeading___Toc1265738_653776707">
            <w:r>
              <w:rPr>
                <w:webHidden/>
                <w:rStyle w:val="IndexLink"/>
                <w:rtl w:val="true"/>
              </w:rPr>
              <w:t>الرابع عشر</w:t>
            </w:r>
            <w:r>
              <w:rPr>
                <w:rStyle w:val="IndexLink"/>
                <w:rtl w:val="true"/>
              </w:rPr>
              <w:t xml:space="preserve">: </w:t>
            </w:r>
            <w:r>
              <w:rPr>
                <w:rStyle w:val="IndexLink"/>
                <w:rtl w:val="true"/>
              </w:rPr>
              <w:t>الفرج</w:t>
            </w:r>
            <w:r>
              <w:rPr>
                <w:rStyle w:val="IndexLink"/>
                <w:rtl w:val="true"/>
              </w:rPr>
              <w:tab/>
            </w:r>
            <w:r>
              <w:rPr>
                <w:rStyle w:val="IndexLink"/>
              </w:rPr>
              <w:t>336</w:t>
            </w:r>
          </w:hyperlink>
        </w:p>
        <w:p>
          <w:pPr>
            <w:pStyle w:val="Contents5"/>
            <w:tabs>
              <w:tab w:val="clear" w:pos="7892"/>
              <w:tab w:val="right" w:pos="9026" w:leader="dot"/>
            </w:tabs>
            <w:rPr/>
          </w:pPr>
          <w:hyperlink w:anchor="__RefHeading___Toc1265740_653776707">
            <w:r>
              <w:rPr>
                <w:webHidden/>
                <w:rStyle w:val="IndexLink"/>
                <w:rtl w:val="true"/>
              </w:rPr>
              <w:t>الخامس عشر</w:t>
            </w:r>
            <w:r>
              <w:rPr>
                <w:rStyle w:val="IndexLink"/>
                <w:rtl w:val="true"/>
              </w:rPr>
              <w:t xml:space="preserve">: </w:t>
            </w:r>
            <w:r>
              <w:rPr>
                <w:rStyle w:val="IndexLink"/>
                <w:rtl w:val="true"/>
              </w:rPr>
              <w:t>الرِّجلان</w:t>
            </w:r>
            <w:r>
              <w:rPr>
                <w:rStyle w:val="IndexLink"/>
                <w:rtl w:val="true"/>
              </w:rPr>
              <w:tab/>
            </w:r>
            <w:r>
              <w:rPr>
                <w:rStyle w:val="IndexLink"/>
              </w:rPr>
              <w:t>336</w:t>
            </w:r>
          </w:hyperlink>
        </w:p>
        <w:p>
          <w:pPr>
            <w:pStyle w:val="Contents5"/>
            <w:tabs>
              <w:tab w:val="clear" w:pos="7892"/>
              <w:tab w:val="right" w:pos="9026" w:leader="dot"/>
            </w:tabs>
            <w:rPr/>
          </w:pPr>
          <w:hyperlink w:anchor="__RefHeading___Toc1265742_653776707">
            <w:r>
              <w:rPr>
                <w:webHidden/>
                <w:rStyle w:val="IndexLink"/>
                <w:rtl w:val="true"/>
              </w:rPr>
              <w:t>السادس عشر</w:t>
            </w:r>
            <w:r>
              <w:rPr>
                <w:rStyle w:val="IndexLink"/>
                <w:rtl w:val="true"/>
              </w:rPr>
              <w:t xml:space="preserve">: </w:t>
            </w:r>
            <w:r>
              <w:rPr>
                <w:rStyle w:val="IndexLink"/>
                <w:rtl w:val="true"/>
              </w:rPr>
              <w:t>الأضلاع</w:t>
            </w:r>
            <w:r>
              <w:rPr>
                <w:rStyle w:val="IndexLink"/>
                <w:rtl w:val="true"/>
              </w:rPr>
              <w:tab/>
            </w:r>
            <w:r>
              <w:rPr>
                <w:rStyle w:val="IndexLink"/>
              </w:rPr>
              <w:t>337</w:t>
            </w:r>
          </w:hyperlink>
        </w:p>
        <w:p>
          <w:pPr>
            <w:pStyle w:val="Contents4"/>
            <w:tabs>
              <w:tab w:val="clear" w:pos="8176"/>
              <w:tab w:val="right" w:pos="9026" w:leader="dot"/>
            </w:tabs>
            <w:rPr/>
          </w:pPr>
          <w:hyperlink w:anchor="__RefHeading___Toc1265744_653776707">
            <w:r>
              <w:rPr>
                <w:webHidden/>
                <w:rStyle w:val="IndexLink"/>
                <w:rtl w:val="true"/>
              </w:rPr>
              <w:t>المقصد الثانی</w:t>
            </w:r>
            <w:r>
              <w:rPr>
                <w:rStyle w:val="IndexLink"/>
                <w:rtl w:val="true"/>
              </w:rPr>
              <w:t xml:space="preserve">: </w:t>
            </w:r>
            <w:r>
              <w:rPr>
                <w:rStyle w:val="IndexLink"/>
                <w:rtl w:val="true"/>
              </w:rPr>
              <w:t>فی الجنایة علی المنافع</w:t>
            </w:r>
            <w:r>
              <w:rPr>
                <w:rStyle w:val="IndexLink"/>
                <w:rtl w:val="true"/>
              </w:rPr>
              <w:tab/>
            </w:r>
            <w:r>
              <w:rPr>
                <w:rStyle w:val="IndexLink"/>
              </w:rPr>
              <w:t>337</w:t>
            </w:r>
          </w:hyperlink>
        </w:p>
        <w:p>
          <w:pPr>
            <w:pStyle w:val="Contents4"/>
            <w:tabs>
              <w:tab w:val="clear" w:pos="8176"/>
              <w:tab w:val="right" w:pos="9026" w:leader="dot"/>
            </w:tabs>
            <w:rPr/>
          </w:pPr>
          <w:hyperlink w:anchor="__RefHeading___Toc1265746_653776707">
            <w:r>
              <w:rPr>
                <w:webHidden/>
                <w:rStyle w:val="IndexLink"/>
                <w:rtl w:val="true"/>
              </w:rPr>
              <w:t>المقصد الثالث</w:t>
            </w:r>
            <w:r>
              <w:rPr>
                <w:rStyle w:val="IndexLink"/>
                <w:rtl w:val="true"/>
              </w:rPr>
              <w:t xml:space="preserve">: </w:t>
            </w:r>
            <w:r>
              <w:rPr>
                <w:rStyle w:val="IndexLink"/>
                <w:rtl w:val="true"/>
              </w:rPr>
              <w:t>فی الشجاج والجراح</w:t>
            </w:r>
            <w:r>
              <w:rPr>
                <w:rStyle w:val="IndexLink"/>
                <w:rtl w:val="true"/>
              </w:rPr>
              <w:tab/>
            </w:r>
            <w:r>
              <w:rPr>
                <w:rStyle w:val="IndexLink"/>
              </w:rPr>
              <w:t>338</w:t>
            </w:r>
          </w:hyperlink>
        </w:p>
        <w:p>
          <w:pPr>
            <w:pStyle w:val="Contents3"/>
            <w:tabs>
              <w:tab w:val="clear" w:pos="8459"/>
              <w:tab w:val="right" w:pos="9026" w:leader="dot"/>
            </w:tabs>
            <w:rPr/>
          </w:pPr>
          <w:hyperlink w:anchor="__RefHeading___Toc1265748_653776707">
            <w:r>
              <w:rPr>
                <w:webHidden/>
                <w:rStyle w:val="IndexLink"/>
                <w:rtl w:val="true"/>
              </w:rPr>
              <w:t>فی اللواحق</w:t>
            </w:r>
            <w:r>
              <w:rPr>
                <w:rStyle w:val="IndexLink"/>
                <w:rtl w:val="true"/>
              </w:rPr>
              <w:tab/>
            </w:r>
            <w:r>
              <w:rPr>
                <w:rStyle w:val="IndexLink"/>
              </w:rPr>
              <w:t>340</w:t>
            </w:r>
          </w:hyperlink>
        </w:p>
        <w:p>
          <w:pPr>
            <w:pStyle w:val="Contents4"/>
            <w:tabs>
              <w:tab w:val="clear" w:pos="8176"/>
              <w:tab w:val="right" w:pos="9026" w:leader="dot"/>
            </w:tabs>
            <w:rPr/>
          </w:pPr>
          <w:hyperlink w:anchor="__RefHeading___Toc1265750_653776707">
            <w:r>
              <w:rPr>
                <w:webHidden/>
                <w:rStyle w:val="IndexLink"/>
                <w:rtl w:val="true"/>
              </w:rPr>
              <w:t>وهی اُمور</w:t>
            </w:r>
            <w:r>
              <w:rPr>
                <w:rStyle w:val="IndexLink"/>
                <w:rtl w:val="true"/>
              </w:rPr>
              <w:t>:</w:t>
              <w:tab/>
            </w:r>
            <w:r>
              <w:rPr>
                <w:rStyle w:val="IndexLink"/>
              </w:rPr>
              <w:t>340</w:t>
            </w:r>
          </w:hyperlink>
        </w:p>
        <w:p>
          <w:pPr>
            <w:pStyle w:val="Contents5"/>
            <w:tabs>
              <w:tab w:val="clear" w:pos="7892"/>
              <w:tab w:val="right" w:pos="9026" w:leader="dot"/>
            </w:tabs>
            <w:rPr/>
          </w:pPr>
          <w:hyperlink w:anchor="__RefHeading___Toc1265752_653776707">
            <w:r>
              <w:rPr>
                <w:webHidden/>
                <w:rStyle w:val="IndexLink"/>
                <w:rtl w:val="true"/>
              </w:rPr>
              <w:t>الأوّل</w:t>
            </w:r>
            <w:r>
              <w:rPr>
                <w:rStyle w:val="IndexLink"/>
                <w:rtl w:val="true"/>
              </w:rPr>
              <w:t xml:space="preserve">: </w:t>
            </w:r>
            <w:r>
              <w:rPr>
                <w:rStyle w:val="IndexLink"/>
                <w:rtl w:val="true"/>
              </w:rPr>
              <w:t>فی الجنین</w:t>
            </w:r>
            <w:r>
              <w:rPr>
                <w:rStyle w:val="IndexLink"/>
                <w:rtl w:val="true"/>
              </w:rPr>
              <w:tab/>
            </w:r>
            <w:r>
              <w:rPr>
                <w:rStyle w:val="IndexLink"/>
              </w:rPr>
              <w:t>340</w:t>
            </w:r>
          </w:hyperlink>
        </w:p>
        <w:p>
          <w:pPr>
            <w:pStyle w:val="Contents5"/>
            <w:tabs>
              <w:tab w:val="clear" w:pos="7892"/>
              <w:tab w:val="right" w:pos="9026" w:leader="dot"/>
            </w:tabs>
            <w:rPr/>
          </w:pPr>
          <w:hyperlink w:anchor="__RefHeading___Toc1265754_653776707">
            <w:r>
              <w:rPr>
                <w:webHidden/>
                <w:rStyle w:val="IndexLink"/>
                <w:rtl w:val="true"/>
              </w:rPr>
              <w:t>الثانی</w:t>
            </w:r>
            <w:r>
              <w:rPr>
                <w:rStyle w:val="IndexLink"/>
                <w:rtl w:val="true"/>
              </w:rPr>
              <w:t xml:space="preserve">: </w:t>
            </w:r>
            <w:r>
              <w:rPr>
                <w:rStyle w:val="IndexLink"/>
                <w:rtl w:val="true"/>
              </w:rPr>
              <w:t>فی العاقلة</w:t>
            </w:r>
            <w:r>
              <w:rPr>
                <w:rStyle w:val="IndexLink"/>
                <w:rtl w:val="true"/>
              </w:rPr>
              <w:tab/>
            </w:r>
            <w:r>
              <w:rPr>
                <w:rStyle w:val="IndexLink"/>
              </w:rPr>
              <w:t>341</w:t>
            </w:r>
          </w:hyperlink>
        </w:p>
        <w:p>
          <w:pPr>
            <w:pStyle w:val="Contents5"/>
            <w:tabs>
              <w:tab w:val="clear" w:pos="7892"/>
              <w:tab w:val="right" w:pos="9026" w:leader="dot"/>
            </w:tabs>
            <w:rPr/>
          </w:pPr>
          <w:hyperlink w:anchor="__RefHeading___Toc1265756_653776707">
            <w:r>
              <w:rPr>
                <w:webHidden/>
                <w:rStyle w:val="IndexLink"/>
                <w:rtl w:val="true"/>
              </w:rPr>
              <w:t>الثالث</w:t>
            </w:r>
            <w:r>
              <w:rPr>
                <w:rStyle w:val="IndexLink"/>
                <w:rtl w:val="true"/>
              </w:rPr>
              <w:t xml:space="preserve">: </w:t>
            </w:r>
            <w:r>
              <w:rPr>
                <w:rStyle w:val="IndexLink"/>
                <w:rtl w:val="true"/>
              </w:rPr>
              <w:t>فی الجنایة علی الحیوان ونحو ذلک</w:t>
            </w:r>
            <w:r>
              <w:rPr>
                <w:rStyle w:val="IndexLink"/>
                <w:rtl w:val="true"/>
              </w:rPr>
              <w:tab/>
            </w:r>
            <w:r>
              <w:rPr>
                <w:rStyle w:val="IndexLink"/>
              </w:rPr>
              <w:t>341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76_56728"/>
      <w:bookmarkStart w:id="1" w:name="pg6476_56728"/>
      <w:bookmarkEnd w:id="1"/>
    </w:p>
    <w:p>
      <w:pPr>
        <w:pStyle w:val="Heading2"/>
        <w:numPr>
          <w:ilvl w:val="1"/>
          <w:numId w:val="1"/>
        </w:numPr>
        <w:rPr/>
      </w:pPr>
      <w:bookmarkStart w:id="2" w:name="pg6476_56728"/>
      <w:bookmarkStart w:id="3" w:name="__RefHeading___Toc1265060_65377670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تحریر‌الوسیله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تحریرالوسیلة للامام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المشکینی؛ محقق سیدمرتضی سیدابراهیمی؛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الموتمرالعام لذکری آیةالله علی المشکینی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دارالحدیث‌العلمیه و الثقافیة، مرکز للطباعه و النشر،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مجموعة آثار آیة‌الله علی المشکینی؛ </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تحریر‌الوسیله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مشکینی اردبیلی، علی،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سیدابراهیمی، سیدمرتضی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همایش بزرگداشت آیت‌الله مشکینی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۳۰۱۵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۳۸۰۷۳۲۶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65062_65377670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تحریر تحریرالوسیلة للامام الخمینی</w:t>
      </w:r>
    </w:p>
    <w:p>
      <w:pPr>
        <w:pStyle w:val="BookText"/>
        <w:rPr/>
      </w:pPr>
      <w:r>
        <w:rPr>
          <w:rFonts w:ascii="IRNazanin" w:hAnsi="IRNazanin" w:eastAsia="IRNazanin"/>
          <w:color w:val="111111"/>
          <w:sz w:val="28"/>
          <w:sz w:val="28"/>
          <w:szCs w:val="28"/>
          <w:rtl w:val="true"/>
          <w:lang w:bidi="fa-IR"/>
        </w:rPr>
        <w:t>علی المشکینی</w:t>
      </w:r>
    </w:p>
    <w:p>
      <w:pPr>
        <w:pStyle w:val="BookText"/>
        <w:rPr/>
      </w:pPr>
      <w:r>
        <w:rPr>
          <w:rFonts w:ascii="IRNazanin" w:hAnsi="IRNazanin" w:eastAsia="IRNazanin"/>
          <w:color w:val="111111"/>
          <w:sz w:val="28"/>
          <w:sz w:val="28"/>
          <w:szCs w:val="28"/>
          <w:rtl w:val="true"/>
          <w:lang w:bidi="fa-IR"/>
        </w:rPr>
        <w:t>محقق سیدمرتضی سیدابراهیمی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الموتمرالعام لذکری آیةالله علی المشکینی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6476_56732"/>
    </w:p>
    <w:p>
      <w:pPr>
        <w:pStyle w:val="Heading2"/>
        <w:numPr>
          <w:ilvl w:val="1"/>
          <w:numId w:val="1"/>
        </w:numPr>
        <w:rPr/>
      </w:pPr>
      <w:bookmarkStart w:id="8" w:name="__RefHeading___Toc1265064_653776707"/>
      <w:bookmarkStart w:id="9" w:name="_Toc3"/>
      <w:bookmarkEnd w:id="7"/>
      <w:bookmarkEnd w:id="8"/>
      <w:r>
        <w:rPr>
          <w:rtl w:val="true"/>
        </w:rPr>
        <w:t>المقدّمة</w:t>
      </w:r>
      <w:bookmarkEnd w:id="9"/>
    </w:p>
    <w:p>
      <w:pPr>
        <w:pStyle w:val="Heading3"/>
        <w:numPr>
          <w:ilvl w:val="2"/>
          <w:numId w:val="1"/>
        </w:numPr>
        <w:rPr/>
      </w:pPr>
      <w:bookmarkStart w:id="10" w:name="__RefHeading___Toc1265066_653776707"/>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من معالم المجتمع الحی والفاعل والتوّاق إلی الکمال، تکریم ذوی العلم والورع وتخلیدهم، کما ینمّ هذا العمل أیضاً عن اعتزاز هذا المجتمع بما لدیه من طاقات 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یُعتبر آیة اللّه المیرزا علی المشکینی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تصادف الیوم الذکری السنویة الاُولی لرحیله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نوادر مَن قرنوا العلم بالعمل، ومزجوا الزهد وبساطة العیش بالکفاح والنشاط الاجتماعی، وقد کانت حیاته ذات جوانب واسعة، وحری أن تنال ما تستحقّه من التحلیل والدراسة؛ لتکون منهلاً تنتفع منه الأجیال القادمة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أهمّ هذه الجوانب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سجایاه الأخلاقیة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التدریس وإعداد العلماء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والتألیف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النشاطات الاجتماعیة والسیاسیة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خلّف المرحوم وراءه الکثیر من الکتابات والدروس والمحاضرات الجدیرة بأن یجری إعدادها، بحیث تنتفع منها الأوساط العلمیة وعموم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النیّة بإذن اللّه وعزم الخیّرین من محبّیه، أن یجری إعداد هذه المجموعة تدریجیاً لتکون فی متناول أیدی الجمیع، وسیصدر القسم الأوّل منها علی أعتاب الذکری السنویة الأُولی لرحیله، علی أن یُؤتی المتبقّی ثماره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 الباری تعالی أن یتغمّد روح هذا الرجل بواسع رحمته ویحشره مع صالح أولیائه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المحمّدی الرَّیشهری</w:t>
      </w:r>
      <w:bookmarkStart w:id="12" w:name="pg6476_56734"/>
    </w:p>
    <w:p>
      <w:pPr>
        <w:pStyle w:val="Heading3"/>
        <w:numPr>
          <w:ilvl w:val="2"/>
          <w:numId w:val="1"/>
        </w:numPr>
        <w:rPr/>
      </w:pPr>
      <w:bookmarkStart w:id="13" w:name="__RefHeading___Toc1265068_653776707"/>
      <w:bookmarkStart w:id="14" w:name="_Toc5"/>
      <w:bookmarkEnd w:id="12"/>
      <w:bookmarkEnd w:id="13"/>
      <w:r>
        <w:rPr>
          <w:rtl w:val="true"/>
        </w:rPr>
        <w:t>إلماحات</w:t>
      </w:r>
      <w:bookmarkEnd w:id="1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سماحة آیة اللّه المیرزا علی أکبر فیض المعروف بالمشکینی فی عام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إحدی قری مشکین شهر فی محافظة أردبیل، وتوفّی فی شهر مرداد من عام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المصادف الخامس عشر شهر رجب عام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بدأ الدراسة الأوّلیة فی النجف الأشرف، حینما کان والده یدرّس العلوم الدینیة فی تلک الحوزة المقدّسة، وبعد العودة إلی الوطن واصل دراسة العلوم الدینیة علی ید والده، وبعد وفاة الوالد توجّه إلی الحوزة العلمیة فی أردبیل لمواصلة دراسته، واستمرّ بدراسة المقدّمات لعدّة أشهر، بید أنّه ما لبث أن قصد مدینة قُمّ المقدّسة لمواصلة الدراسة فیها، وحضر هناک دروس السیّد محمّد حجّت کوه کمری، والمحقّق الداماد، والسیّد البروجردی، والإمام الخمینی، وفی هذه الفترة من حیاته هاجر لمدّة قصیرة إلی النجف الأشرف، وأقام هناک مدّة تناهز سبعة أشهر، درس علی ید الأساتذة فیها، ولکنّه اضطرّ إلی العودة إلی بلده بسبب حرارة جوّ النجف وضعف قواه البدنیة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آیة اللّه علی المشکینی واحداً من الأساتذة البارزین فی الحوزة العلمیة فی قمّ المقدّسة، وکانت دروسه فی المقدّمات والسطوح العلیا، ودروسه کذلک فی التفسیر والأخلاق، ودرس الخارج فی الفقه، موضع اهتمام وإقبال کبیر، وتربّی علی یده عدد کبیر من التلامیذ</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حیاة آیة اللّه علی المشکینی ذات جوانب واسعة، فهو من جهة کان مدرّساً مرموقاً فی الحوزات العلمیة، ومن جهة أُخری کان محقّقاً وکاتباً دؤوباً وصاحب آثار کثیرة، وإلی جانب هذین المجالین کان لدیه أیضاً اهتمام خاصّ</w:t>
      </w:r>
    </w:p>
    <w:p>
      <w:pPr>
        <w:pStyle w:val="BookText"/>
        <w:rPr/>
      </w:pPr>
      <w:r>
        <w:rPr>
          <w:rFonts w:ascii="IRNazanin" w:hAnsi="IRNazanin" w:eastAsia="IRNazanin"/>
          <w:color w:val="111111"/>
          <w:sz w:val="28"/>
          <w:sz w:val="28"/>
          <w:szCs w:val="28"/>
          <w:rtl w:val="true"/>
          <w:lang w:bidi="fa-IR"/>
        </w:rPr>
        <w:t>بالنشاطات الاجتماعیة والسیاسیة والثقافیة، سواء قبل انتصار الثورة الإسلامیة أم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یلی نستعرض آثاره العلمیة وجهوده ونشاطاته الاجتماعیة والسیاسیة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آثاره</w:t>
      </w:r>
    </w:p>
    <w:p>
      <w:pPr>
        <w:pStyle w:val="BookText"/>
        <w:rPr/>
      </w:pPr>
      <w:r>
        <w:rPr>
          <w:rFonts w:ascii="IRNazanin" w:hAnsi="IRNazanin" w:eastAsia="IRNazanin"/>
          <w:color w:val="111111"/>
          <w:sz w:val="28"/>
          <w:sz w:val="28"/>
          <w:szCs w:val="28"/>
          <w:rtl w:val="true"/>
          <w:lang w:bidi="fa-IR"/>
        </w:rPr>
        <w:t>صدرت للمرحوم آیة اللّه علی المشکینی فی زمان حیاته الآثار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اصطلاحات الأُصول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مصطلحات 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الفقه المأثور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دورة فقه بأُسلوب حدیث</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دروس فی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دورة أخلاق باللغة العربیة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ازدواج در 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الزواج فی‌الإسلام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المنافع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کتاب إحیاء الموات من کتاب شرائع الإسلام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دعاء استکمالاً لکتاب المصباح المنیر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المواعظ العددیة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واجب وحرام أحکام إلزامی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دورة فی الفقه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قصار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 قصیرة تحت عناوین موضوعیة، مجلّدان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ترجمة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اللغة الفارسیة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الهادی إلی موضوعات نهج البلاغة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سورة آل عمران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واجبات ومحرّمات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 ما هو واجب أو حرام فی الشریعة، سواء کان اعتقادیاً أم عملیاً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نظریة تکامل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التکامل فی القرآن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مسلکنا فی العقائد والأخلاق والعمل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 وآنچه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وما فیها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تقلید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التقلید؟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الخُمس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توضیحی بر کتاب مضاربه العروة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توضیحیة علی کتاب المضاربة من العروة الوثقی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 بترتیب موضوعی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المواعظ</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الرسائل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طبعاً کتابات کثیرة لم تُنشر إلی الآن، 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روان برای نسل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المیسّر للشباب</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وشرح فارسی سه کتاب مضاربه، مزارعه وشرکت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العروة الوثقی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ترجمة وشرح باللغة الفارسیة لثلاثة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المضاربة، والمزارعة والشرکة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کتاب العروة الوثقی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التعلیقة الاستدلالیة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التدریس</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یترک آیة اللّه علی المشکینی التدریس قطّ طیلة حیاته العلمیة، وهو یُعدّ فی عِداد الأساتذة المشهورین وأصحاب البیان الحسن فی الحوزات العلمیة، وکان یدرّس المقدّمات، والسطح، والخارج فی الحوزات العلمیة، وفضلاً عن ذلک کان یلقی دروساً أُسبوعیة فی تفسیر القرآن والأخلاق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النشاطات الاجتماعیة والسیاسیة</w:t>
      </w:r>
    </w:p>
    <w:p>
      <w:pPr>
        <w:pStyle w:val="BookText"/>
        <w:rPr/>
      </w:pPr>
      <w:r>
        <w:rPr>
          <w:rFonts w:ascii="IRNazanin" w:hAnsi="IRNazanin" w:eastAsia="IRNazanin"/>
          <w:color w:val="111111"/>
          <w:sz w:val="28"/>
          <w:sz w:val="28"/>
          <w:szCs w:val="28"/>
          <w:rtl w:val="true"/>
          <w:lang w:bidi="fa-IR"/>
        </w:rPr>
        <w:t>النشاطات السیاسیة لآیة اللّه علی المشکینی قبل انتصار الثورة الإسلامیة ومواکبته لنهضة الإمام الخمینی غیر خافیة علی أحد، فقد کان اسمه یُطرح علی الدوام بصفته أحد أبرز أنصار الإمام رحمه الله، ومن أبرز محطّات هذه النشاطات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توقیع الرسالة المعروفة بإعلان مرجعیة الإمام 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هجرته الجبریة إلی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تبعیده إلی کرمان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تبعیده إلی گلپایگان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تبعیده إلی کاشمر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النشاطات الثقافیة</w:t>
      </w:r>
    </w:p>
    <w:p>
      <w:pPr>
        <w:pStyle w:val="BookText"/>
        <w:rPr/>
      </w:pPr>
      <w:r>
        <w:rPr>
          <w:rFonts w:ascii="IRNazanin" w:hAnsi="IRNazanin" w:eastAsia="IRNazanin"/>
          <w:color w:val="111111"/>
          <w:sz w:val="28"/>
          <w:sz w:val="28"/>
          <w:szCs w:val="28"/>
          <w:rtl w:val="true"/>
          <w:lang w:bidi="fa-IR"/>
        </w:rPr>
        <w:t xml:space="preserve">إلی جانب النشاطات الاجتماعیة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السیاسیة، کان لآیة اللّه علی المشکینی اهتمام بالعمل الثقافی أیضاً، ومن أبرز معالم هذا الاهتمام، قیامه بالأعمال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تأسیس مؤسّسة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للطباعة ونشر الکتب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إنشاء 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العلمیة لتربیة طلبة العلوم الدینیة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مستشفی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لمعالجة المرضی من ذوی الدخل المحدود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المناصب والمسؤولیات فی الجمهوریة الإسلامیة فی إیران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ثمّ رئیس جماعة المدرّسین فی الحوزة العلمیة فی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مجلس خبراء صیاغة الدستور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مسؤول اختیار وتعیین القُضاة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إمام جمعة قمّ المقدّسة، وفقاً للحکم الصادر من الإمام الخمینی رحمه الله، وآیة اللّه علی خامنئی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عضو ثمّ رئیس لجنة مراجعة الدستور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ثمّ رئیس مجلس خبراء القیادة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وانطلاقاً من الحرص علی تقدیر جهود هذا الرجل الربّانی وتخلید ذکراه، وکذلک رغبة فی توفیر الأجواء لایجاد مزید من الاطّلاع لدی الأوساط العلمیّة وعموم الناس علی حیاته وأفکاره وآثاره، تُبذل حالیاً جهود لنشر تراثه العلمی والعملی، وهی کالتالی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آثار آیة اللّه علی المشکینی</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المحاضرات والخطب و الکتابات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مجلس خبراء القیادة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جماعة المدرّسین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الرسائل والمحاضرات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 صلاة الجمعة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دروس الأخلاق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دروس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الآثار العلمیة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التخصّصیة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 التحریر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التعلیقة الاستدلالیة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الوسیلة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المبسّط</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مجموعة المقالات المنشورة له فی الصحف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آیة اللّه علی المشکینی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اللقاءات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جاء حوله فی وثائق جهاز الأمن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السافاک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الوسیلة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الأثر تلخیص لکتاب تحریر الوسیلة لسماحة آیة اللّه العظمی الامام الخمینی، وقد ذکر آیة اللّه علی المشکینی فی بیان الغایة من کتابة هذا التلخیص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الوجیزة تلخیص لکتاب تحریر الوسیلة لآیة اللّه المجاهد الکبیر ونابغة العصر والفقیه الفذّ والفیلسوف العارف إمام الأُمّة سماحة آیة اللّه العظمی السیّد الخمینی مُدّ ظلّه، وقد جاء بهدف انتقاء المسائل التی تکون مورد ابتلاء أکثر بالنسبة إلی الأشخاص أو الجهات أو المؤسّسات التی لایتوفّر لدیها المجال للنظر فی المسائل التفصیلیة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أخذت بنظر الاعتبار فی هذا التلخیص الأُمور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السعی لاختصار التفریعات المذکورة واختزال کلّ فرع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السعی لاستعمال ألفاظ أبسط، وتحاشی الاصطلاحات الفقهیة المعقّدة وغیر المأنوسة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دمج الفروع المترابطة مع بعضها حول مسألةٍ ما، مع الحفاظ علی السنخیّة بین تلک الفروع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الحرص علی انتقاء المسائل التی تکون موضع ابتلاء العموم، وحذف ما لا یکون موضع ابتلاء أو المسائل ذات الطابع العلمی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الإبقاء علی الآراء والفتاوی الواردة فی تحریر الوسیلة، مع اجتناب إدخال الاجتهاد الشخصی إلّافی حالات نادرة</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بدّ من التنبیه إلی أنّ المؤلّف قد أشار إلی هذا الکتاب فی بعض کتاباته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تحریر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وبعنوان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الأحکام فی مسائل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اُخری، وقد تمّ اختیار التسمیة الأُولی لهذا الکتاب</w:t>
      </w:r>
      <w:r>
        <w:rPr>
          <w:rFonts w:eastAsia="IRNazanin" w:cs="IRNazanin"/>
          <w:color w:val="111111"/>
          <w:sz w:val="28"/>
          <w:szCs w:val="28"/>
          <w:rtl w:val="true"/>
          <w:lang w:bidi="fa-IR"/>
        </w:rPr>
        <w:t>.</w:t>
      </w:r>
      <w:bookmarkStart w:id="15" w:name="pg6476_56740"/>
    </w:p>
    <w:p>
      <w:pPr>
        <w:pStyle w:val="Heading3"/>
        <w:numPr>
          <w:ilvl w:val="2"/>
          <w:numId w:val="1"/>
        </w:numPr>
        <w:rPr/>
      </w:pPr>
      <w:bookmarkStart w:id="16" w:name="__RefHeading___Toc1265070_653776707"/>
      <w:bookmarkStart w:id="17" w:name="_Toc6"/>
      <w:bookmarkEnd w:id="15"/>
      <w:bookmarkEnd w:id="16"/>
      <w:r>
        <w:rPr>
          <w:rtl w:val="true"/>
        </w:rPr>
        <w:t>صورة خط آیة اللّه علیّ المشکینی رحمه الله</w:t>
      </w:r>
      <w:bookmarkEnd w:id="17"/>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الوجیزة تلخیص لکتاب تحریر الوسیلة لآیة اللّه المجاهد الکبیر ونابغة العصر والفقیه الفذّ والفیلسوف العارف إمام الأُمّة سماحة آیة اللّه العظمی السیّد الخمینی مُدّ ظلّه، وقد جاء بهدف انتقاء المسائل التی تکون مورد ابتلاء أکثر بالنسبة إلی الأشخاص أو الجهات أو المؤسّسات التی لایتوفّر لدیها المجال للنظر فی المسائل التفصیلیة</w:t>
      </w:r>
      <w:r>
        <w:rPr>
          <w:rFonts w:eastAsia="IRNazanin" w:cs="IRNazanin"/>
          <w:color w:val="111111"/>
          <w:sz w:val="28"/>
          <w:szCs w:val="28"/>
          <w:rtl w:val="true"/>
          <w:lang w:bidi="fa-IR"/>
        </w:rPr>
        <w:t>.</w:t>
      </w:r>
      <w:bookmarkStart w:id="18" w:name="pg6476_56742"/>
    </w:p>
    <w:p>
      <w:pPr>
        <w:pStyle w:val="Heading2"/>
        <w:numPr>
          <w:ilvl w:val="1"/>
          <w:numId w:val="1"/>
        </w:numPr>
        <w:rPr/>
      </w:pPr>
      <w:bookmarkStart w:id="19" w:name="__RefHeading___Toc1265072_653776707"/>
      <w:bookmarkStart w:id="20" w:name="_Toc7"/>
      <w:bookmarkEnd w:id="18"/>
      <w:bookmarkEnd w:id="19"/>
      <w:r>
        <w:rPr>
          <w:rtl w:val="true"/>
        </w:rPr>
        <w:t>مسائل الاجتهاد والتقلید</w:t>
      </w:r>
      <w:bookmarkEnd w:id="20"/>
    </w:p>
    <w:p>
      <w:pPr>
        <w:pStyle w:val="BookText"/>
        <w:rPr/>
      </w:pPr>
      <w:r>
        <w:rPr>
          <w:rFonts w:ascii="IRNazanin" w:hAnsi="IRNazanin" w:eastAsia="IRNazanin"/>
          <w:color w:val="111111"/>
          <w:sz w:val="28"/>
          <w:sz w:val="28"/>
          <w:szCs w:val="28"/>
          <w:rtl w:val="true"/>
          <w:lang w:bidi="fa-IR"/>
        </w:rPr>
        <w:t>یجب علی کلّ مکلّف أن یکون فی عباداته ومعاملاته وجمیع أعماله إمّا مجتهداً، أو مقلِّداً، أو محتاطاً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التقلید هو العمل مستنداً إلی فتوی فقیه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أن یکون المرجع للتقلید مجتهداً عادلاً، 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من الفقهاء، صائناً لنفسه، حافظاً لدینه، مخالفاً لهواه، مطیعاً لأمر مولاه، فللعوامّ أن یقلّدوه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العدول بعد تحقّق التقلید من الحیّ إلی الحیّ المساوی، ویجب إذا کان الثانی أعلم علی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تقلید الأعلم مع الإمکان علی الأحوط، ویجب الفحص عنه، وإذا تساوی المجتهدان فی العلم أو لم یعلم الأعلم، تخیَّر بینهما، کما یجوز التبعیض فی المسائل بأخذ بعضها من أحدهما وبعضها من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یکن للأعلم فتوی فی مسألة من المسائل، یجوز له الرجوع فی تلک المسألة إلی غیره الأعلم فالأعلم علی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قلّد من لیس له أهلیّة الفتوی ثمّ التفت وجب علیه العدول، وکذا إذا قلّد غیر الأعلم وجب العدول إلی الأعلم علی الأحوط</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تقلید المیّت ابتداءً، نعم یجوز البقاء علی تقلیده بعد تحقّقه بالعمل ببعض المسائل ولو فی المسائل التی لم یعمل بها، ویجوز الرجوع إلی</w:t>
      </w:r>
    </w:p>
    <w:p>
      <w:pPr>
        <w:pStyle w:val="BookText"/>
        <w:rPr/>
      </w:pPr>
      <w:r>
        <w:rPr>
          <w:rFonts w:ascii="IRNazanin" w:hAnsi="IRNazanin" w:eastAsia="IRNazanin"/>
          <w:color w:val="111111"/>
          <w:sz w:val="28"/>
          <w:sz w:val="28"/>
          <w:szCs w:val="28"/>
          <w:rtl w:val="true"/>
          <w:lang w:bidi="fa-IR"/>
        </w:rPr>
        <w:t>الحیّ الأعلم، ویعتبر أن یکون البقاء بتقلید الحیّ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عمل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عبادة أو 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طبق فتوی من یقلّده، فمات فقلَّد من یقول ببطلانه، یجوز له البناء علی صحّة الأعمال السابقة ولا یجب إعادتها، ووجب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بفتوی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قلّد مجتهداً من غیر فحص عن حاله، ثمّ شکّ فی کونه جامعاً للشرائط، وجب علیه الفحص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یثبت الاجتهاد بالاختبار، وبالشیاع المفید للعلم، وبشهادة عدلین من أهل الخبرة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الأعلمیّة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تقلید من لم یبلغ مرتبة الاجتهاد وإن کان من أهل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کیفیّة أخذ المسائل من المجتهد علی أنحاء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العدلین أو عدل واحد أو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إلی رسالته المأمونة من الغلط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تعلّم أجزاء العبادات وشرائطها وموانعها ومقدّماتها، ومسائل الشکّ والسهو وغیرها ممّا هو محلّ الابتلاء غالباً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العدالة عبارة عن ملکة راسخة باعثة علی ملازمة التقوی وترک المحرّمات وفعل الواجبات، وتعرف بحسن الظاهر والمواظبة علی الشرعیّات وحضور الجماعات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نقل شخص فتوی المجتهد خطأً یجب علیه إعلام مَنْ تعلّم منه</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الاحتیاط المطلق فی مقام الفتوی، من غیر سبق فتوی علی خلافه أو لحوقه کذلک، لا یجوز ترکه</w:t>
      </w:r>
      <w:r>
        <w:rPr>
          <w:rFonts w:eastAsia="IRNazanin" w:cs="IRNazanin"/>
          <w:color w:val="111111"/>
          <w:sz w:val="28"/>
          <w:szCs w:val="28"/>
          <w:rtl w:val="true"/>
          <w:lang w:bidi="fa-IR"/>
        </w:rPr>
        <w:t>.</w:t>
      </w:r>
      <w:bookmarkStart w:id="21" w:name="pg6476_56744"/>
    </w:p>
    <w:p>
      <w:pPr>
        <w:pStyle w:val="Heading2"/>
        <w:numPr>
          <w:ilvl w:val="1"/>
          <w:numId w:val="1"/>
        </w:numPr>
        <w:rPr/>
      </w:pPr>
      <w:bookmarkStart w:id="22" w:name="__RefHeading___Toc1265074_653776707"/>
      <w:bookmarkStart w:id="23" w:name="_Toc8"/>
      <w:bookmarkEnd w:id="21"/>
      <w:bookmarkEnd w:id="22"/>
      <w:r>
        <w:rPr>
          <w:rtl w:val="true"/>
        </w:rPr>
        <w:t>کتاب الطهارة</w:t>
      </w:r>
      <w:bookmarkEnd w:id="23"/>
    </w:p>
    <w:p>
      <w:pPr>
        <w:pStyle w:val="Heading3"/>
        <w:numPr>
          <w:ilvl w:val="2"/>
          <w:numId w:val="1"/>
        </w:numPr>
        <w:rPr/>
      </w:pPr>
      <w:bookmarkStart w:id="24" w:name="__RefHeading___Toc1265076_653776707"/>
      <w:bookmarkStart w:id="25" w:name="_Toc9"/>
      <w:bookmarkEnd w:id="24"/>
      <w:r>
        <w:rPr>
          <w:rtl w:val="true"/>
        </w:rPr>
        <w:t>فصل فی المیاه</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الماء قسمان؛ مطلقٌ، کالجاری والنابع والبئر والمطر والواقف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ومضافٌ، کالمعتصر من الأجسام کماء الرِقّی والرمّان، والمخلوط بها کالشای وماء السُکّر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الماء المضاف طاهرٌ وغیر مُطهِّرٍ، لا من الحدث ولا من الخبث، ولو لاقی نجساً ینجس ولو کان کرّاً، نعم لو جری من العالی کالإبریق لا ینجس العالی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الواقف من أقسام المطلق، إذا کان قلیلاً ینجس بملاقاة النجس، وإذا کان کُرّاً لا ینجس، وکذا لا ینجس سائر أقسام المطلق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جمیع أقسام المیاه ینجس فیما إذا تغیّر بسبب ملاقاة النجاسةأحدُ أوصافه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اللون والطعم والرائحة، فلو احمرّ الحوض أو اصفرّ بوقوع الدم تنجّس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یطهر الجاری وما فی حکمه لو تنجّس بالتغیّر، إذا زال تغیّره وامتزج بالمعتصم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للکرّ تقدیران،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الوزن وهو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کیلو،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المساحة وهو ما بلغ مکسّره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شبراً، والأحوط بلوغه </w:t>
      </w:r>
      <w:r>
        <w:rPr>
          <w:rFonts w:eastAsia="IRNazanin" w:cs="IRNazanin"/>
          <w:color w:val="111111"/>
          <w:sz w:val="28"/>
          <w:szCs w:val="28"/>
          <w:lang w:bidi="fa-IR"/>
        </w:rPr>
        <w:t>36</w:t>
      </w:r>
      <w:bookmarkStart w:id="26" w:name="pg6476_56745"/>
    </w:p>
    <w:p>
      <w:pPr>
        <w:pStyle w:val="BookText"/>
        <w:rPr/>
      </w:pPr>
      <w:bookmarkEnd w:id="26"/>
      <w:r>
        <w:rPr>
          <w:rFonts w:ascii="IRNazanin" w:hAnsi="IRNazanin" w:eastAsia="IRNazanin"/>
          <w:color w:val="111111"/>
          <w:sz w:val="28"/>
          <w:sz w:val="28"/>
          <w:szCs w:val="28"/>
          <w:rtl w:val="true"/>
          <w:lang w:bidi="fa-IR"/>
        </w:rPr>
        <w:t xml:space="preserve">شبراً وأحوط منه بلوغه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ماء المطر حال نزوله من السماء کالجاری لا ینجس ما لم یتغیّر، ویطهّر کلّ شیء قابل للطهارة کالأرض والفرش والظرف، إذا وصل إلی جمیعه، ولو أصاب ظاهره ولم ینفذ فیه طهر ظاهره فقط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المراد بماء المطر، القطرات النازلة والمجتمع منها تحت المطر حال تقاطره، والجاری منه إلی تحت السقف ونحوه مع اتّصاله بالخارج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الماء الراکد النجس، یطهر بنزول المطر علیه وبالاتّصال بالکر والجاری بثُقب أو اُنبوبة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الماء المستعمل فی الوضوء والغسل، طاهرٌ مطهّر للخبث والحدث، والمستعمل فی رفع الخبث نجس إلّاماء الاستنجاء، إذا لم یکن فیه عین النجاسة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اشتبه نجس بین أطراف محصورة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کإناء فی ثلاثة أو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الاجتناب عن الجمیع، نعم لو لاقی بعض الأطراف شیءٌ، لم ینجس</w:t>
      </w:r>
      <w:r>
        <w:rPr>
          <w:rFonts w:eastAsia="IRNazanin" w:cs="IRNazanin"/>
          <w:color w:val="111111"/>
          <w:sz w:val="28"/>
          <w:szCs w:val="28"/>
          <w:rtl w:val="true"/>
          <w:lang w:bidi="fa-IR"/>
        </w:rPr>
        <w:t>.</w:t>
      </w:r>
    </w:p>
    <w:p>
      <w:pPr>
        <w:pStyle w:val="Heading3"/>
        <w:numPr>
          <w:ilvl w:val="2"/>
          <w:numId w:val="1"/>
        </w:numPr>
        <w:rPr/>
      </w:pPr>
      <w:bookmarkStart w:id="27" w:name="__RefHeading___Toc1265078_653776707"/>
      <w:bookmarkStart w:id="28" w:name="_Toc10"/>
      <w:bookmarkEnd w:id="27"/>
      <w:r>
        <w:rPr>
          <w:rtl w:val="true"/>
        </w:rPr>
        <w:t>فصل فی أحکام التخلّی</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فی حال التخلّی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کسائر الأحوال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العورة عن الإنسان الممیّز، ویحرم النظر إلی عورة الغیر ولو کان مجنوناً أو طفلاً ممیّزاً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والعورة هنا القُبل والدُّبر فی الرجل والمرأة، والأحوط ستر الشعر النابت أطرافها، ویستحبّ ستر ما بین السُرّة والرّکبة</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حال التخلّی استقبال القبلة واستدبارها، والأحوط اجتنابهما فی حال الاستبراء والاستنجاء، ولو اضطرّ إلی أحدهما تخیّر، ولو دار</w:t>
      </w:r>
    </w:p>
    <w:p>
      <w:pPr>
        <w:pStyle w:val="BookText"/>
        <w:rPr/>
      </w:pPr>
      <w:r>
        <w:rPr>
          <w:rFonts w:ascii="IRNazanin" w:hAnsi="IRNazanin" w:eastAsia="IRNazanin"/>
          <w:color w:val="111111"/>
          <w:sz w:val="28"/>
          <w:sz w:val="28"/>
          <w:szCs w:val="28"/>
          <w:rtl w:val="true"/>
          <w:lang w:bidi="fa-IR"/>
        </w:rPr>
        <w:t>الأمر بین مخالفة القبلة وترک الستر اختار حفظ الستر، ولو اشتبهت القبلة ولم یمکن الفحص جلس کیف أراد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غسل مخرج البول بالماء مرّتین، ولا یجزی غیر الماء، ولا یجب الدلک بالید، ویتخیّر فی مخرج الغائط بین الغسل بالماء، والمسح بشیء قالع للنجاسة کالحجر والخِرق، ولا یعتبر فی غسله التعدّد بل نقاء المحلّ، والأحوط فی مسحه الثلاث أو أکثر حتّی یحصل النقاء</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الاستبراء بعد البول عبارة عن مسح ما بین المقعد إلی أصل الذکر بقوّة ثلاثاً، ثمّ عصر الذکر إلی الحشفة ثلاثاً، ثمّ عصر رأسه ثلاثاً، وفائدته أنّه إذا رأی بعد ذلک رطوبة مشتبهة بین البول وغیره یحکم بطهارته وعدم نقضه الوضوء، بخلاف من لم یستبرئ، فیحکم بنجاستها ونقضها للوضوء</w:t>
      </w:r>
      <w:r>
        <w:rPr>
          <w:rFonts w:eastAsia="IRNazanin" w:cs="IRNazanin"/>
          <w:color w:val="111111"/>
          <w:sz w:val="28"/>
          <w:szCs w:val="28"/>
          <w:rtl w:val="true"/>
          <w:lang w:bidi="fa-IR"/>
        </w:rPr>
        <w:t>.</w:t>
      </w:r>
      <w:bookmarkStart w:id="29" w:name="pg6476_56747"/>
    </w:p>
    <w:p>
      <w:pPr>
        <w:pStyle w:val="Heading3"/>
        <w:numPr>
          <w:ilvl w:val="2"/>
          <w:numId w:val="1"/>
        </w:numPr>
        <w:rPr/>
      </w:pPr>
      <w:bookmarkStart w:id="30" w:name="__RefHeading___Toc1265080_653776707"/>
      <w:bookmarkStart w:id="31" w:name="_Toc11"/>
      <w:bookmarkEnd w:id="29"/>
      <w:bookmarkEnd w:id="30"/>
      <w:r>
        <w:rPr>
          <w:rtl w:val="true"/>
        </w:rPr>
        <w:t>فصل فی الوضوء</w:t>
      </w:r>
      <w:bookmarkEnd w:id="31"/>
    </w:p>
    <w:p>
      <w:pPr>
        <w:pStyle w:val="Heading4"/>
        <w:numPr>
          <w:ilvl w:val="3"/>
          <w:numId w:val="1"/>
        </w:numPr>
        <w:rPr/>
      </w:pPr>
      <w:bookmarkStart w:id="32" w:name="__RefHeading___Toc1265082_653776707"/>
      <w:bookmarkStart w:id="33" w:name="_Toc12"/>
      <w:bookmarkEnd w:id="32"/>
      <w:r>
        <w:rPr>
          <w:rtl w:val="true"/>
        </w:rPr>
        <w:t>اشارة</w:t>
      </w:r>
      <w:bookmarkEnd w:id="33"/>
    </w:p>
    <w:p>
      <w:pPr>
        <w:pStyle w:val="BookText"/>
        <w:rPr/>
      </w:pPr>
      <w:r>
        <w:rPr>
          <w:rFonts w:ascii="IRNazanin" w:hAnsi="IRNazanin" w:eastAsia="IRNazanin"/>
          <w:color w:val="111111"/>
          <w:sz w:val="28"/>
          <w:sz w:val="28"/>
          <w:szCs w:val="28"/>
          <w:rtl w:val="true"/>
          <w:lang w:bidi="fa-IR"/>
        </w:rPr>
        <w:t>والکلام فی واجباته، وشرائطه، ونواقضه، وأحکامه</w:t>
      </w:r>
      <w:r>
        <w:rPr>
          <w:rFonts w:eastAsia="IRNazanin" w:cs="IRNazanin"/>
          <w:color w:val="111111"/>
          <w:sz w:val="28"/>
          <w:szCs w:val="28"/>
          <w:rtl w:val="true"/>
          <w:lang w:bidi="fa-IR"/>
        </w:rPr>
        <w:t>:</w:t>
      </w:r>
    </w:p>
    <w:p>
      <w:pPr>
        <w:pStyle w:val="Heading4"/>
        <w:numPr>
          <w:ilvl w:val="3"/>
          <w:numId w:val="1"/>
        </w:numPr>
        <w:rPr/>
      </w:pPr>
      <w:bookmarkStart w:id="34" w:name="__RefHeading___Toc1265084_653776707"/>
      <w:bookmarkStart w:id="35" w:name="_Toc13"/>
      <w:bookmarkEnd w:id="34"/>
      <w:r>
        <w:rPr>
          <w:rtl w:val="true"/>
        </w:rPr>
        <w:t>القول فی الواجبات</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الواجب فی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الوجه والیدین، ومسح الرأس والقدمین، والمراد بالوجه ما بین قصاص الشعر وطرف الذَقَن طولاً، وما أحاطت علیه الإبهام والوسطی عرضاً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غسل الیدین من المرفقین إلی أطراف الأصابع، والواجب فی الوجه والیدین، الغسل من الأعلی إلی الأسفل، ولا یجوز ترک شیء من الأعضاء بلا غسل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غسل البواطن، کالعین والأنف والفم وما تحت الأظفار، فیجزی غسل الظاهر فی الکلّ، وکذا الدمل وما ینجمد علی الجرح عند البُرء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رفع ما یمنع وصول الماء، وتحریک الخاتم ونحوه وإزالة الوسخ إذا کان جرماً مرئیّاً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شکّ فی وجود الحاجب لم یلتفت إلّاإذا کان معرضاً للوجود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مسح الرأس یجب مسح شیء من مقدّمه بالید الیمنی ولو بإصبع واحدة علی البشرة أو علی الشعر النابت علیها</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مسح القدمین یجب المسح من أطراف الأصابع إلی الکَعب </w:t>
      </w:r>
      <w:r>
        <w:rPr>
          <w:rFonts w:eastAsia="IRNazanin" w:cs="IRNazanin"/>
          <w:color w:val="111111"/>
          <w:sz w:val="28"/>
          <w:szCs w:val="28"/>
          <w:rtl w:val="true"/>
          <w:lang w:bidi="fa-IR"/>
        </w:rPr>
        <w:t>-</w:t>
      </w:r>
      <w:bookmarkStart w:id="36" w:name="pg6476_56748"/>
    </w:p>
    <w:p>
      <w:pPr>
        <w:pStyle w:val="BookText"/>
        <w:rPr/>
      </w:pPr>
      <w:bookmarkEnd w:id="36"/>
      <w:r>
        <w:rPr>
          <w:rFonts w:ascii="IRNazanin" w:hAnsi="IRNazanin" w:eastAsia="IRNazanin"/>
          <w:color w:val="111111"/>
          <w:sz w:val="28"/>
          <w:sz w:val="28"/>
          <w:szCs w:val="28"/>
          <w:rtl w:val="true"/>
          <w:lang w:bidi="fa-IR"/>
        </w:rPr>
        <w:t xml:space="preserve">وهو قبّة القدم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إلی المفصل ولا تقدیر للعرض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کلّ مسح یجب جفاف الممسوح، وإمرار الماسح علی الممسوح، وکون المسح بما بقی فی یده من نداوة الوضوء، والأحوط کونه بباطن الکفّ، وإذا جفّ رطوبة الکفّ أخذ من حاجبه ووجهه، وأن لا یکون حائلٌ علی الممسوح إلّاعند الضرورة</w:t>
      </w:r>
      <w:r>
        <w:rPr>
          <w:rFonts w:eastAsia="IRNazanin" w:cs="IRNazanin"/>
          <w:color w:val="111111"/>
          <w:sz w:val="28"/>
          <w:szCs w:val="28"/>
          <w:rtl w:val="true"/>
          <w:lang w:bidi="fa-IR"/>
        </w:rPr>
        <w:t>.</w:t>
      </w:r>
    </w:p>
    <w:p>
      <w:pPr>
        <w:pStyle w:val="Heading4"/>
        <w:numPr>
          <w:ilvl w:val="3"/>
          <w:numId w:val="1"/>
        </w:numPr>
        <w:rPr/>
      </w:pPr>
      <w:bookmarkStart w:id="37" w:name="__RefHeading___Toc1265086_653776707"/>
      <w:bookmarkStart w:id="38" w:name="_Toc14"/>
      <w:bookmarkEnd w:id="37"/>
      <w:r>
        <w:rPr>
          <w:rtl w:val="true"/>
        </w:rPr>
        <w:t>فی شرائط الوضوء</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شرائط الوضوء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الماء، وإطلاقه، وإباحته، وطهارة محل الغسل والمسح، ورفع الحاجب عنه، والأحوط إباحة مکان الوضوء، وإباحة الظرف، وعدم المانع من استعمال الماء من مرض ونحوه، والتوضّؤ بالمباشرة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أحد الإنائین أو الأکثر نجساً أو مغصوباً، ولم یکن معلوماً وجب الاجتناب عنهما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طهارة الماء وإطلاقه شرطٌ واقعیّ یستوی فیهما العالم والجاهل، بخلاف الإباحة، فلو توضّأ بالنجس أو الخَلّ جاهلاً بطل، ولو توضّأ بالمغصوب جاهلاً صحّ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الوضوء والشرب وسائر التصرّفات الیسیرة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جرت علیه السیرة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الأنهار الکبیرة من القنوات وغیرها، وإن لم یعلم المُلّاک ورضاهم، وإذا غصبها غاصب یبقی الجواز لغیره دونه</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الوضوء والغسل والصلاة تحت الخیمة والسقف المغصوبین إذا کانت الأرض مباحة</w:t>
      </w:r>
      <w:r>
        <w:rPr>
          <w:rFonts w:eastAsia="IRNazanin" w:cs="IRNazanin"/>
          <w:color w:val="111111"/>
          <w:sz w:val="28"/>
          <w:szCs w:val="28"/>
          <w:rtl w:val="true"/>
          <w:lang w:bidi="fa-IR"/>
        </w:rPr>
        <w:t>.</w:t>
      </w:r>
      <w:bookmarkStart w:id="39" w:name="pg6476_56749"/>
    </w:p>
    <w:p>
      <w:pPr>
        <w:pStyle w:val="BookText"/>
        <w:rPr/>
      </w:pPr>
      <w:bookmarkEnd w:id="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الوضوء من حیاض المساجد لمن لا یصلّی فیها، ولا من حیاض المدارس لغیر أهلها، مع احتمال کونها وقفاً لخصوص المصلّین والساکنین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شکّ بعد الفراغ فی وجود الحاجب علی الأعضاء، بنی علی عدمه وصحّة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رأی حاجباً بعد الوضوء وشکّ فی أنّه کان موجوداً حاله أو طرأ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علم بوجود شیء کالخاتم حال الوضوء، ولم یکن ملتفتاً إلیه حاله، وشکّ بعده فی وصول الماء تحته اتّفاقاً، فالأحوط إعادة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بعض أعضاء الوضوء نجساً فتوضّأ، ثمّ شکّ فی أنّه طهّره قبل الوضوء أم لا، یحکم بصحّة وضوئه، لکن یبنی علی بقاء نجاسة المحلّ، فیجب غسله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الترتیب فی الوضوء، فیقدّم الوجه علی الید الیمنی، وهی علی الیسری، وهی علی مسح الرأس، وهو علی مسح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تجب الموالات؛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یؤخّر غسل العضو اللاحق بحیث یجفّ السابق، ولو جفّ بسبب حرارة الهواء ونحوها، 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شرائط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القصد إلی الفعل بعنوان الامتثال أو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یلزم التلفّظ بها، ولا قصد الوجوب والندب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فیها الإخلاص، فلو دخل الریاء بأیّ نحو أفسده، والضمائم الاُخر کقصد التبرید ونحوه لا تضرّ، إذا کانت 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وضوء واحد عن الأسباب المختلفة وإن لم یلحظها بالنیّة</w:t>
      </w:r>
      <w:r>
        <w:rPr>
          <w:rFonts w:eastAsia="IRNazanin" w:cs="IRNazanin"/>
          <w:color w:val="111111"/>
          <w:sz w:val="28"/>
          <w:szCs w:val="28"/>
          <w:rtl w:val="true"/>
          <w:lang w:bidi="fa-IR"/>
        </w:rPr>
        <w:t>.</w:t>
      </w:r>
    </w:p>
    <w:p>
      <w:pPr>
        <w:pStyle w:val="Heading4"/>
        <w:numPr>
          <w:ilvl w:val="3"/>
          <w:numId w:val="1"/>
        </w:numPr>
        <w:rPr/>
      </w:pPr>
      <w:bookmarkStart w:id="40" w:name="__RefHeading___Toc1265088_653776707"/>
      <w:bookmarkStart w:id="41" w:name="_Toc15"/>
      <w:bookmarkEnd w:id="40"/>
      <w:r>
        <w:rPr>
          <w:rtl w:val="true"/>
        </w:rPr>
        <w:t>موجبات الوضوء وغایاته</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الأحداث الناقضة للوضوء اُمور</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البول والغائط، ولو بمقدار قلیل</w:t>
      </w:r>
      <w:r>
        <w:rPr>
          <w:rFonts w:eastAsia="IRNazanin" w:cs="IRNazanin"/>
          <w:color w:val="111111"/>
          <w:sz w:val="28"/>
          <w:szCs w:val="28"/>
          <w:rtl w:val="true"/>
          <w:lang w:bidi="fa-IR"/>
        </w:rPr>
        <w:t>.</w:t>
      </w:r>
      <w:bookmarkStart w:id="42" w:name="pg6476_56750"/>
    </w:p>
    <w:p>
      <w:pPr>
        <w:pStyle w:val="BookText"/>
        <w:rPr/>
      </w:pPr>
      <w:bookmarkEnd w:id="42"/>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الریح عن الدبر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 الغالب علی حاسّتی السمع والبصر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أزال العقل، مثل الجنون والإغماء والسُکر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دم الاستحاضة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الوضوء إمّا شرط لصحّة عمل کالصلاة والطواف، أو شرط لجوازه وعدم حرمته کمسّ کتابة المصحف، أو شرط لکماله کقراءة القرآن، أو لرفع کراهته کالنوم والأکل حال الجنابة، وفی جواز مسّ أسماء الأنبیاء والأئمّة علیهم السلام والملائکة بلا وضوء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تیقّن الحدث وشکّ فی الطهارة بنی علی الحدث، وإذا تیقّن بالطهارة وشکّ فی الحدث بنی علی الطهارة، وإذا شکّ فی الطهارة بعد الفراغ من العمل بنی علی صحّته وتطهّر للعمل اللّاحق، ولو شکّ فی فعل شیءٍ من أفعال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یفرغ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بما شکّ فیه مع مراعاة الترتیب، وإذا شکّ بعد الفراغ لم یلتفت، سواء أکان شکّه فی الأفعال أو الشرائط</w:t>
      </w:r>
      <w:r>
        <w:rPr>
          <w:rFonts w:eastAsia="IRNazanin" w:cs="IRNazanin"/>
          <w:color w:val="111111"/>
          <w:sz w:val="28"/>
          <w:szCs w:val="28"/>
          <w:rtl w:val="true"/>
          <w:lang w:bidi="fa-IR"/>
        </w:rPr>
        <w:t>.</w:t>
      </w:r>
    </w:p>
    <w:p>
      <w:pPr>
        <w:pStyle w:val="Heading4"/>
        <w:numPr>
          <w:ilvl w:val="3"/>
          <w:numId w:val="1"/>
        </w:numPr>
        <w:rPr/>
      </w:pPr>
      <w:bookmarkStart w:id="43" w:name="__RefHeading___Toc1265090_653776707"/>
      <w:bookmarkStart w:id="44" w:name="_Toc16"/>
      <w:bookmarkEnd w:id="43"/>
      <w:r>
        <w:rPr>
          <w:rtl w:val="true"/>
        </w:rPr>
        <w:t>فی الجبیرة</w:t>
      </w:r>
      <w:bookmarkEnd w:id="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فی بعض أعضائه جبیرة، فإن أمکن نزعها أو إیصال الماء تحتها وجب ذلک، وإن لم یمکن النزع ولا إیصال الماء مسح علی ذلک، سواء کان فی محلّ الغسل أم المسح</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یمکن المسح علی الجبیرة من جهة النجاسة، وضع خرقة فوقها ومسح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أضرّ الماء بالعضو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أن یکون جُرحٌ أو قَرحٌ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التیمّم، وکذا یجب التیمّم فی الرمد الذی یضرّ به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مانع علی البشرة ولا یمکن إزالته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کالقیر 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یکتفی بالمسح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ارتفع عذر صاحب الجبیرة لا یجب علیه إعادة العمل</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لصاحب الجبیرة أن یصلّی أوّل الوقت مع الیأس من زوال العذر إلی آخره، ومع عدمه فالأحوط التأخیر</w:t>
      </w:r>
      <w:r>
        <w:rPr>
          <w:rFonts w:eastAsia="IRNazanin" w:cs="IRNazanin"/>
          <w:color w:val="111111"/>
          <w:sz w:val="28"/>
          <w:szCs w:val="28"/>
          <w:rtl w:val="true"/>
          <w:lang w:bidi="fa-IR"/>
        </w:rPr>
        <w:t>.</w:t>
      </w:r>
      <w:bookmarkStart w:id="45" w:name="pg6476_56752"/>
    </w:p>
    <w:p>
      <w:pPr>
        <w:pStyle w:val="Heading3"/>
        <w:numPr>
          <w:ilvl w:val="2"/>
          <w:numId w:val="1"/>
        </w:numPr>
        <w:rPr/>
      </w:pPr>
      <w:bookmarkStart w:id="46" w:name="__RefHeading___Toc1265092_653776707"/>
      <w:bookmarkStart w:id="47" w:name="_Toc17"/>
      <w:bookmarkEnd w:id="45"/>
      <w:bookmarkEnd w:id="46"/>
      <w:r>
        <w:rPr>
          <w:rtl w:val="true"/>
        </w:rPr>
        <w:t>فصل فی الأغسال</w:t>
      </w:r>
      <w:bookmarkEnd w:id="47"/>
    </w:p>
    <w:p>
      <w:pPr>
        <w:pStyle w:val="BookText"/>
        <w:rPr/>
      </w:pPr>
      <w:r>
        <w:rPr>
          <w:rFonts w:ascii="IRNazanin" w:hAnsi="IRNazanin" w:eastAsia="IRNazanin"/>
          <w:color w:val="111111"/>
          <w:sz w:val="28"/>
          <w:sz w:val="28"/>
          <w:szCs w:val="28"/>
          <w:rtl w:val="true"/>
          <w:lang w:bidi="fa-IR"/>
        </w:rPr>
        <w:t>والواجب منها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الجنابة، ومسّ المیّت، وغسل الأموات، وغسل الحیض والاستحاضة والنفاس</w:t>
      </w:r>
      <w:r>
        <w:rPr>
          <w:rFonts w:eastAsia="IRNazanin" w:cs="IRNazanin"/>
          <w:color w:val="111111"/>
          <w:sz w:val="28"/>
          <w:szCs w:val="28"/>
          <w:rtl w:val="true"/>
          <w:lang w:bidi="fa-IR"/>
        </w:rPr>
        <w:t>.</w:t>
      </w:r>
    </w:p>
    <w:p>
      <w:pPr>
        <w:pStyle w:val="Heading3"/>
        <w:numPr>
          <w:ilvl w:val="2"/>
          <w:numId w:val="1"/>
        </w:numPr>
        <w:rPr/>
      </w:pPr>
      <w:bookmarkStart w:id="48" w:name="__RefHeading___Toc1265094_653776707"/>
      <w:bookmarkStart w:id="49" w:name="_Toc18"/>
      <w:bookmarkEnd w:id="48"/>
      <w:r>
        <w:rPr>
          <w:rtl w:val="true"/>
        </w:rPr>
        <w:t>فصل فی غسل الجنابة</w:t>
      </w:r>
      <w:bookmarkEnd w:id="49"/>
    </w:p>
    <w:p>
      <w:pPr>
        <w:pStyle w:val="Heading4"/>
        <w:numPr>
          <w:ilvl w:val="3"/>
          <w:numId w:val="1"/>
        </w:numPr>
        <w:rPr/>
      </w:pPr>
      <w:bookmarkStart w:id="50" w:name="__RefHeading___Toc1265096_653776707"/>
      <w:bookmarkStart w:id="51" w:name="_Toc19"/>
      <w:bookmarkEnd w:id="50"/>
      <w:r>
        <w:rPr>
          <w:rtl w:val="true"/>
        </w:rPr>
        <w:t>اشارة</w:t>
      </w:r>
      <w:bookmarkEnd w:id="51"/>
    </w:p>
    <w:p>
      <w:pPr>
        <w:pStyle w:val="BookText"/>
        <w:rPr/>
      </w:pPr>
      <w:r>
        <w:rPr>
          <w:rFonts w:ascii="IRNazanin" w:hAnsi="IRNazanin" w:eastAsia="IRNazanin"/>
          <w:color w:val="111111"/>
          <w:sz w:val="28"/>
          <w:sz w:val="28"/>
          <w:szCs w:val="28"/>
          <w:rtl w:val="true"/>
          <w:lang w:bidi="fa-IR"/>
        </w:rPr>
        <w:t>والکلام فی سبب الجنابة، وأحکام الجنب، وواجبات الغسل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سبب الجنابة أمران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المنیّ، فلو تحرّک عن محلّه ولم یخرج لم یوجب الجنابة، وعلامة المنیّ الدفق؛ والشهوة وفتور 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 ولو کان بإدخال الحشفة أو کان بغیر إنزال، وبه یحصل الجنابة للصبیّ الممیّز، ولو اغتسل یرتفع عنه الجنابة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للشخص إتیان أهله ولو لم یکن قادراً علی الغسل، فیتیمّم للصلاة</w:t>
      </w:r>
      <w:r>
        <w:rPr>
          <w:rFonts w:eastAsia="IRNazanin" w:cs="IRNazanin"/>
          <w:color w:val="111111"/>
          <w:sz w:val="28"/>
          <w:szCs w:val="28"/>
          <w:rtl w:val="true"/>
          <w:lang w:bidi="fa-IR"/>
        </w:rPr>
        <w:t>.</w:t>
      </w:r>
    </w:p>
    <w:p>
      <w:pPr>
        <w:pStyle w:val="Heading4"/>
        <w:numPr>
          <w:ilvl w:val="3"/>
          <w:numId w:val="1"/>
        </w:numPr>
        <w:rPr/>
      </w:pPr>
      <w:bookmarkStart w:id="52" w:name="__RefHeading___Toc1265098_653776707"/>
      <w:bookmarkStart w:id="53" w:name="_Toc20"/>
      <w:bookmarkEnd w:id="52"/>
      <w:r>
        <w:rPr>
          <w:rtl w:val="true"/>
        </w:rPr>
        <w:t>أحکام الجُنُب</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یتوقّف علی غسل الجنابة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بأقسامها ما عدا صلاة المیّت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w:t>
      </w:r>
      <w:r>
        <w:rPr>
          <w:rFonts w:eastAsia="IRNazanin" w:cs="IRNazanin"/>
          <w:color w:val="111111"/>
          <w:sz w:val="28"/>
          <w:szCs w:val="28"/>
          <w:rtl w:val="true"/>
          <w:lang w:bidi="fa-IR"/>
        </w:rPr>
        <w:t>.</w:t>
      </w:r>
      <w:bookmarkStart w:id="54" w:name="pg6476_56753"/>
    </w:p>
    <w:p>
      <w:pPr>
        <w:pStyle w:val="BookText"/>
        <w:rPr/>
      </w:pPr>
      <w:bookmarkEnd w:id="54"/>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شهر رمضان وقضاؤه، فإذا أصبح جنباً عمداً أو ناسیاً بطل، والجنابة العمدیّة فی أثناء النهار تبطل جمیع أقسام الصوم، وغیر العمدیّة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کالاحتلام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بشیء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یحرم علی الجُنُب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کتابة المصحف علی ما مرّ 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المسجد الحرام ومسجد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المکث فی غیرهما من المساجد، ویلحق بها مشاهد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شیء فی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سور العزائم الأربع،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والنجم، والم تنزیل، وحم السجدة، ولو بعض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یکره علی 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والشرب إلّاأن یتوضّأ، وقراءة أکثر من سبع آیات من القرآن، والنوم بلا وضوء، وحمل المصحف ومسّ جلده</w:t>
      </w:r>
      <w:r>
        <w:rPr>
          <w:rFonts w:eastAsia="IRNazanin" w:cs="IRNazanin"/>
          <w:color w:val="111111"/>
          <w:sz w:val="28"/>
          <w:szCs w:val="28"/>
          <w:rtl w:val="true"/>
          <w:lang w:bidi="fa-IR"/>
        </w:rPr>
        <w:t>.</w:t>
      </w:r>
    </w:p>
    <w:p>
      <w:pPr>
        <w:pStyle w:val="Heading4"/>
        <w:numPr>
          <w:ilvl w:val="3"/>
          <w:numId w:val="1"/>
        </w:numPr>
        <w:rPr/>
      </w:pPr>
      <w:bookmarkStart w:id="55" w:name="__RefHeading___Toc1265100_653776707"/>
      <w:bookmarkStart w:id="56" w:name="_Toc21"/>
      <w:bookmarkEnd w:id="55"/>
      <w:r>
        <w:rPr>
          <w:rtl w:val="true"/>
        </w:rPr>
        <w:t>واجبات الغسل</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فیه النیّة مع القربة، فإذا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تفعل؟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أغتسل، ولماذا تفعل؟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 اللّه، کفی فی تحقّق النیّة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دخل الحمّام وخرج، فشکّ أنّه اغتسل أم لا، بنی علی عدمه، ولو علم بالاغتسال، وشکّ فی صحّته وفساده، بنی علی الصحّة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غسل ظاهر البشرة، ویجب رفع الموانع، وإیصال الماء تحت الشعر، علی ما مرّ فی الوضوء</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الغسل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ترتیبی وارتماسی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w:t>
      </w:r>
    </w:p>
    <w:p>
      <w:pPr>
        <w:pStyle w:val="BookText"/>
        <w:rPr/>
      </w:pPr>
      <w:r>
        <w:rPr>
          <w:rFonts w:ascii="IRNazanin" w:hAnsi="IRNazanin" w:eastAsia="IRNazanin"/>
          <w:color w:val="111111"/>
          <w:sz w:val="28"/>
          <w:sz w:val="28"/>
          <w:szCs w:val="28"/>
          <w:rtl w:val="true"/>
          <w:lang w:bidi="fa-IR"/>
        </w:rPr>
        <w:t>غسل تمام الرأس والعنق، ثمّ تمام النصف الأیمن من البدن، ثمّ النصف الأیسر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تغطیة البدن فی الماء، دفعة واحدة عرفیّة، مقارناً للنیّة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ترتیب فی نفس العضو، فیجوز غسله من الأسفل إلی الأعلی، ولا کیفیّة مخصوصة فی الغسل هنا، فیجوز الرمس فی الماء وصبّ الماء وغیرهما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تجب الموالاة فی الترتیبی، فلو غسل رأسه فی أوّل النهار، والأیمن فی وسطه، والأیسر فی آخره، صحّ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تیقّن عدم انغسال جزء من بدنه، أعاد الغسل فی الارتماسی، ویکفی فی الترتیبی غسل ذلک الجزء وإعادة العضو بعده، فلو التفت بعدم انغسال ما تحت الخاتم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الأیمن، غسل ذلک الموضع وأعاد غسل تمام الأیسر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یشترط فی الغسل ما مرّ </w:t>
      </w:r>
      <w:r>
        <w:rPr>
          <w:rStyle w:val="FootnoteAnchor"/>
          <w:rtl w:val="true"/>
        </w:rPr>
        <w:footnoteReference w:id="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الصفحة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مسألة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الوضوء من الشرائط؛ من إطلاق الماء، وطهارته، وإباحته، وطهارة الأعضاء، ورفع الحاجب عنها، وإباحة المکان والظرف، وعدم المانع من استعمال الماء، والاغتسال بالمباشرة، والترتیب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قاصداً عدم إعطاء الاُجرة للحمّامی، أو إعطائها من الحرام، أو قصد النسیئة من غیر تحقیق عن رضا الحمّامی، بطل غسله وإن استرضاه بعده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ینبغی للمجنب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بالإنزال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البول قبل الغسل، وفائدته أنّه لو خرج منه بلل مشتبه بعد الغسل، لا یجب علیه إعادة الغسل، بخلاف ما لو اغتسل بدونه فإنّ البلل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بکونه منیّاً، فیجب علیه الغسل ثانیاً، ولو شکّ بعد الغسل أنّه بال بعد الإنزال أم لا، بنی علی عدمه واغتسل ثانیاً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یجزی غسل الجنابة عن الوضوء لکلّ ما اشترط به، دون سائر الأغسال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اجتمع علیه أغسال متعدّدة کالجنابة وغسل مسّ المیّت والحیض، فإن قصد الجمیع أو نوی الجنابة فقط، کفی عن الجمیع، وإن قصد غیرها ففی الکفایة إشکال</w:t>
      </w:r>
      <w:r>
        <w:rPr>
          <w:rFonts w:eastAsia="IRNazanin" w:cs="IRNazanin"/>
          <w:color w:val="111111"/>
          <w:sz w:val="28"/>
          <w:szCs w:val="28"/>
          <w:rtl w:val="true"/>
          <w:lang w:bidi="fa-IR"/>
        </w:rPr>
        <w:t>.</w:t>
      </w:r>
      <w:bookmarkStart w:id="57" w:name="pg6476_56756"/>
    </w:p>
    <w:p>
      <w:pPr>
        <w:pStyle w:val="Heading3"/>
        <w:numPr>
          <w:ilvl w:val="2"/>
          <w:numId w:val="1"/>
        </w:numPr>
        <w:rPr/>
      </w:pPr>
      <w:bookmarkStart w:id="58" w:name="__RefHeading___Toc1265102_653776707"/>
      <w:bookmarkStart w:id="59" w:name="_Toc22"/>
      <w:bookmarkEnd w:id="57"/>
      <w:bookmarkEnd w:id="58"/>
      <w:r>
        <w:rPr>
          <w:rtl w:val="true"/>
        </w:rPr>
        <w:t>فصلٌ فی غسل مسِّ المیّت</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سبب وجوبه مسّ میّت الإنسان بعد برده وقبل تمام غسله، والقطعة المبانة من الحیّ، إذا اشتملت علی العظم وجب الغسل بمسّها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الغسل شرطٌ لکلّ ما یشترط فیه الطهارة، کالصلاة والطواف ومسّ المصحف</w:t>
      </w:r>
      <w:r>
        <w:rPr>
          <w:rFonts w:eastAsia="IRNazanin" w:cs="IRNazanin"/>
          <w:color w:val="111111"/>
          <w:sz w:val="28"/>
          <w:szCs w:val="28"/>
          <w:rtl w:val="true"/>
          <w:lang w:bidi="fa-IR"/>
        </w:rPr>
        <w:t>.</w:t>
      </w:r>
    </w:p>
    <w:p>
      <w:pPr>
        <w:pStyle w:val="Heading3"/>
        <w:numPr>
          <w:ilvl w:val="2"/>
          <w:numId w:val="1"/>
        </w:numPr>
        <w:rPr/>
      </w:pPr>
      <w:bookmarkStart w:id="60" w:name="__RefHeading___Toc1265104_653776707"/>
      <w:bookmarkStart w:id="61" w:name="_Toc23"/>
      <w:bookmarkEnd w:id="60"/>
      <w:r>
        <w:rPr>
          <w:rtl w:val="true"/>
        </w:rPr>
        <w:t>فصلٌ فی أحکام الأموات</w:t>
      </w:r>
      <w:bookmarkEnd w:id="6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من ظهر عنده أمارات الموت أداء الحقوق الواجبة خلقیّاً أو خالقیّاً، والإیصاء بما لم یمکنه حال الحیاة، من حجّ وصلاة وصیام، ونصب القیّم الأمین علی أطفاله الصغار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المحتضر المسلم إلی القبلة، بأن یُلقی علی ظهره، ویجعل باطن قدمیه إلی القبلة، ویراعی هذه الحالة إلی تمام الغسل، ثمّ یجعل کحال الصلاة علیه إلی أن یدفن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تغسیل کلّ مسلم حتّی السقط الذی تمّ له أربعة أشهر، وتجب المماثلة بین الغاسل والمیّت فی الذکورة والاُنوثة، إلّاالمیّت الذی لا یزید عمره من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وتجب إزالة النجاسة عن بدنه، ثمّ تغسیله بثلاثة أغسال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بماء السدر، ثمّ بماء الکافور، ثمّ بالماء الخالص</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تکفینه بثلاث أثواب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مئزر یستر بین السُرّة والرّکبة،</w:t>
      </w:r>
    </w:p>
    <w:p>
      <w:pPr>
        <w:pStyle w:val="BookText"/>
        <w:rPr/>
      </w:pPr>
      <w:r>
        <w:rPr>
          <w:rFonts w:ascii="IRNazanin" w:hAnsi="IRNazanin" w:eastAsia="IRNazanin"/>
          <w:color w:val="111111"/>
          <w:sz w:val="28"/>
          <w:sz w:val="28"/>
          <w:szCs w:val="28"/>
          <w:rtl w:val="true"/>
          <w:lang w:bidi="fa-IR"/>
        </w:rPr>
        <w:t>وقمیص یصل إلی نصف الساق، وإزار یغطّی تمام البدن، ویشترط أن لا یکون الکفن مغصوباً ولا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تحنیط المیّت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الکافور علی مساجده السبعة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یجب الصلاة علی کلّ مسلم، حتّی الطفل إذا بلغ ستّ سنین، والواجب خمس تکبیرات، والقدر المختصر من کیفیّتها؛ أن یکبّر أوّلاً فیقول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إلّااللّه، وأشهدُ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یکبِّر ثانیاً فیقول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یُکبِّر ثالثاً فیقول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لِلمؤمِنین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یُکبِّر رابعاً فیقول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لهذا 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یُکبِّر خامساً فینصرف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ویشترط فیها القیام، واستقبال القبلة، ووضع المیّت أمامه ورأسه إلی یمین المصلّی ورجله إلی یساره، وعدم الحائل بینهما، وعدم البعد المفرط، ولا یشترط فیها الطهارة من الحدث والخبث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دفن المسلم ومن بحکمه فی محلّ مباح، ویجعل فی القبر مستقبل القبلة علی جنبه الأیمن، ویحرم دفن المسلم فی مقابر الکفّار وعکسه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الترتیب فی تجهیز المیّت، فیطهّر نجاسة بدنه، ثمّ یغسل بماء السدر، ثمّ بماء الکافور، ثمّ بالقراح، ثمّ یحنّط، ثمّ یکفّن، ثمّ یصلّی علیه، ثمّ یدفن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أن یکون جمیع الاُمور المذکورة بإذن ولیّ المیّت، کما أنّه لو دفن المیّت وقد فات شیءٌ منها عصیاناً أو نسیاناً، وجب نبش القبر لتدارکه، إلّا الصلاة فإنّها تصلّی علی قبره، ویجوز النبش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دفن فی مکان مغصوب، أو توقّف إثبات حقّ علی ذلک، ویحرم النبش بلا جهة مجوّزة</w:t>
      </w:r>
      <w:r>
        <w:rPr>
          <w:rFonts w:eastAsia="IRNazanin" w:cs="IRNazanin"/>
          <w:color w:val="111111"/>
          <w:sz w:val="28"/>
          <w:szCs w:val="28"/>
          <w:rtl w:val="true"/>
          <w:lang w:bidi="fa-IR"/>
        </w:rPr>
        <w:t>.</w:t>
      </w:r>
      <w:bookmarkStart w:id="62" w:name="pg6476_56758"/>
    </w:p>
    <w:p>
      <w:pPr>
        <w:pStyle w:val="Heading3"/>
        <w:numPr>
          <w:ilvl w:val="2"/>
          <w:numId w:val="1"/>
        </w:numPr>
        <w:rPr/>
      </w:pPr>
      <w:bookmarkStart w:id="63" w:name="__RefHeading___Toc1265106_653776707"/>
      <w:bookmarkStart w:id="64" w:name="_Toc24"/>
      <w:bookmarkEnd w:id="62"/>
      <w:bookmarkEnd w:id="63"/>
      <w:r>
        <w:rPr>
          <w:rtl w:val="true"/>
        </w:rPr>
        <w:t>فصلٌ فی التیمُّم</w:t>
      </w:r>
      <w:bookmarkEnd w:id="64"/>
    </w:p>
    <w:p>
      <w:pPr>
        <w:pStyle w:val="BookText"/>
        <w:rPr/>
      </w:pPr>
      <w:r>
        <w:rPr>
          <w:rFonts w:ascii="IRNazanin" w:hAnsi="IRNazanin" w:eastAsia="IRNazanin"/>
          <w:color w:val="111111"/>
          <w:sz w:val="28"/>
          <w:sz w:val="28"/>
          <w:szCs w:val="28"/>
          <w:rtl w:val="true"/>
          <w:lang w:bidi="fa-IR"/>
        </w:rPr>
        <w:t>والکلام فی مسوّغاته، وفیما یصحّ التیمّم به، وفی کیفیّته وشرائطه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التیمّم لاُمور؛</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الماء،</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الضرر من استعماله، لمرض أو جُرح أو قَرح أو نحوها، سواء خاف من حصوله أو زیادته أو طول بُرئه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الحرج والمشقّة الشدیدة فی استعماله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 الوقت عن التطهّر به بحیث لو توضّأ أو اغتسل وقع الصلاة کلّاً أو بعضاً فی خارج الوقت، ولو خالف من کان فرضه التیمّم فتوضّأ أو اغتسل، بطل طهارته فی الجملة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فیما یتیمّم به أن یکون صعیداً طیّباً؛ وهو مطلق وجه الأرض، من غیر فرق بین التراب، والرمل، والحجر، والمدر، وغیرها ممّا یندرج تحت اسم الأرض، بخلاف ما لا یندرج کالنبات والرماد وکذا الجصّ والنورة والإسمنت علی الأحوط</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کیفیّة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باطن الکفّین بالأرض معاً دفعة واحدة، ثمّ مسح الجبهة والجبینین بهما مستوعباً لهما من قصاص الشعر إلی أعلی الأنف والحاجبین، ثمّ مسح تمام ظاهر الکفّ الیمنی من الزند إلی أطراف الأصابع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بباطن الیسری، ثمّ مسح تمام ظاهر الکفّ الیسری بباطن الیمنی</w:t>
      </w:r>
      <w:r>
        <w:rPr>
          <w:rFonts w:eastAsia="IRNazanin" w:cs="IRNazanin"/>
          <w:color w:val="111111"/>
          <w:sz w:val="28"/>
          <w:szCs w:val="28"/>
          <w:rtl w:val="true"/>
          <w:lang w:bidi="fa-IR"/>
        </w:rPr>
        <w:t>.</w:t>
      </w:r>
      <w:bookmarkStart w:id="65" w:name="pg6476_56759"/>
    </w:p>
    <w:p>
      <w:pPr>
        <w:pStyle w:val="BookText"/>
        <w:rPr/>
      </w:pPr>
      <w:bookmarkEnd w:id="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التیمّم قصد البدلیّة عن الوضوء أو الغسل، والمباشرة، والموالاة، والمسح من الأعلی إلی الأسفل، وإمرار الماسح علی الممسوح، ورفع الحاجب کالخاتم ونحوه، والطهارة فی أعضاء التیمّم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یکفی ضربة واحدة للوجه والیدین فی بدل الوضوء والغسل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التیمّم فی أوّل الوقت مع رجاء ارتفاع العذر فی آخره وعدمه، ومع العلم بالارتفاع یجب الانتظار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یستبیح بالتیمّم لغایة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غیرها من الغایات، ما دام العذر باقیاً، فله مسّ المصحف ودخول المساجد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المجنب المتیمّم یقوم تیمّمه الأوّل مقام الغسل ما دام العذر باقیاً، فلو أحدث بعد ذلک بالأصغر لا یحتاج إلّاإلی الوضوء، والأحوط الجمع بین الوضوء والتیمّم بدلاً عن الغسل</w:t>
      </w:r>
      <w:r>
        <w:rPr>
          <w:rFonts w:eastAsia="IRNazanin" w:cs="IRNazanin"/>
          <w:color w:val="111111"/>
          <w:sz w:val="28"/>
          <w:szCs w:val="28"/>
          <w:rtl w:val="true"/>
          <w:lang w:bidi="fa-IR"/>
        </w:rPr>
        <w:t>.</w:t>
      </w:r>
    </w:p>
    <w:p>
      <w:pPr>
        <w:pStyle w:val="Heading3"/>
        <w:numPr>
          <w:ilvl w:val="2"/>
          <w:numId w:val="1"/>
        </w:numPr>
        <w:rPr/>
      </w:pPr>
      <w:bookmarkStart w:id="66" w:name="__RefHeading___Toc1265108_653776707"/>
      <w:bookmarkStart w:id="67" w:name="_Toc25"/>
      <w:bookmarkEnd w:id="66"/>
      <w:r>
        <w:rPr>
          <w:rtl w:val="true"/>
        </w:rPr>
        <w:t>فصل فی النجاسات</w:t>
      </w:r>
      <w:bookmarkEnd w:id="67"/>
    </w:p>
    <w:p>
      <w:pPr>
        <w:pStyle w:val="Heading4"/>
        <w:numPr>
          <w:ilvl w:val="3"/>
          <w:numId w:val="1"/>
        </w:numPr>
        <w:rPr/>
      </w:pPr>
      <w:bookmarkStart w:id="68" w:name="__RefHeading___Toc1265110_653776707"/>
      <w:bookmarkStart w:id="69" w:name="_Toc26"/>
      <w:bookmarkEnd w:id="68"/>
      <w:r>
        <w:rPr>
          <w:rtl w:val="true"/>
        </w:rPr>
        <w:t>اشارة</w:t>
      </w:r>
      <w:bookmarkEnd w:id="69"/>
    </w:p>
    <w:p>
      <w:pPr>
        <w:pStyle w:val="BookText"/>
        <w:rPr/>
      </w:pPr>
      <w:r>
        <w:rPr>
          <w:rFonts w:ascii="IRNazanin" w:hAnsi="IRNazanin" w:eastAsia="IRNazanin"/>
          <w:color w:val="111111"/>
          <w:sz w:val="28"/>
          <w:sz w:val="28"/>
          <w:szCs w:val="28"/>
          <w:rtl w:val="true"/>
          <w:lang w:bidi="fa-IR"/>
        </w:rPr>
        <w:t>والکلام فیها، وفی أحکامها، وکیفیّة التنجّس بها، وما یعفی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النجاسات إحدی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 والغائط من الحیوان ذی الدم السائل غیر مأکول اللحم، فهما طاهران من غیر ذی الدم کالذباب والبقّ، ومن مأکول اللحم کالغنم، ومطلق الطیور علی المشهور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شکّ فی خرء حیوان أنّه طاهر أو نجس، إمّا من جهة الشکّ فی ذلک الحیوان شرعاً کالأرنب، أو من جهة الشکّ فی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خُرء الفأرة أو الخنفساء، یحکم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المنیّ من کلّ حیوان ذی نفس حلّ أکله أو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میتة کلّ حیوان له دمٌ سائل ممّا تحلّه الحیاة من أجزائه، وأمّا ما لا تحلّه کالعظم والشعر وکذا الإنفحّة فهو طاهر، ومن المیتة ما یقطع من جسد الحیوان حیّاً، عدا ما ینفصل من بدنه من الأجزاء الصغار، کالبثور والثؤلول وجلد الشفة والقروح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یؤخذ من ید المسلم وسوق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اللحم والشحم والجلد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یعلم کونه مسبوقاً بید الکافر، محکوم بالطهارة وإن لم یعلم تذکیته، فإن علم أنّ المسلم أخذه من الکافر فالأقوی وجوب الاجتناب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اُخذ شیء من الکفّار، ولم یعلم أنّه من أجزاء الحیوان أو غیره یحکم بطهارته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ذی النفس السائلة، بخلاف دم غیره کالسمک والقمّل، فإنّه طاهر، والمشکوک فی أنّه من أیّهما محکومٌ بالطهارة، والأحوط الاجتناب عن دم البیضة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الدم الموجود فی جوف الذبیحة، طاهر بعد قذف ما یعتاد قذفه من الدم عند الذبح، ولکنّه حرام أکله، إلّاالمستهلک فی الأمراق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شکّ فی أنّه دم أو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خرج من الجُرح شیء أصفر، أو شکّ من جهة الظلمة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ولا یجب الاستعلام، وکذا ما شکّ فی أنّه ممّا له نفس سائلة أو من غیره؛ کما لو رأی فی ثوبه دماً ولا یدری أنّه منه أو من البقّ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الدم الخارج من بین الأسنان نجس وبلعه حرام، ولو استهلک فی الریق طهر وجاز البلع، ولا یجب تطهیر الفم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الدم المنجمد تحت الظفر أو الجلد، إن احتمل أنّه لحم صار کالدم بسبب الرضّ، فهو طاهر، وإلّا فهو نجس یجب غسله إذا انخرق الجلد</w:t>
      </w:r>
      <w:r>
        <w:rPr>
          <w:rFonts w:eastAsia="IRNazanin" w:cs="IRNazanin"/>
          <w:color w:val="111111"/>
          <w:sz w:val="28"/>
          <w:szCs w:val="28"/>
          <w:rtl w:val="true"/>
          <w:lang w:bidi="fa-IR"/>
        </w:rPr>
        <w:t>.</w:t>
      </w:r>
      <w:bookmarkStart w:id="70" w:name="pg6476_56761"/>
    </w:p>
    <w:p>
      <w:pPr>
        <w:pStyle w:val="BookText"/>
        <w:rPr/>
      </w:pPr>
      <w:bookmarkEnd w:id="70"/>
      <w:r>
        <w:rPr>
          <w:rFonts w:ascii="IRNazanin" w:hAnsi="IRNazanin" w:eastAsia="IRNazanin"/>
          <w:color w:val="111111"/>
          <w:sz w:val="28"/>
          <w:sz w:val="28"/>
          <w:szCs w:val="28"/>
          <w:rtl w:val="true"/>
          <w:lang w:bidi="fa-IR"/>
        </w:rPr>
        <w:t>السادس والسابع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الکلب والخنزیر البرّیّان وجمیع أجزائهما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المسکر المائع بالأصل، دون الجامد کالحشیش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العصیر العنبی بعد الغلیان فهو طاهر، لکنّه حرام ما لم یذهب ثلثاه، والعصیر الزبیبی والتمری طاهران محلّلان، کما أنّه لا بأس بأکل الزبیب والتمر إذا غلیا فی الدهن أو الطبیخ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الفقّاع، وهو شراب متّخذ من الشعیر وإن لم یکن مسکراً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الکافر، وهو من إنتحل غیر الإسلام، أو أنکر ما یعلم من الدین ضرورة، بحیث رجع إلی إنکار الرسالة أو تکذیب النبیّ صلی الله علیه و آله، أو صدر منه ما یقتضی کفره من قول أو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والنواصب والخوارج والغلاة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الإبل الجلّالة، وأمّا عرق الجُنُب من الحرام فطاهر ولا تجوز فیه الصلاة</w:t>
      </w:r>
      <w:r>
        <w:rPr>
          <w:rFonts w:eastAsia="IRNazanin" w:cs="IRNazanin"/>
          <w:color w:val="111111"/>
          <w:sz w:val="28"/>
          <w:szCs w:val="28"/>
          <w:rtl w:val="true"/>
          <w:lang w:bidi="fa-IR"/>
        </w:rPr>
        <w:t>.</w:t>
      </w:r>
    </w:p>
    <w:p>
      <w:pPr>
        <w:pStyle w:val="Heading4"/>
        <w:numPr>
          <w:ilvl w:val="3"/>
          <w:numId w:val="1"/>
        </w:numPr>
        <w:rPr/>
      </w:pPr>
      <w:bookmarkStart w:id="71" w:name="__RefHeading___Toc1265112_653776707"/>
      <w:bookmarkStart w:id="72" w:name="_Toc27"/>
      <w:bookmarkEnd w:id="71"/>
      <w:r>
        <w:rPr>
          <w:rtl w:val="true"/>
        </w:rPr>
        <w:t>فی أحنام النجاسات</w:t>
      </w:r>
      <w:bookmarkEnd w:id="72"/>
    </w:p>
    <w:p>
      <w:pPr>
        <w:pStyle w:val="Heading5"/>
        <w:numPr>
          <w:ilvl w:val="4"/>
          <w:numId w:val="1"/>
        </w:numPr>
        <w:rPr/>
      </w:pPr>
      <w:bookmarkStart w:id="73" w:name="__RefHeading___Toc1265114_653776707"/>
      <w:bookmarkStart w:id="74" w:name="_Toc28"/>
      <w:bookmarkEnd w:id="73"/>
      <w:r>
        <w:rPr>
          <w:rtl w:val="true"/>
        </w:rPr>
        <w:t>اشارة</w:t>
      </w:r>
      <w:bookmarkEnd w:id="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طهارة ثوب المصلّی وبدنه، وطهارة موضع جبهته حال السجود، دون المواضع الاُخر ما لم یکن ساریة إلی 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إزالة النجاسة عن المساجد، ویحرم تنجیسها، وکذا مشاهد المعصومین علیهم السلام، وما علم من الشارع وجوب تعظیمه، کالمصحف الشریف، والتربة الحسینیّة علیه السلام، بل وتربة الرسول وسائر الأئمّة علیهم السلام، والوجوب فیها کفائی لا یختصّ بمن نجّسها، وحصیر المسجد وفرشه کنفسه، ولا فرق فی المسجد بین المعمور والمخروب والمجعول طریقاً ونحوها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صلّی فی النجاسة ناسیاً وجبت الإعادة، وجاهلاً لا تجب، ومع الاضطرار لا بأس بها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ینجس الملاقی للنجس مع الیبوسة، ومع الشکّ فی الرطوبة</w:t>
      </w:r>
      <w:bookmarkStart w:id="75" w:name="pg6476_56762"/>
    </w:p>
    <w:p>
      <w:pPr>
        <w:pStyle w:val="BookText"/>
        <w:rPr/>
      </w:pPr>
      <w:bookmarkEnd w:id="75"/>
      <w:r>
        <w:rPr>
          <w:rFonts w:ascii="IRNazanin" w:hAnsi="IRNazanin" w:eastAsia="IRNazanin"/>
          <w:color w:val="111111"/>
          <w:sz w:val="28"/>
          <w:sz w:val="28"/>
          <w:szCs w:val="28"/>
          <w:rtl w:val="true"/>
          <w:lang w:bidi="fa-IR"/>
        </w:rPr>
        <w:t>أو السرایة یحکم بعدم التنجیس، ولا تثبت النجاسة إلّابالیقین، أو بإخبار ذی الید، أو بشهادة عدلین، وفی إخبار العدل الواحد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بنجاسة أحد الشیئین أو الأشیاء یجب الاجتناب عن الجمیع، ولو لاقی شیء بأحدهما لا یحکم بنجاسته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المراد بذی الید کلّ من کان مستولیاً علی الشیء مسلماً کان أو کافراً، مالکاً کان أو غیره، فإذا أخبرت الزوجة أو الخادم أو الشریک بالنجاسة حکم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المتنجّس منجّس مع قلّة الواسطة أو کثرتها، والملاقاة فی الباطن لا تنجّس، کالنخامة إذا لاقت الدم فی الباطن، والإبرة تلاقی الدم فی العروق</w:t>
      </w:r>
      <w:r>
        <w:rPr>
          <w:rFonts w:eastAsia="IRNazanin" w:cs="IRNazanin"/>
          <w:color w:val="111111"/>
          <w:sz w:val="28"/>
          <w:szCs w:val="28"/>
          <w:rtl w:val="true"/>
          <w:lang w:bidi="fa-IR"/>
        </w:rPr>
        <w:t>.</w:t>
      </w:r>
    </w:p>
    <w:p>
      <w:pPr>
        <w:pStyle w:val="Heading5"/>
        <w:numPr>
          <w:ilvl w:val="4"/>
          <w:numId w:val="1"/>
        </w:numPr>
        <w:rPr/>
      </w:pPr>
      <w:bookmarkStart w:id="76" w:name="__RefHeading___Toc1265116_653776707"/>
      <w:bookmarkStart w:id="77" w:name="_Toc29"/>
      <w:bookmarkEnd w:id="76"/>
      <w:r>
        <w:rPr>
          <w:rtl w:val="true"/>
        </w:rPr>
        <w:t>فیما یُعفی عنه فی الصّلاة</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یعفی عنه فی الصلاة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الجروح والقروح فی البدن واللباس حتّی تبرأ، إذا کان فی الغسل حرج ومشقّة نوعیّة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فی البدن واللباس إن کانت سعته أقلّ من الدرهم البغلّی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کانت سعته غیر معلومة یقتصر علی سعة عقد السبّابة، ولا فرق بین المتفرّق والمجتمع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تفشّی من أحد طرفی الثوب إلی الآخر فهو دم واحد، إلّاأن یکون ثوبان متلاصقان، والمتنجّس بالدم لیس کالدم فی العفو عنه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لا تتمّ فیه الصلاة منفرداً، کالجورب والقلنسوة، وکذا المحمول المتنجّس کالعصابة والسکّین والأسنان المصنوعیّة</w:t>
      </w:r>
      <w:r>
        <w:rPr>
          <w:rFonts w:eastAsia="IRNazanin" w:cs="IRNazanin"/>
          <w:color w:val="111111"/>
          <w:sz w:val="28"/>
          <w:szCs w:val="28"/>
          <w:rtl w:val="true"/>
          <w:lang w:bidi="fa-IR"/>
        </w:rPr>
        <w:t>.</w:t>
      </w:r>
      <w:bookmarkStart w:id="78" w:name="pg6476_56763"/>
    </w:p>
    <w:p>
      <w:pPr>
        <w:pStyle w:val="Heading3"/>
        <w:numPr>
          <w:ilvl w:val="2"/>
          <w:numId w:val="1"/>
        </w:numPr>
        <w:rPr/>
      </w:pPr>
      <w:bookmarkStart w:id="79" w:name="__RefHeading___Toc1265118_653776707"/>
      <w:bookmarkStart w:id="80" w:name="_Toc30"/>
      <w:bookmarkEnd w:id="78"/>
      <w:bookmarkEnd w:id="79"/>
      <w:r>
        <w:rPr>
          <w:rtl w:val="true"/>
        </w:rPr>
        <w:t>فی المطهِّرات</w:t>
      </w:r>
      <w:bookmarkEnd w:id="80"/>
    </w:p>
    <w:p>
      <w:pPr>
        <w:pStyle w:val="Heading4"/>
        <w:numPr>
          <w:ilvl w:val="3"/>
          <w:numId w:val="1"/>
        </w:numPr>
        <w:rPr/>
      </w:pPr>
      <w:bookmarkStart w:id="81" w:name="__RefHeading___Toc1265120_653776707"/>
      <w:bookmarkStart w:id="82" w:name="_Toc31"/>
      <w:bookmarkEnd w:id="81"/>
      <w:r>
        <w:rPr>
          <w:rtl w:val="true"/>
        </w:rPr>
        <w:t>اشارة</w:t>
      </w:r>
      <w:bookmarkEnd w:id="82"/>
    </w:p>
    <w:p>
      <w:pPr>
        <w:pStyle w:val="BookText"/>
        <w:rPr/>
      </w:pPr>
      <w:r>
        <w:rPr>
          <w:rFonts w:ascii="IRNazanin" w:hAnsi="IRNazanin" w:eastAsia="IRNazanin"/>
          <w:color w:val="111111"/>
          <w:sz w:val="28"/>
          <w:sz w:val="28"/>
          <w:szCs w:val="28"/>
          <w:rtl w:val="true"/>
          <w:lang w:bidi="fa-IR"/>
        </w:rPr>
        <w:t>وهی أحد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ویطهَّر به کلّ متنجّس حتّی الماء، ویکفی فی المطر، والکرّ، والجاری استیلائه علی المتنجّس بعد زوال العین، ولا یجب التعدّد والعصر، فیطهر ما لا ینفذ فیه الماء والنجاسة کالحجر والحدید بمجرّد غمسه فیه، وما ینفذ فیه ولا یمکن عصره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کالکوز والخشب والصابون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یطهر ظاهره بمجرّد غمسه، وباطنه بنفوذ الماء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التطهیر بالقلیل ففی غیر الآنیة إذا تنجّس بالبول یغسل مرّتین، وإذا تنجّس بغیره یغسل مرّة واحدة بعد إزالة العین، ویجب انفصال الغسالة، فلابدّ فی الثوب ونحوه من العصر حتّی تنفصل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الآنیة فإن تنجّست بولوغ الکلب وجب التعفیر أوّلاً؛ أی مسحه بالتراب الطاهر الخالص الجافّ، ثمّ غسله بالماء مرّتین، وإن تنجّست بغیر الولوغ من النجاسات غسلت بالماء ثلاثاً، وإن تنجّست بشرب الخنزیر وموت الجُرَذ فیها وجب غسلها سبعاً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یمکن تطهیر الأوانی بالقلیل بصبّ الماء فیها وإدارته حتّی یستوعب جمیع أجزائها بالإجراء، ثمّ یراق، یفعل ذلک ثلاثاً، وإذا کانت کبیرة مثبتة، یخرج ماء الغسالة المجتمع فی وسطها بنزح وغیره، ویطهّر آلة النزح إذا اُرید عودها، وفی مثل التنّور والحوض یطهر بمرّة من غیر تثلیث</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تنجّس ظاهر الأرُزِّ والماش ونحوهما، یجعل فی شیء ویغمس فی الکرّ أو الجاری فیطهر، ویطهر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بإجراء الماء القلیل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w:t>
      </w:r>
    </w:p>
    <w:p>
      <w:pPr>
        <w:pStyle w:val="BookText"/>
        <w:rPr/>
      </w:pPr>
      <w:r>
        <w:rPr>
          <w:rFonts w:ascii="IRNazanin" w:hAnsi="IRNazanin" w:eastAsia="IRNazanin"/>
          <w:color w:val="111111"/>
          <w:sz w:val="28"/>
          <w:sz w:val="28"/>
          <w:szCs w:val="28"/>
          <w:rtl w:val="true"/>
          <w:lang w:bidi="fa-IR"/>
        </w:rPr>
        <w:t>نفذ فیه النجس فتطهیره بالقلیل غیر میسور، فیوضع فی الکثیر إلی أن ینفذ الماء فی أعماقه، ولو شکّ فی نفوذ النجس فی جوفه حکم بعدمه، فیطهر بغسل ظاهره، کما أنّه لو شکّ فی نفوذ الکثیر یحکم ببقاء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فإنّها تطهّر ما یماسّها من القدم والنعل بالمشی أو المسح، بنحو یزول معه عین إن کانت، والأحوط قصر الحکم بالطهارة علی ما إذا حصلت النجاسة من المشی علی الأرض النجسة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الأرض بین التراب والرمل والحجر والآجر والجصّ والسیمان، بخلاف القیر والخشب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فإنّها تطهِّر الأرض وکلّ ما لا ینقل من الأبنیة وما اتّصل بها؛ من الأبواب والأوتاد وکذا النبات والأشجار وأوراقها وأثمارها، ویعتبر فی تطهیرها، بعد زوال العین، أن تکون رطبة لتجفّفها الشمس بالإشراق، ولو کانت یابسة واُرید تطهیرها بالشمس صبّ علیها الماء لتجفّ بالشمس، ولو جفّفت الظاهر دون الباطن طهر الظاهر دون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الاستحالة إلی جسم آخر، فیطهر ما أحالته النار رماداً أو دخاناً، لا فحماً أو خزفاً أو آجُراً أو جصّاً، فإنّها باقیة علی النجاسة، ویطهر الحیوان المکوّن من النجس کدود المیتة والعذرة، والخمر بانقلابها 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الانتقال إذا عُدَّ المنتقل من أجزاء المنتقل إلیه، کانتقال دم ذی النفس إلی غیر ذی النفس، والماء النجس إلی النباتات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فإنّه مطهِّرٌ لبدن الکافر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التبعیّة، فالکافر إذا أسلم طهر ولده بالتبع، والمیّت إذا طهر بالاغتسال طهر ما علیه من ثیاب وخرقة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عین النجاسة من بدن الحیوان وبواطن الإنسان؛ فیطهر منقار</w:t>
      </w:r>
      <w:bookmarkStart w:id="83" w:name="pg6476_56765"/>
    </w:p>
    <w:p>
      <w:pPr>
        <w:pStyle w:val="BookText"/>
        <w:rPr/>
      </w:pPr>
      <w:bookmarkEnd w:id="83"/>
      <w:r>
        <w:rPr>
          <w:rFonts w:ascii="IRNazanin" w:hAnsi="IRNazanin" w:eastAsia="IRNazanin"/>
          <w:color w:val="111111"/>
          <w:sz w:val="28"/>
          <w:sz w:val="28"/>
          <w:szCs w:val="28"/>
          <w:rtl w:val="true"/>
          <w:lang w:bidi="fa-IR"/>
        </w:rPr>
        <w:t>الدجاجة وموضع جُرح الدابّة وفم الهرّة وولد الحیوان المتلطّخ بالدم عند الولادة بمجرّد زوال النجاسة عنها، ویطهر فم الإنسان إذا أکل النجس بمجرّد بلعه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فالإنسان الذی کان بدنه وثیابه وفرشه وأوانیه نجساً إذا غاب غیبةً ثمّ حضر حکم بطهارة تلک الاُمور مع احتمال تطهیره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استبراء الجلّال، فإذا اعتاد حیوان مأکول اللحم بأکل عذرة الإنسان صار غیر مأکول وتنجّس بوله وخرئه، فإذا منع عن ذلک بحیث زال الاسم طهر بوله وخرئه</w:t>
      </w:r>
      <w:r>
        <w:rPr>
          <w:rFonts w:eastAsia="IRNazanin" w:cs="IRNazanin"/>
          <w:color w:val="111111"/>
          <w:sz w:val="28"/>
          <w:szCs w:val="28"/>
          <w:rtl w:val="true"/>
          <w:lang w:bidi="fa-IR"/>
        </w:rPr>
        <w:t>.</w:t>
      </w:r>
    </w:p>
    <w:p>
      <w:pPr>
        <w:pStyle w:val="Heading4"/>
        <w:numPr>
          <w:ilvl w:val="3"/>
          <w:numId w:val="1"/>
        </w:numPr>
        <w:rPr/>
      </w:pPr>
      <w:bookmarkStart w:id="84" w:name="__RefHeading___Toc1265122_653776707"/>
      <w:bookmarkStart w:id="85" w:name="_Toc32"/>
      <w:bookmarkEnd w:id="84"/>
      <w:r>
        <w:rPr>
          <w:rtl w:val="true"/>
        </w:rPr>
        <w:t>فی الأوانی</w:t>
      </w:r>
      <w:bookmarkEnd w:id="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أوانی الکفّار وکلّ ما کان فی أیدیهم من اللباس والفرش وغیر ذلک محکومة بالطهارة، وما کان فی أیدیهم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الجلود واللحوم من حیوان یحتاج طهارته إلی التذکیة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محکومة بالنجاسة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استعمال أوانی الفضّة والذهب فی الأکل والشرب وغیرهما، والمحرّم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الاستعمال وأخذ المأکول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المغصوب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نفس المأکول، فلو أکل منها فی نهار رمضان لا یکون مفطراً بالحرام، وفی تحریم وضعها علی الرفوف للزینة إشکال، والاقتناء من دون استعمال مباح، فالبیع والشراء لذلک أیضاً حلال</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المراد من الأوانی ما کان معدّاً للأکل والشرب والطبخ والغسل والعجن ونحوها، فالمِلعقة وظرف الاستکان من الأوانی، وفی ظرف السیکار والتریاک إشکال، ورأس القلیان وقاب الساعة ونحوها لیس منها</w:t>
      </w:r>
      <w:r>
        <w:rPr>
          <w:rFonts w:eastAsia="IRNazanin" w:cs="IRNazanin"/>
          <w:color w:val="111111"/>
          <w:sz w:val="28"/>
          <w:szCs w:val="28"/>
          <w:rtl w:val="true"/>
          <w:lang w:bidi="fa-IR"/>
        </w:rPr>
        <w:t>.</w:t>
      </w:r>
      <w:bookmarkStart w:id="86" w:name="pg6476_56766"/>
    </w:p>
    <w:p>
      <w:pPr>
        <w:pStyle w:val="Heading2"/>
        <w:numPr>
          <w:ilvl w:val="1"/>
          <w:numId w:val="1"/>
        </w:numPr>
        <w:rPr/>
      </w:pPr>
      <w:bookmarkStart w:id="87" w:name="__RefHeading___Toc1265124_653776707"/>
      <w:bookmarkStart w:id="88" w:name="_Toc33"/>
      <w:bookmarkEnd w:id="86"/>
      <w:bookmarkEnd w:id="87"/>
      <w:r>
        <w:rPr>
          <w:rtl w:val="true"/>
        </w:rPr>
        <w:t>کتاب الصلاة</w:t>
      </w:r>
      <w:bookmarkEnd w:id="88"/>
    </w:p>
    <w:p>
      <w:pPr>
        <w:pStyle w:val="Heading3"/>
        <w:numPr>
          <w:ilvl w:val="2"/>
          <w:numId w:val="1"/>
        </w:numPr>
        <w:rPr/>
      </w:pPr>
      <w:bookmarkStart w:id="89" w:name="__RefHeading___Toc1265126_653776707"/>
      <w:bookmarkStart w:id="90" w:name="_Toc34"/>
      <w:bookmarkEnd w:id="89"/>
      <w:r>
        <w:rPr>
          <w:rtl w:val="true"/>
        </w:rPr>
        <w:t>اشارة</w:t>
      </w:r>
      <w:bookmarkEnd w:id="90"/>
    </w:p>
    <w:p>
      <w:pPr>
        <w:pStyle w:val="BookText"/>
        <w:rPr/>
      </w:pPr>
      <w:r>
        <w:rPr>
          <w:rFonts w:ascii="IRNazanin" w:hAnsi="IRNazanin" w:eastAsia="IRNazanin"/>
          <w:color w:val="111111"/>
          <w:sz w:val="28"/>
          <w:sz w:val="28"/>
          <w:szCs w:val="28"/>
          <w:rtl w:val="true"/>
          <w:lang w:bidi="fa-IR"/>
        </w:rPr>
        <w:t>وهی التی تنهی عن الفحشاء والمنکر</w:t>
      </w:r>
      <w:r>
        <w:rPr>
          <w:rFonts w:eastAsia="IRNazanin" w:cs="IRNazanin"/>
          <w:color w:val="111111"/>
          <w:sz w:val="28"/>
          <w:szCs w:val="28"/>
          <w:rtl w:val="true"/>
          <w:lang w:bidi="fa-IR"/>
        </w:rPr>
        <w:t>.</w:t>
      </w:r>
    </w:p>
    <w:p>
      <w:pPr>
        <w:pStyle w:val="Heading3"/>
        <w:numPr>
          <w:ilvl w:val="2"/>
          <w:numId w:val="1"/>
        </w:numPr>
        <w:rPr/>
      </w:pPr>
      <w:bookmarkStart w:id="91" w:name="__RefHeading___Toc1265128_653776707"/>
      <w:bookmarkStart w:id="92" w:name="_Toc35"/>
      <w:bookmarkEnd w:id="91"/>
      <w:r>
        <w:rPr>
          <w:rtl w:val="true"/>
        </w:rPr>
        <w:t>فصلٌ فی مقدّماتها</w:t>
      </w:r>
      <w:bookmarkEnd w:id="92"/>
    </w:p>
    <w:p>
      <w:pPr>
        <w:pStyle w:val="Heading4"/>
        <w:numPr>
          <w:ilvl w:val="3"/>
          <w:numId w:val="1"/>
        </w:numPr>
        <w:rPr/>
      </w:pPr>
      <w:bookmarkStart w:id="93" w:name="__RefHeading___Toc1265130_653776707"/>
      <w:bookmarkStart w:id="94" w:name="_Toc36"/>
      <w:bookmarkEnd w:id="93"/>
      <w:r>
        <w:rPr>
          <w:rtl w:val="true"/>
        </w:rPr>
        <w:t>اشارة</w:t>
      </w:r>
      <w:bookmarkEnd w:id="94"/>
    </w:p>
    <w:p>
      <w:pPr>
        <w:pStyle w:val="BookText"/>
        <w:rPr/>
      </w:pPr>
      <w:r>
        <w:rPr>
          <w:rFonts w:ascii="Amiri" w:hAnsi="Amiri" w:eastAsia="Amiri" w:cs="Amiri"/>
          <w:color w:val="111111"/>
          <w:sz w:val="28"/>
          <w:sz w:val="28"/>
          <w:szCs w:val="28"/>
          <w:rtl w:val="true"/>
          <w:lang w:bidi="ar-SA"/>
        </w:rPr>
        <w:t>وهی خمسٌ</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1265132_653776707"/>
      <w:bookmarkStart w:id="96" w:name="_Toc37"/>
      <w:bookmarkEnd w:id="95"/>
      <w:r>
        <w:rPr>
          <w:rtl w:val="true"/>
        </w:rPr>
        <w:t>المقدّمة الاُولی</w:t>
      </w:r>
      <w:r>
        <w:rPr>
          <w:rtl w:val="true"/>
        </w:rPr>
        <w:t xml:space="preserve">: </w:t>
      </w:r>
      <w:r>
        <w:rPr>
          <w:rtl w:val="true"/>
        </w:rPr>
        <w:t>فی أعداد الفرائض والمواقیت الیومیّة</w:t>
      </w:r>
      <w:bookmarkEnd w:id="96"/>
    </w:p>
    <w:p>
      <w:pPr>
        <w:pStyle w:val="BookText"/>
        <w:rPr/>
      </w:pPr>
      <w:r>
        <w:rPr>
          <w:rFonts w:ascii="Amiri" w:hAnsi="Amiri" w:eastAsia="Amiri" w:cs="Amiri"/>
          <w:color w:val="111111"/>
          <w:sz w:val="28"/>
          <w:sz w:val="28"/>
          <w:szCs w:val="28"/>
          <w:rtl w:val="true"/>
          <w:lang w:bidi="ar-SA"/>
        </w:rPr>
        <w:t>الصلاة واجبة ومندوبة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فالواجبة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الیومیّة، ومنها الجمعة، وقضاء الولد الأکبر عن والدیه، وصلاة الآیات، والطواف الواجب، والأموات، وما التزمه المکلّف بنذر أو 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والمندوبة أکثر من أن تحصی، أفضلها الرواتب الیومیّة التی هی ضِعف الفریضة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الظهرین من الزوال إلی المغرب، ووقت العشاءین من المغرب إلی نصف اللیل، وما بین طلوع الفجر الصادق إلی طلوع الشمس وقت للصبح</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الترتیب شرط فی الظهرین، وکذا العشائین، فلو قدّم العصر</w:t>
      </w:r>
      <w:bookmarkStart w:id="97" w:name="pg6476_56767"/>
    </w:p>
    <w:p>
      <w:pPr>
        <w:pStyle w:val="BookText"/>
        <w:rPr/>
      </w:pPr>
      <w:bookmarkEnd w:id="97"/>
      <w:r>
        <w:rPr>
          <w:rFonts w:ascii="IRNazanin" w:hAnsi="IRNazanin" w:eastAsia="IRNazanin"/>
          <w:color w:val="111111"/>
          <w:sz w:val="28"/>
          <w:sz w:val="28"/>
          <w:szCs w:val="28"/>
          <w:rtl w:val="true"/>
          <w:lang w:bidi="fa-IR"/>
        </w:rPr>
        <w:t>علی الظهر عمداً بطل ما قدّمه، وکذا لو قدّم العشاء علی المغرب، ولو قدّم نسیاناً، فإن تذکّر فی الأثناء عدل بنیّته إلی السابقة، وإن تذکّر بعد الفراغ صحّ ما قدّمه ویأتی بالاُولی بعده، فالترتیب ذُکریّ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یبق إلی الغروب إلّامقدار أداء العصر یجب تقدیم العصر وقضاء الظهر بعد ذلک، وإذا لم یبق إلی نصف اللیل إلّامقدار أداء العشاء وجب تقدیم العشاء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العدول من اللاحقة إلی السابقة بخلاف العکس، فلو دخل فی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بتخیّل أنّه صلّی الظهر، فتبیّن فی الأثناء أنّه لم یصلّها عدل بنیّته إلی الظهر، ولا یجوز العدول من الظهر إلی العصر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ذوی الأعذار تأخیر الصلاة عن أوّل وقتها مع رجاء زوالها فی الوقت، إلّافی التیمّم، فإنّه یجوز فیه البدار مع عدم العلم بالزوال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اطمأنّ بدخول الوقت فصلّی، فإن وقع تمام الصلاة قبل الوقت بطلت، وإن وقع بعضها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الاطمئنان بدخول الوقت حین الشروع فی الصلاة، ویکفی أذان الثقة العارف بالوقت، وفی مثل الغیم ونحوه من الأعذار العامّة یجوز التعویل علی الظنّ</w:t>
      </w:r>
      <w:r>
        <w:rPr>
          <w:rFonts w:eastAsia="IRNazanin" w:cs="IRNazanin"/>
          <w:color w:val="111111"/>
          <w:sz w:val="28"/>
          <w:szCs w:val="28"/>
          <w:rtl w:val="true"/>
          <w:lang w:bidi="fa-IR"/>
        </w:rPr>
        <w:t>.</w:t>
      </w:r>
    </w:p>
    <w:p>
      <w:pPr>
        <w:pStyle w:val="Heading4"/>
        <w:numPr>
          <w:ilvl w:val="3"/>
          <w:numId w:val="1"/>
        </w:numPr>
        <w:rPr/>
      </w:pPr>
      <w:bookmarkStart w:id="98" w:name="__RefHeading___Toc1265134_653776707"/>
      <w:bookmarkStart w:id="99" w:name="_Toc38"/>
      <w:bookmarkEnd w:id="98"/>
      <w:r>
        <w:rPr>
          <w:rtl w:val="true"/>
        </w:rPr>
        <w:t>المقدّمة الثانیة</w:t>
      </w:r>
      <w:r>
        <w:rPr>
          <w:rtl w:val="true"/>
        </w:rPr>
        <w:t xml:space="preserve">: </w:t>
      </w:r>
      <w:r>
        <w:rPr>
          <w:rtl w:val="true"/>
        </w:rPr>
        <w:t>فی الاستقبال</w:t>
      </w:r>
      <w:bookmarkEnd w:id="9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الاستقبال مع الإمکان فی جمیع الفرائض، وفی النوافل إذا لم یأت بها حال المشی، ویعتبر تحصیل العلم بالقبلة أو قیام البیّنة، ویعوّل علی قبلة بلد المسلمین فی محاریبهم وقبورهم</w:t>
      </w:r>
      <w:r>
        <w:rPr>
          <w:rFonts w:eastAsia="IRNazanin" w:cs="IRNazanin"/>
          <w:color w:val="111111"/>
          <w:sz w:val="28"/>
          <w:szCs w:val="28"/>
          <w:rtl w:val="true"/>
          <w:lang w:bidi="fa-IR"/>
        </w:rPr>
        <w:t>.</w:t>
      </w:r>
      <w:bookmarkStart w:id="100" w:name="pg6476_56768"/>
    </w:p>
    <w:p>
      <w:pPr>
        <w:pStyle w:val="BookText"/>
        <w:rPr/>
      </w:pPr>
      <w:bookmarkEnd w:id="1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صلّی إلی جهة بطریق معتبر، ثمّ تبیّن خطؤه، ففی الانحراف إلی الیمین والیسار فما دون تصحّ الصلاة، وفیما تجاوز عنه تبطل</w:t>
      </w:r>
      <w:r>
        <w:rPr>
          <w:rFonts w:eastAsia="IRNazanin" w:cs="IRNazanin"/>
          <w:color w:val="111111"/>
          <w:sz w:val="28"/>
          <w:szCs w:val="28"/>
          <w:rtl w:val="true"/>
          <w:lang w:bidi="fa-IR"/>
        </w:rPr>
        <w:t>.</w:t>
      </w:r>
    </w:p>
    <w:p>
      <w:pPr>
        <w:pStyle w:val="Heading4"/>
        <w:numPr>
          <w:ilvl w:val="3"/>
          <w:numId w:val="1"/>
        </w:numPr>
        <w:rPr/>
      </w:pPr>
      <w:bookmarkStart w:id="101" w:name="__RefHeading___Toc1265136_653776707"/>
      <w:bookmarkStart w:id="102" w:name="_Toc39"/>
      <w:bookmarkEnd w:id="101"/>
      <w:r>
        <w:rPr>
          <w:rtl w:val="true"/>
        </w:rPr>
        <w:t>المقدّمة الثالثة</w:t>
      </w:r>
      <w:r>
        <w:rPr>
          <w:rtl w:val="true"/>
        </w:rPr>
        <w:t xml:space="preserve">: </w:t>
      </w:r>
      <w:r>
        <w:rPr>
          <w:rtl w:val="true"/>
        </w:rPr>
        <w:t>فی الستر والساتر</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ستر العورة فی الصلاة مطلقاً، إلّاصلاة الجنائز، ولو بدت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لریح أو غفلة أو کانت منکشفة من أوّل الصلاة وهو لا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فالصلاة صحیحة، فیبادر إلی الستر، وکذلک حکم النسیان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عورة الرجل فی الصلاة عورته فی حرمة النظر،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الدُّبُر والقضیب والاُنثیان، وعورة المرأة فی الصلاة جمیع بدنها حتّی الشعر، ما عدا الوجه والیدین إلی الزندین، والقدمین إلی الساقین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یکفی الستر بالید فی الصلاة، فلابدّ من ثوب ونحوه، ویکفی فی الستر عن الناظر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لباس المصلّی 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الإباحة، فلا صلاة فیما غصب عینه أو منفعته، أو کان متعلّقاً لحقّ الغیر، أو کان غیر مزکّیً أو غیر مخمّس، أو کان خیوطه للغیر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مذکّیً من مأکول اللحم، فلا تجوز الصلاة فی جلد المیتة، ولا فی جمیع أجزاء غیر المأکول حتّی الشعرة الواحدة وإن کان مذکّیً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شکّ فی اللباس أنّه من الحیوان أو غیره، أو من مأکول اللحم أو غیره، جاز الصلاة فیه، ولو شکّ فی جلد أنّه من مذکّی أو میتة لم تجز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یؤخذ من ید المسلمین أو سوقهم، مع عدم العلم بسبق ید الکافر، محکوم بالتذکیة</w:t>
      </w:r>
      <w:r>
        <w:rPr>
          <w:rFonts w:eastAsia="IRNazanin" w:cs="IRNazanin"/>
          <w:color w:val="111111"/>
          <w:sz w:val="28"/>
          <w:szCs w:val="28"/>
          <w:rtl w:val="true"/>
          <w:lang w:bidi="fa-IR"/>
        </w:rPr>
        <w:t>.</w:t>
      </w:r>
      <w:bookmarkStart w:id="103" w:name="pg6476_56769"/>
    </w:p>
    <w:p>
      <w:pPr>
        <w:pStyle w:val="BookText"/>
        <w:rPr/>
      </w:pPr>
      <w:bookmarkEnd w:id="1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بفضلات الإنسان علی اللباس، ولا بالشعر الموصول، سواء کان من الرجل أو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مزیّناً بالذهب للرجال، وکذا الخاتم، والحلقة، وزنجیر الساعة، وأطراف الناظرة، وشدّ الأسنان الثنایا والضواحک بالذهب بقصد التزیین</w:t>
      </w:r>
      <w:r>
        <w:rPr>
          <w:rFonts w:eastAsia="IRNazanin" w:cs="IRNazanin"/>
          <w:color w:val="111111"/>
          <w:sz w:val="28"/>
          <w:szCs w:val="28"/>
          <w:rtl w:val="true"/>
          <w:lang w:bidi="fa-IR"/>
        </w:rPr>
        <w:t>.</w:t>
      </w:r>
    </w:p>
    <w:p>
      <w:pPr>
        <w:pStyle w:val="Heading4"/>
        <w:numPr>
          <w:ilvl w:val="3"/>
          <w:numId w:val="1"/>
        </w:numPr>
        <w:rPr/>
      </w:pPr>
      <w:bookmarkStart w:id="104" w:name="__RefHeading___Toc1265138_653776707"/>
      <w:bookmarkStart w:id="105" w:name="_Toc40"/>
      <w:bookmarkEnd w:id="104"/>
      <w:r>
        <w:rPr>
          <w:rtl w:val="true"/>
        </w:rPr>
        <w:t>المقدّمة الرابعة</w:t>
      </w:r>
      <w:r>
        <w:rPr>
          <w:rtl w:val="true"/>
        </w:rPr>
        <w:t xml:space="preserve">: </w:t>
      </w:r>
      <w:r>
        <w:rPr>
          <w:rtl w:val="true"/>
        </w:rPr>
        <w:t>فی المکان</w:t>
      </w:r>
      <w:bookmarkEnd w:id="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تجوز الصلاة فی مکان مغصوب عیناً أو منفعة، أو کان متعلَّقاً لحقّ الغیر، کحقّ المرتهن أو حقّ المیّت إذا أوصی بالثلث ولم یخرج، أو حقّ الموقوف علیه، أو حقّ السبق؛ بأن سبق أحد إلی مکان مباح من مسجد ومدرسة وغیرهما من الأمکنة العامّة، فأزعجه عنه وصلّی فیه، هذا فی العالم بالغصبیّة والمختار، وأمّا الجاهل المعذور أو المضطرّ کالمحبوس ونحوه فصلاته صحیحة، وکذا الناسی لها ما لم یکن غاصباً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صلاة فی الأرض المجهول مالکها إلّابعد مراجعة الحاکم الشرعی، وفی الأرض المشترکة إلّابإذن جمیع الشرکاء، ولا بأس بالصلاة تحت الخیمة والسقف المغصوبین إذا کان أرضها مباحة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اشتری داراً بعین المال الذی فیه الخمس والزکاة تبطل الصلاة فیها، ومثله ترکة المیّت المتعلّقة للزکاة والخمس وحقوق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المدار فی جواز التصرّف والصلاة فی ملک الغیر إحراز رضاه وطیب نفسه، وإن لم یأذن صریحاً، کما فی المضائف والحمّامات والمقاهی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تجوز الصلاة فی الأراضی المتّسعة، کالصحاری والمزارع والبساتین التی لم یبنَ علیها الحیطان، ویجوز سائر التصرّفات الیسیرة کالاستطراق والجلوس والنوم وإن لم یعلم مُلّاکها، ما لم یکن مضرّاً بزرع وغیره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المراد بالمکان الذی تبطل الصلاة بغصبه، ما استقرّ علیه المصلّی وما شغله من الفضاء فی قیامه وقعوده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الأظهر صحّة صلاة کلّ من الرجل والمرأة مع المحاذاة أو تقدّم المرأة، سواء المحارم وغیرهنّ، لکنّها مکروهة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الصلاة مساویاً لقبر المعصوم، أو مقدّماً علیه جرأةٌ وإساءةٌ للأدب، فبالحریّ الاحتراز عن ذلک، ویرتفع الحکم بالبعد المفرط وبالحائل، ولیس منه الصندوق الشریف والشُبّاک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مسجد الجبهة أن یکون أرضاً أو ما أنبتته الأرض غیر المأکول والملبوس، فلا یصحّ السجود علی ما خرج عن اسم الأرض کالذهب والفضّة والحدید، ولا علی الخبز والفاکهة، ولا علی القطن والکتّان، فیجوز علی ورق الجوز دون ورق العنب، وفی السجود علی القرطاس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کون محلّ السجود بحیث یقبل التمکّن والاعتماد علیه، فلا یجوز علی التراب الذی لا یتمکّن الجبهة علیه، ولا علی الفراش الضخم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لم یمکن السجود علی ما یکفی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لتقیّة ونحوها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 علی الثوب القُطن، ومع فقده سجد علی الثوب الصوف، ومع عدمه سجد علی ظهر کفّه، ومع فقده فعلی المعادن، ولو فقد فی أثناء الصلاة ما یصحّ السجود علیه قطعها مع سعة الوقت ثمّ أعادها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مکان الصلاة أن یکون ثابتاً غیر مضطرب، فالصلاة ماشیاً وفی القاطرة باطلة، وإن کانت السفینة أو الطیّارة بحیث یصدق أنّها مطمئنّة مستقرّة صحّت الصلاة فیها مع حفظ القبلة، هذا مع الاختیار، وأمّا مع الاضطرار فیصلّی ماشیاً وعلی الدابّة وفی السیّارة ونحوها، مراعیاً للاستقبال مهما أمکن وإلّا سقط رأساً</w:t>
      </w:r>
      <w:r>
        <w:rPr>
          <w:rFonts w:eastAsia="IRNazanin" w:cs="IRNazanin"/>
          <w:color w:val="111111"/>
          <w:sz w:val="28"/>
          <w:szCs w:val="28"/>
          <w:rtl w:val="true"/>
          <w:lang w:bidi="fa-IR"/>
        </w:rPr>
        <w:t>.</w:t>
      </w:r>
      <w:bookmarkStart w:id="106" w:name="pg6476_56771"/>
    </w:p>
    <w:p>
      <w:pPr>
        <w:pStyle w:val="BookText"/>
        <w:rPr/>
      </w:pPr>
      <w:bookmarkEnd w:id="1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المساجد، ویکره تعطیلها، ویستحبّ بنائها فی الأمکنة المحتاجة إلیها، وعن المشهور اعتبار إجراء صیغة الوقف، لکن الأظهر کفایة البناء بقصد المسجدیّة، وصلاة شخص فیه بإذن البانی، نعم لو أراد جعل البناء الموجود مسجداً، احتاج إلی الصیغة</w:t>
      </w:r>
      <w:r>
        <w:rPr>
          <w:rFonts w:eastAsia="IRNazanin" w:cs="IRNazanin"/>
          <w:color w:val="111111"/>
          <w:sz w:val="28"/>
          <w:szCs w:val="28"/>
          <w:rtl w:val="true"/>
          <w:lang w:bidi="fa-IR"/>
        </w:rPr>
        <w:t>.</w:t>
      </w:r>
    </w:p>
    <w:p>
      <w:pPr>
        <w:pStyle w:val="Heading4"/>
        <w:numPr>
          <w:ilvl w:val="3"/>
          <w:numId w:val="1"/>
        </w:numPr>
        <w:rPr/>
      </w:pPr>
      <w:bookmarkStart w:id="107" w:name="__RefHeading___Toc1265140_653776707"/>
      <w:bookmarkStart w:id="108" w:name="_Toc41"/>
      <w:bookmarkEnd w:id="107"/>
      <w:r>
        <w:rPr>
          <w:rtl w:val="true"/>
        </w:rPr>
        <w:t>المقدّمة الخامسة</w:t>
      </w:r>
      <w:r>
        <w:rPr>
          <w:rtl w:val="true"/>
        </w:rPr>
        <w:t xml:space="preserve">: </w:t>
      </w:r>
      <w:r>
        <w:rPr>
          <w:rtl w:val="true"/>
        </w:rPr>
        <w:t>فی الأذان والإقامة</w:t>
      </w:r>
      <w:bookmarkEnd w:id="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إشکال فی تأکّد رجحانهما للصلوات الخمس الیومیّة مطلقاً، وفی ترکهما حرمان عن الثواب الجزیل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ویسقطان معاً عن المأموم فی الجماعة التی أذّنوا وأقاموا لها، وعن المنفرد المصلّی فی مسجد فیه جماعة لم تتفرّق، ویسقط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عصر الجمعة وعرفة وعشاء المُزدَلِفة، وفی کلّ عصر وعشاء إذا جمع بینهما وبین الظهر والمغرب</w:t>
      </w:r>
      <w:r>
        <w:rPr>
          <w:rFonts w:eastAsia="IRNazanin" w:cs="IRNazanin"/>
          <w:color w:val="111111"/>
          <w:sz w:val="28"/>
          <w:szCs w:val="28"/>
          <w:rtl w:val="true"/>
          <w:lang w:bidi="fa-IR"/>
        </w:rPr>
        <w:t>.</w:t>
      </w:r>
    </w:p>
    <w:p>
      <w:pPr>
        <w:pStyle w:val="Heading3"/>
        <w:numPr>
          <w:ilvl w:val="2"/>
          <w:numId w:val="1"/>
        </w:numPr>
        <w:rPr/>
      </w:pPr>
      <w:bookmarkStart w:id="109" w:name="__RefHeading___Toc1265142_653776707"/>
      <w:bookmarkStart w:id="110" w:name="_Toc42"/>
      <w:bookmarkEnd w:id="109"/>
      <w:r>
        <w:rPr>
          <w:rtl w:val="true"/>
        </w:rPr>
        <w:t>فصلٌ فی أفعال الصلاة</w:t>
      </w:r>
      <w:bookmarkEnd w:id="110"/>
    </w:p>
    <w:p>
      <w:pPr>
        <w:pStyle w:val="Heading4"/>
        <w:numPr>
          <w:ilvl w:val="3"/>
          <w:numId w:val="1"/>
        </w:numPr>
        <w:rPr/>
      </w:pPr>
      <w:bookmarkStart w:id="111" w:name="__RefHeading___Toc1265144_653776707"/>
      <w:bookmarkStart w:id="112" w:name="_Toc43"/>
      <w:bookmarkEnd w:id="111"/>
      <w:r>
        <w:rPr>
          <w:rtl w:val="true"/>
        </w:rPr>
        <w:t>اشارة</w:t>
      </w:r>
      <w:bookmarkEnd w:id="112"/>
    </w:p>
    <w:p>
      <w:pPr>
        <w:pStyle w:val="BookText"/>
        <w:rPr/>
      </w:pPr>
      <w:r>
        <w:rPr>
          <w:rFonts w:ascii="IRNazanin" w:hAnsi="IRNazanin" w:eastAsia="IRNazanin"/>
          <w:color w:val="111111"/>
          <w:sz w:val="28"/>
          <w:sz w:val="28"/>
          <w:szCs w:val="28"/>
          <w:rtl w:val="true"/>
          <w:lang w:bidi="fa-IR"/>
        </w:rPr>
        <w:t>وهی واجبة ومسنونة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والواجب أحد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وتکبیرة الإحرام، والقیام، والرکوع، والسجود، والقراءة، والذکر، والتشهّد، والتسلیم، والترتیب، والموالاة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وسیأتی أنّ بعضها رکن وبعضها غیر رکن، والرکن ما تبطل الصلاة بزیادته ونقصانه عمداً وسهواً، وغیر الرکن ما لا تبطل بزیادته ونقصانه سهواً</w:t>
      </w:r>
      <w:r>
        <w:rPr>
          <w:rFonts w:eastAsia="IRNazanin" w:cs="IRNazanin"/>
          <w:color w:val="111111"/>
          <w:sz w:val="28"/>
          <w:szCs w:val="28"/>
          <w:rtl w:val="true"/>
          <w:lang w:bidi="fa-IR"/>
        </w:rPr>
        <w:t>.</w:t>
      </w:r>
    </w:p>
    <w:p>
      <w:pPr>
        <w:pStyle w:val="Heading4"/>
        <w:numPr>
          <w:ilvl w:val="3"/>
          <w:numId w:val="1"/>
        </w:numPr>
        <w:rPr/>
      </w:pPr>
      <w:bookmarkStart w:id="113" w:name="__RefHeading___Toc1265146_653776707"/>
      <w:bookmarkStart w:id="114" w:name="_Toc44"/>
      <w:bookmarkEnd w:id="113"/>
      <w:r>
        <w:rPr>
          <w:rtl w:val="true"/>
        </w:rPr>
        <w:t>فی النیّة</w:t>
      </w:r>
      <w:bookmarkEnd w:id="11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قصد الفعل، ویعتبر کونه مسبّباً عن قصد امتثال أمر اللّه أو التقرّب إلیه تعالی، ولا یجب فیها التلفّظ؛ لأنّها أمر قلبیّ، ویکفی الإرادة</w:t>
      </w:r>
      <w:bookmarkStart w:id="115" w:name="pg6476_56772"/>
    </w:p>
    <w:p>
      <w:pPr>
        <w:pStyle w:val="BookText"/>
        <w:rPr/>
      </w:pPr>
      <w:bookmarkEnd w:id="115"/>
      <w:r>
        <w:rPr>
          <w:rFonts w:ascii="IRNazanin" w:hAnsi="IRNazanin" w:eastAsia="IRNazanin"/>
          <w:color w:val="111111"/>
          <w:sz w:val="28"/>
          <w:sz w:val="28"/>
          <w:szCs w:val="28"/>
          <w:rtl w:val="true"/>
          <w:lang w:bidi="fa-IR"/>
        </w:rPr>
        <w:t>الإجمالیّة فی نفس الفاعل، علی نحو یخرج به عن الغافل ویدخل فی المختار، کسائر أفعاله الاختیاریّة، لکن مع کون الباعث والمحرّک للعمل هو الامتثال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الإخلاص فی النیّة، فمتی ضمّ الرِّیاء بطل العمل، سواء کان من الابتداء أو حصل فی الأثناء، کان فی أجزائه الواجبة أو المستحبّة أو فی أوصافه، کالجماعة وکونه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والریاء المتأخّر حرام غیر مبطل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والضمائم الاُخر کحرکة العضلات وهضم الغذاء وتعلیم الغیر، إن کانت غرضاً أصلیّاً بطل العمل، وإن کانت تبعیّة صحّ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تعیین نوع الصلاة فی القصد، کالظهر والعصر والأداء والقضاء، وفی لزوم تعیین القصر والإتمام تردّد، وقصد الوجوب والندب غیر لازم، فیصلّی قربة إلی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العدول من أیّ صلاة إلی اُخری إلّافی موارد نادرة؛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العدول من اللّاحقة إلی السابقة کما مرّ </w:t>
      </w:r>
      <w:r>
        <w:rPr>
          <w:rStyle w:val="FootnoteAnchor"/>
          <w:rtl w:val="true"/>
        </w:rPr>
        <w:footnoteReference w:id="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الصفحة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مسألة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ومن الأداء إلی القضاء فیما إذا دخل فی الحاضرة فذکر أنّ علیه قضاء، فیستحبّ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إلیه</w:t>
      </w:r>
      <w:r>
        <w:rPr>
          <w:rFonts w:eastAsia="IRNazanin" w:cs="IRNazanin"/>
          <w:color w:val="111111"/>
          <w:sz w:val="28"/>
          <w:szCs w:val="28"/>
          <w:rtl w:val="true"/>
          <w:lang w:bidi="fa-IR"/>
        </w:rPr>
        <w:t>.</w:t>
      </w:r>
    </w:p>
    <w:p>
      <w:pPr>
        <w:pStyle w:val="Heading4"/>
        <w:numPr>
          <w:ilvl w:val="3"/>
          <w:numId w:val="1"/>
        </w:numPr>
        <w:rPr/>
      </w:pPr>
      <w:bookmarkStart w:id="116" w:name="__RefHeading___Toc1265148_653776707"/>
      <w:bookmarkStart w:id="117" w:name="_Toc45"/>
      <w:bookmarkEnd w:id="116"/>
      <w:r>
        <w:rPr>
          <w:rtl w:val="true"/>
        </w:rPr>
        <w:t>فی تکبیرة الإحرام</w:t>
      </w:r>
      <w:bookmarkEnd w:id="117"/>
    </w:p>
    <w:p>
      <w:pPr>
        <w:pStyle w:val="BookText"/>
        <w:rPr/>
      </w:pPr>
      <w:r>
        <w:rPr>
          <w:rFonts w:ascii="IRNazanin" w:hAnsi="IRNazanin" w:eastAsia="IRNazanin"/>
          <w:color w:val="111111"/>
          <w:sz w:val="28"/>
          <w:sz w:val="28"/>
          <w:szCs w:val="28"/>
          <w:rtl w:val="true"/>
          <w:lang w:bidi="fa-IR"/>
        </w:rPr>
        <w:t xml:space="preserve">وصورتها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ویجب فیها القیام منتصباً مستقرّاً، ولا یجزی ترجمتها بغیر العربیّة، وهی رکن تبطل الصلاة بالإخلال بها عمداً وسهواً، ویستحبّ رفع الیدین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الاُذنین</w:t>
      </w:r>
      <w:r>
        <w:rPr>
          <w:rFonts w:eastAsia="IRNazanin" w:cs="IRNazanin"/>
          <w:color w:val="111111"/>
          <w:sz w:val="28"/>
          <w:szCs w:val="28"/>
          <w:rtl w:val="true"/>
          <w:lang w:bidi="fa-IR"/>
        </w:rPr>
        <w:t>.</w:t>
      </w:r>
    </w:p>
    <w:p>
      <w:pPr>
        <w:pStyle w:val="Heading4"/>
        <w:numPr>
          <w:ilvl w:val="3"/>
          <w:numId w:val="1"/>
        </w:numPr>
        <w:rPr/>
      </w:pPr>
      <w:bookmarkStart w:id="118" w:name="__RefHeading___Toc1265150_653776707"/>
      <w:bookmarkStart w:id="119" w:name="_Toc46"/>
      <w:bookmarkEnd w:id="118"/>
      <w:r>
        <w:rPr>
          <w:rtl w:val="true"/>
        </w:rPr>
        <w:t>فی القیام</w:t>
      </w:r>
      <w:bookmarkEnd w:id="11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رکن فی موضعین،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تکبیرة الإحرام، فلوکبّر وهو 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سهواً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للقراءة بطلت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اتّصل منه بالرکوع، وهو القیام</w:t>
      </w:r>
      <w:bookmarkStart w:id="120" w:name="pg6476_56773"/>
    </w:p>
    <w:p>
      <w:pPr>
        <w:pStyle w:val="BookText"/>
        <w:rPr/>
      </w:pPr>
      <w:bookmarkEnd w:id="120"/>
      <w:r>
        <w:rPr>
          <w:rFonts w:ascii="IRNazanin" w:hAnsi="IRNazanin" w:eastAsia="IRNazanin"/>
          <w:color w:val="111111"/>
          <w:sz w:val="28"/>
          <w:sz w:val="28"/>
          <w:szCs w:val="28"/>
          <w:rtl w:val="true"/>
          <w:lang w:bidi="fa-IR"/>
        </w:rPr>
        <w:t xml:space="preserve">الذی ینحنی عنه بقصد الرکوع، فلو أتی القراءة جالساً، ثمّ قام إلی الرکوع متقوّساً وغیر منتصب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ساهیاً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بطلت صلاته، والقیام واجب غیر رکنی فی غیر الموضعین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مع الإمکان الانتصاب فی القیام، فلو انحنی بحیث خرج عن صدقه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الاستقلال، فلا یجوز الاستناد إلی شیء مع الاختیار، ولا یجوز القعود مستقلّاً مع التمکّن من القیام مستنداً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لم یقدر علی القیام مطلقاً، صلّی جالساً بشرائط القیام، ومع التعذّر صلّی علی الجانب الأیمن کالمدفون، وإلّا فعلی الأیسر، وإلّا صلّی مستلقیاً کالمحتضر، ومع القدرة علیه فی بعض الرکعات، قام بقدر ما أمکن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الاستقرار فی القیام وغیره من أفعال الفریضة، والقیام مضطرباً مقدّم علی القعود مستقرّاً</w:t>
      </w:r>
      <w:r>
        <w:rPr>
          <w:rFonts w:eastAsia="IRNazanin" w:cs="IRNazanin"/>
          <w:color w:val="111111"/>
          <w:sz w:val="28"/>
          <w:szCs w:val="28"/>
          <w:rtl w:val="true"/>
          <w:lang w:bidi="fa-IR"/>
        </w:rPr>
        <w:t>.</w:t>
      </w:r>
    </w:p>
    <w:p>
      <w:pPr>
        <w:pStyle w:val="Heading4"/>
        <w:numPr>
          <w:ilvl w:val="3"/>
          <w:numId w:val="1"/>
        </w:numPr>
        <w:rPr/>
      </w:pPr>
      <w:bookmarkStart w:id="121" w:name="__RefHeading___Toc1265152_653776707"/>
      <w:bookmarkStart w:id="122" w:name="_Toc47"/>
      <w:bookmarkEnd w:id="121"/>
      <w:r>
        <w:rPr>
          <w:rtl w:val="true"/>
        </w:rPr>
        <w:t>فی القراءة والذکر</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فی الرکعة الاُولی والثانیة من الفرائض قراءة الفاتحة وسورة کاملة عقیبها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الحمد فی النوافل أیضاً، بمعنی کونها شرطاً فی صحّتها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السورة فی شیء منها، إلّاالتی وردت فی کیفیّتها سورة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البسملة جزء من کلّ سورة، فیجب قراءتها، عدا سورة البراءة، وهل یجب تعیین السورة عند الشروع فی البسملة؟ فیه تردّد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بانیاً من أوّل الصلاة علی أن یقرأ سورة معیّنة، فنسی وقرأ غیرها کفی ما قرأه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العدول من سورة إلی اُخری ما لم یبلغ النصف عدا التوحید والجحد، فإنّه لا یجوز العدول منهما إلی غیرهما ولا من إحداهما إلی الاُخری بمجرّد الشروع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الإخفات بالقراءة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البسملة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الظهر والعصر، ویجب علی الرجال الجهر بها فی الصبح وأولیی المغرب والعشاء، فمن عکس عامداً بطلت صلاته، ویعذر الناسی والجاهل بالحکم من أصله غیر المنتبه للسؤال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جهر علی النساء، بل یتخیّرن بینه وبین الإخفات مع عدم الأجنبی، ویجب علیهنّ الإخفات فیما یجب علی الرجال، ویُعذَرن فیما یُعذَرون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مناط الجهر والإخفات ظهور جوهر الصوت وعدمه، ولا یجوز الإخفات بحیث لا یسمع نفسه مع عدم المانع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أن تکون القراءة صحیحة؛ بمعنی أداء الحروف من مخارجها، علی نحو یعدّه أهل اللسان مؤدّیاً للحرف الفلانی دون حرف آخر، ومراعاة الحرکات الإعرابیّة والبنائیّة وسکناتها، وحذف همزة الوصل فی الدرج، وإثبات همزة القطع، ولا یلزم مراعاة تدقیقات علماء التجوید، نعم هی راجحة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یقدر إلّاعلی الملحون ولا یستطیع أن یتعلّم، أجزأه ذلک ولا یجب علیه الائتمام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یتخیّر فیما عدا الرکعتین الأولیین من الفریضة بین الفاتحة والذکر، وصورته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ولا إلهَ إلّااللّهُ واللّهُ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ویجزی مرّة واحدة، والأحوط الثلاث، وأن لا یزید علیها، ویجب الإخفات فی الذکر والحمد، ولا یجب اتّفاق الرکعتین الأخیرتین فی الذکر والقراءة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الاستقرار حال القراءة والأذکار، فلو أراد الحرکة لغرض، یجب ترکهما فی تلک الحالة، وحرکة الإصبع والید لا تضرّ، ولو تحرّک حال القراءة قهراً، أعاد ما قرأه فی تلک الحالة</w:t>
      </w:r>
      <w:r>
        <w:rPr>
          <w:rFonts w:eastAsia="IRNazanin" w:cs="IRNazanin"/>
          <w:color w:val="111111"/>
          <w:sz w:val="28"/>
          <w:szCs w:val="28"/>
          <w:rtl w:val="true"/>
          <w:lang w:bidi="fa-IR"/>
        </w:rPr>
        <w:t>.</w:t>
      </w:r>
      <w:bookmarkStart w:id="123" w:name="pg6476_56775"/>
    </w:p>
    <w:p>
      <w:pPr>
        <w:pStyle w:val="Heading4"/>
        <w:numPr>
          <w:ilvl w:val="3"/>
          <w:numId w:val="1"/>
        </w:numPr>
        <w:rPr/>
      </w:pPr>
      <w:bookmarkStart w:id="124" w:name="__RefHeading___Toc1265154_653776707"/>
      <w:bookmarkStart w:id="125" w:name="_Toc48"/>
      <w:bookmarkEnd w:id="123"/>
      <w:bookmarkEnd w:id="124"/>
      <w:r>
        <w:rPr>
          <w:rtl w:val="true"/>
        </w:rPr>
        <w:t>فی الرکوع</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فی کل رکعة من الفرائض الیومیّة رکوع واحد، وهو رکن، إلّافی الجماعة کما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فیه من الانحناء بحیث تصل یده إلی رکبته، ومن لم یتمکّن من ذلک المقدار أتی بما أمکن ولا ینتقل إلی الجلوس، ورکوع الجالس بانحنائه حتّی یساوی وجهه رکبتیه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نسی الرکوع فهوی إلی السجود، وتذکّر قبل وضع جبهته علی الأرض، رجع إلی القیام ثمّ رکع، ولو تذکّر بعد دخول السجدة، فالأحوط العود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وإتمام الصلاة وإعادتها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الذکر فی الرکوع، ویجزی ثلاث من الصغری،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أو الوحدة من الکبری،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وبحمدِهِ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الطمأنینة حال الذکر، فلو شرع فی الذکر عامداً قبل الوصول إلی حدّ الرکوع، أو أتمّه حال الرفع بطلت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رفع الرأس منه حتّی ینتصب قائماً مطمئنّاً، فلو سجد قبل ذلک عامداً بطلت صلاته</w:t>
      </w:r>
      <w:r>
        <w:rPr>
          <w:rFonts w:eastAsia="IRNazanin" w:cs="IRNazanin"/>
          <w:color w:val="111111"/>
          <w:sz w:val="28"/>
          <w:szCs w:val="28"/>
          <w:rtl w:val="true"/>
          <w:lang w:bidi="fa-IR"/>
        </w:rPr>
        <w:t>.</w:t>
      </w:r>
    </w:p>
    <w:p>
      <w:pPr>
        <w:pStyle w:val="Heading4"/>
        <w:numPr>
          <w:ilvl w:val="3"/>
          <w:numId w:val="1"/>
        </w:numPr>
        <w:rPr/>
      </w:pPr>
      <w:bookmarkStart w:id="126" w:name="__RefHeading___Toc1265156_653776707"/>
      <w:bookmarkStart w:id="127" w:name="_Toc49"/>
      <w:bookmarkEnd w:id="126"/>
      <w:r>
        <w:rPr>
          <w:rtl w:val="true"/>
        </w:rPr>
        <w:t>فی السجود</w:t>
      </w:r>
      <w:bookmarkEnd w:id="12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فی کلّ رکعة سجدتان، وهما رکن، والإخلال بواحدة سهواً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أو نقصاناً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ولابدّ فیه من وضع الجبهة علی الأرض، مع وضع ستّة 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الکفّین والرکبتین وإبهامی الرجلین، ویکفی فی الجبهة صدق السجود علیها، والأحوط أن یکون بمقدار الدراهم، ولابدّ من عدم المانع علی الجبهة، والمراد بالجبهة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قُصاص الشعر إلی أعلی الأنف والحاجبین طولاً، وما بین الجبینین عرضاً</w:t>
      </w:r>
      <w:r>
        <w:rPr>
          <w:rFonts w:eastAsia="IRNazanin" w:cs="IRNazanin"/>
          <w:color w:val="111111"/>
          <w:sz w:val="28"/>
          <w:szCs w:val="28"/>
          <w:rtl w:val="true"/>
          <w:lang w:bidi="fa-IR"/>
        </w:rPr>
        <w:t>.</w:t>
      </w:r>
      <w:bookmarkStart w:id="128" w:name="pg6476_56776"/>
    </w:p>
    <w:p>
      <w:pPr>
        <w:pStyle w:val="BookText"/>
        <w:rPr/>
      </w:pPr>
      <w:bookmarkEnd w:id="1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الاعتماد علی الأعضاء لا مجرّد الوضع، ویجب الذکر فیه بالصغری ثلاثاً، أو الکبری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الأعلی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ویجب حال الذکر الطمأنینة، وکون الأعضاء علی الأرض، ووضع الجبهة علی ما یصحّ السجود علیه، علی ما مرّ </w:t>
      </w:r>
      <w:r>
        <w:rPr>
          <w:rStyle w:val="FootnoteAnchor"/>
          <w:rtl w:val="true"/>
        </w:rPr>
        <w:footnoteReference w:id="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الصفحة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مسألة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مساواة موضع الجبهة مع موضع الرکبتین والإبهامین، فلو ارتفع أحدهما عن الآخر لا تصحّ، إلّاأن یکون التفاوت أربع أصابع مضمومات، ولو وضع جبهته سهواً علی أزید من ذلک، أو علی ما لا یسجد علیه، جرّها إلی ما یصحّ، والأحوط الجلوس مطمئنّاً بین السجدتین، وبعد الثانیة قبل القیام</w:t>
      </w:r>
      <w:r>
        <w:rPr>
          <w:rFonts w:eastAsia="IRNazanin" w:cs="IRNazanin"/>
          <w:color w:val="111111"/>
          <w:sz w:val="28"/>
          <w:szCs w:val="28"/>
          <w:rtl w:val="true"/>
          <w:lang w:bidi="fa-IR"/>
        </w:rPr>
        <w:t>.</w:t>
      </w:r>
    </w:p>
    <w:p>
      <w:pPr>
        <w:pStyle w:val="Heading4"/>
        <w:numPr>
          <w:ilvl w:val="3"/>
          <w:numId w:val="1"/>
        </w:numPr>
        <w:rPr/>
      </w:pPr>
      <w:bookmarkStart w:id="129" w:name="__RefHeading___Toc1265158_653776707"/>
      <w:bookmarkStart w:id="130" w:name="_Toc50"/>
      <w:bookmarkEnd w:id="129"/>
      <w:r>
        <w:rPr>
          <w:rtl w:val="true"/>
        </w:rPr>
        <w:t>سجدتی الشکر والتلاوة</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السجود عند تلاوة آیات أربع فی السور الأربع؛ الآیة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 السجدة، والآیة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حم فصّلت، وآخر النجم، وآخر العلق، وکذا عند استماعها، والسبب مجموع الآیة، والوجوب فوری، فإن أخّرها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عصیاناً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الإتیان حیثما أمکن، ولا یجب لو سمعها من حبس الصوت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یعتبر فی هذا السجود الاستقبال، ولا الطهارة، ولا وضع الجبهة علی ما یصحّ السجود علیه، ولا الذکر، والأحوط وضع جمیع المواضع السبعة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السجود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أعظم العبادات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عُبد اللّه بمثله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ما یکون العبد إلی اللّه وهو ساجد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ویستحبّ أکیداً للشکر عند تجدّد کلّ نعمة ودفع کلّ نقمة، وللتوفیق لأداء کلّ واجب ومندوب، ویکفی فیه مجرّد وضع الجبهة علی الأرض، والأولی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أو مائة، أو ما یشاء</w:t>
      </w:r>
      <w:r>
        <w:rPr>
          <w:rFonts w:eastAsia="IRNazanin" w:cs="IRNazanin"/>
          <w:color w:val="111111"/>
          <w:sz w:val="28"/>
          <w:szCs w:val="28"/>
          <w:rtl w:val="true"/>
          <w:lang w:bidi="fa-IR"/>
        </w:rPr>
        <w:t>.</w:t>
      </w:r>
      <w:bookmarkStart w:id="131" w:name="pg6476_56777"/>
    </w:p>
    <w:p>
      <w:pPr>
        <w:pStyle w:val="Heading4"/>
        <w:numPr>
          <w:ilvl w:val="3"/>
          <w:numId w:val="1"/>
        </w:numPr>
        <w:rPr/>
      </w:pPr>
      <w:bookmarkStart w:id="132" w:name="__RefHeading___Toc1265160_653776707"/>
      <w:bookmarkStart w:id="133" w:name="_Toc51"/>
      <w:bookmarkEnd w:id="131"/>
      <w:bookmarkEnd w:id="132"/>
      <w:r>
        <w:rPr>
          <w:rtl w:val="true"/>
        </w:rPr>
        <w:t>فی التشهّد والتسلیم</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یجب التشهّد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مطمئنّاً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الثنائیّة مرّة، بعد السجدة الثانیة، وفی الثلاثیّة والرباعیّة مرّتین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الاُولی بعد السجدة من الرکعة الثانیة، والثانیة بعدها من الرکعة الأخیرة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فیه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إلّااللّهُ وحدَهُ لا شریکَ لَهُ وأشهَدُ أنَّ مُحمّداً عبدهُ ورسولُهُ، اللّهُمَّ صَلِّ علی مُحمّدٍ وآلِ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ویستحبّ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النبیُّ ورحمةُ اللّهِ وبرکاتُهُ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التشهّد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التسلیم واجب فی الصلاة، ویتوقّف علیه تحلّل المنافیات والخروج عن الصلاة، وله صیغتان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علَینا وعلی عِبادِ اللّه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 ورحمَةُ اللّه وبرکاتُهُ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ویجوز الاکتفاء بالأخیرة</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1265162_653776707"/>
      <w:bookmarkStart w:id="135" w:name="_Toc52"/>
      <w:bookmarkEnd w:id="134"/>
      <w:r>
        <w:rPr>
          <w:rtl w:val="true"/>
        </w:rPr>
        <w:t>فی الترتیب والموالاة</w:t>
      </w:r>
      <w:bookmarkEnd w:id="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الترتیب فی أفعال الصلاة، فیقدّم التکبیر علی القراءة، وهی علی الرکوع وهکذا، فمن عکس عمداً بطلت الصلاة، وکذا سهواً لو قدّم رکناً علی رکن، فلو قدّم التشهّد سهواً علی إحدی السجدتین أو کلتیهما ومضی وقت التدارک، لم تبطل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الموالاة فی أفعال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عدم الفصل بین أفعالها علی وجه تنمحی صورتها، کأن یجلس بینها متفکّراً ساعة أو ساعتین، فلو فصل کذلک بطل</w:t>
      </w:r>
      <w:r>
        <w:rPr>
          <w:rFonts w:eastAsia="IRNazanin" w:cs="IRNazanin"/>
          <w:color w:val="111111"/>
          <w:sz w:val="28"/>
          <w:szCs w:val="28"/>
          <w:rtl w:val="true"/>
          <w:lang w:bidi="fa-IR"/>
        </w:rPr>
        <w:t>.</w:t>
      </w:r>
    </w:p>
    <w:p>
      <w:pPr>
        <w:pStyle w:val="Heading4"/>
        <w:numPr>
          <w:ilvl w:val="3"/>
          <w:numId w:val="1"/>
        </w:numPr>
        <w:rPr/>
      </w:pPr>
      <w:bookmarkStart w:id="136" w:name="__RefHeading___Toc1265164_653776707"/>
      <w:bookmarkStart w:id="137" w:name="_Toc53"/>
      <w:bookmarkEnd w:id="136"/>
      <w:r>
        <w:rPr>
          <w:rtl w:val="true"/>
        </w:rPr>
        <w:t>بقی أمران</w:t>
      </w:r>
      <w:r>
        <w:rPr>
          <w:rtl w:val="true"/>
        </w:rPr>
        <w:t xml:space="preserve">: </w:t>
      </w:r>
      <w:r>
        <w:rPr>
          <w:rtl w:val="true"/>
        </w:rPr>
        <w:t>القنوت والتعقیب</w:t>
      </w:r>
      <w:bookmarkEnd w:id="13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یستحبّ القنوت فی الفرائض الیومیّة، ویتأکّد فی الجهریّة، ومحلّه قبل الرکوع من الرکعة الثانیة، ویستحبّ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نافلة، خصوصاً</w:t>
      </w:r>
      <w:bookmarkStart w:id="138" w:name="pg6476_56778"/>
    </w:p>
    <w:p>
      <w:pPr>
        <w:pStyle w:val="BookText"/>
        <w:rPr/>
      </w:pPr>
      <w:bookmarkEnd w:id="138"/>
      <w:r>
        <w:rPr>
          <w:rFonts w:ascii="IRNazanin" w:hAnsi="IRNazanin" w:eastAsia="IRNazanin"/>
          <w:color w:val="111111"/>
          <w:sz w:val="28"/>
          <w:sz w:val="28"/>
          <w:szCs w:val="28"/>
          <w:rtl w:val="true"/>
          <w:lang w:bidi="fa-IR"/>
        </w:rPr>
        <w:t>الوتر فی المحلّ المزبوره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ویکفی فیه کلّ ما أمکن من ذکر ودعاء وقرآن، ویستحبّ إطالته، فإنّ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أطولکم قنوتاً فی الدّنیا أطولکم استراحة فی الآخرة</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کتاب الصلاة، أبواب القنوت، ألباب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التعقیب بعد الفراغ من کلّ صلاة خاصّة الفریضة، والمراد به الاشتغال بالذکر أو الدعاء أو القرآن أو التفکّر فی المسائل الدینیّة أو مطالعة کتاب أو کتابة حکم وآداب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اتّصاله بالصلاة، والأفضل فیه ما ورد عن أئمّة الدین، وقد کتبنا بعضاً منها فی کتاب مصباح الدارین</w:t>
      </w:r>
      <w:r>
        <w:rPr>
          <w:rFonts w:eastAsia="IRNazanin" w:cs="IRNazanin"/>
          <w:color w:val="111111"/>
          <w:sz w:val="28"/>
          <w:szCs w:val="28"/>
          <w:rtl w:val="true"/>
          <w:lang w:bidi="fa-IR"/>
        </w:rPr>
        <w:t>.</w:t>
      </w:r>
    </w:p>
    <w:p>
      <w:pPr>
        <w:pStyle w:val="Heading4"/>
        <w:numPr>
          <w:ilvl w:val="3"/>
          <w:numId w:val="1"/>
        </w:numPr>
        <w:rPr/>
      </w:pPr>
      <w:bookmarkStart w:id="139" w:name="__RefHeading___Toc1265166_653776707"/>
      <w:bookmarkStart w:id="140" w:name="_Toc54"/>
      <w:bookmarkEnd w:id="139"/>
      <w:r>
        <w:rPr>
          <w:rtl w:val="true"/>
        </w:rPr>
        <w:t>فی مبطلات الصلاة</w:t>
      </w:r>
      <w:bookmarkEnd w:id="140"/>
    </w:p>
    <w:p>
      <w:pPr>
        <w:pStyle w:val="BookText"/>
        <w:rPr/>
      </w:pPr>
      <w:r>
        <w:rPr>
          <w:rFonts w:ascii="Amiri" w:hAnsi="Amiri" w:eastAsia="Amiri" w:cs="Amiri"/>
          <w:color w:val="111111"/>
          <w:sz w:val="28"/>
          <w:sz w:val="28"/>
          <w:szCs w:val="28"/>
          <w:rtl w:val="true"/>
          <w:lang w:bidi="ar-SA"/>
        </w:rPr>
        <w:t>وهی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الحدث الأصغر والأکبر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التکفیر، وهو وضع إحدی الیدین علی الاُخری، وکذا قول آمین، علی نحو ما یصنعهما أهل السنّة، ولا بأس بهما حال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الالتفات عمداً بکلّ البدن یمیناً أو شمالاً، علی نحو یخرج عن الاستقبال، وکذا بالوجه خاصّة بحیث یجعل صفحة وجهه بحذاء یمین القبلة أو یسارها، ولا بأس بالالتفات سهواً، إلّاأن یکون بکلّ البدن بحیث یتجاوز عمّا بین الیمین والشمال إلی الاستدبار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الکلام، ولو بحرفین غیر الذکر والدعاء والقرآن، فإنّها جائزة، ویستحبّ ردّ سلام التحیّة ولو کان ملحوناً، ولو ترکه لم تبطل الصلاة، ولا یجوز الابتداء بالسلام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إسماع ردّ السلام فی الصلاة وغیرها؛ بمعنی رفع الصوت علی المتعارف، بحیث لو لم یکن مانع لسمعه، ولو کان المسلّم بعیداً، أو کان أصمّ، أو کان مانع آخر، یجیب بإشارة الید ونحوها، وتجب الفوریّة فی الجواب</w:t>
      </w:r>
      <w:r>
        <w:rPr>
          <w:rFonts w:eastAsia="IRNazanin" w:cs="IRNazanin"/>
          <w:color w:val="111111"/>
          <w:sz w:val="28"/>
          <w:szCs w:val="28"/>
          <w:rtl w:val="true"/>
          <w:lang w:bidi="fa-IR"/>
        </w:rPr>
        <w:t>.</w:t>
      </w:r>
      <w:bookmarkStart w:id="141" w:name="pg6476_56779"/>
    </w:p>
    <w:p>
      <w:pPr>
        <w:pStyle w:val="BookText"/>
        <w:rPr/>
      </w:pPr>
      <w:bookmarkEnd w:id="1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الابتداء بالسلام مستحبّ کفائی، والردّ واجب کفائی، فإذا دخل جماعة علی جماعة، کفی تسلیم واحد من الواردین، وجواب واحد من المورود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سلّم شخصان کلٌّ علی الآخر، یجب علی کلّ منهما ردّ سلام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القهقهة ولو اضطراراً، ولا بأس بالتبسّم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البکاء علی أمر دنیویّ کتلف مال أو موت ولد، وفی جواز البکاء علی الحسین علیه السلام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فعل ماحٍ لصورة الصلاة، کالوثبة الفاحشة والاشتغال بالخیاطة والأکل، وأمّا غیر الماحی، کتحریک الید، وقتل الحیّة، وحمل الطفل فلا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جزء أو نقصانه مطلقاً إن کان رکناً، وعمداً إن کان غیره، ومثلها الشکّ فی الرکعات فی الجملة کما سیجیء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قطع الفریضة اختیاراً، ویجوز عند الخوف علی مال أو نفس، بل قد یجب فی بعض الأحیان</w:t>
      </w:r>
      <w:r>
        <w:rPr>
          <w:rFonts w:eastAsia="IRNazanin" w:cs="IRNazanin"/>
          <w:color w:val="111111"/>
          <w:sz w:val="28"/>
          <w:szCs w:val="28"/>
          <w:rtl w:val="true"/>
          <w:lang w:bidi="fa-IR"/>
        </w:rPr>
        <w:t>.</w:t>
      </w:r>
    </w:p>
    <w:p>
      <w:pPr>
        <w:pStyle w:val="Heading4"/>
        <w:numPr>
          <w:ilvl w:val="3"/>
          <w:numId w:val="1"/>
        </w:numPr>
        <w:rPr/>
      </w:pPr>
      <w:bookmarkStart w:id="142" w:name="__RefHeading___Toc1265168_653776707"/>
      <w:bookmarkStart w:id="143" w:name="_Toc55"/>
      <w:bookmarkEnd w:id="142"/>
      <w:r>
        <w:rPr>
          <w:rtl w:val="true"/>
        </w:rPr>
        <w:t>فی صلاة الآیات</w:t>
      </w:r>
      <w:bookmarkEnd w:id="1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سبب هذه الصلاة کسوف الشمس وخسوف القمر ولو بعضهما، والزلزلة وکلّ آیة مخوّفة لغالب الناس؛ سماویّة کانت، کالریح غیر المعتادة، والظلمة الشدیدة، والنار تُری فی السماء، أو أرضیّة، کالخسف ونحوه، ولا یعتبر الخوف فی الکسوفین والزلزلة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صلاة الکسوفین من حین الأخذ إلی تمام الإنجلاء، والأحوط الإتیان بها قبل الشروع فی الإنجلاء، وأمّا غیرهما فهی من ذوات</w:t>
      </w:r>
    </w:p>
    <w:p>
      <w:pPr>
        <w:pStyle w:val="BookText"/>
        <w:rPr/>
      </w:pPr>
      <w:r>
        <w:rPr>
          <w:rFonts w:ascii="IRNazanin" w:hAnsi="IRNazanin" w:eastAsia="IRNazanin"/>
          <w:color w:val="111111"/>
          <w:sz w:val="28"/>
          <w:sz w:val="28"/>
          <w:szCs w:val="28"/>
          <w:rtl w:val="true"/>
          <w:lang w:bidi="fa-IR"/>
        </w:rPr>
        <w:t>الأسباب لا الأوقات، فتجب بمجرّد وقوعها، فإن عصی فبعدها طول العمر، والکلّ أداء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یختصّ الوجوب ببلد الآیة، وتثبت بالاطمئنان الحاصل من إخبار الرصدیّ وغیره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لم یعلم بالکسوفین إلی تمام الإنجلاء، ولم یحترق جمیع القرص، لم یجب علیه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علم بهما وترکها نسیاناً أو احترق جمیع القرص وجب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سائر الآیات فمع العلم بها فی وقتها وجب الإتیان بصلاتها ما دام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یعلم بها حتّی مضی زمان، فلا یبعد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الوجوب أصلاً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صلاة الآیات رکعتان فی کلّ واحدة منهما خمسة رکوعات، فیکون المجموع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وتفصیلها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یکبّر، ثمّ یقرأ الحمد وسورة، ثمّ یرکع، ثمّ یرفع رأسه، ثمّ یقرء الحمد وسورة، ثمّ یرکع، وهکذا خمس مرّات، وبعد رفع الرأس من الرکوع الخامس یسجد سجدتین، ثمّ یقوم إلی الرکعة الثانیة فیفعل کما فعل أوّلاً، ثمّ یتشهّد ویسلّم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أن یقرأ بعد تکبیرة الإحرام الفاتحة وبعضاً من سورة، فیرکع، ثمّ یقرأ بعد رفع الرأس من کلّ رکوع بعضاً من تلک السورة بلا قراءة الفاتحة، حتّی یتمّ السورة فی تلک الرکعة، ثمّ یسجد السجدتین فیقوم إلی الرکعة الثانیة فیفعل مثل ذلک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شرائطها کشرائط الیومیّة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فیها القنوت قبل کلّ رکوع ثانٍ، فیکون خمسة قنوتات، ویجوز الاکتفاء بقنوت واحد قبل الرکوع العاشر، ویستحبّ فیها الجماعة فیتحمّل الإمام القراءة</w:t>
      </w:r>
      <w:r>
        <w:rPr>
          <w:rFonts w:eastAsia="IRNazanin" w:cs="IRNazanin"/>
          <w:color w:val="111111"/>
          <w:sz w:val="28"/>
          <w:szCs w:val="28"/>
          <w:rtl w:val="true"/>
          <w:lang w:bidi="fa-IR"/>
        </w:rPr>
        <w:t>.</w:t>
      </w:r>
      <w:bookmarkStart w:id="144" w:name="pg6476_56781"/>
    </w:p>
    <w:p>
      <w:pPr>
        <w:pStyle w:val="Heading4"/>
        <w:numPr>
          <w:ilvl w:val="3"/>
          <w:numId w:val="1"/>
        </w:numPr>
        <w:rPr/>
      </w:pPr>
      <w:bookmarkStart w:id="145" w:name="__RefHeading___Toc1265170_653776707"/>
      <w:bookmarkStart w:id="146" w:name="_Toc56"/>
      <w:bookmarkEnd w:id="144"/>
      <w:bookmarkEnd w:id="145"/>
      <w:r>
        <w:rPr>
          <w:rtl w:val="true"/>
        </w:rPr>
        <w:t>فی الخلل الواقع فی الصلاة</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مرّ </w:t>
      </w:r>
      <w:r>
        <w:rPr>
          <w:rStyle w:val="FootnoteAnchor"/>
          <w:rtl w:val="true"/>
        </w:rPr>
        <w:footnoteReference w:id="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الصفحة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 الکلام فی الإخلال بالشرائط، وأمّا الأجزاء فمن أخلّ بشیء من واجبات صلاته 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حرکة من 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إن زاد فیها شیئاً عمداً بعنوان الجزئیّة، ولا بأس بالدعاء والذکر والقراءة لا بعنوان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الإخلال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زاد رکناً من تکبیرة، أو رکوع، أو سجدتین، أو نقصه بطلت، ومن زاد غیر الأرکان أو نقصه لم تبطل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نسی شیئاً من واجبات صلاته، فإن لم یدخل فی رکن بعده رجع وأتی به وبما بعده وصحّت صلاته؛ کمن نسی سجدة من الرکعة الاُولی ودخل فی قراءة الرکعة الثانیة، أو نسی التشهّد ودخل فی قراءة الثالثة، وإن دخل فی رکن بعده بطلت، کمن نسی الرکوع حتّی دخل فی السجدة الثانیة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نسی ذکر الرکوع أو السجود حتّی رفع الرأس منهما فلا شیء علیه ومضی فی صلاته، ویجب بعد الصلاة قضاء السجدة والتشهّد المنسیّین ولا یقضی غیرهما</w:t>
      </w:r>
      <w:r>
        <w:rPr>
          <w:rFonts w:eastAsia="IRNazanin" w:cs="IRNazanin"/>
          <w:color w:val="111111"/>
          <w:sz w:val="28"/>
          <w:szCs w:val="28"/>
          <w:rtl w:val="true"/>
          <w:lang w:bidi="fa-IR"/>
        </w:rPr>
        <w:t>.</w:t>
      </w:r>
    </w:p>
    <w:p>
      <w:pPr>
        <w:pStyle w:val="Heading4"/>
        <w:numPr>
          <w:ilvl w:val="3"/>
          <w:numId w:val="1"/>
        </w:numPr>
        <w:rPr/>
      </w:pPr>
      <w:bookmarkStart w:id="147" w:name="__RefHeading___Toc1265172_653776707"/>
      <w:bookmarkStart w:id="148" w:name="_Toc57"/>
      <w:bookmarkEnd w:id="147"/>
      <w:r>
        <w:rPr>
          <w:rtl w:val="true"/>
        </w:rPr>
        <w:t>فی الشکّ</w:t>
      </w:r>
      <w:bookmarkEnd w:id="148"/>
    </w:p>
    <w:p>
      <w:pPr>
        <w:pStyle w:val="Heading5"/>
        <w:numPr>
          <w:ilvl w:val="4"/>
          <w:numId w:val="1"/>
        </w:numPr>
        <w:rPr/>
      </w:pPr>
      <w:bookmarkStart w:id="149" w:name="__RefHeading___Toc1265174_653776707"/>
      <w:bookmarkStart w:id="150" w:name="_Toc58"/>
      <w:bookmarkEnd w:id="149"/>
      <w:r>
        <w:rPr>
          <w:rtl w:val="true"/>
        </w:rPr>
        <w:t>اشارة</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شکّ فی الصلاة فلم یدرِ أنّه صلّی أم لا، فإن کان فی الوقت أتی بها، وإن کان فی خارجه لم یلتفت، وإن شکّ فی بقاء الوقت حکم بالبقاء</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شکّ فی شیء من أفعال صلاته؛ فإن کان قبل الدخول فی غیره وجب الإتیان به؛ کما إذا شکّ فی التشهّد قبل القیام، وإن کان بعد الدخول فی غیره لم یلتفت، کما إذا شکّ فی الحمد وهو آخذ فی السورة، أو فی السورة وهو فی القنوت، أو فی السجدة وهو فی التشهّد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شکّ فی صحّة ما فعل وفساده بنی علی الصحّة، ولو شکّ فی التسلیم بعدما دخل فی التعقیب أو فی بعض المنافیات لم یلتفت</w:t>
      </w:r>
      <w:r>
        <w:rPr>
          <w:rFonts w:eastAsia="IRNazanin" w:cs="IRNazanin"/>
          <w:color w:val="111111"/>
          <w:sz w:val="28"/>
          <w:szCs w:val="28"/>
          <w:rtl w:val="true"/>
          <w:lang w:bidi="fa-IR"/>
        </w:rPr>
        <w:t>.</w:t>
      </w:r>
      <w:bookmarkStart w:id="151" w:name="pg6476_56782"/>
    </w:p>
    <w:p>
      <w:pPr>
        <w:pStyle w:val="Heading5"/>
        <w:numPr>
          <w:ilvl w:val="4"/>
          <w:numId w:val="1"/>
        </w:numPr>
        <w:rPr/>
      </w:pPr>
      <w:bookmarkStart w:id="152" w:name="__RefHeading___Toc1265176_653776707"/>
      <w:bookmarkStart w:id="153" w:name="_Toc59"/>
      <w:bookmarkEnd w:id="151"/>
      <w:bookmarkEnd w:id="152"/>
      <w:r>
        <w:rPr>
          <w:rtl w:val="true"/>
        </w:rPr>
        <w:t>فی الشکّ فی عدد الرکعات والظنّ فیه</w:t>
      </w:r>
      <w:bookmarkEnd w:id="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حکم للشکّ فی الرکعات بمجرّد حصوله إن زال بعد التأمّل، وأمّا لو استقرّ فهو مفسد فی بعض الصور، وغیر مفسد فی صور 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الاثنتین والثلاث بعد السجدتین، فیبنی علی الثلاث ویأتی بالرابعة ویتمّ صلاته، ثمّ یحتاط برکعة من قیام أو رکعتین من جلوس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الثلاث والأربع فی أیّ موضع کان، وحکمه کسابقه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الاثنتین والأربع بعد السجدتین، فیبنی علی الأربع ویتمّ صلاته، ثمّ یحتاط برکعتین من 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الاثنتین والثلاث والأربع بعد السجدتین، فیبنی علی الأربع ویتمّ صلاته، ثمّ یحتاط برکعتین من قیام ثمّ رکعتین من جلوس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بین الأربع والخمس؛ وله صورتان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بعد السجدتین فیبنی علی الأربع ویتمّ صلاته ثمّ یسجد سجدتی السهو،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حال القیام فیجلس ویعمل عمل الصورة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فی الشکوک الصحیحة قطع الصلاة واستینافها، بل یجب العمل علی طبق وظیفة الشاکّ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أبطلها وأعادها من رأس صحّت وإن أثم بالإبطال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لابدّ فی صلاة الاحتیاط من النیّة والتکبیر وقراءة الفاتحة سرّاً والرکوع والسجود والتشهّد والتسلیم، ولا سورة فیها ولا قنوت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تجب المبادرة إلی صلاة الاحتیاط بعد الفراغ من الصلاة قبل إتیان المنافی، فإن فعل فالأحوط إعادة الصلاة</w:t>
      </w:r>
      <w:r>
        <w:rPr>
          <w:rFonts w:eastAsia="IRNazanin" w:cs="IRNazanin"/>
          <w:color w:val="111111"/>
          <w:sz w:val="28"/>
          <w:szCs w:val="28"/>
          <w:rtl w:val="true"/>
          <w:lang w:bidi="fa-IR"/>
        </w:rPr>
        <w:t>.</w:t>
      </w:r>
      <w:bookmarkStart w:id="154" w:name="pg6476_56783"/>
    </w:p>
    <w:p>
      <w:pPr>
        <w:pStyle w:val="BookText"/>
        <w:rPr/>
      </w:pPr>
      <w:bookmarkEnd w:id="1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اعتبار بالشکّ فی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إتیان جزء أو فی صحّته بعد الدخول فی جزء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بعد الوقت،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الصحّة بعد الفراغ من الصلاة، سواء أکان من جهة الأجزاء أو الشروط أو الرکعات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کثیر الشکّ، سواء أکان فی الرکعات أو الأفعال أو الشروط، فلو شکّ فی القراءة قبل الرکوع یبنی علی وقوعها، والمرجع فیه العرف، فلو شکّ فی شیء فی ثلاث صلوات متوالیات عمل بشکّه ولم یعتن فی الرابعة، ولو عمل حینئذٍ بشکّه بطلت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کلّ من الإمام والمأموم فی الرکعات مع حفظ الآخر، فیرجع الشاکّ منهما إلی الآخر، وأمّا فی الأجزاء فیعمل کلّ علی طبق وظیفته وفیه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رکعات النافلة، فیتخیّر بین البناء علی الأقلّ أو الأکثر، إلّاإذا کان الأکثر مفسداً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الظنّ فی رکعات الصلاة مطلقاً کالیقین، حتّی فیما تعلّق بالثنائیّة والثلاثیّة أو الرکعتین الأولیین من الرباعیّة، فلو ظنّ أنّ ما بیده الثانیة من الصبح، أو الاُولی من الظهر عمل بظنّه، وأمّا الظنّ فی الأفعال ففی اعتباره إشکال، فالأحوط إذا ظنّ الإتیان وهو فی المحلّ، إتیان مثل القراءة بقصد القربة وإتیان مثل السجدة ثمّ إعادة الصلاة</w:t>
      </w:r>
      <w:r>
        <w:rPr>
          <w:rFonts w:eastAsia="IRNazanin" w:cs="IRNazanin"/>
          <w:color w:val="111111"/>
          <w:sz w:val="28"/>
          <w:szCs w:val="28"/>
          <w:rtl w:val="true"/>
          <w:lang w:bidi="fa-IR"/>
        </w:rPr>
        <w:t>.</w:t>
      </w:r>
    </w:p>
    <w:p>
      <w:pPr>
        <w:pStyle w:val="Heading4"/>
        <w:numPr>
          <w:ilvl w:val="3"/>
          <w:numId w:val="1"/>
        </w:numPr>
        <w:rPr/>
      </w:pPr>
      <w:bookmarkStart w:id="155" w:name="__RefHeading___Toc1265178_653776707"/>
      <w:bookmarkStart w:id="156" w:name="_Toc60"/>
      <w:bookmarkEnd w:id="155"/>
      <w:r>
        <w:rPr>
          <w:rtl w:val="true"/>
        </w:rPr>
        <w:t>فی الأجزاء المنسیّة وسجود السهو</w:t>
      </w:r>
      <w:bookmarkEnd w:id="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یقضی من الأجزاء المنسیّة فی الصلاة غیر السجود والتشهّد، فینوی أنّهما قضاء المنسیّ، ولا یفصل بینهما وبین الصلاة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سجدتا السهو 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ساهیاً ولو لظنّ الخروج عن الصلاة، ونسیان السجدة الواحدة، والسلام فی غیر محلّه، ونسیان التشهّد، والشکّ بین الأربع والخمس، وفی لزومه لکلّ زیادة ونقیصة رجحان</w:t>
      </w:r>
      <w:r>
        <w:rPr>
          <w:rFonts w:eastAsia="IRNazanin" w:cs="IRNazanin"/>
          <w:color w:val="111111"/>
          <w:sz w:val="28"/>
          <w:szCs w:val="28"/>
          <w:rtl w:val="true"/>
          <w:lang w:bidi="fa-IR"/>
        </w:rPr>
        <w:t>.</w:t>
      </w:r>
      <w:bookmarkStart w:id="157" w:name="pg6476_56784"/>
    </w:p>
    <w:p>
      <w:pPr>
        <w:pStyle w:val="BookText"/>
        <w:rPr/>
      </w:pPr>
      <w:bookmarkEnd w:id="157"/>
      <w:r>
        <w:rPr>
          <w:rFonts w:ascii="Amiri" w:hAnsi="Amiri" w:eastAsia="Amiri" w:cs="Amiri"/>
          <w:color w:val="111111"/>
          <w:sz w:val="28"/>
          <w:sz w:val="28"/>
          <w:szCs w:val="28"/>
          <w:rtl w:val="true"/>
          <w:lang w:bidi="ar-SA"/>
        </w:rPr>
        <w:t>وتجب المبادرة إلیهما، فلو أخّر عصی وصحّت الصلاة، ولا تجب فیهما التکبیر، ویقول فی کلّ من السجدتین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اللّهُمَّ صلِّ علی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یتشهّد بعدهما، ثمّ یسلّم التسلیم الأخیر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تقدیم رکعات الاحتیاط علی قضاء الأجزاء المنسیّة، وهو علی سجدتی السهو</w:t>
      </w:r>
      <w:r>
        <w:rPr>
          <w:rFonts w:eastAsia="IRNazanin" w:cs="IRNazanin"/>
          <w:color w:val="111111"/>
          <w:sz w:val="28"/>
          <w:szCs w:val="28"/>
          <w:rtl w:val="true"/>
          <w:lang w:bidi="fa-IR"/>
        </w:rPr>
        <w:t>.</w:t>
      </w:r>
    </w:p>
    <w:p>
      <w:pPr>
        <w:pStyle w:val="Heading4"/>
        <w:numPr>
          <w:ilvl w:val="3"/>
          <w:numId w:val="1"/>
        </w:numPr>
        <w:rPr/>
      </w:pPr>
      <w:bookmarkStart w:id="158" w:name="__RefHeading___Toc1265180_653776707"/>
      <w:bookmarkStart w:id="159" w:name="_Toc61"/>
      <w:bookmarkEnd w:id="158"/>
      <w:r>
        <w:rPr>
          <w:rtl w:val="true"/>
        </w:rPr>
        <w:t>فی صلاة القضاء</w:t>
      </w:r>
      <w:bookmarkEnd w:id="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قضاء الصلوات التی فاتت فی أوقاتها عمداً أو سهواً أو جهلاً، وکذا المأتیّ بها باطلة، ولا یجب قضاء ما ترکه الحائض والنفساء بعد الطهر، والمجنون بعد الإفاقة، والکافر الأصلیّ بعد الإسلام، والمخالف بعد الاستبصار، لکن المرتدّ یقضی بعد التوبة، وفاقد الطهورین یسقط عنه الأداء، ویجب علیه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قضاء الفرائض فی کلّ مکان وزمان، والعبرة بحال الفوت لا وقت العمل، فإن فات فی السفر قضاه قصراً، أینما کان، وإن فات فی الحضر قضاه تماماً، کذلک، والعبرة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بآخر الوقت؛ فلو کان فی أوّل الوقت مسافراً وفی آخره حاضراً ففات، قضاه تماماً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تعدّدت الفوائت قضاها کیف شاء، ولا تجب مراعاة ترتیب الفوت، فیقضی عشر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صبحاً، ثمّ یشتغل بالظهرین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اللازم إتیان الظهرین عشر مرّات، لا عشراً من الظهر، ثمّ عشراً من العصر، ومثلهما المغرب والعشاء، وإذا علم بفوات الصبح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 ولم یعلم عددها، اکتفی بالقدر المتیقّن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تقدیم القضاء علی الحاضرة، بل وجوب القضاء موسّع</w:t>
      </w:r>
      <w:bookmarkStart w:id="160" w:name="pg6476_56785"/>
    </w:p>
    <w:p>
      <w:pPr>
        <w:pStyle w:val="BookText"/>
        <w:rPr/>
      </w:pPr>
      <w:bookmarkEnd w:id="160"/>
      <w:r>
        <w:rPr>
          <w:rFonts w:ascii="IRNazanin" w:hAnsi="IRNazanin" w:eastAsia="IRNazanin"/>
          <w:color w:val="111111"/>
          <w:sz w:val="28"/>
          <w:sz w:val="28"/>
          <w:szCs w:val="28"/>
          <w:rtl w:val="true"/>
          <w:lang w:bidi="fa-IR"/>
        </w:rPr>
        <w:t>ما دام العمر لو لم ینجرّ إلی المساهلة والتهاون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إتیانه جماعة، إماماً أو مأموماً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علی الولیّ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الولد الأکبر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ما فات عن والده من الصلاة والصیام لعذر، والأحوط قضاء ما فات منه عمداً، وقضاء ما فات عن الوالدة عمداً أو لعذر، ویلحق بالفوت ما أتی به المیّت فاسداً، ولا یجب علی غیر الولد الأکبر من الذکور والبنات والأرحام، ولا یعتبر فی الولیّ، البلوغ عند موت المورّث، ولا المباشرة، بل له أن یستأجر غیره</w:t>
      </w:r>
      <w:r>
        <w:rPr>
          <w:rFonts w:eastAsia="IRNazanin" w:cs="IRNazanin"/>
          <w:color w:val="111111"/>
          <w:sz w:val="28"/>
          <w:szCs w:val="28"/>
          <w:rtl w:val="true"/>
          <w:lang w:bidi="fa-IR"/>
        </w:rPr>
        <w:t>.</w:t>
      </w:r>
    </w:p>
    <w:p>
      <w:pPr>
        <w:pStyle w:val="Heading4"/>
        <w:numPr>
          <w:ilvl w:val="3"/>
          <w:numId w:val="1"/>
        </w:numPr>
        <w:rPr/>
      </w:pPr>
      <w:bookmarkStart w:id="161" w:name="__RefHeading___Toc1265182_653776707"/>
      <w:bookmarkStart w:id="162" w:name="_Toc62"/>
      <w:bookmarkEnd w:id="161"/>
      <w:r>
        <w:rPr>
          <w:rtl w:val="true"/>
        </w:rPr>
        <w:t>فی صلاة النیابة</w:t>
      </w:r>
      <w:bookmarkEnd w:id="1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للإنسان أن ینوب عن 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کان أو میّتاً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غالب الأعمال، سواء أکان تبرّعیّة أو باستیجار، فیحجّ عنه ویزور ویجاهد ویقرأ القرآن ویتصدّق ویصلح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تجوز النیابة عن الحیّ فی خصوص صلاته وصومه، وتجوز بعد موته، ومعنی النیابة أن یقصد بفعله البدلیّة، وأنّ ما یأتی به هو ما فی ذمّة المیّت، لیفرغ ذمّته، ویتقرّب إلی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علی من علیه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صلاة أو صیام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الوصیّة باستیجاره إذا لم یکن له ولیّ، فیخرج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الثلث، وأمّا الحجّ والواجبات المالیّة کالزکاة والخمس والمظالم والکفّارات، فإنّها تخرج من أصل المال، أوصی بها أو لم یوصِ</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الأجیر أن یکون عارفاً بأحکام العمل وأجزائها وشرائطها وموانعها، وکونه أمیناً یطمأنّ بإتیانه علی الوجه الصحیح، ویجب علیه فی مسائله أن یراعی تکلیف نفسه لا المیّت، فیتمّ صلاته بتسلیمة واحدة ولو کان المیّت قائلاً بوجوب تسلیمتین وهکذا، ویجوز نیابة الرجل عن المرأة وبالعکس</w:t>
      </w:r>
      <w:r>
        <w:rPr>
          <w:rFonts w:eastAsia="IRNazanin" w:cs="IRNazanin"/>
          <w:color w:val="111111"/>
          <w:sz w:val="28"/>
          <w:szCs w:val="28"/>
          <w:rtl w:val="true"/>
          <w:lang w:bidi="fa-IR"/>
        </w:rPr>
        <w:t>.</w:t>
      </w:r>
      <w:bookmarkStart w:id="163" w:name="pg6476_56786"/>
    </w:p>
    <w:p>
      <w:pPr>
        <w:pStyle w:val="Heading3"/>
        <w:numPr>
          <w:ilvl w:val="2"/>
          <w:numId w:val="1"/>
        </w:numPr>
        <w:rPr/>
      </w:pPr>
      <w:bookmarkStart w:id="164" w:name="__RefHeading___Toc1265184_653776707"/>
      <w:bookmarkStart w:id="165" w:name="_Toc63"/>
      <w:bookmarkEnd w:id="163"/>
      <w:bookmarkEnd w:id="164"/>
      <w:r>
        <w:rPr>
          <w:rtl w:val="true"/>
        </w:rPr>
        <w:t>فی صلاة الجمعة</w:t>
      </w:r>
      <w:bookmarkEnd w:id="165"/>
    </w:p>
    <w:p>
      <w:pPr>
        <w:pStyle w:val="Heading4"/>
        <w:numPr>
          <w:ilvl w:val="3"/>
          <w:numId w:val="1"/>
        </w:numPr>
        <w:rPr/>
      </w:pPr>
      <w:bookmarkStart w:id="166" w:name="__RefHeading___Toc1265186_653776707"/>
      <w:bookmarkStart w:id="167" w:name="_Toc64"/>
      <w:bookmarkEnd w:id="166"/>
      <w:r>
        <w:rPr>
          <w:rtl w:val="true"/>
        </w:rPr>
        <w:t>اشارة</w:t>
      </w:r>
      <w:bookmarkEnd w:id="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تجب صلاة الجمعة فی زمان الغیبة مخیّراً بینها وبین الظهر، فمن صلّی الجمعة سقطت عنه الظهر، وإن کان الأحوط الإتیان بها بعدها، ویجوز الاقتداء بإمام الجمعة فی العصر، کان المأموم مریداً للظهر أو العصر أو 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شرائط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فی الجمعة أیضاً، ویضاف إلیها 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وأقلّه خمسة نفر أحدهما الإمام، فلا تصحّ بأقلّ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الخطبتان، وهما واجبتان ولا تنعقد بدونهما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فلا تصحّ 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بین الجمعتین بثلاثة أمیال أو 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فی کلّ من الخطبتین التحمید، والثناء علی اللّه تعالی، والصلاة علی النبیّ صلی الله علیه و آله وآله علیهم السلام، والإیصاء بتقوی اللّه، وقراءة سورة صغیرة، والأولی فی الخطبة الثانیة الصلاة علی أئمّة المسلمین علیهم السلام، والاستغفار للمؤمنین والمؤمنات، کما أنّ الأولی اختیار بعض الخطب المنسوبة إلی أهل البیت علیهم السلام، ویجوز إیقاعهما قبل الزوال بلا فصل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الأحوط أن یکون الحمد والصلاة فی الخطبة بالعربیّة، والوعظ والإیصاء بتقوی اللّه بلسان المستعمین، وینبغی للإمام الخطیب أن یذکر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من مصالح المسلمین فی دینهم ودنیاهم، ویخبرهم بما یجری فی بلاد المسلمین وغیرهم، من الأحوال التی لهم فیها المضرّة أو المنفعة، وما یحتاج إلیه المسلمون فی المعاش والمعاد، والتحذیر عن تدخّل الدول الظالمة المستعمرة فی</w:t>
      </w:r>
      <w:bookmarkStart w:id="168" w:name="pg6476_56787"/>
    </w:p>
    <w:p>
      <w:pPr>
        <w:pStyle w:val="BookText"/>
        <w:rPr/>
      </w:pPr>
      <w:bookmarkEnd w:id="168"/>
      <w:r>
        <w:rPr>
          <w:rFonts w:ascii="IRNazanin" w:hAnsi="IRNazanin" w:eastAsia="IRNazanin"/>
          <w:color w:val="111111"/>
          <w:sz w:val="28"/>
          <w:sz w:val="28"/>
          <w:szCs w:val="28"/>
          <w:rtl w:val="true"/>
          <w:lang w:bidi="fa-IR"/>
        </w:rPr>
        <w:t>اُمورهم المنجرّ إلی استعمارهم واستثمارهم واستعبادهم، وغیر ذلک من مهامّ الاُمور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أن یکون الخطیب قائماً، وأن یکون الإمام هو الخطیب إلّا مع عجزه، والأحوط وجوب الإصغاء إلی الخطبة ولا بأس بالتکلّم بعد الخطبتین</w:t>
      </w:r>
      <w:r>
        <w:rPr>
          <w:rFonts w:eastAsia="IRNazanin" w:cs="IRNazanin"/>
          <w:color w:val="111111"/>
          <w:sz w:val="28"/>
          <w:szCs w:val="28"/>
          <w:rtl w:val="true"/>
          <w:lang w:bidi="fa-IR"/>
        </w:rPr>
        <w:t>.</w:t>
      </w:r>
    </w:p>
    <w:p>
      <w:pPr>
        <w:pStyle w:val="Heading4"/>
        <w:numPr>
          <w:ilvl w:val="3"/>
          <w:numId w:val="1"/>
        </w:numPr>
        <w:rPr/>
      </w:pPr>
      <w:bookmarkStart w:id="169" w:name="__RefHeading___Toc1265188_653776707"/>
      <w:bookmarkStart w:id="170" w:name="_Toc65"/>
      <w:bookmarkEnd w:id="169"/>
      <w:r>
        <w:rPr>
          <w:rtl w:val="true"/>
        </w:rPr>
        <w:t>فیمن تجب علیه ووقتها</w:t>
      </w:r>
      <w:bookmarkEnd w:id="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وجوبها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والذکورة، والحرّیة، والحضر، والسلامة من العمی والمرض، وعدم الهرم، وعدم البعد من محلّ الإقامة فرسخین؛ فالفاقد لهذه الشرائط لا یجب علیه الحضور، وإن حضر صحّت وأجزأت، لکنّ الإجزاء فی المسافر، فیما إذا کان تابعاً للحاضرین، فلو أراد المسافرون إقامتها استقلالاً لا تنعقد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یدخل وقتها بزوال الشمس، فإذا شرع الإمام فی الخطبة حین الزوال، أو أتمّها عنده فشرع فیها صحّت، وأمّا آخر وقتها ففیه إشکال، والأحوط عدم التأخیر عن الأوّل العرفی من الزوال، فلو أطال الخطبة حتّی فات وقت الجمعة سقطت ووجبت الظهر، ولیس للجمعة قضاء، بل کلّما فاتت وجبت إتیان الظهر، ولو لم یدرک المأموم الخطبتین، أو الرکعة الاُولی وأدرک الثانیة قبل الرکوع أجزأت جمعة</w:t>
      </w:r>
      <w:r>
        <w:rPr>
          <w:rFonts w:eastAsia="IRNazanin" w:cs="IRNazanin"/>
          <w:color w:val="111111"/>
          <w:sz w:val="28"/>
          <w:szCs w:val="28"/>
          <w:rtl w:val="true"/>
          <w:lang w:bidi="fa-IR"/>
        </w:rPr>
        <w:t>.</w:t>
      </w:r>
    </w:p>
    <w:p>
      <w:pPr>
        <w:pStyle w:val="Heading4"/>
        <w:numPr>
          <w:ilvl w:val="3"/>
          <w:numId w:val="1"/>
        </w:numPr>
        <w:rPr/>
      </w:pPr>
      <w:bookmarkStart w:id="171" w:name="__RefHeading___Toc1265190_653776707"/>
      <w:bookmarkStart w:id="172" w:name="_Toc66"/>
      <w:bookmarkEnd w:id="171"/>
      <w:r>
        <w:rPr>
          <w:rtl w:val="true"/>
        </w:rPr>
        <w:t>فرعان</w:t>
      </w:r>
      <w:r>
        <w:rPr>
          <w:rtl w:val="true"/>
        </w:rPr>
        <w:t>:</w:t>
      </w:r>
      <w:bookmarkEnd w:id="17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الأذان الثانی یوم الجمعة بدعة محرّمة، وهو الأذان الذی یأتی به المخالفون بعد الأذان الموظّف</w:t>
      </w:r>
      <w:r>
        <w:rPr>
          <w:rFonts w:eastAsia="IRNazanin" w:cs="IRNazanin"/>
          <w:color w:val="111111"/>
          <w:sz w:val="28"/>
          <w:szCs w:val="28"/>
          <w:rtl w:val="true"/>
          <w:lang w:bidi="fa-IR"/>
        </w:rPr>
        <w:t>.</w:t>
      </w:r>
      <w:bookmarkStart w:id="173" w:name="pg6476_56788"/>
    </w:p>
    <w:p>
      <w:pPr>
        <w:pStyle w:val="BookText"/>
        <w:rPr/>
      </w:pPr>
      <w:bookmarkEnd w:id="173"/>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البیع ولا غیره من المعاملات یوم الجمعة بعد الأذان إذا لم نقل بکون الجمعة واجباً عینیّاً</w:t>
      </w:r>
      <w:r>
        <w:rPr>
          <w:rFonts w:eastAsia="IRNazanin" w:cs="IRNazanin"/>
          <w:color w:val="111111"/>
          <w:sz w:val="28"/>
          <w:szCs w:val="28"/>
          <w:rtl w:val="true"/>
          <w:lang w:bidi="fa-IR"/>
        </w:rPr>
        <w:t>.</w:t>
      </w:r>
    </w:p>
    <w:p>
      <w:pPr>
        <w:pStyle w:val="Heading3"/>
        <w:numPr>
          <w:ilvl w:val="2"/>
          <w:numId w:val="1"/>
        </w:numPr>
        <w:rPr/>
      </w:pPr>
      <w:bookmarkStart w:id="174" w:name="__RefHeading___Toc1265192_653776707"/>
      <w:bookmarkStart w:id="175" w:name="_Toc67"/>
      <w:bookmarkEnd w:id="174"/>
      <w:r>
        <w:rPr>
          <w:rtl w:val="true"/>
        </w:rPr>
        <w:t>فی صلاة العیدین</w:t>
      </w:r>
      <w:bookmarkEnd w:id="175"/>
    </w:p>
    <w:p>
      <w:pPr>
        <w:pStyle w:val="BookText"/>
        <w:rPr/>
      </w:pPr>
      <w:r>
        <w:rPr>
          <w:rFonts w:ascii="IRNazanin" w:hAnsi="IRNazanin" w:eastAsia="IRNazanin"/>
          <w:color w:val="111111"/>
          <w:sz w:val="28"/>
          <w:sz w:val="28"/>
          <w:szCs w:val="28"/>
          <w:rtl w:val="true"/>
          <w:lang w:bidi="fa-IR"/>
        </w:rPr>
        <w:t xml:space="preserve">أی الفطر والأضحی، وهی واجبة مع حضور الإمام علیه السلام، ومستحبّة فی حال غیبته جماعة وفرادی، ووقتها من طلوع الشمس إلی الزوال من یومهما، وهی رکعتان یقرأ فی کلّ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وسورة، والأفضل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الاُولی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الثانیة، وبعد السورة فی الاُولی خمس تکبیرات وخمسة قنوتات، بعد کلّ تکبیرة قنوت، وفی الثانیة أربع تکبیرات وأربعة قنوتات، ویجزی فی القنوت کلّ دعاء وذکر، والأفضل أن یقرأ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أهلَ الکِبریاءِ والعَظَمة، وأهلَ الجودِ والجَبَروت، وأهلَ العَفو والرّحمَة، وأهلَ التقوی والمَغفِرة، أسألُکَ بحقِّ هذا الیوم الّذی جَعلتَهُ للمُسلمینَ عیداً، ولمُحمّدٍ صلّی اللّه علیه وآلِه ذُخراً وشرفاً وکرامةً ومزیداً، أن تُصلِّی علی مُحمّدٍ وآلِ مُحمّدٍ، وأن تُدخلنی فی کلِّ خیرٍ أدخَلتَ فیه مُحمّداً وآل محمّدٍ، وأن تُخرجنی مِن کُلِّ سوءٍ أخرجتَ منهُ محمّداً وآلَ محمّدٍ صلواتُک علیهِ وعلیهِم، اللّهُمَّ إنّی أسألُکَ خیرَ ما سألکَ بهِ عبادُکَ الصالحونَ وأعوذُ بکَ ممّا استعاذَ منهُ عبادُکَ المُخلَصون</w:t>
      </w:r>
      <w:r>
        <w:rPr>
          <w:rFonts w:eastAsia="Amiri" w:cs="Amiri" w:ascii="Amiri" w:hAnsi="Amiri"/>
          <w:color w:val="111111"/>
          <w:sz w:val="28"/>
          <w:szCs w:val="28"/>
          <w:rtl w:val="true"/>
          <w:lang w:bidi="ar-SA"/>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اُتی بها جماعة استحبّت بعدها خطبتان کخطبتی الجمعة، ویستحبّ الإصحار بها فی غیر مکّة المکرّمة، ولا أذان فیها ولا إقامة، ویقول المؤذّن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bookmarkStart w:id="176" w:name="pg6476_56789"/>
    </w:p>
    <w:p>
      <w:pPr>
        <w:pStyle w:val="Heading3"/>
        <w:numPr>
          <w:ilvl w:val="2"/>
          <w:numId w:val="1"/>
        </w:numPr>
        <w:rPr/>
      </w:pPr>
      <w:bookmarkStart w:id="177" w:name="__RefHeading___Toc1265194_653776707"/>
      <w:bookmarkStart w:id="178" w:name="_Toc68"/>
      <w:bookmarkEnd w:id="176"/>
      <w:bookmarkEnd w:id="177"/>
      <w:r>
        <w:rPr>
          <w:rtl w:val="true"/>
        </w:rPr>
        <w:t>فی صلاة المسافر</w:t>
      </w:r>
      <w:bookmarkEnd w:id="178"/>
    </w:p>
    <w:p>
      <w:pPr>
        <w:pStyle w:val="Heading4"/>
        <w:numPr>
          <w:ilvl w:val="3"/>
          <w:numId w:val="1"/>
        </w:numPr>
        <w:rPr/>
      </w:pPr>
      <w:bookmarkStart w:id="179" w:name="__RefHeading___Toc1265196_653776707"/>
      <w:bookmarkStart w:id="180" w:name="_Toc69"/>
      <w:bookmarkEnd w:id="179"/>
      <w:r>
        <w:rPr>
          <w:rtl w:val="true"/>
        </w:rPr>
        <w:t>اشارة</w:t>
      </w:r>
      <w:bookmarkEnd w:id="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القصر علی المسافر فی الصلوات الرباعیّة مع اجتماع الشروط الآتیة، ولا قصر فی الصبح والمغرب، ویشترط فی التقصیر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المسافة وهی ثمانیة فراسخ امتدادیّة أو ملفّقة، والأحوط فی الملفّقة عدم کون الذهاب أقلّ من أربعة، ولا فرق فیها بین اتّصال ذهابه بإیابه أو انقطاعه بمبیت لیلة إلی تسع لیال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الفرسخ ثلاثة أمیال، ویقرب من خمس کیلومتر ونصف، فمجموع المسافة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وأربعون کیلومتراً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مبدأ المسافة آخر البیوت من البلد، وفی البلدان الکبار جدّاً، کنیویورک وبرلین وطهران آخر المحلّة علی تردّد فیه، وتثبت المسافة بالاختبار، والبیّنة، والشیاع المفید للاطمئنان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قطع المسافة من حین الخروج، فلو لم یدرِ أیّ مقدار یقطع، کطالب دابّة شاردة، لم یقصّر وإن قطع المسافة أو أزید، نعم یقصّر فی العود إذا کان مسافة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یکفی قصد المسافة ولو بنحو التبعیّة، کالزوجة والولد والأسیر والخادم، مع علمهم بکون قصد المتبوع مسافة، ومع جهلهم فلا 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ینوی قطع السفر بإقامة عشرة فی أثناء المسافة، أو المرور علی وطنه کذلک، وإن نوی ذلک لم یقصّر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السفر سائغاً، فلو کان معصیة لم یقصّر، سواء أکان بنفسه معصیة کالفرار من الجهاد أو سفر الزوجة بدون إذن الزوج، أو غایته کالسفر لتجارة محرّمة أو لظلم الناس، ولیس منه ما وقع فی أثنائه معصیة کالغیبة وفوت الصلاة</w:t>
      </w:r>
    </w:p>
    <w:p>
      <w:pPr>
        <w:pStyle w:val="BookText"/>
        <w:rPr/>
      </w:pPr>
      <w:r>
        <w:rPr>
          <w:rFonts w:ascii="IRNazanin" w:hAnsi="IRNazanin" w:eastAsia="IRNazanin"/>
          <w:color w:val="111111"/>
          <w:sz w:val="28"/>
          <w:sz w:val="28"/>
          <w:szCs w:val="28"/>
          <w:rtl w:val="true"/>
          <w:lang w:bidi="fa-IR"/>
        </w:rPr>
        <w:t>والنظر إلی الأجنبیّة ممّا لیس غایة لسفره، أو کان غایة تبعیّة، ولو سافر لغایة الطاعة والعصیان مشترکاً أتمّ، وفیه تردّد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التابع للجائر یقصّر إن کان مجبوراً فی سفره، أو کان قصده رفع ظلم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إن کان من قصده إعانة الجائر فی جوره، أو کان فی متابعته تقویة لسلطته وجب علیه التمام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الراجع من سفر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بعد التوبة وکان الباقی مسافة یقصّر، وإن لم یتب أو کان الباقی غیر مسافة أتمّ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یلحق بسفر المعصیة السفر للصید لهواً، کما یستعمله أبناء الدنیا فیتمّ، وإن کان للقوت یقصّر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ممّن بیوتهم، معهم کبعض أهل البوادی یدورون ولا یتّخذون مقرّاً معیّناً، وأصحاب السفن والقطار إذا کانت مساکنهم فیها معهم فیتمّون، نعم لو سافروا لمقصد آخر کزیارة وحجّ یقصّرون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یتّخذ السفر عملاً له، کسائق السیّارة والطائرة، والتاجر یدور فی تجارته، والمدار صدق اتّخاذ السفر عملاً له وشغلاً، ویصدق بعد الاشتغال بالسفر مقداراً معتدّاً به، ومن اتّخذه شغلاً فی الصیف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الشتاء، أتمّ فی الصیف وقصّر فی الشتاء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یعتبر فی إتمام من عمله السفر، ألّا یقیم فی بلده عشرة أیّام، وإلّا انقطع الحکم، فإذا سافر بعد ذلک قصّر فی السفرة الاُولی، ثمّ أتمّ فیما بعدها، 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سافر لمقصد خارج عن شغله قصّر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لم یکن شغله السفر، لکن عرض له أسفار عدیدة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کان له مریض فی بلد، وقد احتاج إلی التردّد إلیه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فی تلک الأسفار</w:t>
      </w:r>
      <w:r>
        <w:rPr>
          <w:rFonts w:eastAsia="IRNazanin" w:cs="IRNazanin"/>
          <w:color w:val="111111"/>
          <w:sz w:val="28"/>
          <w:szCs w:val="28"/>
          <w:rtl w:val="true"/>
          <w:lang w:bidi="fa-IR"/>
        </w:rPr>
        <w:t>.</w:t>
      </w:r>
      <w:bookmarkStart w:id="181" w:name="pg6476_56791"/>
    </w:p>
    <w:p>
      <w:pPr>
        <w:pStyle w:val="BookText"/>
        <w:rPr/>
      </w:pPr>
      <w:bookmarkEnd w:id="181"/>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وصوله إلی محلّ الترخّص، فلا یقصّر قبله، کما لا یقصر فیه بعد العود، والمراد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بالمقدار الذی یخفی فیه الأذان، أو یتواری عنه الجدران، والمیزان فی الرؤیة والسماع والصوت ما کان بدون الآلات المخترعة الیوم</w:t>
      </w:r>
      <w:r>
        <w:rPr>
          <w:rFonts w:eastAsia="IRNazanin" w:cs="IRNazanin"/>
          <w:color w:val="111111"/>
          <w:sz w:val="28"/>
          <w:szCs w:val="28"/>
          <w:rtl w:val="true"/>
          <w:lang w:bidi="fa-IR"/>
        </w:rPr>
        <w:t>.</w:t>
      </w:r>
    </w:p>
    <w:p>
      <w:pPr>
        <w:pStyle w:val="Heading4"/>
        <w:numPr>
          <w:ilvl w:val="3"/>
          <w:numId w:val="1"/>
        </w:numPr>
        <w:rPr/>
      </w:pPr>
      <w:bookmarkStart w:id="182" w:name="__RefHeading___Toc1265198_653776707"/>
      <w:bookmarkStart w:id="183" w:name="_Toc70"/>
      <w:bookmarkEnd w:id="182"/>
      <w:r>
        <w:rPr>
          <w:rtl w:val="true"/>
        </w:rPr>
        <w:t>فی قواطع السفر</w:t>
      </w:r>
      <w:bookmarkEnd w:id="183"/>
    </w:p>
    <w:p>
      <w:pPr>
        <w:pStyle w:val="BookText"/>
        <w:rPr/>
      </w:pPr>
      <w:r>
        <w:rPr>
          <w:rFonts w:ascii="Amiri" w:hAnsi="Amiri" w:eastAsia="Amiri" w:cs="Amiri"/>
          <w:color w:val="111111"/>
          <w:sz w:val="28"/>
          <w:sz w:val="28"/>
          <w:szCs w:val="28"/>
          <w:rtl w:val="true"/>
          <w:lang w:bidi="ar-SA"/>
        </w:rPr>
        <w:t>وهی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المرور علی الوطن، فینقطع به السفر السابق، ویحتاج فی القصر بعده إلی قصد مسافة 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والوطن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أصلیّ وهو موطن والدیه ومسقط رأسه، ومستجدّ وهو المکان الذی اتّخذه مسکناً لنفسه دائماً، وسکن فیه بمقدار الصدق العرفی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أعرض عن وطنه الأصلی أو المستجدّ وتوطّن فی غیره یزول عنه حکم الوطنیّة، والمشهور أنّه لو کان فیه مسکن قد سکنه ستّة أشهر بقصد الوطنیّة، فلا یزول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بالإعراض ویسمّونه بالوطن الشرعی، فلو اتّفق المرور علیه فی أیّام عمره وجب الإتمام، وفیه تردّد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یمکن أن یکون للإنسان وطنان أو أکثر، بأن یتّخذ البلدین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مسکناً له دائماً، صیفاً فی واحد وشتاء فی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التابع الذی لا استقلال له فی الإرادة کالولد الصغیر، بل وبعض الکبار وبعض الزوجات، تابع له فی الوطن أیضاً، فیعدّ الوطن المستجدّ للمتبوع وطناً للتابع، کما هو کذلک فی الأصلی ویعدّ إعراض المتبوع إعراض التابع</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بإقامة عشرة أیّام متوالیات فی مکان واحد، فینقطع حکم 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فإن کان مبدأ الأیّام من طلوع الفجر یکفی عشرة أیّام وتسع لیال،</w:t>
      </w:r>
      <w:bookmarkStart w:id="184" w:name="pg6476_56792"/>
    </w:p>
    <w:p>
      <w:pPr>
        <w:pStyle w:val="BookText"/>
        <w:rPr/>
      </w:pPr>
      <w:bookmarkEnd w:id="184"/>
      <w:r>
        <w:rPr>
          <w:rFonts w:ascii="IRNazanin" w:hAnsi="IRNazanin" w:eastAsia="IRNazanin"/>
          <w:color w:val="111111"/>
          <w:sz w:val="28"/>
          <w:sz w:val="28"/>
          <w:szCs w:val="28"/>
          <w:rtl w:val="true"/>
          <w:lang w:bidi="fa-IR"/>
        </w:rPr>
        <w:t>فآخر المدّة غروب الشمس من الیوم العاشر، وإن کان المبدأ الزوال من الیوم الأوّل کان انتهاء العشرة الزوال من الحادی عشر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وحدة محلّ الإقامة، فلو قصد الإقامة فی بلدین أو قریتین لم ینقطع حکم السفر، إلّاإذا عدّا محلّاً واحداً عرفاً، ولا یضرّ قصد الخروج إلی بعض مزارع البلد وبساتینها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من نیّته الخروج عن حدّ الترخّص إلی ما دون المسافة، ثمّ الرجوع قریباً، کمقدار ساعتین أو ثلاث ساعات ففی قدحها تردّد، ومثله ما لو بدا له الخروج ولم یکن من نیّته من أوّل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عزم علی الإقامة ثمّ عدل عن قصده، فإن صلّی مع العزم المذکور رباعیّة، بقی علی التمام، ولو کان من قصده الارتحال بعد ساعة، وإن لم یصلّ رباعیّة یرجع بعد العدول إلی القصر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تمّت العشرة لا یحتاج التمام إلی قصد إقامة جدیدة، فما دام فی ذلک المکان 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القواطع البقاء ثلاثین یوماً فی مکان متردّداً، ومثله ما لو کان عازماً علی الخروج، بأن نوی الخروج غداً أو بعد غد، فلم یخرج</w:t>
      </w:r>
      <w:r>
        <w:rPr>
          <w:rFonts w:eastAsia="IRNazanin" w:cs="IRNazanin"/>
          <w:color w:val="111111"/>
          <w:sz w:val="28"/>
          <w:szCs w:val="28"/>
          <w:rtl w:val="true"/>
          <w:lang w:bidi="fa-IR"/>
        </w:rPr>
        <w:t>.</w:t>
      </w:r>
    </w:p>
    <w:p>
      <w:pPr>
        <w:pStyle w:val="Heading4"/>
        <w:numPr>
          <w:ilvl w:val="3"/>
          <w:numId w:val="1"/>
        </w:numPr>
        <w:rPr/>
      </w:pPr>
      <w:bookmarkStart w:id="185" w:name="__RefHeading___Toc1265200_653776707"/>
      <w:bookmarkStart w:id="186" w:name="_Toc71"/>
      <w:bookmarkEnd w:id="185"/>
      <w:r>
        <w:rPr>
          <w:rtl w:val="true"/>
        </w:rPr>
        <w:t>فی أحکام المسافر</w:t>
      </w:r>
      <w:bookmarkEnd w:id="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تسقط عن المسافر بعد تحقّق الشرائط رکعتان من الظهرین والعشاء، وتسقط نوافلها، فلو صلّی بعد ذلک تماماً، فإن کان جاهلاً بأصل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المسافر یقصّر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یجب علیه الإعادة والقضاء، وإن کان ناسیاً لسفره فأتمّ، فإن تذکّر فی الوقت وجبت الإعادة، وإن تذکّر فی خارجه لم یجب القضاء</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کان جاهلاً بسفره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تخیّل عدم کون مقصده مسافة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جاهلاً</w:t>
      </w:r>
    </w:p>
    <w:p>
      <w:pPr>
        <w:pStyle w:val="BookText"/>
        <w:rPr/>
      </w:pPr>
      <w:r>
        <w:rPr>
          <w:rFonts w:ascii="IRNazanin" w:hAnsi="IRNazanin" w:eastAsia="IRNazanin"/>
          <w:color w:val="111111"/>
          <w:sz w:val="28"/>
          <w:sz w:val="28"/>
          <w:szCs w:val="28"/>
          <w:rtl w:val="true"/>
          <w:lang w:bidi="fa-IR"/>
        </w:rPr>
        <w:t xml:space="preserve">ببعض خصوصیّات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کالجهل بأنّ من شغله السفر إذا أقام فی بلده عشرة أیّام یقصّر فی السفر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علیه الإعادة فی الوقت، وفی القضاء لو تذکّر خارج الوقت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قصّر من وظیفته التمام بطلت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حاضراً فی أوّل الوقت، فسافر قبل أن یصلّی قصّر، کما أنّه لو کان مسافراً فی أوّله فحضر قبل أن یصلّی أتمّ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یتخیّر المسافر بین القصر والإتمام فی أماکن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ومسجد النبیّ صلی الله علیه و آله، ومسجد الکوفة، والحائر الحسینی علیه السلام</w:t>
      </w:r>
      <w:r>
        <w:rPr>
          <w:rFonts w:eastAsia="IRNazanin" w:cs="IRNazanin"/>
          <w:color w:val="111111"/>
          <w:sz w:val="28"/>
          <w:szCs w:val="28"/>
          <w:rtl w:val="true"/>
          <w:lang w:bidi="fa-IR"/>
        </w:rPr>
        <w:t>.</w:t>
      </w:r>
      <w:bookmarkStart w:id="187" w:name="pg6476_56794"/>
    </w:p>
    <w:p>
      <w:pPr>
        <w:pStyle w:val="Heading3"/>
        <w:numPr>
          <w:ilvl w:val="2"/>
          <w:numId w:val="1"/>
        </w:numPr>
        <w:rPr/>
      </w:pPr>
      <w:bookmarkStart w:id="188" w:name="__RefHeading___Toc1265202_653776707"/>
      <w:bookmarkStart w:id="189" w:name="_Toc72"/>
      <w:bookmarkEnd w:id="187"/>
      <w:bookmarkEnd w:id="188"/>
      <w:r>
        <w:rPr>
          <w:rtl w:val="true"/>
        </w:rPr>
        <w:t>فی صلاة الجماعة</w:t>
      </w:r>
      <w:bookmarkEnd w:id="189"/>
    </w:p>
    <w:p>
      <w:pPr>
        <w:pStyle w:val="Heading4"/>
        <w:numPr>
          <w:ilvl w:val="3"/>
          <w:numId w:val="1"/>
        </w:numPr>
        <w:rPr/>
      </w:pPr>
      <w:bookmarkStart w:id="190" w:name="__RefHeading___Toc1265204_653776707"/>
      <w:bookmarkStart w:id="191" w:name="_Toc73"/>
      <w:bookmarkEnd w:id="190"/>
      <w:r>
        <w:rPr>
          <w:rtl w:val="true"/>
        </w:rPr>
        <w:t>اشارة</w:t>
      </w:r>
      <w:bookmarkEnd w:id="191"/>
    </w:p>
    <w:p>
      <w:pPr>
        <w:pStyle w:val="BookText"/>
        <w:rPr/>
      </w:pPr>
      <w:r>
        <w:rPr>
          <w:rFonts w:ascii="IRNazanin" w:hAnsi="IRNazanin" w:eastAsia="IRNazanin"/>
          <w:color w:val="111111"/>
          <w:sz w:val="28"/>
          <w:sz w:val="28"/>
          <w:szCs w:val="28"/>
          <w:rtl w:val="true"/>
          <w:lang w:bidi="fa-IR"/>
        </w:rPr>
        <w:t xml:space="preserve">وهی من المستحبّات الأکیدة فی جمیع الفرائض خصوصاً الیومیّة، ولا تشرع فی شیء من النوافل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العیدین والاستسقاء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یأتمّ مصلّی الیومیّة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صلاة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صلاة یومیّة من الإمام، وإن اختلفتا فی القصر والإتمام أو الأداء والقضاء، وأقلّ عدد الجماعة إثنان أحدهما الإمام، سواء أکان المأموم رجلاً أو امرأة، أو صبیّاً ممیّزاً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علی الإمام نیّة الإمامة، وتجب علی المأموم نیّة الجماعة، وتعیین الإمام بالإشارة أو الوصف، ولو تخیّل أنّه زید فصلّی فبان أنّه عمرو، ففی صورة عدالة کلیهما تصحّ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 جواز العدول من الائتمام إلی الانفراد فی جمیع أحوال الصلاة، لکن الأحوط أن لا یعدل إلّالضرورة، کما لا یجوز العدول من الانفراد إلی الائتمام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أدرک الإمام فی الرکوع قبل أن یرفع رأسه منه صحّت الجماعة، وهو منتهی ما یدرک به الرکعة فی ابتداء الجماعة، وأمّا فی الرکعات الاُخر فلا یضرّ عدم إدراکه، فإذا اشتغل بالقنوت ولم یدرک رکوع الإمام، فأدرکه فی السجدة صحّ</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رکع بتخیّل أنّه یدرک الإمام راکعاً فلم یدرکه صحّت صلاته فرادی، وفیه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رفع الإمام رأسه قبل أن یرکع، لزمه الانفراد أو انتظار الرکعة التالیة فیجعلها الاُولی له</w:t>
      </w:r>
      <w:r>
        <w:rPr>
          <w:rFonts w:eastAsia="IRNazanin" w:cs="IRNazanin"/>
          <w:color w:val="111111"/>
          <w:sz w:val="28"/>
          <w:szCs w:val="28"/>
          <w:rtl w:val="true"/>
          <w:lang w:bidi="fa-IR"/>
        </w:rPr>
        <w:t>.</w:t>
      </w:r>
      <w:bookmarkStart w:id="192" w:name="pg6476_56795"/>
    </w:p>
    <w:p>
      <w:pPr>
        <w:pStyle w:val="Heading4"/>
        <w:numPr>
          <w:ilvl w:val="3"/>
          <w:numId w:val="1"/>
        </w:numPr>
        <w:rPr/>
      </w:pPr>
      <w:bookmarkStart w:id="193" w:name="__RefHeading___Toc1265206_653776707"/>
      <w:bookmarkStart w:id="194" w:name="_Toc74"/>
      <w:bookmarkEnd w:id="192"/>
      <w:bookmarkEnd w:id="193"/>
      <w:r>
        <w:rPr>
          <w:rtl w:val="true"/>
        </w:rPr>
        <w:t>فی شرائط الجماعة</w:t>
      </w:r>
      <w:bookmarkEnd w:id="194"/>
    </w:p>
    <w:p>
      <w:pPr>
        <w:pStyle w:val="BookText"/>
        <w:rPr/>
      </w:pPr>
      <w:r>
        <w:rPr>
          <w:rFonts w:ascii="Amiri" w:hAnsi="Amiri" w:eastAsia="Amiri" w:cs="Amiri"/>
          <w:color w:val="111111"/>
          <w:sz w:val="28"/>
          <w:sz w:val="28"/>
          <w:szCs w:val="28"/>
          <w:rtl w:val="true"/>
          <w:lang w:bidi="ar-SA"/>
        </w:rPr>
        <w:t xml:space="preserve">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إلی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بین المأموم وإمامه، أو من یتّصل به إلی إمامه، حائل یمنع المشاهدة، ولا بأس بالحائل القصیر کشبر أو شبرین، کما لا بأس بالحائل إذا کان المأموم امرأة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وصلت الصفوف إلی باب المسجد، ووقف صفوف خارج المسجد، کانت صلاة الذی وقف بحیال الباب من الصفّ الأوّل صحیحة، وصلاة من علی جانبیه باطلة علی تردّد، وأمّا الصفوف بعده فصلاتهم صحیحة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لأهل الصفّ المتأخّر الإحرام قبل المتقدّم، إذا کانوا قائمین متهیّئین للإحرام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تمّت صلاة المتقدّم، فإن عاد إلی الجماعة بلا فصل لم یضرّ بالمتأخّر، وإلّا انقطع المتأخّر عن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موقف الإمام أعلی من موقف المأمومین إلّایسیراً کأربع أصابع، ولا بأس بعلوّ المأموم علی الإمام ولو بکثیر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یتباعدوا کثیراً، بأن لا یتباعد مسجد المأموم عن موقف الإمام، أو موقف الصفّ المتقدّم أزید من خطوة متعارفة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یتقدّم المأموم علی الإمام فی الموقف، ولیتأخّر عنه ولو یسیراً</w:t>
      </w:r>
      <w:r>
        <w:rPr>
          <w:rFonts w:eastAsia="IRNazanin" w:cs="IRNazanin"/>
          <w:color w:val="111111"/>
          <w:sz w:val="28"/>
          <w:szCs w:val="28"/>
          <w:rtl w:val="true"/>
          <w:lang w:bidi="fa-IR"/>
        </w:rPr>
        <w:t>.</w:t>
      </w:r>
    </w:p>
    <w:p>
      <w:pPr>
        <w:pStyle w:val="Heading4"/>
        <w:numPr>
          <w:ilvl w:val="3"/>
          <w:numId w:val="1"/>
        </w:numPr>
        <w:rPr/>
      </w:pPr>
      <w:bookmarkStart w:id="195" w:name="__RefHeading___Toc1265208_653776707"/>
      <w:bookmarkStart w:id="196" w:name="_Toc75"/>
      <w:bookmarkEnd w:id="195"/>
      <w:r>
        <w:rPr>
          <w:rtl w:val="true"/>
        </w:rPr>
        <w:t>فی أحکام الجماعة</w:t>
      </w:r>
      <w:bookmarkEnd w:id="19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المأموم ترک القراءة فی الرکعتین الأولیین من الإخفاتیّة، ومن الجهریّة إذا سمع صوت الإمام، وإن لم یسمع جازت القراءة، وأمّا</w:t>
      </w:r>
    </w:p>
    <w:p>
      <w:pPr>
        <w:pStyle w:val="BookText"/>
        <w:rPr/>
      </w:pPr>
      <w:r>
        <w:rPr>
          <w:rFonts w:ascii="IRNazanin" w:hAnsi="IRNazanin" w:eastAsia="IRNazanin"/>
          <w:color w:val="111111"/>
          <w:sz w:val="28"/>
          <w:sz w:val="28"/>
          <w:szCs w:val="28"/>
          <w:rtl w:val="true"/>
          <w:lang w:bidi="fa-IR"/>
        </w:rPr>
        <w:t>فی الأخیرتین فهو کالمنفرد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لا یتحمّل الإمام عن المأموم شیئاً غیر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علی المأموم الطمأنینة حال قراءة الإمام وإن کان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الرکعة الثالثة والرابعة، إذا دخل المأموم الجماعة بعد رکوع الإمام سقطت عنه القراءة، وإن دخل قبله وجبت علیه، ولو لم یمهله الإمام لإتمامها ترک السورة ولحق به فی الرکوع، وإن لم یمهله للحمد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إتمام الحمد واللحوق به فی السجود وجاز قصد الانفراد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قرأ المأموم خلف الإمام یجب علیه الإخفات وإن کانت الصلاة جهریّة، کما إذا ائتمّ فی الرکعة الثانیة أو الثالثة من المغرب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تجب علی المأموم متابعة الإمام فی الأفعال، بمعنی أن لا یتقدّم علیه ولا یتأخّر تأخّراً فاحشاً، وأمّا فی الأقوال فالمتابعة غیر لازمة، والأحوط فی تکبیرة الإحرام عدم الشروع فیها قبل تمامیّة تکبیر الإمام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ترک المتابعة فی الأفعال فتقدّم أو تأخّر قلیلاً، أثم وصحّت صلاته وجماعته، ولو کانا بحیث ذهبت هیئة الجماعة بطلت جماعته فیما صحّت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رفع رأسه من الرکوع أو السجود قبل الإمام سهواً، وجب علیه العود للمتابعة، ولا تضرّ الزیادة هنا، ولو عاد فلم یدرک الإمام فالأحوط بطلان صلاته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مشتغلاً بالنافلة، فاُقیمت الجماعة وخاف عدم إدراک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القراءة أو تکبیرة الإحرام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قطعها، ولو کان مشتغلاً بالفریضة عدل إلی النافلة وأتمّها رکعتین إن بقی محلّ العدول</w:t>
      </w:r>
      <w:r>
        <w:rPr>
          <w:rFonts w:eastAsia="IRNazanin" w:cs="IRNazanin"/>
          <w:color w:val="111111"/>
          <w:sz w:val="28"/>
          <w:szCs w:val="28"/>
          <w:rtl w:val="true"/>
          <w:lang w:bidi="fa-IR"/>
        </w:rPr>
        <w:t>.</w:t>
      </w:r>
      <w:bookmarkStart w:id="197" w:name="pg6476_56797"/>
    </w:p>
    <w:p>
      <w:pPr>
        <w:pStyle w:val="Heading4"/>
        <w:numPr>
          <w:ilvl w:val="3"/>
          <w:numId w:val="1"/>
        </w:numPr>
        <w:rPr/>
      </w:pPr>
      <w:bookmarkStart w:id="198" w:name="__RefHeading___Toc1265210_653776707"/>
      <w:bookmarkStart w:id="199" w:name="_Toc76"/>
      <w:bookmarkEnd w:id="197"/>
      <w:bookmarkEnd w:id="198"/>
      <w:r>
        <w:rPr>
          <w:rtl w:val="true"/>
        </w:rPr>
        <w:t>فی شرائط إمام الجماعة</w:t>
      </w:r>
      <w:bookmarkEnd w:id="199"/>
    </w:p>
    <w:p>
      <w:pPr>
        <w:pStyle w:val="BookText"/>
        <w:rPr/>
      </w:pPr>
      <w:r>
        <w:rPr>
          <w:rFonts w:ascii="IRNazanin" w:hAnsi="IRNazanin" w:eastAsia="IRNazanin"/>
          <w:color w:val="111111"/>
          <w:sz w:val="28"/>
          <w:sz w:val="28"/>
          <w:szCs w:val="28"/>
          <w:rtl w:val="true"/>
          <w:lang w:bidi="fa-IR"/>
        </w:rPr>
        <w:t>ویشترط فیه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إذا کان المأموم بالغاً، والإیمان، والذکورة إذا کان المأموم ذکراً، والعدالة، فلا تجوز الصلاة خلف الفاسق ولا مجهول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حالة نفسانیّة باعثة علی إتیان الواجبات وترک المحرّمات حتّی الصغائر، والمحرّمات کثیرة بعضها أکبر من بعض، والتفصیل فی المطوّلات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تصدّی الإمامة لمن یعرف من نفسه عدم العدالة، مع اعتقاد المأمومین عدالته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تثبت العدالة بالعلم، والبیّنة، والاطمئنان الحاصل من الشیاع أو اقتداء جماعة، أو حسن الظاهر الکاشف عن الصفة، بل وحسن الظاهر ولو لم یوجب الظنّ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اختلف المأموم مع الإمام فی مسائل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اجتهاداً أو تقلیداً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 الاقتداء، وإن لم یتّحدا فی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رأی المأموم صحّة صلاته مع خطائه فی اعتقاده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اعتقد المأموم وجوب التسبیحات الأربع ثلاثاً، ورأی الإمام کفایة الواحدة وعمل به، وأمّا إذا رأی المأموم بطلان صلاة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کاختلافهما فی الأرکان، کما إذا زاد الإمام رکوعاً سهواً واعتقد عدم إبطاله، أو صلّی مع غسل الجمعة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الاقتداء، کما لا یصحّ فیما إذا اختلفا فی القراءة کما إذا ترک الإمام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بالاقتداء إذا لم یعلم التخالف</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تبیّن بعد الصلاة کون الإمام فاسقاً أو محدثاً، صحّ ما صلّی معه جماعة</w:t>
      </w:r>
      <w:r>
        <w:rPr>
          <w:rFonts w:eastAsia="IRNazanin" w:cs="IRNazanin"/>
          <w:color w:val="111111"/>
          <w:sz w:val="28"/>
          <w:szCs w:val="28"/>
          <w:rtl w:val="true"/>
          <w:lang w:bidi="fa-IR"/>
        </w:rPr>
        <w:t>.</w:t>
      </w:r>
      <w:bookmarkStart w:id="200" w:name="pg6476_56798"/>
    </w:p>
    <w:p>
      <w:pPr>
        <w:pStyle w:val="Heading2"/>
        <w:numPr>
          <w:ilvl w:val="1"/>
          <w:numId w:val="1"/>
        </w:numPr>
        <w:rPr/>
      </w:pPr>
      <w:bookmarkStart w:id="201" w:name="__RefHeading___Toc1265212_653776707"/>
      <w:bookmarkStart w:id="202" w:name="_Toc77"/>
      <w:bookmarkEnd w:id="200"/>
      <w:bookmarkEnd w:id="201"/>
      <w:r>
        <w:rPr>
          <w:rtl w:val="true"/>
        </w:rPr>
        <w:t>کتاب الصوم</w:t>
      </w:r>
      <w:bookmarkEnd w:id="202"/>
    </w:p>
    <w:p>
      <w:pPr>
        <w:pStyle w:val="Heading3"/>
        <w:numPr>
          <w:ilvl w:val="2"/>
          <w:numId w:val="1"/>
        </w:numPr>
        <w:rPr/>
      </w:pPr>
      <w:bookmarkStart w:id="203" w:name="__RefHeading___Toc1265214_653776707"/>
      <w:bookmarkStart w:id="204" w:name="_Toc78"/>
      <w:bookmarkEnd w:id="203"/>
      <w:r>
        <w:rPr>
          <w:rtl w:val="true"/>
        </w:rPr>
        <w:t>کتاب الصوم</w:t>
      </w:r>
      <w:bookmarkEnd w:id="204"/>
    </w:p>
    <w:p>
      <w:pPr>
        <w:pStyle w:val="Heading4"/>
        <w:numPr>
          <w:ilvl w:val="3"/>
          <w:numId w:val="1"/>
        </w:numPr>
        <w:rPr/>
      </w:pPr>
      <w:bookmarkStart w:id="205" w:name="__RefHeading___Toc1265216_653776707"/>
      <w:bookmarkStart w:id="206" w:name="_Toc79"/>
      <w:bookmarkEnd w:id="205"/>
      <w:r>
        <w:rPr>
          <w:rtl w:val="true"/>
        </w:rPr>
        <w:t>فی النیّة</w:t>
      </w:r>
      <w:bookmarkEnd w:id="2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الصوم النیّة، بأن یقصد العبادة المعهودة شرعاً، ویعزم علی الإمساک عن مفطراتها وإن لم یعلمها تفصیلاً، ویعتبر تعیین صنف الصوم، من رمضان أو نذر أو کفّارة أو نیابة عن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ویعتبر وجود العزم المذکور من أوّل الصوم إلی آخره، ویکفی بقائه فی النفس وخزانة الخیال وإن ذهل عنه بنوم ونحوه، ولو فاتت النیّة لعذر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کنسیان النذر المعیّن أو الجهل بدخول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یمتدّ وقتها إلی الزوال لو لم یتناول المفطر ویمتدّ محلّها إلیه اختیاراً فی غیر المعیّن من الصوم، فلو أصبح ناویاً للإفطار، ثمّ بدا له قبل الزوال أن یصوم قضاء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وصحّ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 من شعبان أو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صومه، ولو صامه بنیّة شعبان فبان أنّه من رمضان، أجزأه عن واجبه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نوی قطع الصوم فی الواجب المعیّن، بأن قصد رفع الید عن صومه، أو نوی القاطع کنیّة الأکل والشرب بطل صومه، ومثل ذلک ما لو تردّد فی القطع أو القاطع</w:t>
      </w:r>
      <w:r>
        <w:rPr>
          <w:rFonts w:eastAsia="IRNazanin" w:cs="IRNazanin"/>
          <w:color w:val="111111"/>
          <w:sz w:val="28"/>
          <w:szCs w:val="28"/>
          <w:rtl w:val="true"/>
          <w:lang w:bidi="fa-IR"/>
        </w:rPr>
        <w:t>.</w:t>
      </w:r>
      <w:bookmarkStart w:id="207" w:name="pg6476_56799"/>
    </w:p>
    <w:p>
      <w:pPr>
        <w:pStyle w:val="Heading4"/>
        <w:numPr>
          <w:ilvl w:val="3"/>
          <w:numId w:val="1"/>
        </w:numPr>
        <w:rPr/>
      </w:pPr>
      <w:bookmarkStart w:id="208" w:name="__RefHeading___Toc1265218_653776707"/>
      <w:bookmarkStart w:id="209" w:name="_Toc80"/>
      <w:bookmarkEnd w:id="207"/>
      <w:bookmarkEnd w:id="208"/>
      <w:r>
        <w:rPr>
          <w:rtl w:val="true"/>
        </w:rPr>
        <w:t>فیما یجب الإمساک عنه</w:t>
      </w:r>
      <w:bookmarkEnd w:id="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الصائم الإمساک عن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 والشرب، معتاداً کان کالخبز، أو غیر معتاد کالحصی، فالمدار علی صدق الأکل والشرب دون ما یؤکل ویشرب، وفی تلقیح ما یتغذّی به أو یتداوی إشکال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حلالاً أو حراماً، قُبلاً أو دُبراً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إنزال المنیّ عمداً، بأیّ نحو کان دون الاحتلام، ولا بأس بالاستبراء بعد الاحتلام، وإن علم بخروج بقایا المنیّ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البقاء علی الجنابة إلی الفجر فی شهر رمضان وقضائه، کما أنّه لو نسی غسل الجنابة فی شهر رمضان حتّی مضی یوم أو أیّام وجب القضاء، ولا یبطل الإصباح جنباً إذا کان جاهلاً بالجنابة، وفی بطلان غیرهما من الصیام الواجبة أو المندوبة بتعمّد الإصباح جنباً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ونظیر الجنابة حدث الحیض والنفاس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إجناب النفس فی وقت لا یسع الغسل ولا التیمّم، فلو فعل کان کمتعمّد البقاء علی الجنابة، ولو وسع التیمّم خاصّة عصی وصحّ صومه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المستحاضة إتیان الأغسال النهاریة التی للصلاة وإلّا بطل صومها، وأمّا اللیلیّة ففی اشتراطها لصوم الیوم الماضی تردّد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لم یتمکّن من الغسل فی الوقت وجب علیه التیمّم، فمن ترکه حتّی أصبح بطل صومه ولا یجب علیه البقاء مستیقظاً حتّی یصبح</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استیقظ بعد الصبح محتلماً فی شهر رمضان صحّ صومه، سواء علم بحصول جنابته قبل الصبح أو حصولها بعده، أو لم یعلم بالحال، ولا</w:t>
      </w:r>
    </w:p>
    <w:p>
      <w:pPr>
        <w:pStyle w:val="BookText"/>
        <w:rPr/>
      </w:pPr>
      <w:r>
        <w:rPr>
          <w:rFonts w:ascii="IRNazanin" w:hAnsi="IRNazanin" w:eastAsia="IRNazanin"/>
          <w:color w:val="111111"/>
          <w:sz w:val="28"/>
          <w:sz w:val="28"/>
          <w:szCs w:val="28"/>
          <w:rtl w:val="true"/>
          <w:lang w:bidi="fa-IR"/>
        </w:rPr>
        <w:t>یجب علیه البدار إلی الغسل کما لا یجب فی المحتلم فی 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أجنب فی اللیل فی شهر رمضان، جاز له أن ینام قبل الاغتسال إن احتمل الاستیقاظ حتّی بعد الانتباه من نومه الأوّل والثانی، فإذا نام ولم یستیقظ حتّی طلع الفجر، فإن کان غیر بان علی الاغتسال وجب علیه القضاء والکفّارة، وإن کان بانیاً علیه ففی البقاء فی النوم الأوّل لا قضاء علیه ولا کفّارة، وفی النوم الثانی علیه القضاء، وفی الثالث المشهور وجوب الکفّارة أیضاً، لکن لا یبعد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النوم الأوّل والثانی ما کان بعد العلم بالجنابة، فالنوم الذی احتلم فیه لا یعدّ النومة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الکذب علی اللّه ورسوله والأئمّة علیهم السلام، ولا فرق بین الکذب علیهم فی أقوالهم أو غیرها کالإخبار کاذباً بأنّهم فعلوا کذا وکذا، ولا بین أن یکون الکذب مجعولاً من قبله، أو یحکیه عن کتاب فیما إذا نقله مسنداً، وأمّا علی وجه نقل القول فلا یبطل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رمس الرأس فی الماء، ولو ألقی نفسه فی الماء بتخیّل عدمه فحصل، لم یبطل صومه إلّاإذا قضت العادة برمسه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إیصال الغبار الغلیظ إلی الحلق، والأحوط إلحاق شرب الأدخنة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الحُقنة بالمائع ولو لمرض، ولا بأس بالجامد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القیء، دون ما کان بلا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خرج بالتجشّؤ شیء إلی الفم لا یجوز بلعه، ولا بأس بابتلاع ما ینزل من الرأس أو یخرج من الصدر، ما لم یصل إلی فضاء الفم، وإلّا ففیه إشکال، ولا بأس بمضغ العِلْک إن لم یذهب منه شیء إلی الحلق</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المفطرات المذکورة غیر الجنابة إنّما تفسد الصوم إذا وقعت عن</w:t>
      </w:r>
      <w:bookmarkStart w:id="210" w:name="pg6476_56801"/>
    </w:p>
    <w:p>
      <w:pPr>
        <w:pStyle w:val="BookText"/>
        <w:rPr/>
      </w:pPr>
      <w:bookmarkEnd w:id="210"/>
      <w:r>
        <w:rPr>
          <w:rFonts w:ascii="IRNazanin" w:hAnsi="IRNazanin" w:eastAsia="IRNazanin"/>
          <w:color w:val="111111"/>
          <w:sz w:val="28"/>
          <w:sz w:val="28"/>
          <w:szCs w:val="28"/>
          <w:rtl w:val="true"/>
          <w:lang w:bidi="fa-IR"/>
        </w:rPr>
        <w:t>عمد، دون ما لو وقعت نسیاناً أو غفلة، ولا فرق فی العامد بین العالم بالحکم والجاهل به المقصّر أو القاصر، وأمّا الجنابة فقد مضی حکمها</w:t>
      </w:r>
      <w:r>
        <w:rPr>
          <w:rFonts w:eastAsia="IRNazanin" w:cs="IRNazanin"/>
          <w:color w:val="111111"/>
          <w:sz w:val="28"/>
          <w:szCs w:val="28"/>
          <w:rtl w:val="true"/>
          <w:lang w:bidi="fa-IR"/>
        </w:rPr>
        <w:t>.</w:t>
      </w:r>
    </w:p>
    <w:p>
      <w:pPr>
        <w:pStyle w:val="Heading4"/>
        <w:numPr>
          <w:ilvl w:val="3"/>
          <w:numId w:val="1"/>
        </w:numPr>
        <w:rPr/>
      </w:pPr>
      <w:bookmarkStart w:id="211" w:name="__RefHeading___Toc1265220_653776707"/>
      <w:bookmarkStart w:id="212" w:name="_Toc81"/>
      <w:bookmarkEnd w:id="211"/>
      <w:r>
        <w:rPr>
          <w:rtl w:val="true"/>
        </w:rPr>
        <w:t>فیما یترتّب علی الإفطار</w:t>
      </w:r>
      <w:bookmarkEnd w:id="2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المفطرات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أنّها توجب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توجب الکفّارة أیضاً إذا کان مع العمد والاختیار، علی إشکال فی بعضها، ولا فرق أیضاً بین العالم والجاهل المقصّر، وأمّا القاصر ففی وجوب الکفّارة علیه تردّد أحوطه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یتخیّر الإنسان فی کفّارة شهر رمضان بین صیام شهرین متتابعین أو إطعام ستّین مسکیناً، والأحوط الجمع بینهما إذا أفطر بشیء محرّم، کالمغصوب والخمر والزنا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تتکرّر الکفّارة بتکرّر الموجب، إلّاأنّ الأحوط فی الجماع التکرّر، ولا کفّارة فی غیر رمضان وقضائه والنذر المعیّن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أفطر متعمّداً، ثمّ سافر فراراً أو لغرض آخر، لم تسقط عنه الکفّارة، ولو أفطر، ثمّ عرض له عارض قهریّ کالحیض والنفاس سقطت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جامع زوجته وهما صائمان، فإن طاوعته فعلی کلّ منهما کفّارة، وإن أکرهها تحمّل عنها کفّارتها أیضاً، ولو کان غیر صائم لسفر ونحوه، لا یجوز له إکراه زوجته الصائمة، وإن فعل لا یتحمّل کفّارتها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مصرف الکفّارة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بإشباعهم، أو إعطاء کلّ واحد مُدّاً من الطعام حنطة، أو شعیر، أو دقیق، أو 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یکفی إعطاء مدّین أو أمداد لشخص واحد، بل لابدّ من ستّین مسکیناً، وإذا کان للفقیر عیال جاز احتسابهم فی الإشباع والأمداد، والمدّ یقرب من ربع المنّ التبریزی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عجز عن کفّارة رمضان وجب التصدّق بما یطیق، ومع عدم</w:t>
      </w:r>
      <w:bookmarkStart w:id="213" w:name="pg6476_56802"/>
    </w:p>
    <w:p>
      <w:pPr>
        <w:pStyle w:val="BookText"/>
        <w:rPr/>
      </w:pPr>
      <w:bookmarkEnd w:id="213"/>
      <w:r>
        <w:rPr>
          <w:rFonts w:ascii="Amiri" w:hAnsi="Amiri" w:eastAsia="Amiri" w:cs="Amiri"/>
          <w:color w:val="111111"/>
          <w:sz w:val="28"/>
          <w:sz w:val="28"/>
          <w:szCs w:val="28"/>
          <w:rtl w:val="true"/>
          <w:lang w:bidi="ar-SA"/>
        </w:rPr>
        <w:t>التمکّن یستغفر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القضاء دون الکفّارة فی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نوم الجنب ثانیاً بل وثالثاً، بعد علمه بالجنابة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بطل صومه لمجرّد عدم النیّة أو بالریاء أو نیّة القطع أو القاطع، مع عدم الإتیان بالمفطر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غسل الجنابة یوماً أو أیّاماً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بالمفطر قبل مراعاة الفجر، فانکشف وقوعه فی الیوم، وأمّا لو راعی وتیقّن بقاء اللیل، ثمّ تبیّن خلافه صحّ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لمن لم یتیقّن بطلوع الفجر تناول المفطر من دون فحص، فإن لم یتبیّن الطلوع ولا عدمه فلا شیء علیه، وأمّا مع عدم التیقّن بدخول اللیل فلا یجوز الإفطار، ولو أفطر وجب علیه القضاء والکفّارة ولو لم یتبیّن الحال</w:t>
      </w:r>
      <w:r>
        <w:rPr>
          <w:rFonts w:eastAsia="IRNazanin" w:cs="IRNazanin"/>
          <w:color w:val="111111"/>
          <w:sz w:val="28"/>
          <w:szCs w:val="28"/>
          <w:rtl w:val="true"/>
          <w:lang w:bidi="fa-IR"/>
        </w:rPr>
        <w:t>.</w:t>
      </w:r>
    </w:p>
    <w:p>
      <w:pPr>
        <w:pStyle w:val="Heading4"/>
        <w:numPr>
          <w:ilvl w:val="3"/>
          <w:numId w:val="1"/>
        </w:numPr>
        <w:rPr/>
      </w:pPr>
      <w:bookmarkStart w:id="214" w:name="__RefHeading___Toc1265222_653776707"/>
      <w:bookmarkStart w:id="215" w:name="_Toc82"/>
      <w:bookmarkEnd w:id="214"/>
      <w:r>
        <w:rPr>
          <w:rtl w:val="true"/>
        </w:rPr>
        <w:t>فی شرائط صحّة الصوم ووجوبه</w:t>
      </w:r>
      <w:bookmarkEnd w:id="21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شرائط صحّة الصوم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والإسلام والإیمان والخلوّ من الحیض والنفاس وعدم السُکر وعدم الإغماء وعدم المرض والرمد الذی یضرّه الصوم، فإن خاف من حدوث المرض أو شدّته أو طول مدّته لم یصحّ، وإن کان له ضعف لا یتحمّل عادة جاز الإفطار، وإن صام بزعم عدم الضرر فبان الضرر بعد الفراغ وجب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لا یکون مسافراً، إلّاأن یکون قد نذر صوماً غیر صوم رمضان فی خصوص السفر أو صرّح بأن یوقعه سفراً وحضراً، وأمّا صوم رمضان فلا یجوز فی السفر ولو بالنذر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ما ذکر من أنّه شرط للصحّة شرط للوجوب أیضاً، غیر الإسلام والإیمان، ومن شرائط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حاضراً فخرج إلی السفر، فإن کان قبل الزوال وجب علیه الإفطار، وإن کان بعده وجب البقاء علی الصوم، وإن کان مسافراً فصار حاضراً، فإن کان قبل الزوال ولم یتناول مفطراً، وجب علیه الصوم، وإن کان بعده أو تناول المفطر قبله لا یجب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الصوم کالصلاة فی جمیع الأحکام فمن قصّر أفطر ومن أفطر قصّر، إلّافی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سافر بعد الزوال فلا یفطر لکنّه یقصّر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وصل إلی بلده بعد الزوال فیفطر ولا یقصّر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الحائض والنفساء تقضیان الصوم دون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أماکن التخییر یفطر المسافر وجوباً ولا یقصّر جوازاً، إلی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السفر فی شهر رمضان ولو فراراً من الصوم، وأمّا الصوم الواجب المعیّن غیره فالأحوط عدم السفر اختیاراً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الإفطار فی شهر رمضان لأشخاص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والشیخة إذا تعذّر أو تعسّر علیهما الصوم، ومن به داء العطش فی صورة التعسّر، والحامل المُقرب التی یضرّ الصوم بها أو بولدها، وکذا المرضعة القلیلة اللبن، فإنّ الجمیع یفطرون ویفدون بدل کلّ یوم بمُدّ، علی إشکال فی بعضها، ولا قضاء علی غیر الحامل والمرضعة</w:t>
      </w:r>
      <w:r>
        <w:rPr>
          <w:rFonts w:eastAsia="IRNazanin" w:cs="IRNazanin"/>
          <w:color w:val="111111"/>
          <w:sz w:val="28"/>
          <w:szCs w:val="28"/>
          <w:rtl w:val="true"/>
          <w:lang w:bidi="fa-IR"/>
        </w:rPr>
        <w:t>.</w:t>
      </w:r>
      <w:bookmarkStart w:id="216" w:name="pg6476_56804"/>
    </w:p>
    <w:p>
      <w:pPr>
        <w:pStyle w:val="Heading4"/>
        <w:numPr>
          <w:ilvl w:val="3"/>
          <w:numId w:val="1"/>
        </w:numPr>
        <w:rPr/>
      </w:pPr>
      <w:bookmarkStart w:id="217" w:name="__RefHeading___Toc1265224_653776707"/>
      <w:bookmarkStart w:id="218" w:name="_Toc83"/>
      <w:bookmarkEnd w:id="216"/>
      <w:bookmarkEnd w:id="217"/>
      <w:r>
        <w:rPr>
          <w:rtl w:val="true"/>
        </w:rPr>
        <w:t>فی ثبوت هلال شهر رمضان</w:t>
      </w:r>
      <w:bookmarkEnd w:id="2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یثبت الهلال بالرؤیة، والشیاع المفید للاطمئنان، ومضیّ ثلاثین یوماً من شعبان، وإخبار عدلین بالرؤیة، وحکم الحاکم، ولا تختصّ حجّیته بمقلّدیه، بل حجّة علی کلّ من لم یقطع بخطأه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ثبت فی بلد ففی حجّیته لبلد آخر متباعد عنه فی الافق إشکال</w:t>
      </w:r>
      <w:r>
        <w:rPr>
          <w:rFonts w:eastAsia="IRNazanin" w:cs="IRNazanin"/>
          <w:color w:val="111111"/>
          <w:sz w:val="28"/>
          <w:szCs w:val="28"/>
          <w:rtl w:val="true"/>
          <w:lang w:bidi="fa-IR"/>
        </w:rPr>
        <w:t>.</w:t>
      </w:r>
    </w:p>
    <w:p>
      <w:pPr>
        <w:pStyle w:val="Heading4"/>
        <w:numPr>
          <w:ilvl w:val="3"/>
          <w:numId w:val="1"/>
        </w:numPr>
        <w:rPr/>
      </w:pPr>
      <w:bookmarkStart w:id="219" w:name="__RefHeading___Toc1265226_653776707"/>
      <w:bookmarkStart w:id="220" w:name="_Toc84"/>
      <w:bookmarkEnd w:id="219"/>
      <w:r>
        <w:rPr>
          <w:rtl w:val="true"/>
        </w:rPr>
        <w:t>فی قضاء شهر رمضان</w:t>
      </w:r>
      <w:bookmarkEnd w:id="2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یجب قضاء ما 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الصبا والجنون والکفر الأصلی، ویجب ما فات فی حال الردّة والحیض والنفاس والسُکر وما اُتی به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تأخیر القضاء إلی رمضان آخر، وإذا أخّر صار موسّعاً، وإذا کان علیه قضاء رمضانین تخیّر فی تقدیم أیّهما 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فاته صوم رمضان لعذر واستمرّ إلی رمضان آخر، فإن کان العذر هو المرض سقط قضائه وکفّر عن کلّ یوم بمدّ، وإن کان العذر غیر المرض کالسفر ونحوه أو کان العذر المرض وسبب التأخیر شیء آخر وجب القضاء دون الکفّارة، ولو فاته ومات فی ذلک الشهر، لم یجب القضاء عنه، ولو أفطره لا لعذر وأخّره إلی رمضان آخر وجب علیه کفّارة الإفطار وکفّارة التأخیر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تتکرّر کفّارة التأخیر بتکرّر السنین، ویجوز إعطاء کفّارات منها لفقیر واحد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الإفطار قبل الزوال فی قضاء رمضان ما لم یتضیّق وقته، وأمّا بعد الزوال فیحرم، وتجب به الکفّارة، وهی هنا إطعام عشرة مساکین لکلّ مسکین مُدّ، فإن لم یمکنه صام ثلاثة أیّام</w:t>
      </w:r>
      <w:r>
        <w:rPr>
          <w:rFonts w:eastAsia="IRNazanin" w:cs="IRNazanin"/>
          <w:color w:val="111111"/>
          <w:sz w:val="28"/>
          <w:szCs w:val="28"/>
          <w:rtl w:val="true"/>
          <w:lang w:bidi="fa-IR"/>
        </w:rPr>
        <w:t>.</w:t>
      </w:r>
      <w:bookmarkStart w:id="221" w:name="pg6476_56805"/>
    </w:p>
    <w:p>
      <w:pPr>
        <w:pStyle w:val="Heading3"/>
        <w:numPr>
          <w:ilvl w:val="2"/>
          <w:numId w:val="1"/>
        </w:numPr>
        <w:rPr/>
      </w:pPr>
      <w:bookmarkStart w:id="222" w:name="__RefHeading___Toc1265228_653776707"/>
      <w:bookmarkStart w:id="223" w:name="_Toc85"/>
      <w:bookmarkEnd w:id="221"/>
      <w:bookmarkEnd w:id="222"/>
      <w:r>
        <w:rPr>
          <w:rtl w:val="true"/>
        </w:rPr>
        <w:t>فی أقسام الصوم</w:t>
      </w:r>
      <w:bookmarkEnd w:id="223"/>
    </w:p>
    <w:p>
      <w:pPr>
        <w:pStyle w:val="BookText"/>
        <w:rPr/>
      </w:pPr>
      <w:r>
        <w:rPr>
          <w:rFonts w:ascii="IRNazanin" w:hAnsi="IRNazanin" w:eastAsia="IRNazanin"/>
          <w:color w:val="111111"/>
          <w:sz w:val="28"/>
          <w:sz w:val="28"/>
          <w:szCs w:val="28"/>
          <w:rtl w:val="true"/>
          <w:lang w:bidi="fa-IR"/>
        </w:rPr>
        <w:t>وهی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ومندوب ومکروه وحرام، فالواجب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شهر رمضان، وصوم القضاء، وصوم الکفّارة، وصوم دم المتعة فی الحجّ، وصوم الیوم الثالث من الاعتکاف، وصوم النذر ونحوه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صوم الکفّارة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مع غیره، وهی کفّارة قتل العمد، فتجب فیها الخصال الثلاث، وکفّارة الإفطار بمحرّم فی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بعد العجز عن غیره، وهی کفّارة قضاء رمضان، فإنّ الصوم فیها بعد العجز عن الإطعام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مخیّراً، وهی کفّارة الإفطار فی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التتابع فی صوم الشهرین فی الکفّارات، ویحصل بصوم الشهر الأوّل ویوم من الشهر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الصوم المندوب کثیر جدّاً، والمکروه قلیل کصوم الولد من دون إذن والده مع عدم إیذائه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یومی العیدین، الفطر والأضحی، والصوم فی السفر، وفی حال الحیض والنفاس، وصوم یوم الشکّ من شعبان بنیّة رمضان، وصوم الزوجة ندباً، مع مزاحمة حقّ الزوج</w:t>
      </w:r>
      <w:r>
        <w:rPr>
          <w:rFonts w:eastAsia="IRNazanin" w:cs="IRNazanin"/>
          <w:color w:val="111111"/>
          <w:sz w:val="28"/>
          <w:szCs w:val="28"/>
          <w:rtl w:val="true"/>
          <w:lang w:bidi="fa-IR"/>
        </w:rPr>
        <w:t>.</w:t>
      </w:r>
    </w:p>
    <w:p>
      <w:pPr>
        <w:pStyle w:val="Heading3"/>
        <w:numPr>
          <w:ilvl w:val="2"/>
          <w:numId w:val="1"/>
        </w:numPr>
        <w:rPr/>
      </w:pPr>
      <w:bookmarkStart w:id="224" w:name="__RefHeading___Toc1265230_653776707"/>
      <w:bookmarkStart w:id="225" w:name="_Toc86"/>
      <w:bookmarkEnd w:id="224"/>
      <w:r>
        <w:rPr>
          <w:rtl w:val="true"/>
        </w:rPr>
        <w:t>فی الاعتکاف</w:t>
      </w:r>
      <w:bookmarkEnd w:id="225"/>
    </w:p>
    <w:p>
      <w:pPr>
        <w:pStyle w:val="BookText"/>
        <w:rPr/>
      </w:pPr>
      <w:r>
        <w:rPr>
          <w:rFonts w:ascii="IRNazanin" w:hAnsi="IRNazanin" w:eastAsia="IRNazanin"/>
          <w:color w:val="111111"/>
          <w:sz w:val="28"/>
          <w:sz w:val="28"/>
          <w:szCs w:val="28"/>
          <w:rtl w:val="true"/>
          <w:lang w:bidi="fa-IR"/>
        </w:rPr>
        <w:t>وهو اللَّبث فی المسجد بقصد التعبّد والعبادة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مستحبّ فی کلّ وقت، ویتأکّد فی شهر رمضان، خاصّة فی عشره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وشروطه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ووقتها لیلة الیوم الأوّل إلی طلوع الفجر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فلا یصحّ بدونه، ولا یعتبر کونه له، فیکفی صوم غیره، واجبا کان أو مستحبّاً، مؤدّیاً عن نفسه أو متحمّلاً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أقلّ من ثلاثة أیّام مع لیالیها المتوسّطة، ولا بأس بالأزید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الیوم الثالث لکلّ اثنین، فیجب الیوم الثالث والسادس والتاسع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أحد المساجد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الحرام ومسجد النبیّ صلی الله علیه و آله ومسجد الکوفة ومسجد البصرة، وأمّا المسجد الجامع لکلّ بلد فیؤتی به فیها 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استدامة اللَّبث فی المسجد، فلو خرج عمداً لغیرالأسباب المبیحة، بطل ولو کان جاهلاً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والخروج ناسیاً أو لضرورة عقلیّة أو 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کالتخلّی وغسل الجنابة مثلاً أو عیادة مریض یتعلّق به ونحو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یبطل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علی المعتکف اُمور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 الطیب والریحان، والبیع والشراء، فلیوکّل غیره أو یوقعه بنحو الصلح</w:t>
      </w:r>
      <w:r>
        <w:rPr>
          <w:rFonts w:eastAsia="IRNazanin" w:cs="IRNazanin"/>
          <w:color w:val="111111"/>
          <w:sz w:val="28"/>
          <w:szCs w:val="28"/>
          <w:rtl w:val="true"/>
          <w:lang w:bidi="fa-IR"/>
        </w:rPr>
        <w:t>.</w:t>
      </w:r>
      <w:bookmarkStart w:id="226" w:name="pg6476_56807"/>
    </w:p>
    <w:p>
      <w:pPr>
        <w:pStyle w:val="Heading2"/>
        <w:numPr>
          <w:ilvl w:val="1"/>
          <w:numId w:val="1"/>
        </w:numPr>
        <w:rPr/>
      </w:pPr>
      <w:bookmarkStart w:id="227" w:name="__RefHeading___Toc1265232_653776707"/>
      <w:bookmarkStart w:id="228" w:name="_Toc87"/>
      <w:bookmarkEnd w:id="226"/>
      <w:bookmarkEnd w:id="227"/>
      <w:r>
        <w:rPr>
          <w:rtl w:val="true"/>
        </w:rPr>
        <w:t>کتاب الزکاة</w:t>
      </w:r>
      <w:bookmarkEnd w:id="228"/>
    </w:p>
    <w:p>
      <w:pPr>
        <w:pStyle w:val="Heading3"/>
        <w:numPr>
          <w:ilvl w:val="2"/>
          <w:numId w:val="1"/>
        </w:numPr>
        <w:rPr/>
      </w:pPr>
      <w:bookmarkStart w:id="229" w:name="__RefHeading___Toc1265234_653776707"/>
      <w:bookmarkStart w:id="230" w:name="_Toc88"/>
      <w:bookmarkEnd w:id="229"/>
      <w:r>
        <w:rPr>
          <w:rtl w:val="true"/>
        </w:rPr>
        <w:t>کتاب الزکاة</w:t>
      </w:r>
      <w:bookmarkEnd w:id="230"/>
    </w:p>
    <w:p>
      <w:pPr>
        <w:pStyle w:val="Heading4"/>
        <w:numPr>
          <w:ilvl w:val="3"/>
          <w:numId w:val="1"/>
        </w:numPr>
        <w:rPr/>
      </w:pPr>
      <w:bookmarkStart w:id="231" w:name="__RefHeading___Toc1265236_653776707"/>
      <w:bookmarkStart w:id="232" w:name="_Toc89"/>
      <w:bookmarkEnd w:id="231"/>
      <w:r>
        <w:rPr>
          <w:rtl w:val="true"/>
        </w:rPr>
        <w:t>القول فی زکاة المال</w:t>
      </w:r>
      <w:bookmarkEnd w:id="232"/>
    </w:p>
    <w:p>
      <w:pPr>
        <w:pStyle w:val="BookText"/>
        <w:rPr/>
      </w:pPr>
      <w:r>
        <w:rPr>
          <w:rFonts w:ascii="IRNazanin" w:hAnsi="IRNazanin" w:eastAsia="IRNazanin"/>
          <w:color w:val="111111"/>
          <w:sz w:val="28"/>
          <w:sz w:val="28"/>
          <w:szCs w:val="28"/>
          <w:rtl w:val="true"/>
          <w:lang w:bidi="fa-IR"/>
        </w:rPr>
        <w:t>والکلام فیمن تجب علیه، وفیما تجب فیه، وفی أصناف المستحقّین، وفی أوصافهم</w:t>
      </w:r>
      <w:r>
        <w:rPr>
          <w:rFonts w:eastAsia="IRNazanin" w:cs="IRNazanin"/>
          <w:color w:val="111111"/>
          <w:sz w:val="28"/>
          <w:szCs w:val="28"/>
          <w:rtl w:val="true"/>
          <w:lang w:bidi="fa-IR"/>
        </w:rPr>
        <w:t>.</w:t>
      </w:r>
    </w:p>
    <w:p>
      <w:pPr>
        <w:pStyle w:val="Heading4"/>
        <w:numPr>
          <w:ilvl w:val="3"/>
          <w:numId w:val="1"/>
        </w:numPr>
        <w:rPr/>
      </w:pPr>
      <w:bookmarkStart w:id="233" w:name="__RefHeading___Toc1265238_653776707"/>
      <w:bookmarkStart w:id="234" w:name="_Toc90"/>
      <w:bookmarkEnd w:id="233"/>
      <w:r>
        <w:rPr>
          <w:rtl w:val="true"/>
        </w:rPr>
        <w:t>القول فیمن تجب علیه</w:t>
      </w:r>
      <w:bookmarkEnd w:id="2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أی البلوغ أوّل الحول فیما یعتبر فیه الحول، وفی غیره قبل وقت التعلّق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فی تمام الحول أو فی حال التعلّق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فلا زکاة فی الموهوب والقرض إلّابعد القبض، ولا فی الموصی به إلّابعد الانتقال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التمکّن من التصرّف، فلا زکاة فی الوقف کمقدار النصاب من الأنعام الموقوفة خاصّاً أو عامّاً، ولا فی المرهون وإن أمکن فکّه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ارتفع التمکّن فی الأثناء، ینقطع الحول ویحتاج إلی التجدید</w:t>
      </w:r>
      <w:r>
        <w:rPr>
          <w:rFonts w:eastAsia="IRNazanin" w:cs="IRNazanin"/>
          <w:color w:val="111111"/>
          <w:sz w:val="28"/>
          <w:szCs w:val="28"/>
          <w:rtl w:val="true"/>
          <w:lang w:bidi="fa-IR"/>
        </w:rPr>
        <w:t>.</w:t>
      </w:r>
      <w:bookmarkStart w:id="235" w:name="pg6476_56808"/>
    </w:p>
    <w:p>
      <w:pPr>
        <w:pStyle w:val="BookText"/>
        <w:rPr/>
      </w:pPr>
      <w:bookmarkEnd w:id="235"/>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النصاب، وسیجیء تفصیله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تتعلّق الزکاة بنماء الوقف العامّ، إلّاأن یقبضه الموقوف علیه قبل وقت تعلّق الوجوب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المال الزکوی مشترکاً بین اثنین أو أزید تلاحظ الحصص، فکلّ من بلغت حصّته النصاب وجب علیه الزکاة، دون من لم تبلغ</w:t>
      </w:r>
      <w:r>
        <w:rPr>
          <w:rFonts w:eastAsia="IRNazanin" w:cs="IRNazanin"/>
          <w:color w:val="111111"/>
          <w:sz w:val="28"/>
          <w:szCs w:val="28"/>
          <w:rtl w:val="true"/>
          <w:lang w:bidi="fa-IR"/>
        </w:rPr>
        <w:t>.</w:t>
      </w:r>
    </w:p>
    <w:p>
      <w:pPr>
        <w:pStyle w:val="Heading4"/>
        <w:numPr>
          <w:ilvl w:val="3"/>
          <w:numId w:val="1"/>
        </w:numPr>
        <w:rPr/>
      </w:pPr>
      <w:bookmarkStart w:id="236" w:name="__RefHeading___Toc1265240_653776707"/>
      <w:bookmarkStart w:id="237" w:name="_Toc91"/>
      <w:bookmarkEnd w:id="236"/>
      <w:r>
        <w:rPr>
          <w:rtl w:val="true"/>
        </w:rPr>
        <w:t>فیما تجب فیه الزکاة</w:t>
      </w:r>
      <w:bookmarkEnd w:id="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تجب الزکاة فی الأنعام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 والبقر والغنم، وفی النقدین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 والفضّة، وفی الغلّات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الحنطة والشعیر والتمر والزبیب، ولا تجب فیما عدا هذه التسعة، والکلام فیها یقع فی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زکاة الأنعام</w:t>
      </w:r>
    </w:p>
    <w:p>
      <w:pPr>
        <w:pStyle w:val="BookText"/>
        <w:rPr/>
      </w:pPr>
      <w:r>
        <w:rPr>
          <w:rFonts w:ascii="IRNazanin" w:hAnsi="IRNazanin" w:eastAsia="IRNazanin"/>
          <w:color w:val="111111"/>
          <w:sz w:val="28"/>
          <w:sz w:val="28"/>
          <w:szCs w:val="28"/>
          <w:rtl w:val="true"/>
          <w:lang w:bidi="fa-IR"/>
        </w:rPr>
        <w:t xml:space="preserve">وشرائط وجوبها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الشرائط العامّة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النصاب، والسوم، والحول، وأن لا تکون عوامل</w:t>
      </w:r>
      <w:r>
        <w:rPr>
          <w:rFonts w:eastAsia="IRNazanin" w:cs="IRNazanin"/>
          <w:color w:val="111111"/>
          <w:sz w:val="28"/>
          <w:szCs w:val="28"/>
          <w:rtl w:val="true"/>
          <w:lang w:bidi="fa-IR"/>
        </w:rPr>
        <w:t>.</w:t>
      </w:r>
    </w:p>
    <w:p>
      <w:pPr>
        <w:pStyle w:val="Heading4"/>
        <w:numPr>
          <w:ilvl w:val="3"/>
          <w:numId w:val="1"/>
        </w:numPr>
        <w:rPr/>
      </w:pPr>
      <w:bookmarkStart w:id="238" w:name="__RefHeading___Toc1265242_653776707"/>
      <w:bookmarkStart w:id="239" w:name="_Toc92"/>
      <w:bookmarkEnd w:id="238"/>
      <w:r>
        <w:rPr>
          <w:rtl w:val="true"/>
        </w:rPr>
        <w:t>فی النصاب</w:t>
      </w:r>
      <w:bookmarkEnd w:id="23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الإبل اثنا عشر نصاباً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شاتان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وخمس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ثلاثة شیاه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أربع شیاه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وخمس وعشرون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خمس شیاه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ستّ وعشرون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بنت مخاض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ستّ وثلاثون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بنت 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ستّ وأربعون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إحدی وستّون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جَذَعَة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ستّ وسبعون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بنتا 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إحدی وتسعون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حِقّتان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مائة وإحدی وعشرون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کلّ خمسین حِقّة، وفی کلّ أربعین بنت لَبون، فیراعی المطابق منهما وإلّا لوحظا معاً، فلا عفو إلّافیما بین العقود</w:t>
      </w:r>
      <w:r>
        <w:rPr>
          <w:rFonts w:eastAsia="IRNazanin" w:cs="IRNazanin"/>
          <w:color w:val="111111"/>
          <w:sz w:val="28"/>
          <w:szCs w:val="28"/>
          <w:rtl w:val="true"/>
          <w:lang w:bidi="fa-IR"/>
        </w:rPr>
        <w:t>.</w:t>
      </w:r>
      <w:bookmarkStart w:id="240" w:name="pg6476_56809"/>
    </w:p>
    <w:p>
      <w:pPr>
        <w:pStyle w:val="BookText"/>
        <w:rPr/>
      </w:pPr>
      <w:bookmarkEnd w:id="240"/>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یترقّی فی خمسة من النُصُب خمسة خمسة، وفی ثلاثة عشرة عشرة، وفی ثلاثة اُخری بخمسة عشر، وفی الأخیر بثلاثین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البقر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الجاموس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وأربعون، وفی کلّ ثلاثین، تَبیع أو تبیعة، وفی کلّ 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 المطابقة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إلی الستّین غیر المُسِنّة، وبعدها تحصل المطابقة دائماً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الغنم خمسة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مائة وإحدی وعشرون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شاتان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مائتان وواحدة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ثلاث شیاه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ثلاثمائة وواحدة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إلی خمسمأة أربع شیاه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فی کلّ مائة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تجب الزکاة فیما قبل النصاب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بنت المخاض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دخلت فی السنة الثانیة، وکذا التبیع والتبیعة من البقر، وبنت اللَبون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دخلت فی الثالثة، وکذا المُسِنّة والحِقّة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دخلت فی الرابعة، والجَذَعَة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دخلت فی الخامسة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یضمّ مال شخص إلی غیره وإن کان مشترکاً، بل یعتبر فی کلّ واحد بلوغ النصاب</w:t>
      </w:r>
      <w:r>
        <w:rPr>
          <w:rFonts w:eastAsia="IRNazanin" w:cs="IRNazanin"/>
          <w:color w:val="111111"/>
          <w:sz w:val="28"/>
          <w:szCs w:val="28"/>
          <w:rtl w:val="true"/>
          <w:lang w:bidi="fa-IR"/>
        </w:rPr>
        <w:t>.</w:t>
      </w:r>
    </w:p>
    <w:p>
      <w:pPr>
        <w:pStyle w:val="Heading4"/>
        <w:numPr>
          <w:ilvl w:val="3"/>
          <w:numId w:val="1"/>
        </w:numPr>
        <w:rPr/>
      </w:pPr>
      <w:bookmarkStart w:id="241" w:name="__RefHeading___Toc1265244_653776707"/>
      <w:bookmarkStart w:id="242" w:name="_Toc93"/>
      <w:bookmarkEnd w:id="241"/>
      <w:r>
        <w:rPr>
          <w:rtl w:val="true"/>
        </w:rPr>
        <w:t>فی السَّوم والشرطین الأخیرین</w:t>
      </w:r>
      <w:bookmarkEnd w:id="2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یعتبر السوم تمام الحول، فلو علفت فی أثنائه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أسبوعاً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زکاة، سواء علفت بالعلف المجزور أو اُرسلت فی الزرع المملوک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باستئجار المرعی الطبیعی، ولا فیما یدفع إلی الظالم علی الرعی فی الأراضی المباحة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یکفی فی مضیّ الحول الدخول فی الشهر الثانی عشر، فتصیر</w:t>
      </w:r>
      <w:bookmarkStart w:id="243" w:name="pg6476_56810"/>
    </w:p>
    <w:p>
      <w:pPr>
        <w:pStyle w:val="BookText"/>
        <w:rPr/>
      </w:pPr>
      <w:bookmarkEnd w:id="243"/>
      <w:r>
        <w:rPr>
          <w:rFonts w:ascii="IRNazanin" w:hAnsi="IRNazanin" w:eastAsia="IRNazanin"/>
          <w:color w:val="111111"/>
          <w:sz w:val="28"/>
          <w:sz w:val="28"/>
          <w:szCs w:val="28"/>
          <w:rtl w:val="true"/>
          <w:lang w:bidi="fa-IR"/>
        </w:rPr>
        <w:t>الزکاة ملکاً لأربابها ویجب إخراجها، ولکن یحتسب الشهر الثانی عشر من السنة الاُولی دون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تتکرّر الزکاة بتکرّر السنین حتّی ینقضی المال عن النصاب، فلو کان عنده اثنان وأربعون شاة کان المال متعلّقاً للزکاة ثلاث سنین، وتتکرّر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لم یزد عن النصاب لکن أخرج الزکاة فی کلّ سنة من ماله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الأنعام أن لا تکون عوامل فی تمام الحول، والمرجع فی صدق العوامل العرف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یؤخذ المریض فی نصاب السلیم ولا الهرمة عن الشابّ، ولا یعدّ السمینة المعدّة للأکل، ولا فحل الضراب من النصاب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البقر والجاموس جنس واحد، فیجزی کلّ واحد عن الآخر، وکذا الضأن والمعز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والشاة المأخوذة فی الزکاة ما دخل فی السنة الثانیة، إن کان من الضأن، وفی الثالثة إن کان من المعز، ویجوز دفع القیمة أیضاً</w:t>
      </w:r>
      <w:r>
        <w:rPr>
          <w:rFonts w:eastAsia="IRNazanin" w:cs="IRNazanin"/>
          <w:color w:val="111111"/>
          <w:sz w:val="28"/>
          <w:szCs w:val="28"/>
          <w:rtl w:val="true"/>
          <w:lang w:bidi="fa-IR"/>
        </w:rPr>
        <w:t>.</w:t>
      </w:r>
    </w:p>
    <w:p>
      <w:pPr>
        <w:pStyle w:val="Heading3"/>
        <w:numPr>
          <w:ilvl w:val="2"/>
          <w:numId w:val="1"/>
        </w:numPr>
        <w:rPr/>
      </w:pPr>
      <w:bookmarkStart w:id="244" w:name="__RefHeading___Toc1265246_653776707"/>
      <w:bookmarkStart w:id="245" w:name="_Toc94"/>
      <w:bookmarkEnd w:id="244"/>
      <w:r>
        <w:rPr>
          <w:rtl w:val="true"/>
        </w:rPr>
        <w:t>فی زکاة النقدین</w:t>
      </w:r>
      <w:bookmarkEnd w:id="245"/>
    </w:p>
    <w:p>
      <w:pPr>
        <w:pStyle w:val="BookText"/>
        <w:rPr/>
      </w:pPr>
      <w:r>
        <w:rPr>
          <w:rFonts w:ascii="IRNazanin" w:hAnsi="IRNazanin" w:eastAsia="IRNazanin"/>
          <w:color w:val="111111"/>
          <w:sz w:val="28"/>
          <w:sz w:val="28"/>
          <w:szCs w:val="28"/>
          <w:rtl w:val="true"/>
          <w:lang w:bidi="fa-IR"/>
        </w:rPr>
        <w:t xml:space="preserve">ویعتبر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الشرائط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النصاب، وهو فی الذهب خمسة عشر مثقالاً صیرفیّاً، وزکاته ربع المثقال وثمنه، ولا زکاة فیما دون العشرین، ولا فیما زاد علیها حتّی یبلغ ثلاثة مثاقیل صیرفیّة وهکذا کلّما زاد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ونصاب الفضّة مأتا درهم، وفیه خمس دراهم، ثمّ کلّما زاد أربعین کان فیها درهم، والدرهم نصف مثقال شرعی وخمسه؛ لأنّ کلّ عشرة دراهم سبعة مثاقیل شرعیّة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الضابط الکلّی فی زکاة النقدین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یعطی من کلّ أربعین</w:t>
      </w:r>
      <w:bookmarkStart w:id="246" w:name="pg6476_56811"/>
    </w:p>
    <w:p>
      <w:pPr>
        <w:pStyle w:val="BookText"/>
        <w:rPr/>
      </w:pPr>
      <w:bookmarkEnd w:id="246"/>
      <w:r>
        <w:rPr>
          <w:rFonts w:ascii="IRNazanin" w:hAnsi="IRNazanin" w:eastAsia="IRNazanin"/>
          <w:color w:val="111111"/>
          <w:sz w:val="28"/>
          <w:sz w:val="28"/>
          <w:szCs w:val="28"/>
          <w:rtl w:val="true"/>
          <w:lang w:bidi="fa-IR"/>
        </w:rPr>
        <w:t>واحداً، وإن زاد فی بعض الصور شیئاً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کونهما منقوشین بسکّة المعاملة، أیّة سکّة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اتّخذهما حلیة للزینة فلا تجب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الحول، ویعتبر بقاء النصاب فیه أجمع، فلو نقص عنه فی أثنائه، أو تبدّلت أعیان النصاب بجنسه أو غیره لم تجب، ولا فرق بین اختلاف السکّة من الذهب، مثلاً یضمّ القران إلی الروبیة والجیّد إلی الردیء، وفی الدراهم المغشوشة یلاحظ النصاب بالنسبة إلی الخالص الموجود فیها من الذهب والفضّة</w:t>
      </w:r>
      <w:r>
        <w:rPr>
          <w:rFonts w:eastAsia="IRNazanin" w:cs="IRNazanin"/>
          <w:color w:val="111111"/>
          <w:sz w:val="28"/>
          <w:szCs w:val="28"/>
          <w:rtl w:val="true"/>
          <w:lang w:bidi="fa-IR"/>
        </w:rPr>
        <w:t>.</w:t>
      </w:r>
    </w:p>
    <w:p>
      <w:pPr>
        <w:pStyle w:val="Heading3"/>
        <w:numPr>
          <w:ilvl w:val="2"/>
          <w:numId w:val="1"/>
        </w:numPr>
        <w:rPr/>
      </w:pPr>
      <w:bookmarkStart w:id="247" w:name="__RefHeading___Toc1265248_653776707"/>
      <w:bookmarkStart w:id="248" w:name="_Toc95"/>
      <w:bookmarkEnd w:id="247"/>
      <w:r>
        <w:rPr>
          <w:rtl w:val="true"/>
        </w:rPr>
        <w:t>فی زکاة الغلّات</w:t>
      </w:r>
      <w:bookmarkEnd w:id="248"/>
    </w:p>
    <w:p>
      <w:pPr>
        <w:pStyle w:val="Heading4"/>
        <w:numPr>
          <w:ilvl w:val="3"/>
          <w:numId w:val="1"/>
        </w:numPr>
        <w:rPr/>
      </w:pPr>
      <w:bookmarkStart w:id="249" w:name="__RefHeading___Toc1265250_653776707"/>
      <w:bookmarkStart w:id="250" w:name="_Toc96"/>
      <w:bookmarkEnd w:id="249"/>
      <w:r>
        <w:rPr>
          <w:rtl w:val="true"/>
        </w:rPr>
        <w:t>اشارة</w:t>
      </w:r>
      <w:bookmarkEnd w:id="250"/>
    </w:p>
    <w:p>
      <w:pPr>
        <w:pStyle w:val="BookText"/>
        <w:rPr/>
      </w:pPr>
      <w:r>
        <w:rPr>
          <w:rFonts w:ascii="IRNazanin" w:hAnsi="IRNazanin" w:eastAsia="IRNazanin"/>
          <w:color w:val="111111"/>
          <w:sz w:val="28"/>
          <w:sz w:val="28"/>
          <w:szCs w:val="28"/>
          <w:rtl w:val="true"/>
          <w:lang w:bidi="fa-IR"/>
        </w:rPr>
        <w:t>أی الحنطة والشعیر والتمر والزبیب، ویعتبر فیها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النصاب بالمنّ التبریزی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إلّا</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مثقالاً، وبالکیلو</w:t>
      </w:r>
      <w:r>
        <w:rPr>
          <w:rFonts w:eastAsia="IRNazanin" w:cs="IRNazanin"/>
          <w:color w:val="111111"/>
          <w:sz w:val="28"/>
          <w:szCs w:val="28"/>
          <w:rtl w:val="true"/>
          <w:lang w:bidi="fa-IR"/>
        </w:rPr>
        <w:t xml:space="preserve">: </w:t>
      </w:r>
      <w:r>
        <w:rPr>
          <w:rFonts w:eastAsia="IRNazanin" w:cs="IRNazanin"/>
          <w:color w:val="111111"/>
          <w:sz w:val="28"/>
          <w:szCs w:val="28"/>
          <w:lang w:bidi="fa-IR"/>
        </w:rPr>
        <w:t>207/847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فلا زکاة فی الناقص عن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فی التمر والزبیب بلوغ الحدّ المزبور حال جفافهما، فلو بلغا عنباً ورُطباً، فنقصا بعد الجفاف لا تجب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 الغلّات قبل تعلّق الزکاة، سواء تملّکها بالزراعة أو النقل إلیه بالشراء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أنّ وقت تعلّق الزکاة عند اشتداد الحبّ فی الزرع، والإحمرار أو الإصفرار فی النخل، وانعقاد الحِصْرِم فی الکرم، لکنّ الأقوی صدق اسم التمر واسم العنب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ووقت وجوب الإخراج حین تصفیة الغلّة واجتذاذ التمر والعنب، وحینئذٍ، فلو اقتطف المالک حِصْرِماً أو بُسراً لم تجب زکاته، ورطباً وعنباً وجبت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للمالک دفع الزکاة بعد التعلّق والثمر علی الشجر من نفس</w:t>
      </w:r>
    </w:p>
    <w:p>
      <w:pPr>
        <w:pStyle w:val="BookText"/>
        <w:rPr/>
      </w:pPr>
      <w:r>
        <w:rPr>
          <w:rFonts w:ascii="IRNazanin" w:hAnsi="IRNazanin" w:eastAsia="IRNazanin"/>
          <w:color w:val="111111"/>
          <w:sz w:val="28"/>
          <w:sz w:val="28"/>
          <w:szCs w:val="28"/>
          <w:rtl w:val="true"/>
          <w:lang w:bidi="fa-IR"/>
        </w:rPr>
        <w:t>الثمر أو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مات بعد التعلّق وجب علی الورثة الإخراج، ولا یلاحظ فی حصّتهم بلوغ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مات قبل التعلّق فانتقل المال إلی الورثة وجب علی من بلغ منهم سهمه النصاب، دون من لم یبلغ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المزارعة والمساقاة الصحیحتین حیث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الحاصل مشترک بین المالک والعامل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علی کلّ منهما الزکاة فی حصّته مع الشرائط، وأمّا فی المزارعة الفاسدة والأرض المستأجرة للزراعة أو المغصوبة لها فالزکاة علی صاحب البذر، وتحسب اُجرة الأرض من مؤونة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تقبّل کلّ من المالک والحاکم حصّة الآخر بخرص أهل الخبرة وتخمینه، وهذه معاملة عقلائیّة، وفائدتها صیرورة المال المشاع معیّناً علی النحو الکلّی فی المعیّن فی مال المتقبّل، فیجوز للمتقبّل بعد ذلک، التصرّف کیف شاء، ثمّ إن زاد الواقع علی المخروص کان للمتقبّل، وإن نقص کان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تجب الزکاة بعد إخراج المؤن جمیعها، وهل یراد من إخراجها اعتبار النصاب بعدها أو أداء الزکاة بعد إخراجها؟ وجهان، أظهرهما وأحوطهما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مجموع الحاصل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لم یجب شیء أصلاً، ولو کان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وفرضنا أنّ المؤونة تساوی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فعلی القول الأوّل لا یجب شیء أیضاً، وعلی الثانی تجب فتخرج المؤونة أوّلاً، ثمّ تخرج زکاة الباقی وهو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المراد بالمؤونة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یصرفه المالک فی نفقة الحاصل، کالبذر وثمن الماء واُجرة الأرض والحارس والساقی، واُجرة العوامل والوسائل التی یستأجرها للزرع والحصاد والدوس وقیمة ما ینقص ویستهلک من المکائن والآلات، ولا یحسب منها اُجرة عمل المالک وثمن الآلات والعوامل واُجرتها، ولا</w:t>
      </w:r>
      <w:bookmarkStart w:id="251" w:name="pg6476_56813"/>
    </w:p>
    <w:p>
      <w:pPr>
        <w:pStyle w:val="BookText"/>
        <w:rPr/>
      </w:pPr>
      <w:bookmarkEnd w:id="251"/>
      <w:r>
        <w:rPr>
          <w:rFonts w:ascii="IRNazanin" w:hAnsi="IRNazanin" w:eastAsia="IRNazanin"/>
          <w:color w:val="111111"/>
          <w:sz w:val="28"/>
          <w:sz w:val="28"/>
          <w:szCs w:val="28"/>
          <w:rtl w:val="true"/>
          <w:lang w:bidi="fa-IR"/>
        </w:rPr>
        <w:t>ما یکون من مؤونة البستان دون الحاصل کإحداث النهر والبئر والناعورة ومکینة الماء ونحو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ما لا یحتاج إلی السقی لمطر ونحوه، أو یسقی بالجاری ففیه العُشر، وما یسقی بالعلاج کالدلاء والمکائن ففیه نصف العشر، ولو سقی بهما فالحکم للأکثر الذی یسند السقی إلیه عرفاً، وإن تساویا ففی نصف الحاصل العشر وفی نصفه الآخر نصف العشر، والأمطار العادیة لا تخرج المکائن عن حکمها إلّا أن تُغنی عنها</w:t>
      </w:r>
      <w:r>
        <w:rPr>
          <w:rFonts w:eastAsia="IRNazanin" w:cs="IRNazanin"/>
          <w:color w:val="111111"/>
          <w:sz w:val="28"/>
          <w:szCs w:val="28"/>
          <w:rtl w:val="true"/>
          <w:lang w:bidi="fa-IR"/>
        </w:rPr>
        <w:t>.</w:t>
      </w:r>
    </w:p>
    <w:p>
      <w:pPr>
        <w:pStyle w:val="Heading4"/>
        <w:numPr>
          <w:ilvl w:val="3"/>
          <w:numId w:val="1"/>
        </w:numPr>
        <w:rPr/>
      </w:pPr>
      <w:bookmarkStart w:id="252" w:name="__RefHeading___Toc1265252_653776707"/>
      <w:bookmarkStart w:id="253" w:name="_Toc97"/>
      <w:bookmarkEnd w:id="252"/>
      <w:r>
        <w:rPr>
          <w:rtl w:val="true"/>
        </w:rPr>
        <w:t>فی أصناف المستحقّین</w:t>
      </w:r>
      <w:bookmarkEnd w:id="253"/>
    </w:p>
    <w:p>
      <w:pPr>
        <w:pStyle w:val="BookText"/>
        <w:rPr/>
      </w:pPr>
      <w:r>
        <w:rPr>
          <w:rFonts w:ascii="IRNazanin" w:hAnsi="IRNazanin" w:eastAsia="IRNazanin"/>
          <w:color w:val="111111"/>
          <w:sz w:val="28"/>
          <w:sz w:val="28"/>
          <w:szCs w:val="28"/>
          <w:rtl w:val="true"/>
          <w:lang w:bidi="fa-IR"/>
        </w:rPr>
        <w:t>وهی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الفقراء والمساکین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أسوأ حالاً من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الذین لا یقدرون علی تحصیل مؤونة سنة أنفسهم وعیالهم اللائقة بحالهم، فالإعطاء لمن قدر ولم یکتسب تکاسلاً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ومبدء السنة هنا زمان إعطاء الزکاة، فإن کان فیه مالکاً لمؤونة سنته أو قادراً علی التکسّب کان غنیّاً وإلّا فلا، وحینئذٍ یجوز التکمیل إن کان مالکاً لقوت ستّة أشهر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قادراً علی التکسّب الذی لا یلیق بشأنه، جاز ترکه وأخذ الزکاة، کما یجوز ذلک لطالب العلم الواجب عیناً أو کفایة، أو المندوب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إعلام الفقیر أنّ المدفوع إلیه زکاة، بل یعطیها بعنوان الصلة أو الهدیّة، ولو کان له علی الفقیر دین جاز احتسابه زکاة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إحراز فقر الآخذ بالعلم أو البیّنة أو استصحاب حاله السابقة، وإلّا فبالوثوق والاطمئنان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دفعها إلیه علی أنّه فقیر فبان غنیّاً استرجعها</w:t>
      </w:r>
    </w:p>
    <w:p>
      <w:pPr>
        <w:pStyle w:val="BookText"/>
        <w:rPr/>
      </w:pPr>
      <w:r>
        <w:rPr>
          <w:rFonts w:ascii="IRNazanin" w:hAnsi="IRNazanin" w:eastAsia="IRNazanin"/>
          <w:color w:val="111111"/>
          <w:sz w:val="28"/>
          <w:sz w:val="28"/>
          <w:szCs w:val="28"/>
          <w:rtl w:val="true"/>
          <w:lang w:bidi="fa-IR"/>
        </w:rPr>
        <w:t>مع بقاء العین، ومع التلف فإن أعطاها، بإذن شرعیّ کالبیّنة أو حکم الحاکم أو أعطاها إلی الحاکم ودفع الحاکم إلیه فلا ضمان، وإلّا وجب دفعها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العاملون علیها، وهم الساعون فی جمعها، المنصوبون من قبل الإمام أو نائبه لأخذها وضبطها، فإنّ لهم من الزکاة سهماً وإن کانوا أغنیاء، والتقدیر راجع إلی من نصبه، فیعطیهم ما یراه، والظاهر عدم سقوط هذا الصنف فی زمان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المؤلّفة قلوبهم، وهم الکفّار؛ یراد اُلفتهم إلی الجهاد أو الإسلام، والمسلمون الذین عقائدهم ضعیفة، فیعطون لتألیف قلوبهم، والظاهر عدم سقوطهم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الرقاب، وهم العبید یبتاعون بها فیعتقون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الغارمون، وهم الذین علتهم الدیون فی غیر معصیة ولا إسراف، ولم یتمکّنوا من أدائها ولو ملکوا قوت 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المدیون ممّن تجب نفقته علی مالک الزکاة، جاز إعطائه من هذا السّهم لوفاء دَینه دون نفقته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هذا السهم یجوز دفعها إلی المدیون لیوفی دینه، وإلی الدائن وفاء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مدیوناً لمالک الزکاة جاز احتساب الدین زکاة، ولم یجب إخبار المدیون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سبیل اللّه، وهو المصالح العامّة للمسلمین کبناء المساجد والمدارس الدینیّة، والقناطر، والمستشفیات، والأمکنة لتربیة الأیتام وتدریس القرآن وبیان الحلال والحرام، وطبع المصاحف والکتب الدینیّة، وإعداد القوی لدفع أعداء الدین، وإصلاح ذات البین، وتزویج عزّاب الشیعة، وسائر ما یعدّ خدمة لعامّة المسلمین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السبیل، وهو المنقطَع به فی الغُربة فی السفر المباح، مع عدم</w:t>
      </w:r>
      <w:bookmarkStart w:id="254" w:name="pg6476_56815"/>
    </w:p>
    <w:p>
      <w:pPr>
        <w:pStyle w:val="BookText"/>
        <w:rPr/>
      </w:pPr>
      <w:bookmarkEnd w:id="254"/>
      <w:r>
        <w:rPr>
          <w:rFonts w:ascii="IRNazanin" w:hAnsi="IRNazanin" w:eastAsia="IRNazanin"/>
          <w:color w:val="111111"/>
          <w:sz w:val="28"/>
          <w:sz w:val="28"/>
          <w:szCs w:val="28"/>
          <w:rtl w:val="true"/>
          <w:lang w:bidi="fa-IR"/>
        </w:rPr>
        <w:t>إمکان الاقتراض أیضاً</w:t>
      </w:r>
      <w:r>
        <w:rPr>
          <w:rFonts w:eastAsia="IRNazanin" w:cs="IRNazanin"/>
          <w:color w:val="111111"/>
          <w:sz w:val="28"/>
          <w:szCs w:val="28"/>
          <w:rtl w:val="true"/>
          <w:lang w:bidi="fa-IR"/>
        </w:rPr>
        <w:t>.</w:t>
      </w:r>
    </w:p>
    <w:p>
      <w:pPr>
        <w:pStyle w:val="Heading4"/>
        <w:numPr>
          <w:ilvl w:val="3"/>
          <w:numId w:val="1"/>
        </w:numPr>
        <w:rPr/>
      </w:pPr>
      <w:bookmarkStart w:id="255" w:name="__RefHeading___Toc1265254_653776707"/>
      <w:bookmarkStart w:id="256" w:name="_Toc98"/>
      <w:bookmarkEnd w:id="255"/>
      <w:r>
        <w:rPr>
          <w:rtl w:val="true"/>
        </w:rPr>
        <w:t>فی أوصاف المستحقّین للزکاة</w:t>
      </w:r>
      <w:bookmarkEnd w:id="256"/>
    </w:p>
    <w:p>
      <w:pPr>
        <w:pStyle w:val="BookText"/>
        <w:rPr/>
      </w:pPr>
      <w:r>
        <w:rPr>
          <w:rFonts w:ascii="Amiri" w:hAnsi="Amiri" w:eastAsia="Amiri" w:cs="Amiri"/>
          <w:color w:val="111111"/>
          <w:sz w:val="28"/>
          <w:sz w:val="28"/>
          <w:szCs w:val="28"/>
          <w:rtl w:val="true"/>
          <w:lang w:bidi="ar-SA"/>
        </w:rPr>
        <w:t>وهی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فلا یُعطی الکافر، والمخالف للحقّ وإن کان من فرق الشیعة، إلّا من سهم المؤلّفة قلوبهم، ولا ابن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من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صغره، ولا تسلّم إلی الطفل، بل تدفع إلی ولیّه، أو یصرفها علیه بنفسه، ومثله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فی دفعه إعانة علی الإثم وإغراء بالقبیح، ولا یشترط فیه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الأحوط أن لا یکون شارب الخمر، ولا متجاهراً بسائر الکبائر، ویعتبر فی خصوص العامل، الوثوق والاطمئنان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یکون ممّن تجب نفقته علی المالک کالأبوین، والأولاد، والزوجة الدائمة، فلا یجوز دفعها إلیهم للإنفاق، ویجوز دفعها لإنفاقهم علی من تجب نفقته علیهم کزوجتهم، والممنوع هو ما کان من سهم الفقراء ولأجل فقرهم، فیجوز إعطائها للولد من سهم سبیل اللّه لتحصیل الکتب العلمیّة، کما یجوز الدفع إلی الزوجة المتمتّع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یکون هاشمیّاً لو کانت الزکاة من غیره، ویجوز له أخذها من الهاشمی، کما یجوز أخذ الصدقات المندوبة، بل الواجبة غیر زکاة المال والفطرة من غیر الهاشمی أیضاً</w:t>
      </w:r>
      <w:r>
        <w:rPr>
          <w:rFonts w:eastAsia="IRNazanin" w:cs="IRNazanin"/>
          <w:color w:val="111111"/>
          <w:sz w:val="28"/>
          <w:szCs w:val="28"/>
          <w:rtl w:val="true"/>
          <w:lang w:bidi="fa-IR"/>
        </w:rPr>
        <w:t>.</w:t>
      </w:r>
    </w:p>
    <w:p>
      <w:pPr>
        <w:pStyle w:val="Heading4"/>
        <w:numPr>
          <w:ilvl w:val="3"/>
          <w:numId w:val="1"/>
        </w:numPr>
        <w:rPr/>
      </w:pPr>
      <w:bookmarkStart w:id="257" w:name="__RefHeading___Toc1265256_653776707"/>
      <w:bookmarkStart w:id="258" w:name="_Toc99"/>
      <w:bookmarkEnd w:id="257"/>
      <w:r>
        <w:rPr>
          <w:rtl w:val="true"/>
        </w:rPr>
        <w:t>فی بقیّة أحکام الزّکاة</w:t>
      </w:r>
      <w:bookmarkEnd w:id="25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بسط الزکاة علی أصناف الثمانیة، فیجوز التخصیص ببعضها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وتجب فیها نیّة القربة وتعیین أنّها زکاة لا کفّارة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w:t>
      </w:r>
    </w:p>
    <w:p>
      <w:pPr>
        <w:pStyle w:val="BookText"/>
        <w:rPr/>
      </w:pPr>
      <w:r>
        <w:rPr>
          <w:rFonts w:ascii="IRNazanin" w:hAnsi="IRNazanin" w:eastAsia="IRNazanin"/>
          <w:color w:val="111111"/>
          <w:sz w:val="28"/>
          <w:sz w:val="28"/>
          <w:szCs w:val="28"/>
          <w:rtl w:val="true"/>
          <w:lang w:bidi="fa-IR"/>
        </w:rPr>
        <w:t>دفعها بلا نیّة، جدّدها إن کانت موجودة عند الفقیر، واحتسبها عنها إن کانت تالفة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دفعها زکاة ونوی أنّه لو لم یکن علیه زکاة، فلیکن خمساً، وإلّا فمظالم العباد، وهکذا، صحّ مع اجتماع سائر الشرائط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تقدیم الزکاة قبل وقتها إلّاقرضاً علی المستحقّ، فیحسبها زکاة فی وقتها، کما لا یجوز تأخیرها عن وقت وجوبها إلّاإذا عزلها فی مال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تأخیر المعزول شهراً أو شهرین، خصوصاً مع انتظار شخص معیّن،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أمانة فی یده لا یضمنها إلّامع التفریط، ولا یجوز التبدیل بعد العزل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نقل الزکاة من بلده، سواء وجد المستحقّ فی البلد أم لا، ولو تلفت یضمن فی الأوّل، واُجرة النقل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کاُجرة الکیّال والوزّان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المالک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دفع شخص زکاته إلی شخص لیصرفها فی الفقراء، وکان الآخذ مصرفاً أیضاً، ولم ینصرف اللفظ عنه، جاز له أن یأخذ مثل أحدهم</w:t>
      </w:r>
      <w:r>
        <w:rPr>
          <w:rFonts w:eastAsia="IRNazanin" w:cs="IRNazanin"/>
          <w:color w:val="111111"/>
          <w:sz w:val="28"/>
          <w:szCs w:val="28"/>
          <w:rtl w:val="true"/>
          <w:lang w:bidi="fa-IR"/>
        </w:rPr>
        <w:t>.</w:t>
      </w:r>
      <w:bookmarkStart w:id="259" w:name="pg6476_56817"/>
    </w:p>
    <w:p>
      <w:pPr>
        <w:pStyle w:val="Heading3"/>
        <w:numPr>
          <w:ilvl w:val="2"/>
          <w:numId w:val="1"/>
        </w:numPr>
        <w:rPr/>
      </w:pPr>
      <w:bookmarkStart w:id="260" w:name="__RefHeading___Toc1265258_653776707"/>
      <w:bookmarkStart w:id="261" w:name="_Toc100"/>
      <w:bookmarkEnd w:id="259"/>
      <w:bookmarkEnd w:id="260"/>
      <w:r>
        <w:rPr>
          <w:rtl w:val="true"/>
        </w:rPr>
        <w:t>فی زکاة الفطرة</w:t>
      </w:r>
      <w:bookmarkEnd w:id="261"/>
    </w:p>
    <w:p>
      <w:pPr>
        <w:pStyle w:val="BookText"/>
        <w:rPr/>
      </w:pPr>
      <w:r>
        <w:rPr>
          <w:rFonts w:ascii="IRNazanin" w:hAnsi="IRNazanin" w:eastAsia="IRNazanin"/>
          <w:color w:val="111111"/>
          <w:sz w:val="28"/>
          <w:sz w:val="28"/>
          <w:szCs w:val="28"/>
          <w:rtl w:val="true"/>
          <w:lang w:bidi="fa-IR"/>
        </w:rPr>
        <w:t>وهی من العبادات، فتجب فیها نیّة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فی من تجب عنه، وفی جنسها، وقدرها، ووقتها، ومصرفها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تجب زکاة الفطرة علی المکلّف الغنیّ فعلاً أو قوّة، فلا تجب علی الصبیّ والمجنون، ولا علی ولیّهما أن یؤدّی من مالهما، ولا علی الفقیر الذی لا یملک مؤونة سنته وعیاله زائداً عن دینه ومستثنیاته، ویعتبر هذه الحالة قبیل لیلة العید، بأن یکون واجداً لها فیدرک الغروب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علی من استکمل الشرائط المزبورة إخراجها عن نفسه وعمّن یعول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وجوباً أو جوازاً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المولود قبل هلال شوّال ولو بلحظة، والضیف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دخل فی عیلولته بعده لا تجب فطرته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والغائب عن عیاله یجب إخراجها عنهم، کما أنّه یجب إذا کان عیاله غائباً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تجب فیها النیّة حین الأداء، ولو وکّل غیره فی تأدیتها ینوی القربة الوکیل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الضابط فی جنسها کونه قوتاً شائعاً فی البلد، سواء کان من الغلّات أو غیرها، وغیر شائع غیر مجز وإن شاع فی بلد آخر، ویجوز دفع العین والقیمة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قدرها صاع، وهو بحسب الکیلو ما یقرب ثلاث کیلوات، ووقت وجوبها دخول لیلة الفطر إلی صلاة العید، وإن لم یصلّ فإلی زوال 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له تقدیمها إلّاإذا أعطی قرضاً، ثمّ احتسبها زکاة فی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تأخیرها إلّاإذا عزلها فی مال مخصوص، ثمّ یؤخّرها انتظاراً لمجیء أهلها، وفی</w:t>
      </w:r>
    </w:p>
    <w:p>
      <w:pPr>
        <w:pStyle w:val="BookText"/>
        <w:rPr/>
      </w:pPr>
      <w:r>
        <w:rPr>
          <w:rFonts w:ascii="IRNazanin" w:hAnsi="IRNazanin" w:eastAsia="IRNazanin"/>
          <w:color w:val="111111"/>
          <w:sz w:val="28"/>
          <w:sz w:val="28"/>
          <w:szCs w:val="28"/>
          <w:rtl w:val="true"/>
          <w:lang w:bidi="fa-IR"/>
        </w:rPr>
        <w:t>نقلها بعد العزل من البلد إشکال</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مصرفها مصرف زکاة المال، والأحوط اختیار الدفع إلی الفقراء، وإن لم یکونوا عدولاً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دفع أصواع کثیرة لفقیر واحد، ولا یجوز دفعها إلی من یصرفها فی معصیته، والأحوط عدم الدفع إلی شارب الخمر والمتجاهر بالکبائر</w:t>
      </w:r>
      <w:r>
        <w:rPr>
          <w:rFonts w:eastAsia="IRNazanin" w:cs="IRNazanin"/>
          <w:color w:val="111111"/>
          <w:sz w:val="28"/>
          <w:szCs w:val="28"/>
          <w:rtl w:val="true"/>
          <w:lang w:bidi="fa-IR"/>
        </w:rPr>
        <w:t>.</w:t>
      </w:r>
      <w:bookmarkStart w:id="262" w:name="pg6476_56819"/>
    </w:p>
    <w:p>
      <w:pPr>
        <w:pStyle w:val="Heading2"/>
        <w:numPr>
          <w:ilvl w:val="1"/>
          <w:numId w:val="1"/>
        </w:numPr>
        <w:rPr/>
      </w:pPr>
      <w:bookmarkStart w:id="263" w:name="__RefHeading___Toc1265260_653776707"/>
      <w:bookmarkStart w:id="264" w:name="_Toc101"/>
      <w:bookmarkEnd w:id="262"/>
      <w:bookmarkEnd w:id="263"/>
      <w:r>
        <w:rPr>
          <w:rtl w:val="true"/>
        </w:rPr>
        <w:t>کتاب الخمس</w:t>
      </w:r>
      <w:bookmarkEnd w:id="264"/>
    </w:p>
    <w:p>
      <w:pPr>
        <w:pStyle w:val="Heading3"/>
        <w:numPr>
          <w:ilvl w:val="2"/>
          <w:numId w:val="1"/>
        </w:numPr>
        <w:rPr/>
      </w:pPr>
      <w:bookmarkStart w:id="265" w:name="__RefHeading___Toc1265262_653776707"/>
      <w:bookmarkStart w:id="266" w:name="_Toc102"/>
      <w:bookmarkEnd w:id="265"/>
      <w:r>
        <w:rPr>
          <w:rtl w:val="true"/>
        </w:rPr>
        <w:t>کتاب الخمس</w:t>
      </w:r>
      <w:bookmarkEnd w:id="266"/>
    </w:p>
    <w:p>
      <w:pPr>
        <w:pStyle w:val="Heading4"/>
        <w:numPr>
          <w:ilvl w:val="3"/>
          <w:numId w:val="1"/>
        </w:numPr>
        <w:rPr/>
      </w:pPr>
      <w:bookmarkStart w:id="267" w:name="__RefHeading___Toc1265264_653776707"/>
      <w:bookmarkStart w:id="268" w:name="_Toc103"/>
      <w:bookmarkEnd w:id="267"/>
      <w:r>
        <w:rPr>
          <w:rtl w:val="true"/>
        </w:rPr>
        <w:t>اشارة</w:t>
      </w:r>
      <w:bookmarkEnd w:id="268"/>
    </w:p>
    <w:p>
      <w:pPr>
        <w:pStyle w:val="BookText"/>
        <w:rPr/>
      </w:pPr>
      <w:r>
        <w:rPr>
          <w:rFonts w:ascii="IRNazanin" w:hAnsi="IRNazanin" w:eastAsia="IRNazanin"/>
          <w:color w:val="111111"/>
          <w:sz w:val="28"/>
          <w:sz w:val="28"/>
          <w:szCs w:val="28"/>
          <w:rtl w:val="true"/>
          <w:lang w:bidi="fa-IR"/>
        </w:rPr>
        <w:t>والکلام فیما یجب فیه الخمس، وفی مستحقّیه، وفی کیفیّة قسمته، وفی الأنفال</w:t>
      </w:r>
      <w:r>
        <w:rPr>
          <w:rFonts w:eastAsia="IRNazanin" w:cs="IRNazanin"/>
          <w:color w:val="111111"/>
          <w:sz w:val="28"/>
          <w:szCs w:val="28"/>
          <w:rtl w:val="true"/>
          <w:lang w:bidi="fa-IR"/>
        </w:rPr>
        <w:t>.</w:t>
      </w:r>
    </w:p>
    <w:p>
      <w:pPr>
        <w:pStyle w:val="Heading4"/>
        <w:numPr>
          <w:ilvl w:val="3"/>
          <w:numId w:val="1"/>
        </w:numPr>
        <w:rPr/>
      </w:pPr>
      <w:bookmarkStart w:id="269" w:name="__RefHeading___Toc1265266_653776707"/>
      <w:bookmarkStart w:id="270" w:name="_Toc104"/>
      <w:bookmarkEnd w:id="269"/>
      <w:r>
        <w:rPr>
          <w:rtl w:val="true"/>
        </w:rPr>
        <w:t>فی ما یجب فیه</w:t>
      </w:r>
      <w:bookmarkEnd w:id="270"/>
    </w:p>
    <w:p>
      <w:pPr>
        <w:pStyle w:val="BookText"/>
        <w:rPr/>
      </w:pPr>
      <w:r>
        <w:rPr>
          <w:rFonts w:ascii="IRNazanin" w:hAnsi="IRNazanin" w:eastAsia="IRNazanin"/>
          <w:color w:val="111111"/>
          <w:sz w:val="28"/>
          <w:sz w:val="28"/>
          <w:szCs w:val="28"/>
          <w:rtl w:val="true"/>
          <w:lang w:bidi="fa-IR"/>
        </w:rPr>
        <w:t>یجب الخمس فی سبعة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الغنیمة من أهل الحرب الذین یستحلّ دمائهم وأموالهم وسبی نسائهم وأطفالهم، إذا کان الغزو بإذن الإمام علیه السلام، من غیر فرق بین ما حواه العسکر وما لم یحوه والمنقول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أیضاً فیما اغتنم منهم بالغزو فی حال الغیبة، وکذا ما اغتنم عند الدفاع إذا هجموا علی المسلمین، وأمّا ما اُخذ منهم غیلة أو سرقة فهو داخل فی أرباح المکاسب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المعدن، والمرجع فیه إلی العرف، ومنه الحدید، والصفر، والنفط، والکبریت، والملح، والفحم، ویعتبر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مؤونة الإخراج والتصفیة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بلوغه خمسة عشر مثقالاً صیرفیّاً ذهباً أو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مثاقیل فضّة، سواء أخرجه دفعة أو دفعات، وإن اشترک جماعة فی الاستخراج، یعتبر النصاب فی حصّة کلّ واحد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المعادن التی یستخرجها الکفّار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الحدید والنفط والفحم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بها الخمس، لکن إذا انتقل منهم إلی الفرقة المحقّة لا یجب علیهم</w:t>
      </w:r>
    </w:p>
    <w:p>
      <w:pPr>
        <w:pStyle w:val="BookText"/>
        <w:rPr/>
      </w:pPr>
      <w:r>
        <w:rPr>
          <w:rFonts w:ascii="IRNazanin" w:hAnsi="IRNazanin" w:eastAsia="IRNazanin"/>
          <w:color w:val="111111"/>
          <w:sz w:val="28"/>
          <w:sz w:val="28"/>
          <w:szCs w:val="28"/>
          <w:rtl w:val="true"/>
          <w:lang w:bidi="fa-IR"/>
        </w:rPr>
        <w:t>التخمیس، حتّی مع العلم بعدم تخمیسها؛ لأنّ الأئمّة علیهم السلام أباحوا ذلک لشیعتهم، ومثلها ربح التجارة، وأمّا التی یستخرجها المسلم، فیجب لمن انتقل إلیه شیء منها إخراج خمسه إن علم بعدم التخمیس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الکنز، وهو المال المذخور المسمّی کنزاً عرفاً، إذا لم یعلم صاحبه فهو لواجده ویجب علیه خمسه، سواء وجد فی موات أم خربة، وکان علیه أثر الإسلام أم لا، ونصابه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مثقالاً صیرفیّاً ذهباً، عیناً أو 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الغوص، فکلّ ما یخرج من البحر ونحوه من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کاللؤلؤ والمرجان وغیرهما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فیه الخمس إذا بلغ قیمته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حمّصة ذهباً فصاعداً، سواء کان جنساً واحداً أو أجناس مختلفة، أخرجه بنفسه أو بالآلات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الخمس فیه وفی الکنز بعد إخراج ما یصرفه فی طریق تحصیلهما، والأحوط اعتبار النصاب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یفضل عن مؤونة السنة له ولعیاله من أنواع التکسّبات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التجارات والإجارات والإمارات والعبادات وارتفاع القیم والاستنماءات والاستنتاجات وحیازة المباحات، ونحوها ممّا یدخل تحت مسمّی التکسّب، بل وما یدخل فی مسمّی التملّک، کالهبات والجوائز والصدقات المندوبة، إلّاالإرث والمهر وعوض الخلع، وفیما ملک بالخمس والزکاة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کانت عنده أعیان لم یتعلّق بها الخمس کالإرث والمهر، أو أدّی خمسها، وکان المقصود من إبقائها الانتفاع بمنافعها ونمائها کالبستان والحیوان والحمّام والدکّان، فارتفعت قیمتها السوقیّة، لم یجب خمس تلک الزیادة، وأمّا إذا کان المقصود الاتّجار بعینها، فالظاهر وجوب خمس الزیادة بعد تمام السنة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بعض الأموال التی یتعلّق بها الخمس موجوداً عنده فی</w:t>
      </w:r>
    </w:p>
    <w:p>
      <w:pPr>
        <w:pStyle w:val="BookText"/>
        <w:rPr/>
      </w:pPr>
      <w:r>
        <w:rPr>
          <w:rFonts w:ascii="IRNazanin" w:hAnsi="IRNazanin" w:eastAsia="IRNazanin"/>
          <w:color w:val="111111"/>
          <w:sz w:val="28"/>
          <w:sz w:val="28"/>
          <w:szCs w:val="28"/>
          <w:rtl w:val="true"/>
          <w:lang w:bidi="fa-IR"/>
        </w:rPr>
        <w:t>آخر السنة، وبعضها دیناً علی الناس، یجب علیه تخمیس الموجود، وأمّا الذی علی الناس، فإن کان مطمئنّاً من تحصیله متی أراد، یخمّسه أیضاً، ویؤخّر ما لا یطمئنّ، فمتی حصّله خمّسه، وتکون الزیادة من أرباح سنة التحصیل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الخمس فی هذا القسم، بعد إخراج الغرامات والمصارف التی تصرف فی تحصیل الربح، کما أنّه یتعلّق بالفاضل من مؤونة السنة له ولعیاله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مبدأ السنة التی یستثنی مؤونتها من الربح، فی الزرع حین حصول عوائده، وفی التجارة من حین الشروع فی التکسّب والاستفادة بالبیع وهکذا، فیخرج مجموع المؤونة من مجموع فوائده فی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المراد بالمؤونة ما ینفقه علی نفسه وعیاله، ویصرفه فی صدقاته وجوائزه وحجّه وزیاراته والحقوق الشرعیّة والعرفیّة، وما یحتاج إلیه من دابّة وسیّارة وفرش وکتاب وتزویج أولاد ونحوها، ویشترط الاقتصار علی اللائق بحاله لا ما یعدّ سرفاً وسفهاً، ولو قتّر علی نفسه أو ترک الواجب علیه کالحجّ فزاد آخر السنة، وجب خمس الزیادة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له تجارة وزراعة وخیاطة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آخر السنة مجموع ما استفاد من الجمیع فیخمّس الربح وجاز أن یلاحظ لکلّ فائدة 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خمس رأس المال إذا کان من أرباح مکاسبه، فإذا استفاد 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جعله رأس مال، خمّسه أوّلاً، ثمّ اتّجر به، إلّاإذا تنزّل بإخراج خمسه إلی کسب لا یلیق بحاله أو لا یفی بمؤونته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اشتری لمؤونة سنته من الأرباح شیئاً، کالحنطة والدهن والفحم، فزاد شیء منها فی آخر السنة، وجب خمس الزیادة، وأمّا لو اشتری فرشاً أو ظرفاً أو مرکباً ممّا ینتفع به مع بقاء عینه، فالظاهر عدم وجوب الخمس فیه</w:t>
      </w:r>
      <w:r>
        <w:rPr>
          <w:rFonts w:eastAsia="IRNazanin" w:cs="IRNazanin"/>
          <w:color w:val="111111"/>
          <w:sz w:val="28"/>
          <w:szCs w:val="28"/>
          <w:rtl w:val="true"/>
          <w:lang w:bidi="fa-IR"/>
        </w:rPr>
        <w:t>.</w:t>
      </w:r>
      <w:bookmarkStart w:id="271" w:name="pg6476_56822"/>
    </w:p>
    <w:p>
      <w:pPr>
        <w:pStyle w:val="BookText"/>
        <w:rPr/>
      </w:pPr>
      <w:bookmarkEnd w:id="2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احتاج إلی دار، فاشتری من أرباحه فی سنة أرضها، وفی اُخری أحجارها وهکذا، فالکلّ من المؤونة، فلا خمس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أبقی ثمنها سنین، ثمّ اشتراها وجب خمس ما مضت علیه السنة من الثمن، ونظیرها الفرش والجهیزیّة للصبیّة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الخمس متعلّق بالعین، ویجوز دفع القیمة، ولیس له أن ینقله إلی ذمّته لیتصرّف فی المال، نعم یجوز المصالحة مع الحاکم ونقله إلی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التی اشتراها الذمّی من مسلم، فإنّه تؤخذ من الذمّی خمس رقبة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الحلال المخلوط بالحرام مع عدم العلم بقدره، وعدم العلم بصاحبه، فإنّ إخراج خمسه مطهّر للباقی، ویعتبر کون الحرام من غیر الخمس أو الزکاة، ولو تصرّف فیه قبل إخراج خمسه یسقط خمسه ویکون من قبیل المظالم الثابتة علی ذمّته</w:t>
      </w:r>
      <w:r>
        <w:rPr>
          <w:rFonts w:eastAsia="IRNazanin" w:cs="IRNazanin"/>
          <w:color w:val="111111"/>
          <w:sz w:val="28"/>
          <w:szCs w:val="28"/>
          <w:rtl w:val="true"/>
          <w:lang w:bidi="fa-IR"/>
        </w:rPr>
        <w:t>.</w:t>
      </w:r>
    </w:p>
    <w:p>
      <w:pPr>
        <w:pStyle w:val="Heading4"/>
        <w:numPr>
          <w:ilvl w:val="3"/>
          <w:numId w:val="1"/>
        </w:numPr>
        <w:rPr/>
      </w:pPr>
      <w:bookmarkStart w:id="272" w:name="__RefHeading___Toc1265268_653776707"/>
      <w:bookmarkStart w:id="273" w:name="_Toc105"/>
      <w:bookmarkEnd w:id="272"/>
      <w:r>
        <w:rPr>
          <w:rtl w:val="true"/>
        </w:rPr>
        <w:t>فی قسمته ومستحقّیه</w:t>
      </w:r>
      <w:bookmarkEnd w:id="2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یقسّم الخمس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للإمام علیه السلام وهو سهم اللّه تعالی ورسوله صلی الله علیه و آله وذوی القربی، وقسم لقبیله وهو سهم الیتامی والمساکین وابن السبیل ممّن انتسب إلی عبد المطّلب بالأب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مستحقّ الخمس الإیمان دون العدالة، وأن لا یکون فی دفعه إعانة علی الإثم، والأحوط أن لا یکون متجاهراً بالکبائر، وأن لا یکون واجب النفقة علی المالک، ویعتبر الفقر فی الیتامی والمساکین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یصدق مدّعی السیادة بلا دلیل، نعم یکفی کونه مشتهراً بها</w:t>
      </w:r>
    </w:p>
    <w:p>
      <w:pPr>
        <w:pStyle w:val="BookText"/>
        <w:rPr/>
      </w:pPr>
      <w:r>
        <w:rPr>
          <w:rFonts w:ascii="IRNazanin" w:hAnsi="IRNazanin" w:eastAsia="IRNazanin"/>
          <w:color w:val="111111"/>
          <w:sz w:val="28"/>
          <w:sz w:val="28"/>
          <w:szCs w:val="28"/>
          <w:rtl w:val="true"/>
          <w:lang w:bidi="fa-IR"/>
        </w:rPr>
        <w:t>فی بلده من دون إنکار من أحد، والأحوط عدم دفع أزید من مؤونة سنته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النصف من الخمس الذی للسادة یجوز للمالک دفعه إلیهم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النصف الذی للإمام علیه السلام فأمره راجع إلی الحاکم، فلابدّ من الإیصال إلیه أو الصرف بإذنه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للمستحقّ أن یأخذ الخمس، ثمّ یردّه إلی المالک إلّا فی بعض الموارد، کما إذا کان علیه مبلغ کثیر وصار معسراً لا یرجی زواله وأراد تفریغ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له علی المستحقّ دین جاز احتسابه خمساً بإذن الحاکم</w:t>
      </w:r>
      <w:r>
        <w:rPr>
          <w:rFonts w:eastAsia="IRNazanin" w:cs="IRNazanin"/>
          <w:color w:val="111111"/>
          <w:sz w:val="28"/>
          <w:szCs w:val="28"/>
          <w:rtl w:val="true"/>
          <w:lang w:bidi="fa-IR"/>
        </w:rPr>
        <w:t>.</w:t>
      </w:r>
      <w:bookmarkStart w:id="274" w:name="pg6476_56824"/>
    </w:p>
    <w:p>
      <w:pPr>
        <w:pStyle w:val="Heading3"/>
        <w:numPr>
          <w:ilvl w:val="2"/>
          <w:numId w:val="1"/>
        </w:numPr>
        <w:rPr/>
      </w:pPr>
      <w:bookmarkStart w:id="275" w:name="__RefHeading___Toc1265270_653776707"/>
      <w:bookmarkStart w:id="276" w:name="_Toc106"/>
      <w:bookmarkEnd w:id="274"/>
      <w:bookmarkEnd w:id="275"/>
      <w:r>
        <w:rPr>
          <w:rtl w:val="true"/>
        </w:rPr>
        <w:t>فی الأنفال</w:t>
      </w:r>
      <w:bookmarkEnd w:id="276"/>
    </w:p>
    <w:p>
      <w:pPr>
        <w:pStyle w:val="BookText"/>
        <w:rPr/>
      </w:pPr>
      <w:r>
        <w:rPr>
          <w:rFonts w:ascii="IRNazanin" w:hAnsi="IRNazanin" w:eastAsia="IRNazanin"/>
          <w:color w:val="111111"/>
          <w:sz w:val="28"/>
          <w:sz w:val="28"/>
          <w:szCs w:val="28"/>
          <w:rtl w:val="true"/>
          <w:lang w:bidi="fa-IR"/>
        </w:rPr>
        <w:t>هی ما یستحقّه النبیّ صلی الله علیه و آله والإمام علیه السلام علی جهة الخصوص لمنصب النبوّة والإمامة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وهی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لم یوجف علیها بخیل ورکاب، أرضاً کانت وغیرها، انجلی عنها أهلها أو سلّموها للمسلمین طوعاً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الموات، سواء لم یجرِ علیها ملک أحد، أو باد ولم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أرض عامرة کذلک، کالآجام والجزائر الخضرة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للملوک من قطائع وصفایا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 الغنیمة کفرس جواد، وثوب مرتفع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الغنائم التی لیست بإذن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إرث من لا وارث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المعادن التی لم تکن لمالک خاصّ</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 إباحة جمیع الأنفال للشیعة مطلقاً فی زمن الغیبة، إلّا إرث من لا وارث له، فإنّه یقسّم بإذن الحاکم علی الفقراء</w:t>
      </w:r>
      <w:r>
        <w:rPr>
          <w:rFonts w:eastAsia="IRNazanin" w:cs="IRNazanin"/>
          <w:color w:val="111111"/>
          <w:sz w:val="28"/>
          <w:szCs w:val="28"/>
          <w:rtl w:val="true"/>
          <w:lang w:bidi="fa-IR"/>
        </w:rPr>
        <w:t>.</w:t>
      </w:r>
      <w:bookmarkStart w:id="277" w:name="pg6476_56825"/>
    </w:p>
    <w:p>
      <w:pPr>
        <w:pStyle w:val="Heading2"/>
        <w:numPr>
          <w:ilvl w:val="1"/>
          <w:numId w:val="1"/>
        </w:numPr>
        <w:rPr/>
      </w:pPr>
      <w:bookmarkStart w:id="278" w:name="__RefHeading___Toc1265272_653776707"/>
      <w:bookmarkStart w:id="279" w:name="_Toc107"/>
      <w:bookmarkEnd w:id="277"/>
      <w:bookmarkEnd w:id="278"/>
      <w:r>
        <w:rPr>
          <w:rtl w:val="true"/>
        </w:rPr>
        <w:t>کتاب الحجّ</w:t>
      </w:r>
      <w:bookmarkEnd w:id="279"/>
    </w:p>
    <w:p>
      <w:pPr>
        <w:pStyle w:val="Heading3"/>
        <w:numPr>
          <w:ilvl w:val="2"/>
          <w:numId w:val="1"/>
        </w:numPr>
        <w:rPr/>
      </w:pPr>
      <w:bookmarkStart w:id="280" w:name="__RefHeading___Toc1265274_653776707"/>
      <w:bookmarkStart w:id="281" w:name="_Toc108"/>
      <w:bookmarkEnd w:id="280"/>
      <w:r>
        <w:rPr>
          <w:rtl w:val="true"/>
        </w:rPr>
        <w:t>اشارة</w:t>
      </w:r>
      <w:bookmarkEnd w:id="2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بأصل الشرع فی تمام العمر إلّامرّة واحدة، ویجب المبادرة إلیه فی سنة وجوبه، وإن ترکه ففی السنة الثانیة وهکذا، ویجب تحصیل مقدّماته علی وجه یدرکه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شرائط وجوبه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الکمال بالبلوغ والعقل، فلو حجّ الصبیّ لم یجز عن حجّة الإسلام بعد بلوغه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الاستطاعة من حیث المال والبدن والطریق، فالاستطاعة المالیّة هی مصارف السفر ومخارجه بحسب حاله ذهاباً وإیاباً، ولو تکلّف بالحجّ مع عدم ذلک لا یجزی عن حجّة الإسلام، ولو ذهب إلی ما قبل المیقات متسکّعاً أو لحاجة اُخری وکان هناک جامعاً للشرائط وجب علیه حجّة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غلاء الأسعار فی سنة الوجوب، وکذا إجارة المراکب، أو توقّف السیر علی بیع بعض الأملاک لا یمنع عن وجوب الحجّ، إلّاأن یکون حرجیّاً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علیه الفحص عند الشکّ فی الاستطاعة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نفقة الحجّ کونها زائداً عن معاشه، فلا یباع فیها الدار والفرش وسائر لوازم عیشه ما کان بحسب حاله وزیّه، ولو فرض وجودها بیده من</w:t>
      </w:r>
    </w:p>
    <w:p>
      <w:pPr>
        <w:pStyle w:val="BookText"/>
        <w:rPr/>
      </w:pPr>
      <w:r>
        <w:rPr>
          <w:rFonts w:ascii="IRNazanin" w:hAnsi="IRNazanin" w:eastAsia="IRNazanin"/>
          <w:color w:val="111111"/>
          <w:sz w:val="28"/>
          <w:sz w:val="28"/>
          <w:szCs w:val="28"/>
          <w:rtl w:val="true"/>
          <w:lang w:bidi="fa-IR"/>
        </w:rPr>
        <w:t>طریق الوقف، ولم تکن فی معرض الزوال وجب بیع ملکه للحجّ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لم یکن عنده أعیان ما یحتاج إلیه فی معاشه، وکان عنده من النقود ما یمکن شراؤها لم یکن مستطیعاً، فلیصرفها فی معاشه، وکذا لو کان النکاح له ضروریّاً لمشقّة فی ترکه، أو لخوف الوقوع فی الحرام بدونه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له دین حالّ علی شخص یکفی بمؤونة الحجّ أو بإتمام ما عنده، یجب اقتضاؤه، إلّاأن یکون المدیون معسراً، وکذا الدین المؤجّل إذا کان المدیون باذلاً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عنده ما یکفیه للحجّ وکان علیه دین خلقیّ أو خالقیّ، فإن کان مؤجّلاً أو کان صاحبه راضیاً بالتأخیر، وهو واثق بإمکان أدائه بعد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المطالبة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المؤجّل بأجل طویل کثلاثین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المبنیّ علی المسامحة والإبراء کبعض مهور الزوجات، لا یمنع عن وجوب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عنده ما یکفی للحجّ، یجوز له أن یتصرّف فیه قبل خروج الرفقة بما یخرجه عن الاستطاعة علی إشکال، نعم لو لم یتمکّن فی سنته لم یجب الإبقاء إلی السنین القابلة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له مال بقدر الاستطاعة، وکان جاهلاً به أو غافلاً عن وجوب الحجّ فمضی الموسم، استقرّ علیه الحجّ ولو کان معذوراً فی أمره، وکذا لو تخیّل المانع ولم یکن واقعاً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قیل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وعلیَّ نفقتک ونفقة عیالک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بهذا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کافیاً لنفقة الحجّ والعیال، أو وهبه ما یکفیه، وجب علیه الحجّ مع الوثوق بقول الباذل، ولا یشترط الرجوع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الکفایة، ولا یمنع عنه الدین، وهو مجز عن حجّة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آجر نفسه للخدمة فی طریق الحجّ، فتمکّن بذلک من الأعمال، صار مستطیعاً ووجب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یعتبر فی وجوب الحجّ الرجوع إلی الکفایة؛ من تجارة أو زراعة أو غیرهما، بحیث لا یحتاج إلی التکفّف ولا یقع فی الحرج، ویعتبر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ما یموّن به عیاله حتّی یرجع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ثوبه فی صلاة الطواف غصبیّاً، بطلت صلاته وأشکل عمله، وکذا الکلام فی ثوبی الإحرام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وجوب الحجّ الاستطاعة البدنیّة، فلا یجب علی مریض لا یقدر علی الرکوب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والاستطاعة السربیّة، بأن لا یکون مانع عن السیر، ولو کان علی الطریق ظالم یأخذ من کلّ عابر شیئاً، لا یمنع عن الوجوب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ترک الحجّ مع تحقّق الشرائط، استقرّ علیه ووجب المبادرة فی القابل، فإن لم یتمکّن من المباشرة لمرض أو هرم، وجبت علیه الاستنابة، ولو عجز عنه مع عدم الاستقرار علیه ففی وجوب الاستنابة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مات من استقرّ علیه الحجّ فی الطریق؛ فإن مات بعد الإحرام ودخول الحرم أجزأه عن حجّة الإسلام، وإن مات قبل ذلک وجب القضاء عنه، والظاهر أنّه لو مات فی عمرة التمتّع أجزأه عن حجّه أیضاً، وفی حکمه النائب عن الغیر</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یشترط إذن الزوج للزوجة فی الحجّ إن کانت مستطیعة، ولا یجوز له منعها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یشترط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المَحرم مع المرأة، إن کانت مأمونة علی نفسها</w:t>
      </w:r>
      <w:r>
        <w:rPr>
          <w:rFonts w:eastAsia="IRNazanin" w:cs="IRNazanin"/>
          <w:color w:val="111111"/>
          <w:sz w:val="28"/>
          <w:szCs w:val="28"/>
          <w:rtl w:val="true"/>
          <w:lang w:bidi="fa-IR"/>
        </w:rPr>
        <w:t>.</w:t>
      </w:r>
      <w:bookmarkStart w:id="282" w:name="pg6476_56828"/>
    </w:p>
    <w:p>
      <w:pPr>
        <w:pStyle w:val="Heading3"/>
        <w:numPr>
          <w:ilvl w:val="2"/>
          <w:numId w:val="1"/>
        </w:numPr>
        <w:rPr/>
      </w:pPr>
      <w:bookmarkStart w:id="283" w:name="__RefHeading___Toc1265276_653776707"/>
      <w:bookmarkStart w:id="284" w:name="_Toc109"/>
      <w:bookmarkEnd w:id="282"/>
      <w:bookmarkEnd w:id="283"/>
      <w:r>
        <w:rPr>
          <w:rtl w:val="true"/>
        </w:rPr>
        <w:t>فی النیابة</w:t>
      </w:r>
      <w:bookmarkEnd w:id="284"/>
    </w:p>
    <w:p>
      <w:pPr>
        <w:pStyle w:val="BookText"/>
        <w:rPr/>
      </w:pPr>
      <w:r>
        <w:rPr>
          <w:rFonts w:ascii="IRNazanin" w:hAnsi="IRNazanin" w:eastAsia="IRNazanin"/>
          <w:color w:val="111111"/>
          <w:sz w:val="28"/>
          <w:sz w:val="28"/>
          <w:szCs w:val="28"/>
          <w:rtl w:val="true"/>
          <w:lang w:bidi="fa-IR"/>
        </w:rPr>
        <w:t>وهی تصحّ عن المیّت مطلقاً، وعن الحیّ فی المندوب، وفی بعض صور الواجب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النائب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الوثوق بأصل إتیانه، فلو شکّ فی صحّة ما أتی به یحمل علی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معرفته بأفعال الحجّ وأحکامه ولو بإرشاد معلّم حال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اشتغال ذمّته بحجّ واجب فی ذلک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فی صحّة حجّه قصد النیابة، ویشترط فی المنوب عنه،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مات النائب بعد الإحرام ودخول الحرم، أجزأ عن العمرة والحجّ، واستحقّ تمام الاُجرة إن کان أجیراً علی تفریغ ذمّة المیّت، ولو قصرت الاُجرة لا یجب علی المستأجر الإتمام، ولو زادت لیس له الاسترداد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للنائب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الفراغ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یطوف عن نفسه وغیره، وأن یأتی بالعمرة المفردة، بل المشهور وجوبها علیه حینئذٍ، لکنّ الأقوی عدمه</w:t>
      </w:r>
      <w:r>
        <w:rPr>
          <w:rFonts w:eastAsia="IRNazanin" w:cs="IRNazanin"/>
          <w:color w:val="111111"/>
          <w:sz w:val="28"/>
          <w:szCs w:val="28"/>
          <w:rtl w:val="true"/>
          <w:lang w:bidi="fa-IR"/>
        </w:rPr>
        <w:t>.</w:t>
      </w:r>
    </w:p>
    <w:p>
      <w:pPr>
        <w:pStyle w:val="Heading3"/>
        <w:numPr>
          <w:ilvl w:val="2"/>
          <w:numId w:val="1"/>
        </w:numPr>
        <w:rPr/>
      </w:pPr>
      <w:bookmarkStart w:id="285" w:name="__RefHeading___Toc1265278_653776707"/>
      <w:bookmarkStart w:id="286" w:name="_Toc110"/>
      <w:bookmarkEnd w:id="285"/>
      <w:r>
        <w:rPr>
          <w:rtl w:val="true"/>
        </w:rPr>
        <w:t>فی الوصیّة بالحجّ</w:t>
      </w:r>
      <w:bookmarkEnd w:id="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تقضی حجّة الإسلام من أصل الترکة، ولا یجوز للورثة التصرّف فیها قبل استئجار الحجّ، أو تأدیة مصارف الحجّ إلی ولیّ أمر المیّت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علی المیّت حجّ، ولم یوصِ به، جاز الاستئجار من المیقات، وإن أوصی یتّبع ظاهر الوصیّة، فإن اقتضی البلدی اُخذ ما زاد علی المیقاتی من ثلث المال، ولو خولف واستؤجر من المیقات، برئت ذمّة المیّت وسقط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تأخیر الوصیّة عن سنة الفوت، ولو أهمل الوصیّ أو الوارث فتلفت الترکة ضمن</w:t>
      </w:r>
      <w:r>
        <w:rPr>
          <w:rFonts w:eastAsia="IRNazanin" w:cs="IRNazanin"/>
          <w:color w:val="111111"/>
          <w:sz w:val="28"/>
          <w:szCs w:val="28"/>
          <w:rtl w:val="true"/>
          <w:lang w:bidi="fa-IR"/>
        </w:rPr>
        <w:t>.</w:t>
      </w:r>
      <w:bookmarkStart w:id="287" w:name="pg6476_56829"/>
    </w:p>
    <w:p>
      <w:pPr>
        <w:pStyle w:val="BookText"/>
        <w:rPr/>
      </w:pPr>
      <w:bookmarkEnd w:id="2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لم یعیّن الاُجرة فاللازم علی الوصیّ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رضا الورثة أو وجود قاصر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الاقتصار علی اُجرة المثل، ولو لم یوجد من یرضی باُجرة المثل، فالظاهر وجوب دفع الأزید، ولا یجوز التأخیر إلی القابل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عند شخص ودیعة، ومات صاحبها وکان علیه حجّة الإسلام، واطمأنّ بأنّ الورثة لا یؤدّون عنه إن ردّها إلیهم، وجب علیه أن یحجّ بها عنه، وإن زادت ردّ الزیادة إلیهم، وفی إلحاق غیر الودیعة بها وغیر الحجّ به إشکال، فالأحوط مراجعة الحاکم</w:t>
      </w:r>
      <w:r>
        <w:rPr>
          <w:rFonts w:eastAsia="IRNazanin" w:cs="IRNazanin"/>
          <w:color w:val="111111"/>
          <w:sz w:val="28"/>
          <w:szCs w:val="28"/>
          <w:rtl w:val="true"/>
          <w:lang w:bidi="fa-IR"/>
        </w:rPr>
        <w:t>.</w:t>
      </w:r>
    </w:p>
    <w:p>
      <w:pPr>
        <w:pStyle w:val="Heading3"/>
        <w:numPr>
          <w:ilvl w:val="2"/>
          <w:numId w:val="1"/>
        </w:numPr>
        <w:rPr/>
      </w:pPr>
      <w:bookmarkStart w:id="288" w:name="__RefHeading___Toc1265280_653776707"/>
      <w:bookmarkStart w:id="289" w:name="_Toc111"/>
      <w:bookmarkEnd w:id="288"/>
      <w:r>
        <w:rPr>
          <w:rtl w:val="true"/>
        </w:rPr>
        <w:t>فی أقسام الحجّ وأفعالها</w:t>
      </w:r>
      <w:bookmarkEnd w:id="289"/>
    </w:p>
    <w:p>
      <w:pPr>
        <w:pStyle w:val="Heading4"/>
        <w:numPr>
          <w:ilvl w:val="3"/>
          <w:numId w:val="1"/>
        </w:numPr>
        <w:rPr/>
      </w:pPr>
      <w:bookmarkStart w:id="290" w:name="__RefHeading___Toc1265282_653776707"/>
      <w:bookmarkStart w:id="291" w:name="_Toc112"/>
      <w:bookmarkEnd w:id="290"/>
      <w:r>
        <w:rPr>
          <w:rtl w:val="true"/>
        </w:rPr>
        <w:t>اشارة</w:t>
      </w:r>
      <w:bookmarkEnd w:id="291"/>
    </w:p>
    <w:p>
      <w:pPr>
        <w:pStyle w:val="BookText"/>
        <w:rPr/>
      </w:pPr>
      <w:r>
        <w:rPr>
          <w:rFonts w:ascii="IRNazanin" w:hAnsi="IRNazanin" w:eastAsia="IRNazanin"/>
          <w:color w:val="111111"/>
          <w:sz w:val="28"/>
          <w:sz w:val="28"/>
          <w:szCs w:val="28"/>
          <w:rtl w:val="true"/>
          <w:lang w:bidi="fa-IR"/>
        </w:rPr>
        <w:t>وهی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وقران وإفراد، والأوّل فرض للآفاقی وهو من کان بعیداً عن مکّة، والآخران فرض للمکّی وهو القریب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 البعد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جانب، فالخارج آفاقیّ والداخل مکّیّ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صورة حجّ التمتّع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یحرم فی أشهر الحجّ من إحدی المواقیت بالعمرة المتمتّع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یدخل مکّة المعظّمة فیطوف بالبیت سبعاً، ویصلّی عند مقام إبراهیم علیه السلام 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یسعی بین الصفا والمروة سبعاً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ینشئ إحراماً للحجّ من مکّة المعظّمة فی وقت یعلم أنّه یدرک الوقوف بعرفة، والأفضل یوم الترویة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یخرج إلی عرفات فیقف بها من زوال یوم عرفة إلی غروبه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یفیض منها ویمضی إلی المشعر فیبیت فیه، ویقف به بعد طلوع الفجر من یوم النحر إلی طلوع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یمضی إلی منی لأعمال یوم النحر، فیرمی جمرة العقبة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ینحر أو یذبح هدیه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یحلق إن کان صرورة، وغیره یتخیّر بینه وبین التقصیر، فیحلّ بعد التقصیر من کلّ شیء إلّاالنساء والطیب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یأتی إلی مکّة لیومه إن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فیطوف طواف الحجّ، ویصلّی رکعتیه، ویسعی سعیه فیحلّ له الطیب، ثمّ یطوف طواف النساء، ویصلّی رکعتیه فتحلّ له النساء، ثمّ یعود إلی منی لرمی الجمار، فیبیت فیها لیالی التشریق، وهی الحادیة عشرة والثانیة عشرة والثالثة عشرة، ویرمی فی أیّامها الجمار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البقاء فی منی إلی ما بعد الزوال من الیوم الثانی عشر، ثمّ یعود إلی مکّة للطوافین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یشترط فی حجّ التمتّع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أی قصد الإتیان بهذا النوع من الحجّ حین الشروع فی إحرام 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مجموع عمرته وحجّه فی أشهر الحجّ من سنة واحدة، والأشهر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وذو القعدة وذو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یقدّم عمرته علی 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إحرام عمرته من المواقیت المعروفة، وإحرام حجّه من بطن مکّة، وأفضل مواضعها المسجد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أن لا یخرج من مکّة بعد الإحلال عن عمرته التمتّع، فلو خرج أثم وصحّ عمله</w:t>
      </w:r>
      <w:r>
        <w:rPr>
          <w:rFonts w:eastAsia="IRNazanin" w:cs="IRNazanin"/>
          <w:color w:val="111111"/>
          <w:sz w:val="28"/>
          <w:szCs w:val="28"/>
          <w:rtl w:val="true"/>
          <w:lang w:bidi="fa-IR"/>
        </w:rPr>
        <w:t>.</w:t>
      </w:r>
      <w:bookmarkStart w:id="292" w:name="pg6476_56831"/>
    </w:p>
    <w:p>
      <w:pPr>
        <w:pStyle w:val="BookText"/>
        <w:rPr/>
      </w:pPr>
      <w:bookmarkEnd w:id="2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إحرام الحجّ بعد تمام العمرة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فی أوّل شوّال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یدرک الوقوف الاختیاری فی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نسیه أو جهل بالحکم وخرج إلی عرفات، رجع إلی مکّة، وإن لم یمکن أحرم من موضعه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للمتمتّع العدول إلی القسمین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محرماً لعمرة التمتّع، وخاف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لعروض حیض أو نفاس أو 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أتمّها لم یدرک اختیاری عرفة، نقل نیّته من إحرامها إلی إحرام الإفراد ویأتی بالعمرة بعد الحجّ، ومثله ما إذا ضاق الوقت قبل الدخول فی العمرة فینوی الإفراد ابتداء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صورة حجّ الإفراد کحجّ التمتّع، إلّاأنّه لا یجب فیه الهدی ویجب فی التمتّع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العمرة المفردة کعمرة التمتّع إلّافی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یتعیّن التقصیر فی عمرة التمتّع، ویتخیّر بینه وبین الحلق فی المفردة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طواف النساء فی المفردة دون التمتّع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عمرة التمتّع أحد المواقیت الآتیة، ویجوز فی المفردة الإحرام فی أدنی الحلّ</w:t>
      </w:r>
      <w:r>
        <w:rPr>
          <w:rFonts w:eastAsia="IRNazanin" w:cs="IRNazanin"/>
          <w:color w:val="111111"/>
          <w:sz w:val="28"/>
          <w:szCs w:val="28"/>
          <w:rtl w:val="true"/>
          <w:lang w:bidi="fa-IR"/>
        </w:rPr>
        <w:t>.</w:t>
      </w:r>
    </w:p>
    <w:p>
      <w:pPr>
        <w:pStyle w:val="Heading4"/>
        <w:numPr>
          <w:ilvl w:val="3"/>
          <w:numId w:val="1"/>
        </w:numPr>
        <w:rPr/>
      </w:pPr>
      <w:bookmarkStart w:id="293" w:name="__RefHeading___Toc1265284_653776707"/>
      <w:bookmarkStart w:id="294" w:name="_Toc113"/>
      <w:bookmarkEnd w:id="293"/>
      <w:r>
        <w:rPr>
          <w:rtl w:val="true"/>
        </w:rPr>
        <w:t>فی المواقیت</w:t>
      </w:r>
      <w:bookmarkEnd w:id="294"/>
    </w:p>
    <w:p>
      <w:pPr>
        <w:pStyle w:val="BookText"/>
        <w:rPr/>
      </w:pPr>
      <w:r>
        <w:rPr>
          <w:rFonts w:ascii="IRNazanin" w:hAnsi="IRNazanin" w:eastAsia="IRNazanin"/>
          <w:color w:val="111111"/>
          <w:sz w:val="28"/>
          <w:sz w:val="28"/>
          <w:szCs w:val="28"/>
          <w:rtl w:val="true"/>
          <w:lang w:bidi="fa-IR"/>
        </w:rPr>
        <w:t>وهی المواضع التی عیّنت للإحرام، فما عیّن لعمرة التمتّع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الحُلَیفة، وهو میقات أهل المدینة ومن یمرّ علی طریقهم، والأحوط الإحرام من نفس المسجد لا من خارجه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العقیق، وهو میقات أهل نجد والعراق، والأقوی جواز الإحرام من</w:t>
      </w:r>
      <w:bookmarkStart w:id="295" w:name="pg6476_56832"/>
    </w:p>
    <w:p>
      <w:pPr>
        <w:pStyle w:val="BookText"/>
        <w:rPr/>
      </w:pPr>
      <w:bookmarkEnd w:id="295"/>
      <w:r>
        <w:rPr>
          <w:rFonts w:ascii="IRNazanin" w:hAnsi="IRNazanin" w:eastAsia="IRNazanin"/>
          <w:color w:val="111111"/>
          <w:sz w:val="28"/>
          <w:sz w:val="28"/>
          <w:szCs w:val="28"/>
          <w:rtl w:val="true"/>
          <w:lang w:bidi="fa-IR"/>
        </w:rPr>
        <w:t>جمیع مواضعه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الجُحْفة، وهی لأهل الشام ومصر وغیرهم ممّن یمرّ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یَلَمْلَم، وهو لأهل الیمن ومن یمرّ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المَنازل، وهو لأهل الطائف ومن یمرّ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تثبت المواقیت بقول أهل الإطّلاع، مع حصول الوثوق والاطمئنان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یمرّ علی المواقیت جاز له الإحرام من محاذاة أحدها، بحیث یقع علی یمینه أو یساره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وهنا مواقیت اُخر لغیر عمرة التمتّع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مکّة المعظّمة، وهی لحجّ التمتّع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المنزل، وهو لمن کان منزله أقرب إلی مکّة من المیقات ولأهل مکّة، ولهم الخروج إلی بعض المواقیت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أدنی الحلّ، وهو لکلّ عمرة مفردة</w:t>
      </w:r>
      <w:r>
        <w:rPr>
          <w:rFonts w:eastAsia="IRNazanin" w:cs="IRNazanin"/>
          <w:color w:val="111111"/>
          <w:sz w:val="28"/>
          <w:szCs w:val="28"/>
          <w:rtl w:val="true"/>
          <w:lang w:bidi="fa-IR"/>
        </w:rPr>
        <w:t>.</w:t>
      </w:r>
    </w:p>
    <w:p>
      <w:pPr>
        <w:pStyle w:val="Heading4"/>
        <w:numPr>
          <w:ilvl w:val="3"/>
          <w:numId w:val="1"/>
        </w:numPr>
        <w:rPr/>
      </w:pPr>
      <w:bookmarkStart w:id="296" w:name="__RefHeading___Toc1265286_653776707"/>
      <w:bookmarkStart w:id="297" w:name="_Toc114"/>
      <w:bookmarkEnd w:id="296"/>
      <w:r>
        <w:rPr>
          <w:rtl w:val="true"/>
        </w:rPr>
        <w:t>أحکام المواقیت</w:t>
      </w:r>
      <w:bookmarkEnd w:id="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الإحرام قبل المواقیت إلّابنذر ونحوه، کما لا یجوز لمن أراد الحجّ أو العمرة أو دخول مکّة، أن یجاوز المیقات اختیاراً بلا إحرام، وإن کان أمامه میقات آخر، فلو أخّر عالماً عامداً، ولم یتمکّن من العود إلیه، ولم یکن أمامه میقات آخر، بطل إحرامه وحجّه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مریضاً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یتمکّن من نزع اللباس ولبس الثوبین، یجزیه النیّة والتلبیة، فأینما زال العذر نزعه ولبسهما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ترک الإحرام فی المیقات لعذر؛ من مرض أو نسیان أو جهل</w:t>
      </w:r>
      <w:bookmarkStart w:id="298" w:name="pg6476_56833"/>
    </w:p>
    <w:p>
      <w:pPr>
        <w:pStyle w:val="BookText"/>
        <w:rPr/>
      </w:pPr>
      <w:bookmarkEnd w:id="298"/>
      <w:r>
        <w:rPr>
          <w:rFonts w:ascii="IRNazanin" w:hAnsi="IRNazanin" w:eastAsia="IRNazanin"/>
          <w:color w:val="111111"/>
          <w:sz w:val="28"/>
          <w:sz w:val="28"/>
          <w:szCs w:val="28"/>
          <w:rtl w:val="true"/>
          <w:lang w:bidi="fa-IR"/>
        </w:rPr>
        <w:t>بالحکم أو الموضوع، ثمّ زال العذر رجع إلی المیقات، وإن لم یمکن أحرم من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قد دخل الحرم ولم یمکن المیقات، رجع إلی أدنی الحلّ، وإلّا أحرم من مکانه</w:t>
      </w:r>
      <w:r>
        <w:rPr>
          <w:rFonts w:eastAsia="IRNazanin" w:cs="IRNazanin"/>
          <w:color w:val="111111"/>
          <w:sz w:val="28"/>
          <w:szCs w:val="28"/>
          <w:rtl w:val="true"/>
          <w:lang w:bidi="fa-IR"/>
        </w:rPr>
        <w:t>.</w:t>
      </w:r>
    </w:p>
    <w:p>
      <w:pPr>
        <w:pStyle w:val="Heading4"/>
        <w:numPr>
          <w:ilvl w:val="3"/>
          <w:numId w:val="1"/>
        </w:numPr>
        <w:rPr/>
      </w:pPr>
      <w:bookmarkStart w:id="299" w:name="__RefHeading___Toc1265288_653776707"/>
      <w:bookmarkStart w:id="300" w:name="_Toc115"/>
      <w:bookmarkEnd w:id="299"/>
      <w:r>
        <w:rPr>
          <w:rtl w:val="true"/>
        </w:rPr>
        <w:t>کیفیّة الإحرام</w:t>
      </w:r>
      <w:bookmarkEnd w:id="300"/>
    </w:p>
    <w:p>
      <w:pPr>
        <w:pStyle w:val="BookText"/>
        <w:rPr/>
      </w:pPr>
      <w:r>
        <w:rPr>
          <w:rFonts w:ascii="Amiri" w:hAnsi="Amiri" w:eastAsia="Amiri" w:cs="Amiri"/>
          <w:color w:val="111111"/>
          <w:sz w:val="28"/>
          <w:sz w:val="28"/>
          <w:szCs w:val="28"/>
          <w:rtl w:val="true"/>
          <w:lang w:bidi="ar-SA"/>
        </w:rPr>
        <w:t>واجبات الإحرام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 إلی الحجّ أو العمرة امتثالاً للأمر وخالصاً عن الریاء ونحوه، ویعتبر فیه تعیین نوع الحجّ والعمرة، وأنّه لنفسه أو غیره، وأنّه حجّة الإسلام أو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التلبیات الأربع، وصورتها علی الأصحّ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لَبَّیکَ اللّهمَّ لَبَّیک، لَبَّیکَ لا شَریکَ لَکَ لَبَّیک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والأولی أن یضیف إلیه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الحمدَ والنِّعمَةَ لکَ والمُلک لا شَریکَ لَکَ لَبَّیک، ویجب الإتیان بها صحیحاً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ینعقد الإحرام لحجّ ولا عمرة، إلّابالتلبیه، إلّاحجّ القران فیتخیّر فیه بینها وبین الإشعار أو التقلید، والواجب منها مرّة واحدة، ویستحبّ الإکثار والتکرار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الثوبین بعد التجرّد عمّا یحرم لبسه، یتّزر بأحدهما ویتردّی بالآخر، والأحوط کون اللبس قبل التلبیة، فلو قدّمها أعادها بعده، ولو أحرم فی قمیص عامداً أو ناسیاً أو جاهلاً وجب نزعه وصحّ إحرامه، وله تبدیلهما لإزالة الوسخ أو التطهیر، وله لبس الزیادة علیهما مع حفظ الشرائط، ویشترط فیهما شرائط الصلاة فیجب التطهیر أو التبدیل بمجرّد التنجّس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یجبان علی النساء فلهنّ الإحرام فی ثوبهنّ، ولا یشترط فی الإحرام الطهارة من الحدث الأصغر والأکبر، فیجوز فی حال الجنابة والحیض والنفاس</w:t>
      </w:r>
      <w:r>
        <w:rPr>
          <w:rFonts w:eastAsia="IRNazanin" w:cs="IRNazanin"/>
          <w:color w:val="111111"/>
          <w:sz w:val="28"/>
          <w:szCs w:val="28"/>
          <w:rtl w:val="true"/>
          <w:lang w:bidi="fa-IR"/>
        </w:rPr>
        <w:t>.</w:t>
      </w:r>
      <w:bookmarkStart w:id="301" w:name="pg6476_56834"/>
    </w:p>
    <w:p>
      <w:pPr>
        <w:pStyle w:val="Heading4"/>
        <w:numPr>
          <w:ilvl w:val="3"/>
          <w:numId w:val="1"/>
        </w:numPr>
        <w:rPr/>
      </w:pPr>
      <w:bookmarkStart w:id="302" w:name="__RefHeading___Toc1265290_653776707"/>
      <w:bookmarkStart w:id="303" w:name="_Toc116"/>
      <w:bookmarkEnd w:id="301"/>
      <w:bookmarkEnd w:id="302"/>
      <w:r>
        <w:rPr>
          <w:rtl w:val="true"/>
        </w:rPr>
        <w:t>تروک الإحرام</w:t>
      </w:r>
      <w:bookmarkEnd w:id="303"/>
    </w:p>
    <w:p>
      <w:pPr>
        <w:pStyle w:val="BookText"/>
        <w:rPr/>
      </w:pPr>
      <w:r>
        <w:rPr>
          <w:rFonts w:ascii="Amiri" w:hAnsi="Amiri" w:eastAsia="Amiri" w:cs="Amiri"/>
          <w:color w:val="111111"/>
          <w:sz w:val="28"/>
          <w:sz w:val="28"/>
          <w:szCs w:val="28"/>
          <w:rtl w:val="true"/>
          <w:lang w:bidi="ar-SA"/>
        </w:rPr>
        <w:t>والمحرّمات منها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صید البرّ، اصطیاداً وأکلاً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نظراً بشهوة وتقبیلاً ووطءاً، زوجته أو غیر زوجته، فلو جامع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علم وعمد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إحرام عمرة التمتّع، لم تبطل ووجبت علیه الکفّارة، وفی إحرام الحجّ یبطل حجّه فی الجملة، ولو نظر إلی أهله بشهوة أثم ولا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یوجب الکفّارة لو وقع عن جهل بالحکم أو غفلة أو نسیان، لا یترتّب علیه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إیقاع عقد النکاح لنفسه أو لغیره، دائماً أو منقطعاً، ولو عقد لنفسه حرمت علیه دائماً مع العلم بالحکم، ومع الجهل یکون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الاستمناء بید ونحوها، وحکمه حکم 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الطیب بأنواعه، ولا یجوز لبس ما فیه رائحته، ولا أکل ما فیه الطیب، ویجب الاجتناب عن الریاحین؛ وهی کلّ نبات فیه رائحة طیّبة، دون الفواکه الطیّبة، ولو اضطرّ إلیه أمسک أنفه، ولا یجوز إمساک الأنف عن الرائحة الخبیثة، وکفّارة استعماله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المخیط للرجال، کالقمیص والسراویل والقباء، ویستثنی منه الهمیان المخیط فیه النقود، ولو اضطرّ إلی لبسه کفّر بشاة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لبسه للنساء غیر القفازین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الاکتحال بالسواد للرجال والنساء، ولیس فیه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فی المرآة للرجل والمرأة، ولیس فیه کفّارة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ما یستر جمیع ظهر القدم کالجوراب والخُفّ علی الرجال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الفسوق، وهو الکذب والسباب والمفاخرة، ولا کفّارة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الجدال، وهو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یرادفه من أیّ لغة کان، فی مقام إثبات أمر أو نفیه، وکفّارته لمن کان کاذباً شاة، ولو ثنّی فبقرة، ولو ثلّث فبدنة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هوامّ الجسد من القمّلة والبرغوث وغیرهما، ولا یجوز إلقاؤها عن الجسد ولا نقلها من مکانها، ولا کفّارة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الخاتم للزینة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المرأة الحلیّ للزینة، ولیس فیهما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التدهین وإن لم یکن فیه طیب، وکفّارته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إزالة الشعر کثیره وقلیله عن الرأس واللحیة وسائر البدن بحلق ونتف وغیرهما، وکفّارتها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تغطیة الرجل رأسه بکلّ ما یغطّیه؛ حتّی الارتماس فی الماء، ولا بأس بوضعه عند النوم علی المخدّة، وکفّارتها شاة، ولا کفّارة علی الجاهل بالحکم والناسی والغافل، ولا بأس بتغطیة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تغطیة المرأة وجهها بنقاب ونحوه، حتّی حال الصلاة، وبعض الوجه کتمامه، ویجوز لها إسدال الثوب من رأسها نحو الوجه، علی نحو لا یلصق به للتستّر عن الأجنبی، ولا کفّارة فیها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التظلیل فوق الرأس للرجال سواء فی ذلک السیّارة وغیرها، والحرمة مختصّة بحال السیر، فیجوز الاستظلال تحت الخیمة والسقف، ویجوز أخذ المظلّة حال المشی، کما یجوز رکوب المرکب المسقّف لیلاً، وکفّارته شاة لکلّ إحرام</w:t>
      </w:r>
      <w:r>
        <w:rPr>
          <w:rFonts w:eastAsia="IRNazanin" w:cs="IRNazanin"/>
          <w:color w:val="111111"/>
          <w:sz w:val="28"/>
          <w:szCs w:val="28"/>
          <w:rtl w:val="true"/>
          <w:lang w:bidi="fa-IR"/>
        </w:rPr>
        <w:t>.</w:t>
      </w:r>
      <w:bookmarkStart w:id="304" w:name="pg6476_56836"/>
    </w:p>
    <w:p>
      <w:pPr>
        <w:pStyle w:val="BookText"/>
        <w:rPr/>
      </w:pPr>
      <w:bookmarkEnd w:id="304"/>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الدّم من بدنه بخدش وسواک وغیره، ولا کفّارة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الأظافر وقصّها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أو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الید أو الرِجْل، والکفّارة لکلّ ظفر من الید مدّ من الطعام ما لم یبلغ العشرة، فإذا بلغها فشاة، وکذلک حکم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 الضرس، وفیه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 الشجر والحشیش النابتین فی الحرم وقطعهما، فإذا قطع شجرة، ففی صغیرتها الشاة وفی کبیرتها البقرة، ولا کفّارة فی الحشیش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السلاح علی الأحوط</w:t>
      </w:r>
      <w:r>
        <w:rPr>
          <w:rFonts w:eastAsia="IRNazanin" w:cs="IRNazanin"/>
          <w:color w:val="111111"/>
          <w:sz w:val="28"/>
          <w:szCs w:val="28"/>
          <w:rtl w:val="true"/>
          <w:lang w:bidi="fa-IR"/>
        </w:rPr>
        <w:t>.</w:t>
      </w:r>
    </w:p>
    <w:p>
      <w:pPr>
        <w:pStyle w:val="Heading4"/>
        <w:numPr>
          <w:ilvl w:val="3"/>
          <w:numId w:val="1"/>
        </w:numPr>
        <w:rPr/>
      </w:pPr>
      <w:bookmarkStart w:id="305" w:name="__RefHeading___Toc1265292_653776707"/>
      <w:bookmarkStart w:id="306" w:name="_Toc117"/>
      <w:bookmarkEnd w:id="305"/>
      <w:r>
        <w:rPr>
          <w:rtl w:val="true"/>
        </w:rPr>
        <w:t>فی الطواف</w:t>
      </w:r>
      <w:bookmarkEnd w:id="306"/>
    </w:p>
    <w:p>
      <w:pPr>
        <w:pStyle w:val="Heading5"/>
        <w:numPr>
          <w:ilvl w:val="4"/>
          <w:numId w:val="1"/>
        </w:numPr>
        <w:rPr/>
      </w:pPr>
      <w:bookmarkStart w:id="307" w:name="__RefHeading___Toc1265294_653776707"/>
      <w:bookmarkStart w:id="308" w:name="_Toc118"/>
      <w:bookmarkEnd w:id="307"/>
      <w:r>
        <w:rPr>
          <w:rtl w:val="true"/>
        </w:rPr>
        <w:t>اشارة</w:t>
      </w:r>
      <w:bookmarkEnd w:id="308"/>
    </w:p>
    <w:p>
      <w:pPr>
        <w:pStyle w:val="BookText"/>
        <w:rPr/>
      </w:pPr>
      <w:r>
        <w:rPr>
          <w:rFonts w:ascii="IRNazanin" w:hAnsi="IRNazanin" w:eastAsia="IRNazanin"/>
          <w:color w:val="111111"/>
          <w:sz w:val="28"/>
          <w:sz w:val="28"/>
          <w:szCs w:val="28"/>
          <w:rtl w:val="true"/>
          <w:lang w:bidi="fa-IR"/>
        </w:rPr>
        <w:t>الطواف أوّل واجبات العمرة، وهو عبارة عن سبعة أشواط حول الکعبة المعظّمة بالشرائط الآتیة، وهو رکن یبطل العمرة بترکه عمداً إلی أن یضیق الوقت عن إتمام العمرة وإدراک الوقوف بعرفة، سواء کان عالماً بالحکم أم جاهلاً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ترکه سهواً أتی به فی أیّ وقت أمکنه، وإن رجع إلی محلّه استناب لإتیانه، ولو لم یقدر علیه لمرض ونحوه یحمل ویطاف به، وإن لم یمکن یستنیب، ولو قدّم السعی علیه أعاده حتّی یحصل الترتیب</w:t>
      </w:r>
      <w:r>
        <w:rPr>
          <w:rFonts w:eastAsia="IRNazanin" w:cs="IRNazanin"/>
          <w:color w:val="111111"/>
          <w:sz w:val="28"/>
          <w:szCs w:val="28"/>
          <w:rtl w:val="true"/>
          <w:lang w:bidi="fa-IR"/>
        </w:rPr>
        <w:t>.</w:t>
      </w:r>
    </w:p>
    <w:p>
      <w:pPr>
        <w:pStyle w:val="Heading5"/>
        <w:numPr>
          <w:ilvl w:val="4"/>
          <w:numId w:val="1"/>
        </w:numPr>
        <w:rPr/>
      </w:pPr>
      <w:bookmarkStart w:id="309" w:name="__RefHeading___Toc1265296_653776707"/>
      <w:bookmarkStart w:id="310" w:name="_Toc119"/>
      <w:bookmarkEnd w:id="309"/>
      <w:r>
        <w:rPr>
          <w:rtl w:val="true"/>
        </w:rPr>
        <w:t>فی واجباته</w:t>
      </w:r>
      <w:bookmarkEnd w:id="310"/>
    </w:p>
    <w:p>
      <w:pPr>
        <w:pStyle w:val="BookText"/>
        <w:rPr/>
      </w:pPr>
      <w:r>
        <w:rPr>
          <w:rFonts w:ascii="IRNazanin" w:hAnsi="IRNazanin" w:eastAsia="IRNazanin"/>
          <w:color w:val="111111"/>
          <w:sz w:val="28"/>
          <w:sz w:val="28"/>
          <w:szCs w:val="28"/>
          <w:rtl w:val="true"/>
          <w:lang w:bidi="fa-IR"/>
        </w:rPr>
        <w:t>وهی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فی شرائطه، وهی 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من الحدث الأکبر والأصغر، ولو کان له عذر تیمّم بدلاً عنها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البدن والثوب، والأحوط الاجتناب عمّا یعفی عنه فی الصلاة،</w:t>
      </w:r>
    </w:p>
    <w:p>
      <w:pPr>
        <w:pStyle w:val="BookText"/>
        <w:rPr/>
      </w:pPr>
      <w:r>
        <w:rPr>
          <w:rFonts w:ascii="IRNazanin" w:hAnsi="IRNazanin" w:eastAsia="IRNazanin"/>
          <w:color w:val="111111"/>
          <w:sz w:val="28"/>
          <w:sz w:val="28"/>
          <w:szCs w:val="28"/>
          <w:rtl w:val="true"/>
          <w:lang w:bidi="fa-IR"/>
        </w:rPr>
        <w:t>کالدم الأقلّ، ونجاسة ما لا تتمّ فیه الصلاة، والجاهل بها یصحّ طوافه، والناسی یعیده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الرجل والطفل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مختوناً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العورة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الموالاة، بمعنی عدم الفصل بما یخرج عن صورة طواف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أجزائه، وهی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الابتداء بالحجر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الختم به، ولا یجب الوقوف فی کلّ شوط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علی الیسار، بأن تکون الکعبة المعظّمة علی یساره، ویکفی الدور علی المتعارف وإن انحرف الکتف عنها قلیلاً عند المرور علی الزوایا وحین الوصول إلی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الاجتناب عمّا یفعله بعض عند الشروع فی الطواف أو فی کیفیّته ممّا یکون وهناً لمذهب الحقّ، ولو أجبره الزحام، فطاف مستقبلاً أو مستدبراً أو مشی بلا اختیار، وجب جبرانه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إدخال حجر إسماعیل علیه السلام فی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الطواف بین البیت ومقام إبراهیم علیه السلام، وفی مقدار الفصل بینهما فی سائر الجوانب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والفصل بینهما ستّة وعشرون ذراعاً ونصف ذراع، ویضیق محلّه من جانب الحجر، فیصیر ستّة أذرع ونصفاً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الطواف سبعة أشواط لا أزید ولا أنقص، ولو نقص سهواً، فإن جاوز النصف أکملها بلا إعادة، وإلّا أعاده رأساً، ومثله ما لو قطعها 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زاد سهواً، فإن کان أقلّ من شوط قطعه، وإن کان شوطاً أو أکثر، أتمّ الزائد سبعة أشواط وجعله طوافاً مستحبّاً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شکّ فی صحّته بعد الانصراف بنی علی الصحّة</w:t>
      </w:r>
      <w:r>
        <w:rPr>
          <w:rFonts w:eastAsia="IRNazanin" w:cs="IRNazanin"/>
          <w:color w:val="111111"/>
          <w:sz w:val="28"/>
          <w:szCs w:val="28"/>
          <w:rtl w:val="true"/>
          <w:lang w:bidi="fa-IR"/>
        </w:rPr>
        <w:t>.</w:t>
      </w:r>
      <w:bookmarkStart w:id="311" w:name="pg6476_56838"/>
    </w:p>
    <w:p>
      <w:pPr>
        <w:pStyle w:val="BookText"/>
        <w:rPr/>
      </w:pPr>
      <w:bookmarkEnd w:id="311"/>
      <w:r>
        <w:rPr>
          <w:rFonts w:ascii="IRNazanin" w:hAnsi="IRNazanin" w:eastAsia="IRNazanin"/>
          <w:color w:val="111111"/>
          <w:sz w:val="28"/>
          <w:sz w:val="28"/>
          <w:szCs w:val="28"/>
          <w:rtl w:val="true"/>
          <w:lang w:bidi="fa-IR"/>
        </w:rPr>
        <w:t>ویجوز قطع الطواف لتقبیل البیت وللجلوس والاستلقاء بما لا یضرّ بالموالاة العرفیّة</w:t>
      </w:r>
      <w:r>
        <w:rPr>
          <w:rFonts w:eastAsia="IRNazanin" w:cs="IRNazanin"/>
          <w:color w:val="111111"/>
          <w:sz w:val="28"/>
          <w:szCs w:val="28"/>
          <w:rtl w:val="true"/>
          <w:lang w:bidi="fa-IR"/>
        </w:rPr>
        <w:t>.</w:t>
      </w:r>
    </w:p>
    <w:p>
      <w:pPr>
        <w:pStyle w:val="Heading5"/>
        <w:numPr>
          <w:ilvl w:val="4"/>
          <w:numId w:val="1"/>
        </w:numPr>
        <w:rPr/>
      </w:pPr>
      <w:bookmarkStart w:id="312" w:name="__RefHeading___Toc1265298_653776707"/>
      <w:bookmarkStart w:id="313" w:name="_Toc120"/>
      <w:bookmarkEnd w:id="312"/>
      <w:r>
        <w:rPr>
          <w:rtl w:val="true"/>
        </w:rPr>
        <w:t>فی صلاة الطواف</w:t>
      </w:r>
      <w:bookmarkEnd w:id="3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بعد الطواف صلاة رکعتین له مبادراً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وکیفیّتها کصلاة الصبح، وهی کسائر الفرائض فی الأحکام، ویجب أن تکون عند المقام وفی خلفه، ولو منعه الزحام ففی یمینه أو یساره، ولو نسیها وتذکّر فی أثناء السعی قطعه وصلّی، ثمّ أتمّ السعی من حیث قطعه، ولو تذکّر بعد الأعمال صلّاها فی المسجد، وإن لم یمکن فأینما تذکّر، وصحّت الأعمال، ولو لم یتمکّن من القراءة الصحیحة صلّی بما أمکنه</w:t>
      </w:r>
      <w:r>
        <w:rPr>
          <w:rFonts w:eastAsia="IRNazanin" w:cs="IRNazanin"/>
          <w:color w:val="111111"/>
          <w:sz w:val="28"/>
          <w:szCs w:val="28"/>
          <w:rtl w:val="true"/>
          <w:lang w:bidi="fa-IR"/>
        </w:rPr>
        <w:t>.</w:t>
      </w:r>
    </w:p>
    <w:p>
      <w:pPr>
        <w:pStyle w:val="Heading4"/>
        <w:numPr>
          <w:ilvl w:val="3"/>
          <w:numId w:val="1"/>
        </w:numPr>
        <w:rPr/>
      </w:pPr>
      <w:bookmarkStart w:id="314" w:name="__RefHeading___Toc1265300_653776707"/>
      <w:bookmarkStart w:id="315" w:name="_Toc121"/>
      <w:bookmarkEnd w:id="314"/>
      <w:r>
        <w:rPr>
          <w:rtl w:val="true"/>
        </w:rPr>
        <w:t>فی السعی</w:t>
      </w:r>
      <w:bookmarkEnd w:id="3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بعد رکعتی الطواف السعی بین الصفا والمروة بسبعة أشواط؛ من الصفا إلی المروة شوط، ومنها إلیه 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البدأة من الصفا ومن أوّل جزء منه، ولو صعد بعض الجبل وشرع کفی، والختم بالمروة مثل ما ذکر، ویجوز السعی ماشیاً وراکباً، ولا یعتبر فیه الطهارة من الحدث والخبث، ویعتبر الاستقبال إلی الصفا والمروة فی حال السیر ولا یضرّ المیل بالوجه، ویجوز الجلوس والنوم بین السعی ولو بلا عذر، ویجوز تأخیره إلی اللیل، ولو نسی منه شیئاً ولم یمکن الرجوع استناب، ولو شکّ فی عدده بعد التقصیر یبنی علی الصحّة، وکذا لو شکّ وهو فی المروة بین السبع والتسع</w:t>
      </w:r>
      <w:r>
        <w:rPr>
          <w:rFonts w:eastAsia="IRNazanin" w:cs="IRNazanin"/>
          <w:color w:val="111111"/>
          <w:sz w:val="28"/>
          <w:szCs w:val="28"/>
          <w:rtl w:val="true"/>
          <w:lang w:bidi="fa-IR"/>
        </w:rPr>
        <w:t>.</w:t>
      </w:r>
    </w:p>
    <w:p>
      <w:pPr>
        <w:pStyle w:val="Heading4"/>
        <w:numPr>
          <w:ilvl w:val="3"/>
          <w:numId w:val="1"/>
        </w:numPr>
        <w:rPr/>
      </w:pPr>
      <w:bookmarkStart w:id="316" w:name="__RefHeading___Toc1265302_653776707"/>
      <w:bookmarkStart w:id="317" w:name="_Toc122"/>
      <w:bookmarkEnd w:id="316"/>
      <w:r>
        <w:rPr>
          <w:rtl w:val="true"/>
        </w:rPr>
        <w:t>فی التقصیر</w:t>
      </w:r>
      <w:bookmarkEnd w:id="31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بعد السعی التقصیر؛ أی قصّ مقدار من الظفر أو شعر الرأس أو الشارب</w:t>
      </w:r>
      <w:bookmarkStart w:id="318" w:name="pg6476_56839"/>
    </w:p>
    <w:p>
      <w:pPr>
        <w:pStyle w:val="BookText"/>
        <w:rPr/>
      </w:pPr>
      <w:bookmarkEnd w:id="318"/>
      <w:r>
        <w:rPr>
          <w:rFonts w:ascii="IRNazanin" w:hAnsi="IRNazanin" w:eastAsia="IRNazanin"/>
          <w:color w:val="111111"/>
          <w:sz w:val="28"/>
          <w:sz w:val="28"/>
          <w:szCs w:val="28"/>
          <w:rtl w:val="true"/>
          <w:lang w:bidi="fa-IR"/>
        </w:rPr>
        <w:t>أو اللحیة، وهو عبادة تجب فیها النیّة، ولو ترکه عمداً بطلت عمرته، ولو نسیه حتّی أحرم بالحجّ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ویحلّ به کلّ ما حرم بالإحرام حتّی النساء</w:t>
      </w:r>
      <w:r>
        <w:rPr>
          <w:rFonts w:eastAsia="IRNazanin" w:cs="IRNazanin"/>
          <w:color w:val="111111"/>
          <w:sz w:val="28"/>
          <w:szCs w:val="28"/>
          <w:rtl w:val="true"/>
          <w:lang w:bidi="fa-IR"/>
        </w:rPr>
        <w:t>.</w:t>
      </w:r>
    </w:p>
    <w:p>
      <w:pPr>
        <w:pStyle w:val="Heading4"/>
        <w:numPr>
          <w:ilvl w:val="3"/>
          <w:numId w:val="1"/>
        </w:numPr>
        <w:rPr/>
      </w:pPr>
      <w:bookmarkStart w:id="319" w:name="__RefHeading___Toc1265304_653776707"/>
      <w:bookmarkStart w:id="320" w:name="_Toc123"/>
      <w:bookmarkEnd w:id="319"/>
      <w:r>
        <w:rPr>
          <w:rtl w:val="true"/>
        </w:rPr>
        <w:t>فی الوقوف بعرفات</w:t>
      </w:r>
      <w:bookmarkEnd w:id="3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الإحرام بالحجّ والوقوف بعرفات بقصد القربة من زوال یوم عرفة إلی الغروب الشرعی، والمراد منه مطلق الکون فی ذلک المکان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ومجموع الوقوف واجب، ومسمّاه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بدقائق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فلو ترکه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بطل حجّه، ولو نفر عمداً من عرفات قبل الغروب، کفّر ببدنة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ترک الوقوف بعرفات إلی الغروب لعذر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کالنسیان وضیق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إدراک مقدار من لیلة العید فیها، وهو مسمّی باضطراریّ عرفة، ولو لم یدرکه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لعذر، کفاه إدراک الوقوف الاختیاری بالمشعر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ثبت هلال ذی الحجّة عند قاضی العامّة وحکم به، ولم یثبت عندنا، فإن أمکن العمل علی طبق المذهب الحقّ بلا خوف وتقیّة وجب، وإلّا وجبت التبعیّة، وصحّ العمل حتّی مع العلم بالمخالفة، وحیث إنّ اُفق الحجاز مخالف لآفاقنا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فیبعد حصول العلم بالمخالفة</w:t>
      </w:r>
      <w:r>
        <w:rPr>
          <w:rFonts w:eastAsia="IRNazanin" w:cs="IRNazanin"/>
          <w:color w:val="111111"/>
          <w:sz w:val="28"/>
          <w:szCs w:val="28"/>
          <w:rtl w:val="true"/>
          <w:lang w:bidi="fa-IR"/>
        </w:rPr>
        <w:t>.</w:t>
      </w:r>
    </w:p>
    <w:p>
      <w:pPr>
        <w:pStyle w:val="Heading4"/>
        <w:numPr>
          <w:ilvl w:val="3"/>
          <w:numId w:val="1"/>
        </w:numPr>
        <w:rPr/>
      </w:pPr>
      <w:bookmarkStart w:id="321" w:name="__RefHeading___Toc1265306_653776707"/>
      <w:bookmarkStart w:id="322" w:name="_Toc124"/>
      <w:bookmarkEnd w:id="321"/>
      <w:r>
        <w:rPr>
          <w:rtl w:val="true"/>
        </w:rPr>
        <w:t>فی الوقوف بالمشعر</w:t>
      </w:r>
      <w:bookmarkEnd w:id="32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یجب الوقوف بالمشعر من طلوع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یوم العید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طلوع الشمس، وهو عبادة تجب فیها النیّة والواجب مجموعه، والرکن مسمّاه فیما بین الطلوعین، والأحوط لزوماً الوقوف بالنیّة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العید بعد الإفاضة من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طلوع الفجر، ویجوز الإفاضة منها لیلة العید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وقوف 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للضعفاء کالنساء والشیوخ والمرضی ولمن یراقبهم ویمرّضهم، والأحوط أن یکون بعد نصف اللیل، فلا یجب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بین الطلوعین</w:t>
      </w:r>
      <w:r>
        <w:rPr>
          <w:rFonts w:eastAsia="IRNazanin" w:cs="IRNazanin"/>
          <w:color w:val="111111"/>
          <w:sz w:val="28"/>
          <w:szCs w:val="28"/>
          <w:rtl w:val="true"/>
          <w:lang w:bidi="fa-IR"/>
        </w:rPr>
        <w:t>.</w:t>
      </w:r>
      <w:bookmarkStart w:id="323" w:name="pg6476_56840"/>
    </w:p>
    <w:p>
      <w:pPr>
        <w:pStyle w:val="Heading4"/>
        <w:numPr>
          <w:ilvl w:val="3"/>
          <w:numId w:val="1"/>
        </w:numPr>
        <w:rPr/>
      </w:pPr>
      <w:bookmarkStart w:id="324" w:name="__RefHeading___Toc1265308_653776707"/>
      <w:bookmarkStart w:id="325" w:name="_Toc125"/>
      <w:bookmarkEnd w:id="323"/>
      <w:bookmarkEnd w:id="324"/>
      <w:r>
        <w:rPr>
          <w:rtl w:val="true"/>
        </w:rPr>
        <w:t>فی واجبات منی</w:t>
      </w:r>
      <w:bookmarkEnd w:id="325"/>
    </w:p>
    <w:p>
      <w:pPr>
        <w:pStyle w:val="BookText"/>
        <w:rPr/>
      </w:pPr>
      <w:r>
        <w:rPr>
          <w:rFonts w:ascii="IRNazanin" w:hAnsi="IRNazanin" w:eastAsia="IRNazanin"/>
          <w:color w:val="111111"/>
          <w:sz w:val="28"/>
          <w:sz w:val="28"/>
          <w:szCs w:val="28"/>
          <w:rtl w:val="true"/>
          <w:lang w:bidi="fa-IR"/>
        </w:rPr>
        <w:t>وهی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جمرة العقبة بالحصی، ویشترط أن تکون من الحرم وبکراً ومباحة، ووقته من طلوع الشمس یوم العید إلی غروبها، ولو نسیه جاز إلی الیوم الثالث عشر، ولو لم یتذکّر ففی العام المقبل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فی الرمی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قربة خالصة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الإلقاء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الحصاة إلی المرمی، فلا یحسب ما لم 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العدد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الرّمی تدریجاً لا دفعة، ولو شکّ فی أنّها مستعملة أم لا، أو أنّها من غیر الحرم جاز الرّمی، ولو شکّ فی العدد رمی حتّی تیقّن السبع، ولو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الذبح أو الحلق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رمی الجمرة أو عدده لا یعتنی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ویستناب عن غیر المتمکّن کالمریض ونحوه، ومن کان معذوراً فی الیوم یرمی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الهدی، ویجب أن یکون إحدی النعم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 والبقر والغنم، وأن یکون لکلّ إنسان حیوان، ویعتبر فی الهدی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 فیشترط فی الإبل الدخول فی السنة السادسة، وفی البقر والمعزفی الثالثة، وفی الضأن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السلامة من 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هرماً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تامّ الأجزاء، فلا یکفی الخصیّ، ومرضوض الخُصیة، ومقطوع</w:t>
      </w:r>
      <w:bookmarkStart w:id="326" w:name="pg6476_56841"/>
    </w:p>
    <w:p>
      <w:pPr>
        <w:pStyle w:val="BookText"/>
        <w:rPr/>
      </w:pPr>
      <w:bookmarkEnd w:id="326"/>
      <w:r>
        <w:rPr>
          <w:rFonts w:ascii="IRNazanin" w:hAnsi="IRNazanin" w:eastAsia="IRNazanin"/>
          <w:color w:val="111111"/>
          <w:sz w:val="28"/>
          <w:sz w:val="28"/>
          <w:szCs w:val="28"/>
          <w:rtl w:val="true"/>
          <w:lang w:bidi="fa-IR"/>
        </w:rPr>
        <w:t>الاُذن والذنَب، ومکسور القرن الداخل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مهزولاً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ذبح فانکشف مریضاً أو ناقصاً لم یکف، ولو انکشف مهزولاً یکفی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الأحوط أن یکون الذبح بعد رمی الجمرة العقبة، وأن لا یؤخّر عن یوم العید، ولو أخّر لعذر فلیذبح أیّام التشریق، وإلّا ففی بقیّة ذی الحجّة، وهو من العبادات، یعتبر فیه النیّة، ویجوز فیه النیابة، والأحوط کون النائب شیعیّاً، ولو شکّ بعد الذبح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صحّة عمله أو عمل نائبه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یلتفت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أن یقسّم الهدی أثلاثاً؛ یأکل ثلثه، ویتصدّق بثلثه، ویهدی ثلثه، وفی هذا الوجوب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بعد الذبح الحلق أو التقصیر، ویتعیّن الأوّل للصرورة ویتخیّر غیره، ولا حلق للنساء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فی التقصیر قصّ شیء من الشعر أو الظفر، ویجب فیه النیّة، والأحوط کونه یوم العید فی منی عقیب الذبح، ولو نسی ولم یمکنه العود حلق أو قصّر فی مکانه، وأرسل الشعر إلی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کون الطواف والسعی بعده، فلو قدّمهما علیه عمداً رجع إلی منی وحلق أو قصّر، ثمّ طاف وسعی وکفّر بشاة، ومثله السهو لکن لا کفّارة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یحلّ للمحرم بعد أعمال منی کلّ ما حرم علیه بالإحرام إلّا النساء والطیب</w:t>
      </w:r>
      <w:r>
        <w:rPr>
          <w:rFonts w:eastAsia="IRNazanin" w:cs="IRNazanin"/>
          <w:color w:val="111111"/>
          <w:sz w:val="28"/>
          <w:szCs w:val="28"/>
          <w:rtl w:val="true"/>
          <w:lang w:bidi="fa-IR"/>
        </w:rPr>
        <w:t>.</w:t>
      </w:r>
    </w:p>
    <w:p>
      <w:pPr>
        <w:pStyle w:val="Heading4"/>
        <w:numPr>
          <w:ilvl w:val="3"/>
          <w:numId w:val="1"/>
        </w:numPr>
        <w:rPr/>
      </w:pPr>
      <w:bookmarkStart w:id="327" w:name="__RefHeading___Toc1265310_653776707"/>
      <w:bookmarkStart w:id="328" w:name="_Toc126"/>
      <w:bookmarkEnd w:id="327"/>
      <w:r>
        <w:rPr>
          <w:rtl w:val="true"/>
        </w:rPr>
        <w:t>فیما یجب بعد أعمال منی</w:t>
      </w:r>
      <w:bookmarkEnd w:id="32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الحجّ ورکعتاه، والسعی بین الصفا والمروة، وطواف النساء ورکعتاه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وکیفیّة الجمیع کما مرّ فی أعمال العمرة إلّافی النیّة فیجب هنا نیّتها للحجّ،</w:t>
      </w:r>
      <w:bookmarkStart w:id="329" w:name="pg6476_56842"/>
    </w:p>
    <w:p>
      <w:pPr>
        <w:pStyle w:val="BookText"/>
        <w:rPr/>
      </w:pPr>
      <w:bookmarkEnd w:id="329"/>
      <w:r>
        <w:rPr>
          <w:rFonts w:ascii="IRNazanin" w:hAnsi="IRNazanin" w:eastAsia="IRNazanin"/>
          <w:color w:val="111111"/>
          <w:sz w:val="28"/>
          <w:sz w:val="28"/>
          <w:szCs w:val="28"/>
          <w:rtl w:val="true"/>
          <w:lang w:bidi="fa-IR"/>
        </w:rPr>
        <w:t>ویستحبّ إتیانها یوم العید بعد الفراغ من أعماله، ویجوز التأخیر إلی الیوم الثانی عشر بل إلی آخر الشهر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تقدیم هذه المناسک علی الوقوفین وأعمال منی إلّا 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النساء إذا خفن عروض الحیض أو النفاس علیهنّ بعد العود من منی، مع عدم إمکان الانتظار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مواطن التحلّل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عقیب الحلق أو التقصیر، فیحلّ کلّ شیء إلّاالطیب والنساء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طواف الزیارة ورکعتیه والسعی، فیحلّ له 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طواف النساء ورکعتیه، فیحلّ له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یختصّ طواف النساء بالرجال، بل یعمّ النساء والطفل، فلا یحلّ لهنّ الرجال بدونه، وهو واجب غیر رکنی، فترکه عمداً لا یبطل الحجّ لکن لا تحلّ له النساء، ویجب إتیانه بعد طواف الزیارة وسعیه، ولو نسیه ورجع إلی بلده، فإن تمکّن من الرجوع وجب، وإلّا استناب فتحلّ النساء بعده</w:t>
      </w:r>
      <w:r>
        <w:rPr>
          <w:rFonts w:eastAsia="IRNazanin" w:cs="IRNazanin"/>
          <w:color w:val="111111"/>
          <w:sz w:val="28"/>
          <w:szCs w:val="28"/>
          <w:rtl w:val="true"/>
          <w:lang w:bidi="fa-IR"/>
        </w:rPr>
        <w:t>.</w:t>
      </w:r>
    </w:p>
    <w:p>
      <w:pPr>
        <w:pStyle w:val="Heading4"/>
        <w:numPr>
          <w:ilvl w:val="3"/>
          <w:numId w:val="1"/>
        </w:numPr>
        <w:rPr/>
      </w:pPr>
      <w:bookmarkStart w:id="330" w:name="__RefHeading___Toc1265312_653776707"/>
      <w:bookmarkStart w:id="331" w:name="_Toc127"/>
      <w:bookmarkEnd w:id="330"/>
      <w:r>
        <w:rPr>
          <w:rtl w:val="true"/>
        </w:rPr>
        <w:t>فی المبیت بمنی</w:t>
      </w:r>
      <w:bookmarkEnd w:id="33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قضی مناسکه بمکّة یجب علیه العود إلی منی للمبیت بها لیلتین، والواجب المبیت من الغروب إلی نصف اللیل، ومن لم یحضره أوّل اللیل بلا عذر، یجب علیه الرجوع قبل النصف والبقاء إلی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مبیت اللیلة الثالثة عشرة لمن لم یتّق الصید والنساء فی إحرام العمرة والحجّ، ولمن بقی فی منی إلی غروب الثانی عشر، ولا یجب مبیت اللیالی لمن له عذر کالمریض وممرّضه، لکنّه یکفّر بشاة، ولمن أراد الاشتغال بالعبادة فی مکّة إلی الفجر، ووقت النفر فی الیوم الثانی عشر بعد الزوال وفی الثالث عشر جمیع الیوم</w:t>
      </w:r>
      <w:r>
        <w:rPr>
          <w:rFonts w:eastAsia="IRNazanin" w:cs="IRNazanin"/>
          <w:color w:val="111111"/>
          <w:sz w:val="28"/>
          <w:szCs w:val="28"/>
          <w:rtl w:val="true"/>
          <w:lang w:bidi="fa-IR"/>
        </w:rPr>
        <w:t>.</w:t>
      </w:r>
      <w:bookmarkStart w:id="332" w:name="pg6476_56843"/>
    </w:p>
    <w:p>
      <w:pPr>
        <w:pStyle w:val="BookText"/>
        <w:rPr/>
      </w:pPr>
      <w:bookmarkEnd w:id="3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ترک المبیت یجب علیه شاة لکلّ لیلة، وله ذبحه فی وطنه</w:t>
      </w:r>
      <w:r>
        <w:rPr>
          <w:rFonts w:eastAsia="IRNazanin" w:cs="IRNazanin"/>
          <w:color w:val="111111"/>
          <w:sz w:val="28"/>
          <w:szCs w:val="28"/>
          <w:rtl w:val="true"/>
          <w:lang w:bidi="fa-IR"/>
        </w:rPr>
        <w:t>.</w:t>
      </w:r>
    </w:p>
    <w:p>
      <w:pPr>
        <w:pStyle w:val="Heading4"/>
        <w:numPr>
          <w:ilvl w:val="3"/>
          <w:numId w:val="1"/>
        </w:numPr>
        <w:rPr/>
      </w:pPr>
      <w:bookmarkStart w:id="333" w:name="__RefHeading___Toc1265314_653776707"/>
      <w:bookmarkStart w:id="334" w:name="_Toc128"/>
      <w:bookmarkEnd w:id="333"/>
      <w:r>
        <w:rPr>
          <w:rtl w:val="true"/>
        </w:rPr>
        <w:t>فی رمی الجمار الثلاث</w:t>
      </w:r>
      <w:bookmarkEnd w:id="3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رمی الجمار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الجمرة الاُولی والوسطی والعقبة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بالشروط المتقدّمة فی نهار کلّ لیلة وجب علیه المبیت، ووقته من طلوع الشمس إلی غروبها، ویجب الترتیب بین الجمرات، فإن 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بلا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أعاد حتّی یحصل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والمعذور منه یستنیب، ولو ترکه فی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أو سهواً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قضاه فی الیوم الآخر قبل الأداء، ولو نسیه حتّی خرج من مکّة، استناب فی العام القابل</w:t>
      </w:r>
      <w:r>
        <w:rPr>
          <w:rFonts w:eastAsia="IRNazanin" w:cs="IRNazanin"/>
          <w:color w:val="111111"/>
          <w:sz w:val="28"/>
          <w:szCs w:val="28"/>
          <w:rtl w:val="true"/>
          <w:lang w:bidi="fa-IR"/>
        </w:rPr>
        <w:t>.</w:t>
      </w:r>
    </w:p>
    <w:p>
      <w:pPr>
        <w:pStyle w:val="Heading4"/>
        <w:numPr>
          <w:ilvl w:val="3"/>
          <w:numId w:val="1"/>
        </w:numPr>
        <w:rPr/>
      </w:pPr>
      <w:bookmarkStart w:id="335" w:name="__RefHeading___Toc1265316_653776707"/>
      <w:bookmarkStart w:id="336" w:name="_Toc129"/>
      <w:bookmarkEnd w:id="335"/>
      <w:r>
        <w:rPr>
          <w:rtl w:val="true"/>
        </w:rPr>
        <w:t>فی الصدّ والإحصار</w:t>
      </w:r>
      <w:bookmarkEnd w:id="336"/>
    </w:p>
    <w:p>
      <w:pPr>
        <w:pStyle w:val="BookText"/>
        <w:rPr/>
      </w:pPr>
      <w:r>
        <w:rPr>
          <w:rFonts w:ascii="IRNazanin" w:hAnsi="IRNazanin" w:eastAsia="IRNazanin"/>
          <w:color w:val="111111"/>
          <w:sz w:val="28"/>
          <w:sz w:val="28"/>
          <w:szCs w:val="28"/>
          <w:rtl w:val="true"/>
          <w:lang w:bidi="fa-IR"/>
        </w:rPr>
        <w:t>المصدود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منعه العدوّ عن العمرة أو الحجّ، والمحصور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منعه المرض عن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أحرم للعمرة فمنعه عدوّ عن دخول مکّة، أو عن الطواف والسعی، جاز له أن یذبح 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مکانه ویتحلّل من إحرامه، والأحوط التقصیر أیضاً، ومثله من أحرم للحجّ فمنعه العدوّ عن أعماله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منعه المرض عن أعمال العمرة أو الحجّ، فأراد التحلّل، فالمحرم بالعمرة یبعث بهدی أو ثمنه إلی مکّة، ویواعده أن یذبح فی یوم معیّن وساعة معیّنة، فإذا دخل تلک الساعة قصّر وأحلّ من إحرامه، والمحرم بالحجّ یبعثه إلی منی لیذبح یوم العید، فإذا ذبح تحلّل هذا فی مکانه</w:t>
      </w:r>
      <w:r>
        <w:rPr>
          <w:rFonts w:eastAsia="IRNazanin" w:cs="IRNazanin"/>
          <w:color w:val="111111"/>
          <w:sz w:val="28"/>
          <w:szCs w:val="28"/>
          <w:rtl w:val="true"/>
          <w:lang w:bidi="fa-IR"/>
        </w:rPr>
        <w:t>.</w:t>
      </w:r>
      <w:bookmarkStart w:id="337" w:name="pg6476_56844"/>
    </w:p>
    <w:p>
      <w:pPr>
        <w:pStyle w:val="Heading2"/>
        <w:numPr>
          <w:ilvl w:val="1"/>
          <w:numId w:val="1"/>
        </w:numPr>
        <w:rPr/>
      </w:pPr>
      <w:bookmarkStart w:id="338" w:name="__RefHeading___Toc1265318_653776707"/>
      <w:bookmarkStart w:id="339" w:name="_Toc130"/>
      <w:bookmarkEnd w:id="337"/>
      <w:bookmarkEnd w:id="338"/>
      <w:r>
        <w:rPr>
          <w:rtl w:val="true"/>
        </w:rPr>
        <w:t>کتاب الأمر بالمعروف والنهی عن المنکر</w:t>
      </w:r>
      <w:bookmarkEnd w:id="339"/>
    </w:p>
    <w:p>
      <w:pPr>
        <w:pStyle w:val="Heading3"/>
        <w:numPr>
          <w:ilvl w:val="2"/>
          <w:numId w:val="1"/>
        </w:numPr>
        <w:rPr/>
      </w:pPr>
      <w:bookmarkStart w:id="340" w:name="__RefHeading___Toc1265320_653776707"/>
      <w:bookmarkStart w:id="341" w:name="_Toc131"/>
      <w:bookmarkEnd w:id="340"/>
      <w:r>
        <w:rPr>
          <w:rtl w:val="true"/>
        </w:rPr>
        <w:t>فی أقسامهما وأحکامهما</w:t>
      </w:r>
      <w:bookmarkEnd w:id="3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ینقسم کلّ من الأمر والنهی فی المقام إلی واجب ومندوب، فالأمر بما وجب عقلاً أو شرعاً، والنهی عمّا قبح عقلاً أو حرم شرعاً واجبان، والأمر بالمندوب والنهی عن المکروه مندوبان، والظاهر أنّ وجوبهما کفائیّ یسقط عن الکلّ إذا قام به البعض، وإلّا کان الکلّ معذّبین، ولو توقّف إقامة الواجب أو ردع المنکر علی اجتماع عدّة أو الکلّ وجب الاجتماع، ولو اطمأنّ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قیام الغیر سقط عنه القیام، ولو توقّف الإقدام علی ارتکاب محرّم یلاحظ الأهمّیة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الأمر والنهی هاهنا توصّلیّ لغرض تحقّق الواجب وعدم تحقّق الحرام، فلو حصل الغرض ببیان الحکم الشرعی أو المصلحة والمفسدة أو أمر أو نهی بلا قصد القربة، سقط التکلیف وإن لم یؤجر فی الأخیر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الواجب الأصلی فی المقام هو حمل الغیر علی إتیان الواجب وردعه عن الحرام، سواء أکان باللفظ أو الإشارة أو الکتابة أو بعثه تکویناً نحو العمل أو زجره کذلک، وإن کان المصداق الأرجح الإنشاء لفظاً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 هذا الوجوب قبل فوت الواجب لیکون الأمر محرّکاً نحو الوجود، وقبل تحقّق الحرام لیکون النهی رادعاً عنه، فإن ظهر من حال الشخص</w:t>
      </w:r>
      <w:bookmarkStart w:id="342" w:name="pg6476_56845"/>
    </w:p>
    <w:p>
      <w:pPr>
        <w:pStyle w:val="BookText"/>
        <w:rPr/>
      </w:pPr>
      <w:bookmarkEnd w:id="342"/>
      <w:r>
        <w:rPr>
          <w:rFonts w:ascii="IRNazanin" w:hAnsi="IRNazanin" w:eastAsia="IRNazanin"/>
          <w:color w:val="111111"/>
          <w:sz w:val="28"/>
          <w:sz w:val="28"/>
          <w:szCs w:val="28"/>
          <w:rtl w:val="true"/>
          <w:lang w:bidi="fa-IR"/>
        </w:rPr>
        <w:t>علماً أو اطمئناناً أنّه أراد ترک الواجب أو فعل الحرام، وجب الأمر أو النهی، ولو کان العصیان بأمر مستمرّ، کلُبس المغصوب والجلوس فیه، والتفت الناهی فی الأثناء، فالتکلیف ساقط بالنسبة إلی ما مضی عصیاناً لانعدام الموضوع، ویجب النهی بالنسبة إلی ما بقی، فلا فرق بین کون النهی دافعاً عن الحرام أو رافعاً له، کما لا فرق فی الأمر بین کونه دخیلاً فی حدوث الواجب أو دوامه</w:t>
      </w:r>
      <w:r>
        <w:rPr>
          <w:rFonts w:eastAsia="IRNazanin" w:cs="IRNazanin"/>
          <w:color w:val="111111"/>
          <w:sz w:val="28"/>
          <w:szCs w:val="28"/>
          <w:rtl w:val="true"/>
          <w:lang w:bidi="fa-IR"/>
        </w:rPr>
        <w:t>.</w:t>
      </w:r>
    </w:p>
    <w:p>
      <w:pPr>
        <w:pStyle w:val="Heading3"/>
        <w:numPr>
          <w:ilvl w:val="2"/>
          <w:numId w:val="1"/>
        </w:numPr>
        <w:rPr/>
      </w:pPr>
      <w:bookmarkStart w:id="343" w:name="__RefHeading___Toc1265322_653776707"/>
      <w:bookmarkStart w:id="344" w:name="_Toc132"/>
      <w:bookmarkEnd w:id="343"/>
      <w:r>
        <w:rPr>
          <w:rtl w:val="true"/>
        </w:rPr>
        <w:t>فی شرائط وجوبهما</w:t>
      </w:r>
      <w:bookmarkEnd w:id="344"/>
    </w:p>
    <w:p>
      <w:pPr>
        <w:pStyle w:val="BookText"/>
        <w:rPr/>
      </w:pPr>
      <w:r>
        <w:rPr>
          <w:rFonts w:ascii="Amiri" w:hAnsi="Amiri" w:eastAsia="Amiri" w:cs="Amiri"/>
          <w:color w:val="111111"/>
          <w:sz w:val="28"/>
          <w:sz w:val="28"/>
          <w:szCs w:val="28"/>
          <w:rtl w:val="true"/>
          <w:lang w:bidi="ar-SA"/>
        </w:rPr>
        <w:t>وهی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یعرف الآمر أو الناهی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یترکه الغیر معروف، وما یرتکبه منکر، فلا یتعلّق هذان التکلیفان بالجاهل بالمعروف والمنکر، للجهل بالموضوع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إحراز کون الشیء معروفاً أو منکراً بطرق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والقواعد المعتبرة الاجتهادیّة، والتقلید، فللمکلّف أن یأمر بما أحرزه بتلک الطرق معروفاً، وینهی بما أحرزه منکراً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المسألة خلافیّة، واحتمل أنّ اعتقاد الفاعل أو التارک جوازه عنده، لا یجب الأمر والنهی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تارک الواجب أو فاعل الحرام جاهلاً بالوجوب أو الحرمة، خرج المورد عن مسألة الباب ودخل فی مسألة إرشاد الجاهل، فالواجب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الإعلام والتنبیه لا الأمر والنهی، فإذا أصرّ بعد ذلک دخل فی مسألة الباب، ووجب الأمر أو النهی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الوجوب العلم، بأنّه یتحقّق المعصیة عن الغیر، وأمّا لو عزم علیها أو اشتغل بمقدّماتها، ولم یعلم قدرته أو موصلیّة المقدّمات، لم یجب</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یکفی الاحتمال أو الظنّ بقیام الغیر بوظیفة الأمر والنهی أو کفایة القائم بها، فیجب له القیام، کما أنّه لو لم یؤثّر قیام الغیر، واحتمل تأثیر قیامه،</w:t>
      </w:r>
    </w:p>
    <w:p>
      <w:pPr>
        <w:pStyle w:val="BookText"/>
        <w:rPr/>
      </w:pP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المرتکب جاهلاً بالموضوع أو غافلاً عنه، کأن ترک الصلاة نسیاناً، أو الصوم جهلاً بدخول شهر رمضان، أو أکل المتنجّس جهلاً، لم یجب الأمر والنهی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یکون الفعل أو الترک مطلوباً عن کلّ من التفت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بنحو التسبیب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الأمر أو 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بواجبه الأصالی، کقتل النفس المحترمة ونحوه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اعتقاد الفاعل أو التارک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اجتهاداً أو تقلیداً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الجواز، واعتقد الآمر جوازه، فإن رأی الفعل المتجرّی به حراماً شرعاً أو قبیحاً عقلاً، وجب الأمر أو النهی، وإلّا فلا یجبان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تعلّم مسائل الأمر بالمعروف والنهی عن المنکر، من الشرائط والموانع، لئلّا یفوت عنه الواجب ولا یقع فی المنکر أحیاناً، کما إذا أکره الغیر بفعل المباح أو الحرام أو ترک المستحبّ والواجب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رأی غیره مخطئاً فی إرشاد الجاهل، مغیّراً لأحکام اللّه، وجب علیه تنبیه المرشد والمسترشد، وکذا إن رآه مخطئاً فی کیفیّة الأمر بالمعروف والنهی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یجوّز ویحتمل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عقلائیّاً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الأمر أو النهی، فلو علم أو اطمأنّ بعدمه فلا یجب، ومع الظنّ بعدم التأثیر لا یسقط</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علم عدم تأثیر الحمل إلّامع الإشفاع بالموعظة والنصیحة ونحوهما، یجب ذلک، کما أنّه لو علم التأثیر مع التکرار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توقّف تأثیره علی الترخیص فی عصیان آخر، فإن کان مورد الأمر والنهی أهمّ جدّاً، جاز کالنهی عن قتل المؤمن المتوقّف علی ترک الصوم وأکل الحرام، وإلّا فلا یجوز، ومثله ما لو</w:t>
      </w:r>
    </w:p>
    <w:p>
      <w:pPr>
        <w:pStyle w:val="BookText"/>
        <w:rPr/>
      </w:pPr>
      <w:r>
        <w:rPr>
          <w:rFonts w:ascii="IRNazanin" w:hAnsi="IRNazanin" w:eastAsia="IRNazanin"/>
          <w:color w:val="111111"/>
          <w:sz w:val="28"/>
          <w:sz w:val="28"/>
          <w:szCs w:val="28"/>
          <w:rtl w:val="true"/>
          <w:lang w:bidi="fa-IR"/>
        </w:rPr>
        <w:t>توقّف التأثیر علی ارتکاب نفس الآمر أو الناهی حراماً، کدخول المحلّ المغصوب للردع عن شرب الخمر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احتمل التأثیر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تعویق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ولو احتمل تأثیر الوفاق والخلاف، لم یجب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الواجبات التوبة من الذنب، فلو ارتکب حراماً أو ترک واجباً وجبت التوبة فوراً، ومن أخّرها عمداً وجب الأمر بها فإنّها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الواجبات المتروکة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فی إنکاره مفسدة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علم أو اطمأنّ بأنّ إنکاره موجب لضرر عرضی أو نفسی علیه أو علی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أو فی المستقبل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وجوب الأمر أو النهی، بل یحرم الإنکار فی غالب فروضه، ومثله الضرر المالیّ الوارد علی غیره، وأمّا الوارد علی نفسه فیتخیّر فیه بین الإنکار وتحمّل الضرر وبین ترکه، وکذلک لو توقّف الإنکار علی بذل مال قلیل أو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المعروف أو المنکر من الاُمور المهمّة للشرع، کالواجبات، والمحرّمات الکبیرة، وقتل النفوس، وهتک الأعراض، أو إمحاء بعض أحکام الدین أو بعض شعائر الإسلام کبیت اللّه الحرام، لابدّ من ملاحظة الأهمّیة، ولا یکون مطلق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النفسی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 لرفع التکلیف</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وقعت بدعة فی الدین، وکان سکوت علماء المذهب سبباً لتأییدها وضعف عقائد المسلمین، وجب علیهم الإنکار، سواءً أکان مؤثّراً فی قلع الفساد أم لم یکن، وکذا لو کان سکوتهم عن إنکار المنکرات سبباً لرواجها وتثبیتها، أو لکون المنکر معروفاً، أو المعروف منکراً، أو لجرئة الظلمة علی إبداع البدع،</w:t>
      </w:r>
      <w:bookmarkStart w:id="345" w:name="pg6476_56848"/>
    </w:p>
    <w:p>
      <w:pPr>
        <w:pStyle w:val="BookText"/>
        <w:rPr/>
      </w:pPr>
      <w:bookmarkEnd w:id="345"/>
      <w:r>
        <w:rPr>
          <w:rFonts w:ascii="IRNazanin" w:hAnsi="IRNazanin" w:eastAsia="IRNazanin"/>
          <w:color w:val="111111"/>
          <w:sz w:val="28"/>
          <w:sz w:val="28"/>
          <w:szCs w:val="28"/>
          <w:rtl w:val="true"/>
          <w:lang w:bidi="fa-IR"/>
        </w:rPr>
        <w:t>فیجب علیهم الإنکار وإن لم یؤثّر فی تمام المطلوب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ورود بعض العلماء فی شؤون الدول، موجباً لإقامة الفرائض أو قلع المنکرات، ولم یکن تضعیفاً لعقائد المسلمین أو سبباً لتجرّیهم علی هتک المحرّمات، وجب ذلک کفایة أو عیناً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لطلّاب العلوم الدینیّة الدخول فی المؤسّسات الدولیّة المسمّاة بالدینیّة والانتساب إلیهم، ویحرم السکنی فی المدارس التی قبضوها من أهلها، وأخذ ما أجروا علیها من أوقاف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للعلماء تصدّی اُمور المدارس الدینیّة من قبل الدول الظالمة، وتصدّی إجراء الحقوق فی أهلها من ناحیتهم من منافع موقوفاتها أو من غیرها، والمتصدّی لذلک لا یترتّب علیه أحکام العدالة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یشترط فی الآمر والناهی العدالة أو کونه عاملاً بما یقول، فیجب الإنکار علی الفسّاق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خالفت الإنکار أفعالهم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الإنکار علی المعذور عن مخالفة الأحکام کالصغیر والمجنون والمکره وغیرهم، بل وکذا لو احتمل العذر فی ارتکابهم المنکر؛ کما لو رأی أحداً أفطر فی شهر رمضان، إلّاإذا استلزم فعله هتکاً للإسلام، فیجب النهی لذلک</w:t>
      </w:r>
      <w:r>
        <w:rPr>
          <w:rFonts w:eastAsia="IRNazanin" w:cs="IRNazanin"/>
          <w:color w:val="111111"/>
          <w:sz w:val="28"/>
          <w:szCs w:val="28"/>
          <w:rtl w:val="true"/>
          <w:lang w:bidi="fa-IR"/>
        </w:rPr>
        <w:t>.</w:t>
      </w:r>
    </w:p>
    <w:p>
      <w:pPr>
        <w:pStyle w:val="Heading3"/>
        <w:numPr>
          <w:ilvl w:val="2"/>
          <w:numId w:val="1"/>
        </w:numPr>
        <w:rPr/>
      </w:pPr>
      <w:bookmarkStart w:id="346" w:name="__RefHeading___Toc1265324_653776707"/>
      <w:bookmarkStart w:id="347" w:name="_Toc133"/>
      <w:bookmarkEnd w:id="346"/>
      <w:r>
        <w:rPr>
          <w:rtl w:val="true"/>
        </w:rPr>
        <w:t>مراتب الأمر بالمعروف والنهی عن المنکر</w:t>
      </w:r>
      <w:bookmarkEnd w:id="347"/>
    </w:p>
    <w:p>
      <w:pPr>
        <w:pStyle w:val="BookText"/>
        <w:rPr/>
      </w:pPr>
      <w:r>
        <w:rPr>
          <w:rFonts w:ascii="IRNazanin" w:hAnsi="IRNazanin" w:eastAsia="IRNazanin"/>
          <w:color w:val="111111"/>
          <w:sz w:val="28"/>
          <w:sz w:val="28"/>
          <w:szCs w:val="28"/>
          <w:rtl w:val="true"/>
          <w:lang w:bidi="fa-IR"/>
        </w:rPr>
        <w:t xml:space="preserve">فإنّ لهما مراتب لا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لا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التعدّی عن مرتبة إلی اُخری مع حصول المطلوب بها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المرتبة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الانزجار عن فعل الغیر بإشارة عین أو ید، أو ترک عشرة ومراودة، فلو کان فی إعراض علماء المذهب أو سائر المؤمنین عن رؤساء</w:t>
      </w:r>
    </w:p>
    <w:p>
      <w:pPr>
        <w:pStyle w:val="BookText"/>
        <w:rPr/>
      </w:pPr>
      <w:r>
        <w:rPr>
          <w:rFonts w:ascii="IRNazanin" w:hAnsi="IRNazanin" w:eastAsia="IRNazanin"/>
          <w:color w:val="111111"/>
          <w:sz w:val="28"/>
          <w:sz w:val="28"/>
          <w:szCs w:val="28"/>
          <w:rtl w:val="true"/>
          <w:lang w:bidi="fa-IR"/>
        </w:rPr>
        <w:t>الجور، أو فی ردّ هدایاهم، ردع عن ظلمهم أو تخفیف فی ذلک وجب، وأمّا الإنکار القلبی بلا إظهار بمظهر فهو من لوازم الإیمان لا من مراتب الأمر والنهی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والنهی لساناً أو کتابة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علم أنّ المقصود لا یحصل بالمرتبة الاُولی، وجب الانتقال إلی الثانیة، من غیر فرق بین مصادیقها؛ من الأمر الصریح، أو الوعظ والنصیحة، وبیان المصلحة والمفسدة، والإخبار بالمثوبة والعقوبة، وکلّ قول لیّن لعلّه یتذکّر أو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یؤثّر ذلک یترقّی منه إلی تشدید القول وتغلیظه والتهدید والوعید، ومنه إلی اغتیابه بین الناس، ومنه إلی سبّه وشتمه وإهانته إذا کان مورد الأمر والنهی ممّا یهتمّ به الشارع، فلابدّ للآمر والناهی من ملاحظة الأیسر فالأیسر، والجمع بین المراتب إذا توقّف المطلوب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توقّف دفع المنکر وإقامة المعروف علی التوسّل بالغیر وإن کان ظالماً، وجب ذلک، مع الأمن من تعدّیه عمّا یجوز إلی ما لا یجوز، وعدم ترتّب مفسدة علیه من تقویة الظلمة ووهن الحقّ، بل الظالم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کغیره بالأمر بالمعروف والنهی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الإنکار بالید ونحوها من أقسام البعث والزجر التکوینیّین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علم أو اطمأنّ بأنّ المطلوب لا یحصل بالمرتبتین السابقتین وجب الانتقال إلی الثالثة، وهی إعمال القدرة مراعیاً للأیسر فالأیسر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الحیلولة بین المنکر وفاعله، وأخذ آلات المعصیة من یده، أو إتلاف آلات الطرب ونحوه، أو زجر الفاعل وطرده، أو تحریکه بعنف نحو الصلاة والزکاة، ویتعدّی من ذلک إلی حبسه أو منعه عن الخروج من بیته، ومنه إلی التضییق علیه والتحریج، ومنه إلی بعض مراتب الضرب والإیلام</w:t>
      </w:r>
      <w:r>
        <w:rPr>
          <w:rFonts w:eastAsia="IRNazanin" w:cs="IRNazanin"/>
          <w:color w:val="111111"/>
          <w:sz w:val="28"/>
          <w:szCs w:val="28"/>
          <w:rtl w:val="true"/>
          <w:lang w:bidi="fa-IR"/>
        </w:rPr>
        <w:t>.</w:t>
      </w:r>
      <w:bookmarkStart w:id="348" w:name="pg6476_56850"/>
    </w:p>
    <w:p>
      <w:pPr>
        <w:pStyle w:val="BookText"/>
        <w:rPr/>
      </w:pPr>
      <w:bookmarkEnd w:id="3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انجرّ المنع ونحوه إلی وقوع ضرر علی الممنوع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کسر کأسه وسکّینه وخرق ثوبه ونحو ذلک ممّا هو من لوازم المدافعة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الآمر ضامناً علی إشکال فیه، ولو کسر الصندوق أو ظرف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لیس من لوازم الدفع، ضمن القیمة سواء جاز فعله من باب المقدّمة أم لم یجز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الرّدع مستلزماً للجرح أو القتل أو الضرب الفظیع، توقّف علی إذن الإمام علیه السلام أو نائبه الخاصّ أو العامّ، نعم لو کان مورد الإنکار مهتمّاً به لدی الشارع کقتل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ذلک بدون إذن الحاکم، فلو همّ شخص بقتل مؤمن، وجب دفعه ولو بقتله مع أمن الدافع عن الفساد، ولیس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التعدّی من الأدون إلی الأعلی إلّامع عدم تأثیر الأدون، فلو تعدّی أثِم وضمن القیمة أو الدیة</w:t>
      </w:r>
      <w:r>
        <w:rPr>
          <w:rFonts w:eastAsia="IRNazanin" w:cs="IRNazanin"/>
          <w:color w:val="111111"/>
          <w:sz w:val="28"/>
          <w:szCs w:val="28"/>
          <w:rtl w:val="true"/>
          <w:lang w:bidi="fa-IR"/>
        </w:rPr>
        <w:t>.</w:t>
      </w:r>
    </w:p>
    <w:p>
      <w:pPr>
        <w:pStyle w:val="Heading3"/>
        <w:numPr>
          <w:ilvl w:val="2"/>
          <w:numId w:val="1"/>
        </w:numPr>
        <w:rPr/>
      </w:pPr>
      <w:bookmarkStart w:id="349" w:name="__RefHeading___Toc1265326_653776707"/>
      <w:bookmarkStart w:id="350" w:name="_Toc134"/>
      <w:bookmarkEnd w:id="349"/>
      <w:r>
        <w:rPr>
          <w:rtl w:val="true"/>
        </w:rPr>
        <w:t>ختام فیه مسائل</w:t>
      </w:r>
      <w:bookmarkEnd w:id="3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لأحد تکفّل السیاسة والاُمور العامّة التی یرجع فیها کلّ طائفة إلی رئیسهم، کإجراء الحدود والقضاء بین الناس، وجبایة الخراج، وأخذ الزکوات والأخماس، وتدبیر اُمور القُصّر والتصرّف فی أموالهم، إلّالإمام المسلمین علیه السلام ومن نصبه لذلک، منهم الفقهاء الجامعون للشرائط فی زمان غیبته إلّا البدأة بالجهاد، فإنّه موقوف علی إذن إمام الأصل علیه السلام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کفایة علی النوّاب العامّ القیام بتلک الاُمور مع القدرة، ویجب علی الناس إطاعتهم فیها ومساعدتهم، ولا یجوز لهم الرجوع إلی حکّام الجور وقضاته، فلو رجعوا مع إمکان الفقیه العادل، کان ما أخذوا بحکمهم سُحتاً</w:t>
      </w:r>
      <w:r>
        <w:rPr>
          <w:rFonts w:eastAsia="IRNazanin" w:cs="IRNazanin"/>
          <w:color w:val="111111"/>
          <w:sz w:val="28"/>
          <w:szCs w:val="28"/>
          <w:rtl w:val="true"/>
          <w:lang w:bidi="fa-IR"/>
        </w:rPr>
        <w:t>.</w:t>
      </w:r>
      <w:bookmarkStart w:id="351" w:name="pg6476_56851"/>
    </w:p>
    <w:p>
      <w:pPr>
        <w:pStyle w:val="Heading2"/>
        <w:numPr>
          <w:ilvl w:val="1"/>
          <w:numId w:val="1"/>
        </w:numPr>
        <w:rPr/>
      </w:pPr>
      <w:bookmarkStart w:id="352" w:name="__RefHeading___Toc1265328_653776707"/>
      <w:bookmarkStart w:id="353" w:name="_Toc135"/>
      <w:bookmarkEnd w:id="351"/>
      <w:bookmarkEnd w:id="352"/>
      <w:r>
        <w:rPr>
          <w:rtl w:val="true"/>
        </w:rPr>
        <w:t>کتاب المکاسب والمتاجر</w:t>
      </w:r>
      <w:bookmarkEnd w:id="353"/>
    </w:p>
    <w:p>
      <w:pPr>
        <w:pStyle w:val="BookText"/>
        <w:rPr/>
      </w:pPr>
      <w:r>
        <w:rPr>
          <w:rFonts w:ascii="IRNazanin" w:hAnsi="IRNazanin" w:eastAsia="IRNazanin"/>
          <w:color w:val="111111"/>
          <w:sz w:val="28"/>
          <w:sz w:val="28"/>
          <w:szCs w:val="28"/>
          <w:rtl w:val="true"/>
          <w:lang w:bidi="fa-IR"/>
        </w:rPr>
        <w:t>وهی أنواع کثیرة نذکر جلّها والمسائل المتعلّقة بها فی طیّ 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التکسّب بالأعیان النجسة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بجمیع أنواعها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بمطلق المعاوضات، کجعلها بیعاً وثمناً واُجرة وغیرها، ولا یبعد دوران الحرمة مدار عدم المنفعة بها، فلو کانت لها منفعة محلّلة کالتسمید فی العذرة، کانت 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وجاز التکسّب بها، لکنّ الأحوط شدیداً أن یبذل المال لصاحبها لیرفع یده ویعرض عنها، فیحوزها باذل المال لیسلم عن الإشکال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إشکال فی جواز بیع ما لا تحلّه الحیاة من أجزاء المیتة کشعرها وصوفها، وفی جواز بیع المیتة الطاهرة، کالسّمک إذا کانت له منفعة محلّلة 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بیع الأرواث الطاهرة، بل والأبوال الطاهرة إذا کانت لها منفعة محلّلة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بیع المتنجّس، سواء کان قابلاً للتطهیر کالماء والجُبُن، أو غیر قابل له إذا فرض له منفعة محلّلة کالدهن والصبغ</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بیع الهرّة وسائر أنواع السباع والحشرات والمسوخ، فضلاً عن بیع العلق ودود القزّ ونحل العسل؛ لأنّ المدار فی الجمیع وجود المنفعة المحلّلة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بیع ما کان آلة للحرام؛ بحیث کانت منفعته منحصرة فیه، کآلات اللهو والمزامیر ونحوها، وآلات القمار والشطرنج والنرد، کما یحرم جعلها وصنعها وأخذ الاُجرة علی صنعها، بل یجب کسرها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بیع موادّها، ویجوز بیع أوانی الذهب والفضّة للتزیین والاقتناء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النقود المعمولة لأجل غشّ الناس، یجب کسرها وإتلافها، وتحرم المعاملة بها ولا یملک المأخوذ فی مقابلها، بل یحرم التصرّف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بیع العنب والتمر لیعمل خمراً، أو الخشب والحدید لیعمل آلة للَّهو والقمار ونحوهما، وذلک إمّا بأن یذکر فی ضمن العقد فیقال بعته لتعمله خمراً، أو یکون ذلک من قصدهما، ومثل ذلک إجارة المساکن والدکاکین والسیّارات لصنعة المحرّمات فیها، أو إحرازها، أو نقلها، وکما یحرم البیع والإجارة یفسدان أیضاً، فلا یملک الثمن والاُجرة ویحرم التصرّف فیهما، وأمّا البیع والإجارة فی تلک الأمثلة ممّن یعلم أنّه یصرفها فی المعصیة، مع عدم الاشتراط لفظاً والتبانی قلباً، فالأحوط الحرمة، وإن کان الجواز فی بیع العنب أو التمر ممّن یجعله خمراً غیر بعید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یحرم بیع السلاح من أعداء الدین حال مباینتهم مع المسلمین ومقاتلتهم، وأمّا فی حال الهدنة معهم فلا بأس، ویلحق بالکفّار من یعادی الفرقة المحقّة من فرق المسلمین، بل قطّاع الطریق ونحوهم، کما یلحق بالسلاح کلّ ما یکون تقویة لهم علی أهل الحقّ من الزاد والراحلة وغیرها، والظاهر الحرمة فی غیر حال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بادّخارهم للسلاح ونحوها لحال الحرب</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تصویر ذوات الأرواح وأخذ الاُجرة علیه إذا کانت الصورة مجسّمة، والأحوط ذلک مع عدم التجسیم أیضاً، ویجوز تصویر غیر ذوات الأرواح ولو مع التجسیم، وکذا التصویر المتداول فی زماننا، کما أنّ التحریم فیما</w:t>
      </w:r>
    </w:p>
    <w:p>
      <w:pPr>
        <w:pStyle w:val="BookText"/>
        <w:rPr/>
      </w:pPr>
      <w:r>
        <w:rPr>
          <w:rFonts w:ascii="IRNazanin" w:hAnsi="IRNazanin" w:eastAsia="IRNazanin"/>
          <w:color w:val="111111"/>
          <w:sz w:val="28"/>
          <w:sz w:val="28"/>
          <w:szCs w:val="28"/>
          <w:rtl w:val="true"/>
          <w:lang w:bidi="fa-IR"/>
        </w:rPr>
        <w:t>ذکر مخصوص بالتصویر، وأمّا البیع والاقتناء والاستعمال، فالظاهر أنّه 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الغناء حرام فعله وسماعه والتکسّب به، ولیس هو مجرّد تحسین الصوت، بل هو الصوت المشتمل علی التحسین المطرب المناسب لآلات اللهو ومجالس اللعب، ولا فرق بین استعماله فی کلام حقّ أو باطل، ویستثنی منه غناء المغنّیات فی الأعراس، مع عدم سماع الأجنبیّ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معونة الظالمین فی ظلمهم حرام، کمعونتهم فی سائر المحرّمات، وأمّا معونتهم فی غیر المحرّمات کإعطاء الغذاء واللباس لهم، فإن عدّ من أعوانهم کخیّاط السلطان وطبّاخه، حرم وإلّا فلا یحرم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حفظ کتب الضلال کتابة ودرساً وتدریساً وحفظاً عن ظهر القلب، إلّالغرض صحیح کإبطاله وردّه مع کونه أهلاً له، ولا فرق بین کونها سبباً للضلال فی العقائد أو فی الأخلاق أو فی الأعمال، کعدّة من الجرائد والنشریات فی زماننا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السحر وتعلیمه وتعلّمه والتکسّب به حرام، والمراد به ما یعمل من کتابة أو تکلّم أو نفث أو عقد یؤثّر فی بدن المسحور أو روحه، فیؤثّر فی إحضاره أو إماتته ونحو ذلک، ویلحق بذلک إحضار الجنّ والأرواح والملک، وتسخیرهم، والشعبذة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إراءة غیر الواقع واقعاً بسبب الحرکة السریعة ونحوها، وأمّا التنجیم وهو الإخبار عن الحوادث السفلیّة من الموت والحیاة وکثرة الأمطار وغیرها، مستنداً إلی تأثیر الفلکیّات فی ذلک بجعل اللّه وإعطائه، فلا بأس به، کما أنّه لیس منه الإخبار عن الکسوف والخسوف والأهلّة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الغشّ بما یخفی، کشوب اللبن بالماء، ومزج الشحم بالدهن، والقطن بالصوف ونحو ذلک من دون إعلام، ولا یبطل المعاملة بذلک، نعم لو ظهر المبیع من غیر جنسه بطل، کالذهب المبیع إذا ظهر مموّهاً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أخذ الاُجرة علی ما یجب علی المکلّف عیناً أو کفایة، کتجهیز المیّت، وتعلیم مسائل الحلال والحرام، ولا بأس بأخذ الطبیب الاُجرة علی المعالجة، وإن وجبت علیه عیناً أو کفایة، ومثله تعلیم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لو استؤجر علی ما یجب علی نفس الأجیر، وأمّا ما یجب علی غیره کالاستیجار فی الصلاة والصیام فلا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کلّ من یباشر التجارة والتکسّب، تعلّم أحکامها اجتهاداً أو تقلیداً، لیعرف صحیحها عن فاسدها ویسلم من الربا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الاحتکار، وهو جمع الطعام وحبسه یتربّص به الغلاء، مع احتیاج المسلمین وضرورتهم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ویجبر المحتکر علی البیع، فإذا أجحف أمره الحاکم بالتنزّل، وله أن یعیّن السفر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الدخول فی الولایات والمناصب من قبل الجائر؛ وإن کان أصل الشغل مشروعاً، کعمّال البرید والتلغراف والقاطرة ونحوها، فضلاً عمّا کان غیر مشروع، کأخذ العشور والمکوس، ویسوغ جمیع ذلک مع الجبر والإکراه فی الجملة، ویسوغ ما کان مشروعاً فی نفسه، کالقیام بمصالح المسلمین والإحسان لإخوانه فی الدین، ویجب أحیاناً فیما إذا توقّف الأمر بالمعروف والنهی عن المنکر علیه</w:t>
      </w:r>
      <w:r>
        <w:rPr>
          <w:rFonts w:eastAsia="IRNazanin" w:cs="IRNazanin"/>
          <w:color w:val="111111"/>
          <w:sz w:val="28"/>
          <w:szCs w:val="28"/>
          <w:rtl w:val="true"/>
          <w:lang w:bidi="fa-IR"/>
        </w:rPr>
        <w:t>.</w:t>
      </w:r>
      <w:bookmarkStart w:id="354" w:name="pg6476_56855"/>
    </w:p>
    <w:p>
      <w:pPr>
        <w:pStyle w:val="Heading2"/>
        <w:numPr>
          <w:ilvl w:val="1"/>
          <w:numId w:val="1"/>
        </w:numPr>
        <w:rPr/>
      </w:pPr>
      <w:bookmarkStart w:id="355" w:name="__RefHeading___Toc1265330_653776707"/>
      <w:bookmarkStart w:id="356" w:name="_Toc136"/>
      <w:bookmarkEnd w:id="354"/>
      <w:bookmarkEnd w:id="355"/>
      <w:r>
        <w:rPr>
          <w:rtl w:val="true"/>
        </w:rPr>
        <w:t>کتاب البیع</w:t>
      </w:r>
      <w:bookmarkEnd w:id="356"/>
    </w:p>
    <w:p>
      <w:pPr>
        <w:pStyle w:val="Heading3"/>
        <w:numPr>
          <w:ilvl w:val="2"/>
          <w:numId w:val="1"/>
        </w:numPr>
        <w:rPr/>
      </w:pPr>
      <w:bookmarkStart w:id="357" w:name="__RefHeading___Toc1265332_653776707"/>
      <w:bookmarkStart w:id="358" w:name="_Toc137"/>
      <w:bookmarkEnd w:id="357"/>
      <w:r>
        <w:rPr>
          <w:rtl w:val="true"/>
        </w:rPr>
        <w:t>اشارة</w:t>
      </w:r>
      <w:bookmarkEnd w:id="3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البیع یحتاج إلی إیجاب وقبول، بأیّ لغة کان، فإنّ المدار إنشاء تملیک العین بالمال وقبوله، ولو اُوجِبَ بشرط وقبل بلا شرط أو بالعکس، لم ینعقد، 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بشرط الخیار،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بلا خیار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الأقوی صحّة بیع المعاطاة ولزومها کالبیع العقدی،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المبیع والثمن بقصد البیع والشراء، أو تسلیم أحدهما وتسلّمه بذلک القصد، کما فی بیع النسیئة والسلف المعاطاتین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فرق فی ترتّب أحکام البیع بین العقدی والمعاطاتی، حتّی فیما إذا اُرید اشتراط شیء، فیذکرانه قُبیل المعاطاة، ثمّ یتعاطیان علی ذلک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جریان المعاطاة فی سائر العقود کلام یأتی فی محلّه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یبطل البیع بالتعلیق علی مشکوک الحصول، کما إذا قال بعت إن جاء المسافر، أو إن بعتَ الملک الفلانی منّی، ویقبله المشتری کذلک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قبض المشتری ما ابتاعه بالعقد الفاسد لم یملکه، ووجب ردّه وکان ضامناً، فلو أتلفه أو تلف یجب علیه ردّ عوضه مثلاً أو قیمة، نعم لو کان کلّ منهما راضیاً بالتصرّف ولو مع بطلان البیع، جاز التصرف ولا ضمان</w:t>
      </w:r>
      <w:r>
        <w:rPr>
          <w:rFonts w:eastAsia="IRNazanin" w:cs="IRNazanin"/>
          <w:color w:val="111111"/>
          <w:sz w:val="28"/>
          <w:szCs w:val="28"/>
          <w:rtl w:val="true"/>
          <w:lang w:bidi="fa-IR"/>
        </w:rPr>
        <w:t>.</w:t>
      </w:r>
      <w:bookmarkStart w:id="359" w:name="pg6476_56856"/>
    </w:p>
    <w:p>
      <w:pPr>
        <w:pStyle w:val="Heading3"/>
        <w:numPr>
          <w:ilvl w:val="2"/>
          <w:numId w:val="1"/>
        </w:numPr>
        <w:rPr/>
      </w:pPr>
      <w:bookmarkStart w:id="360" w:name="__RefHeading___Toc1265334_653776707"/>
      <w:bookmarkStart w:id="361" w:name="_Toc138"/>
      <w:bookmarkEnd w:id="359"/>
      <w:bookmarkEnd w:id="360"/>
      <w:r>
        <w:rPr>
          <w:rtl w:val="true"/>
        </w:rPr>
        <w:t>شروط البیع</w:t>
      </w:r>
      <w:bookmarkEnd w:id="361"/>
    </w:p>
    <w:p>
      <w:pPr>
        <w:pStyle w:val="Heading4"/>
        <w:numPr>
          <w:ilvl w:val="3"/>
          <w:numId w:val="1"/>
        </w:numPr>
        <w:rPr/>
      </w:pPr>
      <w:bookmarkStart w:id="362" w:name="__RefHeading___Toc1265336_653776707"/>
      <w:bookmarkStart w:id="363" w:name="_Toc139"/>
      <w:bookmarkEnd w:id="362"/>
      <w:r>
        <w:rPr>
          <w:rtl w:val="true"/>
        </w:rPr>
        <w:t>اشارة</w:t>
      </w:r>
      <w:bookmarkEnd w:id="363"/>
    </w:p>
    <w:p>
      <w:pPr>
        <w:pStyle w:val="BookText"/>
        <w:rPr/>
      </w:pP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راجعة إلی المتعاقدین، أو إلی العوضین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شروط المتعاقدین فهی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فلا یصحّ بیع الصبیّ ولو کان ممیّزاً، أو کان بإذن الولیّ فی الأشیاء الخطیرة، وأمّا الأشیاء الیسیرة ممّا جرت علیه السیرة، فلا یبعد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فلا یصحّ بیع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الاختیار، فلا یصحّ بیع المکره، وهو الذی حمله الغیر علی الفعل، فیفعله بغیر رضیً خوفاً من إضراره، ویصحّ بیع المضطرّ، کالمدیون والمریض اضطرّا إلی بیع الدار، ولو رضی المکره بعد زوال الإکراه صحّ ولزم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کونهما مالکین للتصرّف، کصاحب المال ووکیله وولیّه، فلا یکون بیع من لا یملک التصرّف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کالأجنبی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نافذاً لازماً، لکنّه یتوقّف علی إجازة المالک، فمتی أجازه صحّ ولزم، ومتی ردّه بطل، ویسمّی هذا العقد فضولیّاً، ولا فرق بین أن یبیع لنفسه أو لمالکه، کما لا فرق فی الإجازة بین القول والفعل، کالتصرّف فی الثمن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کون الإجازة کاشفة عن صحّة العقد وحصول الملک من حین العقد أو من حین الإجازة، اختلاف أظهرها الأوّل، ویقال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الإجازة کاشفة، وعلی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ناقلة، وثمرة القولین تظهر فی النماء المتخلّل بین العقد والإجازة، فعلی الأوّل نماء المبیع للمشتری والثمن للبائع، وعلی الثانی بالعکس</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ردّ المالک بیع الفضولی انتزع ماله ممّن وجده عنده؛ من الفضولی أو المشتری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منافعه المستوفاة وغیرها فی تلک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w:t>
      </w:r>
      <w:bookmarkStart w:id="364" w:name="pg6476_56857"/>
    </w:p>
    <w:p>
      <w:pPr>
        <w:pStyle w:val="BookText"/>
        <w:rPr/>
      </w:pPr>
      <w:bookmarkEnd w:id="364"/>
      <w:r>
        <w:rPr>
          <w:rFonts w:ascii="IRNazanin" w:hAnsi="IRNazanin" w:eastAsia="IRNazanin"/>
          <w:color w:val="111111"/>
          <w:sz w:val="28"/>
          <w:sz w:val="28"/>
          <w:szCs w:val="28"/>
          <w:rtl w:val="true"/>
          <w:lang w:bidi="fa-IR"/>
        </w:rPr>
        <w:t>توارد علیه أیادی کثیرة جاز مطالبة أیّ شخص منهم بالعین ومنافعها، ولو تلفت العین أخذ بدلها ممّن تلفت عنده، ولو کان أخذها الفضولی، فسلّمها إلی المشتری وهو إلی ثالث وهکذا، یتخیّر المالک فی أخذ البدل من أیّ منهم 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أحدث المشتری لمال الغیر فیما اشتراه بناء أو غرساً أو زرعاً، فللمالک إلزامه بإزالة الجمیع وتسویة الأرض، ولا یضمن خسران المشتری، ویجوز للمشتری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إزالتها وإصلاح الأرض وإن رضی المالک بالبقاء، ثمّ إن کان المشتری جاهلاً بالحال، رجع إلی البائع الفضولی بکلّ خسارة وردت علیه، وإلّا فلا یرجع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باع أحد مِلْکه ومِلْک غیره، صحّ البیع فی ملکه وکان فی ملک الغیر فضولیّاً محتاجاً إلی إجازة مالکه، فإن أجاز قسّم الثمن بین البایع والمالک الآخر، وإن لم یجز تخیّر المشتری بین قبول حصّة البائع بحصّته من الثمن، وبین إبطال البیع رأساً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للأب والجدّ له أن یتصرّفا فی مال الصغیر بالبیع والإجارة ونحوهما، والأقوی عدم اعتبار العدالة فیهما، ویشترط فی صحّة تصرّفهما عدم المفسدة فیه، ولهما الولایة لنفس الصغیر بالإجارة والتزویج وغیرهما إلّاالطلاق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لغیرهما من أقارب الصغیر ولایة علیه، ویجوز لهما نصب قیّم أمین للصغیر بعد موتهما، فیتصرّف فی ماله بمقتضی المصلحة، ومع عدم الأب والجدّ والقیّم فللحاکم الشرعی ولایة التصرّف فی الصغار وأموالهم فیما فی ترکه ضرر وفساد</w:t>
      </w:r>
      <w:r>
        <w:rPr>
          <w:rFonts w:eastAsia="IRNazanin" w:cs="IRNazanin"/>
          <w:color w:val="111111"/>
          <w:sz w:val="28"/>
          <w:szCs w:val="28"/>
          <w:rtl w:val="true"/>
          <w:lang w:bidi="fa-IR"/>
        </w:rPr>
        <w:t>.</w:t>
      </w:r>
    </w:p>
    <w:p>
      <w:pPr>
        <w:pStyle w:val="Heading4"/>
        <w:numPr>
          <w:ilvl w:val="3"/>
          <w:numId w:val="1"/>
        </w:numPr>
        <w:rPr/>
      </w:pPr>
      <w:bookmarkStart w:id="365" w:name="__RefHeading___Toc1265338_653776707"/>
      <w:bookmarkStart w:id="366" w:name="_Toc140"/>
      <w:bookmarkEnd w:id="365"/>
      <w:r>
        <w:rPr>
          <w:rtl w:val="true"/>
        </w:rPr>
        <w:t>شرائط العوضین</w:t>
      </w:r>
      <w:bookmarkEnd w:id="366"/>
    </w:p>
    <w:p>
      <w:pPr>
        <w:pStyle w:val="BookText"/>
        <w:rPr/>
      </w:pPr>
      <w:r>
        <w:rPr>
          <w:rFonts w:ascii="Amiri" w:hAnsi="Amiri" w:eastAsia="Amiri" w:cs="Amiri"/>
          <w:color w:val="111111"/>
          <w:sz w:val="28"/>
          <w:sz w:val="28"/>
          <w:szCs w:val="28"/>
          <w:rtl w:val="true"/>
          <w:lang w:bidi="ar-SA"/>
        </w:rPr>
        <w:t>وهی اُمور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المبیع تعیین المقدار بالوزن أو الکیل أو العدّ أو المتر أو</w:t>
      </w:r>
    </w:p>
    <w:p>
      <w:pPr>
        <w:pStyle w:val="BookText"/>
        <w:rPr/>
      </w:pPr>
      <w:r>
        <w:rPr>
          <w:rFonts w:ascii="IRNazanin" w:hAnsi="IRNazanin" w:eastAsia="IRNazanin"/>
          <w:color w:val="111111"/>
          <w:sz w:val="28"/>
          <w:sz w:val="28"/>
          <w:szCs w:val="28"/>
          <w:rtl w:val="true"/>
          <w:lang w:bidi="fa-IR"/>
        </w:rPr>
        <w:t xml:space="preserve">المساحة أو المشاهدة فی بعض الأشیاء، کالحیوان والشجر والنبات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تکفی المشاهدة فیما یعتبر بغیرها، ولا تقدیر شیء بغیر ما یقدّر به إلّافی الجملة، ویمکن أن یکون لشیء تقدیران، وأن یکون لکلّ بلد تقدیراً، ویجوز الاعتماد علی إخبار البایع فی مقدار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جنس العوضین وأوصافهما التی تتفاوت بها القیمة؛ وذلک إمّا بالمشاهدة أو بالتوصیف الرافع للجهالة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العوضین ملکاً طلقاً، فلا یجوز بیع المباحات کالوحش فی الصحراء، والسمک فی البحر قبل الاصطیاد، لعدم الملک، ولا بیع البطون الوقف الخاصّ لهم، لعدم الإطلاق</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علی التسلیم، فلا یجوز بیع الطیر المملوک إذا طار فی الهواء، ولا الدابّة الشاردة قبل التمکّن منهما</w:t>
      </w:r>
      <w:r>
        <w:rPr>
          <w:rFonts w:eastAsia="IRNazanin" w:cs="IRNazanin"/>
          <w:color w:val="111111"/>
          <w:sz w:val="28"/>
          <w:szCs w:val="28"/>
          <w:rtl w:val="true"/>
          <w:lang w:bidi="fa-IR"/>
        </w:rPr>
        <w:t>.</w:t>
      </w:r>
      <w:bookmarkStart w:id="367" w:name="pg6476_56859"/>
    </w:p>
    <w:p>
      <w:pPr>
        <w:pStyle w:val="Heading3"/>
        <w:numPr>
          <w:ilvl w:val="2"/>
          <w:numId w:val="1"/>
        </w:numPr>
        <w:rPr/>
      </w:pPr>
      <w:bookmarkStart w:id="368" w:name="__RefHeading___Toc1265340_653776707"/>
      <w:bookmarkStart w:id="369" w:name="_Toc141"/>
      <w:bookmarkEnd w:id="367"/>
      <w:bookmarkEnd w:id="368"/>
      <w:r>
        <w:rPr>
          <w:rtl w:val="true"/>
        </w:rPr>
        <w:t>فی الخیارات</w:t>
      </w:r>
      <w:bookmarkEnd w:id="369"/>
    </w:p>
    <w:p>
      <w:pPr>
        <w:pStyle w:val="Heading4"/>
        <w:numPr>
          <w:ilvl w:val="3"/>
          <w:numId w:val="1"/>
        </w:numPr>
        <w:rPr/>
      </w:pPr>
      <w:bookmarkStart w:id="370" w:name="__RefHeading___Toc1265342_653776707"/>
      <w:bookmarkStart w:id="371" w:name="_Toc142"/>
      <w:bookmarkEnd w:id="370"/>
      <w:r>
        <w:rPr>
          <w:rtl w:val="true"/>
        </w:rPr>
        <w:t>اشارة</w:t>
      </w:r>
      <w:bookmarkEnd w:id="371"/>
    </w:p>
    <w:p>
      <w:pPr>
        <w:pStyle w:val="BookText"/>
        <w:rPr/>
      </w:pPr>
      <w:r>
        <w:rPr>
          <w:rFonts w:ascii="IRNazanin" w:hAnsi="IRNazanin" w:eastAsia="IRNazanin"/>
          <w:color w:val="111111"/>
          <w:sz w:val="28"/>
          <w:sz w:val="28"/>
          <w:szCs w:val="28"/>
          <w:rtl w:val="true"/>
          <w:lang w:bidi="fa-IR"/>
        </w:rPr>
        <w:t>وهی أقسام</w:t>
      </w:r>
      <w:r>
        <w:rPr>
          <w:rFonts w:eastAsia="IRNazanin" w:cs="IRNazanin"/>
          <w:color w:val="111111"/>
          <w:sz w:val="28"/>
          <w:szCs w:val="28"/>
          <w:rtl w:val="true"/>
          <w:lang w:bidi="fa-IR"/>
        </w:rPr>
        <w:t>:</w:t>
      </w:r>
    </w:p>
    <w:p>
      <w:pPr>
        <w:pStyle w:val="Heading4"/>
        <w:numPr>
          <w:ilvl w:val="3"/>
          <w:numId w:val="1"/>
        </w:numPr>
        <w:rPr/>
      </w:pPr>
      <w:bookmarkStart w:id="372" w:name="__RefHeading___Toc1265344_653776707"/>
      <w:bookmarkStart w:id="373" w:name="_Toc143"/>
      <w:bookmarkEnd w:id="372"/>
      <w:r>
        <w:rPr>
          <w:rtl w:val="true"/>
        </w:rPr>
        <w:t>الأوّل</w:t>
      </w:r>
      <w:r>
        <w:rPr>
          <w:rtl w:val="true"/>
        </w:rPr>
        <w:t xml:space="preserve">: </w:t>
      </w:r>
      <w:r>
        <w:rPr>
          <w:rtl w:val="true"/>
        </w:rPr>
        <w:t>خیار المجلس</w:t>
      </w:r>
      <w:bookmarkEnd w:id="373"/>
    </w:p>
    <w:p>
      <w:pPr>
        <w:pStyle w:val="BookText"/>
        <w:rPr/>
      </w:pPr>
      <w:r>
        <w:rPr>
          <w:rFonts w:ascii="IRNazanin" w:hAnsi="IRNazanin" w:eastAsia="IRNazanin"/>
          <w:color w:val="111111"/>
          <w:sz w:val="28"/>
          <w:sz w:val="28"/>
          <w:szCs w:val="28"/>
          <w:rtl w:val="true"/>
          <w:lang w:bidi="fa-IR"/>
        </w:rPr>
        <w:t xml:space="preserve">إذا وقع البیع فللمتبایعین الخیار ما لم یفترقا، فإذا افترقا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بخطوة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البیع</w:t>
      </w:r>
      <w:r>
        <w:rPr>
          <w:rFonts w:eastAsia="IRNazanin" w:cs="IRNazanin"/>
          <w:color w:val="111111"/>
          <w:sz w:val="28"/>
          <w:szCs w:val="28"/>
          <w:rtl w:val="true"/>
          <w:lang w:bidi="fa-IR"/>
        </w:rPr>
        <w:t>.</w:t>
      </w:r>
    </w:p>
    <w:p>
      <w:pPr>
        <w:pStyle w:val="Heading4"/>
        <w:numPr>
          <w:ilvl w:val="3"/>
          <w:numId w:val="1"/>
        </w:numPr>
        <w:rPr/>
      </w:pPr>
      <w:bookmarkStart w:id="374" w:name="__RefHeading___Toc1265346_653776707"/>
      <w:bookmarkStart w:id="375" w:name="_Toc144"/>
      <w:bookmarkEnd w:id="374"/>
      <w:r>
        <w:rPr>
          <w:rtl w:val="true"/>
        </w:rPr>
        <w:t>الثانی</w:t>
      </w:r>
      <w:r>
        <w:rPr>
          <w:rtl w:val="true"/>
        </w:rPr>
        <w:t xml:space="preserve">: </w:t>
      </w:r>
      <w:r>
        <w:rPr>
          <w:rtl w:val="true"/>
        </w:rPr>
        <w:t>خیار الحیوان</w:t>
      </w:r>
      <w:bookmarkEnd w:id="375"/>
    </w:p>
    <w:p>
      <w:pPr>
        <w:pStyle w:val="BookText"/>
        <w:rPr/>
      </w:pPr>
      <w:r>
        <w:rPr>
          <w:rFonts w:ascii="IRNazanin" w:hAnsi="IRNazanin" w:eastAsia="IRNazanin"/>
          <w:color w:val="111111"/>
          <w:sz w:val="28"/>
          <w:sz w:val="28"/>
          <w:szCs w:val="28"/>
          <w:rtl w:val="true"/>
          <w:lang w:bidi="fa-IR"/>
        </w:rPr>
        <w:t>من اشتری حیواناً، فله الخیار إلی ثلاثة أیّام، وهذا الخیار مخصوص بالمشتری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تصرّف المشتری فی الحیوان تصرّفاً دالّاً علی رضاه، کنعل الدابّة وهبته للغیر، سقط خیاره، وأمّا الرکوب قلیلاً والتعلیف فلا یسقطه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تلف الحیوان فی مدّة الخیار، یبطل البیع ویرجع المشتری بالثمن إلی البائع، ولو أتلفه المشتری صار البیع لازماً</w:t>
      </w:r>
      <w:r>
        <w:rPr>
          <w:rFonts w:eastAsia="IRNazanin" w:cs="IRNazanin"/>
          <w:color w:val="111111"/>
          <w:sz w:val="28"/>
          <w:szCs w:val="28"/>
          <w:rtl w:val="true"/>
          <w:lang w:bidi="fa-IR"/>
        </w:rPr>
        <w:t>.</w:t>
      </w:r>
    </w:p>
    <w:p>
      <w:pPr>
        <w:pStyle w:val="Heading4"/>
        <w:numPr>
          <w:ilvl w:val="3"/>
          <w:numId w:val="1"/>
        </w:numPr>
        <w:rPr/>
      </w:pPr>
      <w:bookmarkStart w:id="376" w:name="__RefHeading___Toc1265348_653776707"/>
      <w:bookmarkStart w:id="377" w:name="_Toc145"/>
      <w:bookmarkEnd w:id="376"/>
      <w:r>
        <w:rPr>
          <w:rtl w:val="true"/>
        </w:rPr>
        <w:t>الثالث</w:t>
      </w:r>
      <w:r>
        <w:rPr>
          <w:rtl w:val="true"/>
        </w:rPr>
        <w:t xml:space="preserve">: </w:t>
      </w:r>
      <w:r>
        <w:rPr>
          <w:rtl w:val="true"/>
        </w:rPr>
        <w:t>خیار الشرط</w:t>
      </w:r>
      <w:bookmarkEnd w:id="377"/>
    </w:p>
    <w:p>
      <w:pPr>
        <w:pStyle w:val="BookText"/>
        <w:rPr/>
      </w:pPr>
      <w:r>
        <w:rPr>
          <w:rFonts w:ascii="IRNazanin" w:hAnsi="IRNazanin" w:eastAsia="IRNazanin"/>
          <w:color w:val="111111"/>
          <w:sz w:val="28"/>
          <w:sz w:val="28"/>
          <w:szCs w:val="28"/>
          <w:rtl w:val="true"/>
          <w:lang w:bidi="fa-IR"/>
        </w:rPr>
        <w:t>بأن اشترط المتبایعان فی ضمن العقد ثبوت الخیار لهما أو لأحدهما فی مدّة معیّنة، ویجوز اشتراط الخیار فی غیر البیع من العقود اللازمة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جعل الخیار للبائع مشروطاً بردّ الثمن فی مدّة معیّنة، فیبیع داره ویشترط مع المشتری أنّه متی جاء بالثمن إلی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فالدار له، وهذا یسمّی فی العرف بالبیع بشرط وبیع الخیار، ونماء المبیع ومنافعه فی هذه المدّة للمشتری، کما أنّ تلفه علیه، ولا یجوز له إتلاف المبیع أو بیعه فی مدّة هذا الخیار،</w:t>
      </w:r>
      <w:bookmarkStart w:id="378" w:name="pg6476_56860"/>
    </w:p>
    <w:p>
      <w:pPr>
        <w:pStyle w:val="BookText"/>
        <w:rPr/>
      </w:pPr>
      <w:bookmarkEnd w:id="378"/>
      <w:r>
        <w:rPr>
          <w:rFonts w:ascii="IRNazanin" w:hAnsi="IRNazanin" w:eastAsia="IRNazanin"/>
          <w:color w:val="111111"/>
          <w:sz w:val="28"/>
          <w:sz w:val="28"/>
          <w:szCs w:val="28"/>
          <w:rtl w:val="true"/>
          <w:lang w:bidi="fa-IR"/>
        </w:rPr>
        <w:t>ولا یجب علی البائع ردّ عین الثمن إذا کان من النقود، بل له ردّ بدله</w:t>
      </w:r>
      <w:r>
        <w:rPr>
          <w:rFonts w:eastAsia="IRNazanin" w:cs="IRNazanin"/>
          <w:color w:val="111111"/>
          <w:sz w:val="28"/>
          <w:szCs w:val="28"/>
          <w:rtl w:val="true"/>
          <w:lang w:bidi="fa-IR"/>
        </w:rPr>
        <w:t>.</w:t>
      </w:r>
    </w:p>
    <w:p>
      <w:pPr>
        <w:pStyle w:val="Heading4"/>
        <w:numPr>
          <w:ilvl w:val="3"/>
          <w:numId w:val="1"/>
        </w:numPr>
        <w:rPr/>
      </w:pPr>
      <w:bookmarkStart w:id="379" w:name="__RefHeading___Toc1265350_653776707"/>
      <w:bookmarkStart w:id="380" w:name="_Toc146"/>
      <w:bookmarkEnd w:id="379"/>
      <w:r>
        <w:rPr>
          <w:rtl w:val="true"/>
        </w:rPr>
        <w:t>الرابع</w:t>
      </w:r>
      <w:r>
        <w:rPr>
          <w:rtl w:val="true"/>
        </w:rPr>
        <w:t xml:space="preserve">: </w:t>
      </w:r>
      <w:r>
        <w:rPr>
          <w:rtl w:val="true"/>
        </w:rPr>
        <w:t>خیار الغبن</w:t>
      </w:r>
      <w:bookmarkEnd w:id="380"/>
    </w:p>
    <w:p>
      <w:pPr>
        <w:pStyle w:val="BookText"/>
        <w:rPr/>
      </w:pPr>
      <w:r>
        <w:rPr>
          <w:rFonts w:ascii="IRNazanin" w:hAnsi="IRNazanin" w:eastAsia="IRNazanin"/>
          <w:color w:val="111111"/>
          <w:sz w:val="28"/>
          <w:sz w:val="28"/>
          <w:szCs w:val="28"/>
          <w:rtl w:val="true"/>
          <w:lang w:bidi="fa-IR"/>
        </w:rPr>
        <w:t>وهو فیما إذا باع بدون ثمن المثل أو اشتری بأکثر منه مع الجهل بالقیمة، فللمغبون خیار الفسخ، ویعتبر أن لا یکون التفاوت قلیلاً یتسامح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للمغبون مطالبة الغابن بتفاوت القیمة، بل هو مخیّر بین الفسخ والرضا بالثمن المسمّی، ولیس له تأخیر الفسخ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الالتفات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یؤدّی إلی ضرر الغابن، والمدار فی الغبن هو القیمة حال العقد، ولا عبرة بالزیادة أو النقیصة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یسقط هذا الخیار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سقوطه فی ضمن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إسقاطه بعد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المغبون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العلم بالغبن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 دالّاً علی الرضا، کما مرّ فی خیار الحیوان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فسخ البائع المغبون، فإن کان المبیع موجوداً عند المشتری استردّه ودفع الثمن، وإن کان تالفاً أخذ مثله أو قیمته، وإن حدث فیه عیب أخذه مع أرشه، وکذا إذا فسخ المشتری المغبون، فیردّ العین إذا کانت موجودة، والقیمة إذا کانت تالفة</w:t>
      </w:r>
      <w:r>
        <w:rPr>
          <w:rFonts w:eastAsia="IRNazanin" w:cs="IRNazanin"/>
          <w:color w:val="111111"/>
          <w:sz w:val="28"/>
          <w:szCs w:val="28"/>
          <w:rtl w:val="true"/>
          <w:lang w:bidi="fa-IR"/>
        </w:rPr>
        <w:t>.</w:t>
      </w:r>
    </w:p>
    <w:p>
      <w:pPr>
        <w:pStyle w:val="Heading4"/>
        <w:numPr>
          <w:ilvl w:val="3"/>
          <w:numId w:val="1"/>
        </w:numPr>
        <w:rPr/>
      </w:pPr>
      <w:bookmarkStart w:id="381" w:name="__RefHeading___Toc1265352_653776707"/>
      <w:bookmarkStart w:id="382" w:name="_Toc147"/>
      <w:bookmarkEnd w:id="381"/>
      <w:r>
        <w:rPr>
          <w:rtl w:val="true"/>
        </w:rPr>
        <w:t>الخامس</w:t>
      </w:r>
      <w:r>
        <w:rPr>
          <w:rtl w:val="true"/>
        </w:rPr>
        <w:t xml:space="preserve">: </w:t>
      </w:r>
      <w:r>
        <w:rPr>
          <w:rtl w:val="true"/>
        </w:rPr>
        <w:t>خیار التأخیر</w:t>
      </w:r>
      <w:bookmarkEnd w:id="38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باع أحد شیئاً ولم یسلّم المبیع إلی المشتری، ولم یقبض تمام الثمن، فحینئذٍ یلزم البیع ثلاثة أیّام، فإن جاء المشتری بالثمن فی تلک المدّة کان أحقّ بالسلعة،</w:t>
      </w:r>
      <w:bookmarkStart w:id="383" w:name="pg6476_56861"/>
    </w:p>
    <w:p>
      <w:pPr>
        <w:pStyle w:val="BookText"/>
        <w:rPr/>
      </w:pPr>
      <w:bookmarkEnd w:id="383"/>
      <w:r>
        <w:rPr>
          <w:rFonts w:ascii="IRNazanin" w:hAnsi="IRNazanin" w:eastAsia="IRNazanin"/>
          <w:color w:val="111111"/>
          <w:sz w:val="28"/>
          <w:sz w:val="28"/>
          <w:szCs w:val="28"/>
          <w:rtl w:val="true"/>
          <w:lang w:bidi="fa-IR"/>
        </w:rPr>
        <w:t>وإلّا فللبائع فسخ المعاملة، فمبدأه بعد انقضاء ثلاثة أیّام، ولا یسقط ببذل المشتری الثمن بعدها، ویسقط بالإسقاط، ولو تلف المبیع کان من مال البائع قبل إقباضه للمشتری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باع ما یتسارع إلیه الفساد لو بقی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کالبقول وبعض الفواکه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وتأخّر المشتری، فللبایع الخیار قبل أن یطرأ الفساد</w:t>
      </w:r>
      <w:r>
        <w:rPr>
          <w:rFonts w:eastAsia="IRNazanin" w:cs="IRNazanin"/>
          <w:color w:val="111111"/>
          <w:sz w:val="28"/>
          <w:szCs w:val="28"/>
          <w:rtl w:val="true"/>
          <w:lang w:bidi="fa-IR"/>
        </w:rPr>
        <w:t>.</w:t>
      </w:r>
    </w:p>
    <w:p>
      <w:pPr>
        <w:pStyle w:val="Heading4"/>
        <w:numPr>
          <w:ilvl w:val="3"/>
          <w:numId w:val="1"/>
        </w:numPr>
        <w:rPr/>
      </w:pPr>
      <w:bookmarkStart w:id="384" w:name="__RefHeading___Toc1265354_653776707"/>
      <w:bookmarkStart w:id="385" w:name="_Toc148"/>
      <w:bookmarkEnd w:id="384"/>
      <w:r>
        <w:rPr>
          <w:rtl w:val="true"/>
        </w:rPr>
        <w:t>السادس</w:t>
      </w:r>
      <w:r>
        <w:rPr>
          <w:rtl w:val="true"/>
        </w:rPr>
        <w:t xml:space="preserve">: </w:t>
      </w:r>
      <w:r>
        <w:rPr>
          <w:rtl w:val="true"/>
        </w:rPr>
        <w:t>خیار الرؤیة</w:t>
      </w:r>
      <w:bookmarkEnd w:id="385"/>
    </w:p>
    <w:p>
      <w:pPr>
        <w:pStyle w:val="BookText"/>
        <w:rPr/>
      </w:pPr>
      <w:r>
        <w:rPr>
          <w:rFonts w:ascii="IRNazanin" w:hAnsi="IRNazanin" w:eastAsia="IRNazanin"/>
          <w:color w:val="111111"/>
          <w:sz w:val="28"/>
          <w:sz w:val="28"/>
          <w:szCs w:val="28"/>
          <w:rtl w:val="true"/>
          <w:lang w:bidi="fa-IR"/>
        </w:rPr>
        <w:t>وهو فیما إذا اشتری عیناً خارجیّة بتوصیف البائع أو برؤیته السابقة، فظهر علی خلاف الوصف والرؤیة، فإن ظهر أنقص من المطلوب فخیار الرؤیة للمشتری، وإن ظهر أزید فهو للبائع، ولا یسقط هذا الخیار ببذل التفاوت</w:t>
      </w:r>
      <w:r>
        <w:rPr>
          <w:rFonts w:eastAsia="IRNazanin" w:cs="IRNazanin"/>
          <w:color w:val="111111"/>
          <w:sz w:val="28"/>
          <w:szCs w:val="28"/>
          <w:rtl w:val="true"/>
          <w:lang w:bidi="fa-IR"/>
        </w:rPr>
        <w:t>.</w:t>
      </w:r>
    </w:p>
    <w:p>
      <w:pPr>
        <w:pStyle w:val="Heading4"/>
        <w:numPr>
          <w:ilvl w:val="3"/>
          <w:numId w:val="1"/>
        </w:numPr>
        <w:rPr/>
      </w:pPr>
      <w:bookmarkStart w:id="386" w:name="__RefHeading___Toc1265356_653776707"/>
      <w:bookmarkStart w:id="387" w:name="_Toc149"/>
      <w:bookmarkEnd w:id="386"/>
      <w:r>
        <w:rPr>
          <w:rtl w:val="true"/>
        </w:rPr>
        <w:t>السابع</w:t>
      </w:r>
      <w:r>
        <w:rPr>
          <w:rtl w:val="true"/>
        </w:rPr>
        <w:t xml:space="preserve">: </w:t>
      </w:r>
      <w:r>
        <w:rPr>
          <w:rtl w:val="true"/>
        </w:rPr>
        <w:t>خیار العیب</w:t>
      </w:r>
      <w:bookmarkEnd w:id="387"/>
    </w:p>
    <w:p>
      <w:pPr>
        <w:pStyle w:val="BookText"/>
        <w:rPr/>
      </w:pPr>
      <w:r>
        <w:rPr>
          <w:rFonts w:ascii="IRNazanin" w:hAnsi="IRNazanin" w:eastAsia="IRNazanin"/>
          <w:color w:val="111111"/>
          <w:sz w:val="28"/>
          <w:sz w:val="28"/>
          <w:szCs w:val="28"/>
          <w:rtl w:val="true"/>
          <w:lang w:bidi="fa-IR"/>
        </w:rPr>
        <w:t xml:space="preserve">وهو فیما إذا وجد المشتری فی المبیع عیباً، فیتخیّر بین أن یفسخ العقد، وأن یرضی به مع أخذ الأرش، وأن یرضی به بلا أخذ شیء، ومثل ذلک ما لو وجد البائع فی الثمن عیباً، ویسقط الردّ فی هذا الخیار بالإسقاط، وبالتصرّف فی المعیب تصرّفاً مغیّراً له کجعل القطن ثوباً، وبحدوث عیب آخر عند ذی الخیار، فیجوز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الأرش، ولو تبرّئ الناقل عن عیبه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الردّ والأرش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الأرش هنا قیمة النقص، وکیفیّة أخذه أن یقوّم المتاع صحیحاً ومعیباً، وتلاحظ النسبة بینهما ویؤخذ بتلک النسبة، فإذا قوّم المبیع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صحیحاً بتسعة، ومعیباً بستّة، فالنسبة بینهما الثلث، فیؤخذ من البائع ثلث الثمن</w:t>
      </w:r>
      <w:r>
        <w:rPr>
          <w:rFonts w:eastAsia="IRNazanin" w:cs="IRNazanin"/>
          <w:color w:val="111111"/>
          <w:sz w:val="28"/>
          <w:szCs w:val="28"/>
          <w:rtl w:val="true"/>
          <w:lang w:bidi="fa-IR"/>
        </w:rPr>
        <w:t>.</w:t>
      </w:r>
    </w:p>
    <w:p>
      <w:pPr>
        <w:pStyle w:val="Heading4"/>
        <w:numPr>
          <w:ilvl w:val="3"/>
          <w:numId w:val="1"/>
        </w:numPr>
        <w:rPr/>
      </w:pPr>
      <w:bookmarkStart w:id="388" w:name="__RefHeading___Toc1265358_653776707"/>
      <w:bookmarkStart w:id="389" w:name="_Toc150"/>
      <w:bookmarkEnd w:id="388"/>
      <w:r>
        <w:rPr>
          <w:rtl w:val="true"/>
        </w:rPr>
        <w:t>تتمیمٌ</w:t>
      </w:r>
      <w:bookmarkEnd w:id="38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مات من له الخیار انتقل خیاره إلی وارثه، وإذا کان الوارث</w:t>
      </w:r>
      <w:bookmarkStart w:id="390" w:name="pg6476_56862"/>
    </w:p>
    <w:p>
      <w:pPr>
        <w:pStyle w:val="BookText"/>
        <w:rPr/>
      </w:pPr>
      <w:bookmarkEnd w:id="390"/>
      <w:r>
        <w:rPr>
          <w:rFonts w:ascii="IRNazanin" w:hAnsi="IRNazanin" w:eastAsia="IRNazanin"/>
          <w:color w:val="111111"/>
          <w:sz w:val="28"/>
          <w:sz w:val="28"/>
          <w:szCs w:val="28"/>
          <w:rtl w:val="true"/>
          <w:lang w:bidi="fa-IR"/>
        </w:rPr>
        <w:t>محروماً عن العین، لم یحرم عن الحقّ المتعلّق بها، فإذا اشتری المیّت أرضاً بخیار مدّة، فمات فی زمان الخیار، جاز للزوجة المحرومة عن إرث الأرض، فسخ العقد لیرجع الثمن وترث منه</w:t>
      </w:r>
      <w:r>
        <w:rPr>
          <w:rFonts w:eastAsia="IRNazanin" w:cs="IRNazanin"/>
          <w:color w:val="111111"/>
          <w:sz w:val="28"/>
          <w:szCs w:val="28"/>
          <w:rtl w:val="true"/>
          <w:lang w:bidi="fa-IR"/>
        </w:rPr>
        <w:t>.</w:t>
      </w:r>
    </w:p>
    <w:p>
      <w:pPr>
        <w:pStyle w:val="Heading3"/>
        <w:numPr>
          <w:ilvl w:val="2"/>
          <w:numId w:val="1"/>
        </w:numPr>
        <w:rPr/>
      </w:pPr>
      <w:bookmarkStart w:id="391" w:name="__RefHeading___Toc1265360_653776707"/>
      <w:bookmarkStart w:id="392" w:name="_Toc151"/>
      <w:bookmarkEnd w:id="391"/>
      <w:r>
        <w:rPr>
          <w:rtl w:val="true"/>
        </w:rPr>
        <w:t>فی القبض والتسلیم</w:t>
      </w:r>
      <w:bookmarkEnd w:id="3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علی المتبایعین تسلیم العوضین بعد العقد لو لم یشترط التأخیر، فإن امتنعا اُجبرا، ومع اشتراط التأخیر لأحدهما جاز، ولیس لصاحبه الامتناع عن تسلیم ما فی یده، والتسلیم عبارة عن رفع الید عن الشیء وجعله تحت استیلاء صاحبه بإذن ونحوه، ویجب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تفریغ العوضین عمّا کان فیهما من متاع وغیره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تلف المبیع قبل تسلیمه إلی المشتری، ینفسخ البیع ویعود الثمن إلی المشتری، ولو تلف بعضه، انفسخ بعض البیع وعاد بعض الثمن إلی المشتری، ویتخیّر فی الرضا بالباقی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اشتری شیئاً ممّا یکال أو یوزن ولم یقبضه، ففی جواز بیعه بالمرابحة من غیر بائعه إشکال، أقواه الجواز</w:t>
      </w:r>
      <w:r>
        <w:rPr>
          <w:rFonts w:eastAsia="IRNazanin" w:cs="IRNazanin"/>
          <w:color w:val="111111"/>
          <w:sz w:val="28"/>
          <w:szCs w:val="28"/>
          <w:rtl w:val="true"/>
          <w:lang w:bidi="fa-IR"/>
        </w:rPr>
        <w:t>.</w:t>
      </w:r>
    </w:p>
    <w:p>
      <w:pPr>
        <w:pStyle w:val="Heading3"/>
        <w:numPr>
          <w:ilvl w:val="2"/>
          <w:numId w:val="1"/>
        </w:numPr>
        <w:rPr/>
      </w:pPr>
      <w:bookmarkStart w:id="393" w:name="__RefHeading___Toc1265362_653776707"/>
      <w:bookmarkStart w:id="394" w:name="_Toc152"/>
      <w:bookmarkEnd w:id="393"/>
      <w:r>
        <w:rPr>
          <w:rtl w:val="true"/>
        </w:rPr>
        <w:t>فی النقد والنسیئة</w:t>
      </w:r>
      <w:bookmarkEnd w:id="3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باع شیئاً ولم یشترط فیه تأجیل الثمن یکون نقداً، فللبائع بعد تسلیم المبیع مطالبة الثمن متی أراد، ولو اشترط تأجیله یکون البیع نسیئة؛ لا یجب علی المشتری الدفع قبل الأجل، ولابدّ أن یکون الأجل معیّناً وإلّا بطل البیع</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تأجیل الثمن الحالّ بالازدیاد فیه؛ أو بزیادة أجل</w:t>
      </w:r>
      <w:bookmarkStart w:id="395" w:name="pg6476_56863"/>
    </w:p>
    <w:p>
      <w:pPr>
        <w:pStyle w:val="BookText"/>
        <w:rPr/>
      </w:pPr>
      <w:bookmarkEnd w:id="395"/>
      <w:r>
        <w:rPr>
          <w:rFonts w:ascii="IRNazanin" w:hAnsi="IRNazanin" w:eastAsia="IRNazanin"/>
          <w:color w:val="111111"/>
          <w:sz w:val="28"/>
          <w:sz w:val="28"/>
          <w:szCs w:val="28"/>
          <w:rtl w:val="true"/>
          <w:lang w:bidi="fa-IR"/>
        </w:rPr>
        <w:t>المؤجّل لزیادة الثمن وهو الربا، ویجوز تعجیل المؤجّل بنقصان من الثمن، کما یجوز للبائع شراء ما باعه نسیئة قبل حلول الأجل وبعده</w:t>
      </w:r>
      <w:r>
        <w:rPr>
          <w:rFonts w:eastAsia="IRNazanin" w:cs="IRNazanin"/>
          <w:color w:val="111111"/>
          <w:sz w:val="28"/>
          <w:szCs w:val="28"/>
          <w:rtl w:val="true"/>
          <w:lang w:bidi="fa-IR"/>
        </w:rPr>
        <w:t>.</w:t>
      </w:r>
    </w:p>
    <w:p>
      <w:pPr>
        <w:pStyle w:val="Heading3"/>
        <w:numPr>
          <w:ilvl w:val="2"/>
          <w:numId w:val="1"/>
        </w:numPr>
        <w:rPr/>
      </w:pPr>
      <w:bookmarkStart w:id="396" w:name="__RefHeading___Toc1265364_653776707"/>
      <w:bookmarkStart w:id="397" w:name="_Toc153"/>
      <w:bookmarkEnd w:id="396"/>
      <w:r>
        <w:rPr>
          <w:rtl w:val="true"/>
        </w:rPr>
        <w:t>فی الربا</w:t>
      </w:r>
      <w:bookmarkEnd w:id="397"/>
    </w:p>
    <w:p>
      <w:pPr>
        <w:pStyle w:val="Heading4"/>
        <w:numPr>
          <w:ilvl w:val="3"/>
          <w:numId w:val="1"/>
        </w:numPr>
        <w:rPr/>
      </w:pPr>
      <w:bookmarkStart w:id="398" w:name="__RefHeading___Toc1265366_653776707"/>
      <w:bookmarkStart w:id="399" w:name="_Toc154"/>
      <w:bookmarkEnd w:id="398"/>
      <w:r>
        <w:rPr>
          <w:rtl w:val="true"/>
        </w:rPr>
        <w:t>الذی هو فی الشرع حرام، بل هو من الکبائر العظام</w:t>
      </w:r>
      <w:bookmarkEnd w:id="399"/>
    </w:p>
    <w:p>
      <w:pPr>
        <w:pStyle w:val="BookText"/>
        <w:rPr/>
      </w:pPr>
      <w:r>
        <w:rPr>
          <w:rFonts w:ascii="IRNazanin" w:hAnsi="IRNazanin" w:eastAsia="IRNazanin"/>
          <w:color w:val="111111"/>
          <w:sz w:val="28"/>
          <w:sz w:val="28"/>
          <w:szCs w:val="28"/>
          <w:rtl w:val="true"/>
          <w:lang w:bidi="fa-IR"/>
        </w:rPr>
        <w:t>وهو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معاملی وقرضی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بیع أحد المثلین بالآخر مع زیادة عینیّة، کبیع منّ بمنّین، أو حکمیّة کبیع منّ نقداً بمنّ نسیئة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وشرطه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الجنس، فکلّ ما صدق علیه اتّحاد الجنس، لا یجوز بیع بعضها ببعض بالتفاضل، فلا یجوز بیع منّ من حنطة جیّدة بمنّین منها 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مکیلاً أو موزوناً، فلا ربا فیما یباع بالعدّ أو المشاهدة، فیجوز بیع بیضة ببیضتین وشاة بشاتین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الشعیر والحنطة فی باب الربا بحکم جنس واحد، فلا یجوز بیع منّ من حنطة بمنّین من شعیر، وکذلک کلّ أصل مع فروعه جنس واحد، کاللبن مع الجُبُن، والسُکّر مع القند، وکذا الفرعان من أصل واحد کالجُبن مع الزُّبد، فلا یجوز المبادلة فی الجمیع متفاضلاً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بیع منّ من الجبن بعشرة وشراء أمنان من اللبن، وفی جواز بیع جافّ الشیء برطبه کالعنب بالکشمش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یمکن التخلّص من الربا بأن یضمّ شیء إلی الناقص، فیباع منّ من الحنطة مع ضمیمة شیء بمنّین منها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أن یشتری من الصائغ، الحلیّ الطارف من الذهب</w:t>
      </w:r>
      <w:bookmarkStart w:id="400" w:name="pg6476_56864"/>
    </w:p>
    <w:p>
      <w:pPr>
        <w:pStyle w:val="BookText"/>
        <w:rPr/>
      </w:pPr>
      <w:bookmarkEnd w:id="400"/>
      <w:r>
        <w:rPr>
          <w:rFonts w:ascii="IRNazanin" w:hAnsi="IRNazanin" w:eastAsia="IRNazanin"/>
          <w:color w:val="111111"/>
          <w:sz w:val="28"/>
          <w:sz w:val="28"/>
          <w:szCs w:val="28"/>
          <w:rtl w:val="true"/>
          <w:lang w:bidi="fa-IR"/>
        </w:rPr>
        <w:t>مثقالاً مثلاً، ویعطی من الذهب التالد أکثر، فإنّه ربا، نعم یباع أحدهما بأکثر ویشتری الآخر بأنقص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ربا بین الوالد وولده ولا بین الرجل وزوجته ولا بین المسلم والحربی إذا أخذ المسلم الزیادة، وحکم الربا القرضی یأتی فی باب القرض </w:t>
      </w:r>
      <w:r>
        <w:rPr>
          <w:rStyle w:val="FootnoteAnchor"/>
          <w:rtl w:val="true"/>
        </w:rPr>
        <w:footnoteReference w:id="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فی الصفحة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1" w:name="__RefHeading___Toc1265368_653776707"/>
      <w:bookmarkStart w:id="402" w:name="_Toc155"/>
      <w:bookmarkEnd w:id="401"/>
      <w:r>
        <w:rPr>
          <w:rtl w:val="true"/>
        </w:rPr>
        <w:t>فی بیع الصرف</w:t>
      </w:r>
      <w:bookmarkEnd w:id="402"/>
    </w:p>
    <w:p>
      <w:pPr>
        <w:pStyle w:val="BookText"/>
        <w:rPr/>
      </w:pPr>
      <w:r>
        <w:rPr>
          <w:rFonts w:ascii="IRNazanin" w:hAnsi="IRNazanin" w:eastAsia="IRNazanin"/>
          <w:color w:val="111111"/>
          <w:sz w:val="28"/>
          <w:sz w:val="28"/>
          <w:szCs w:val="28"/>
          <w:rtl w:val="true"/>
          <w:lang w:bidi="fa-IR"/>
        </w:rPr>
        <w:t>وهو بیع الذهب بالذهب أو بالفضّة، وبیع الفضّة بالفضّة أو بالذهب، کانا مسکوکین، أو غیر مسکوکین فیشترط فی صحّته التقابض فی المجلس، فلو تفرّقا قبله بطل البیع، والحکم مخصوص بالبیع دون الصلح ونحوه، والظاهر عدم جریان حکم الصرف فی الأوراق النقدیة کالإسکناس ونحوه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حیث إنّ الذهب والفضّة من الربوی، یلزم أن یهتمّ المتعاملون بهما أن لا یقعوا فی الربا بالتفاضل، وقد نهی عن الصرف معلّلاً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الصیرفی لا یسلم من الربا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العوضان إن کانا شخصیّین وجب قبض عینهما، وإن کانا أو أحدهما کلیّاً وجب قبض المصداق قبل التفرّق، ولو ظهر أحد العوضین من غیر الجنس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کالذهب یظهر نحاساً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یبطل البیع فی الشخصی ویجب تبدیله بالجنس فی الکلّی، ولو کان لک فی ذمّة زید دراهم، فبعتها منه بدینار وقبضت، صحّ البیع وکفی فی قبض الدراهم کونها فی ذمّته</w:t>
      </w:r>
      <w:r>
        <w:rPr>
          <w:rFonts w:eastAsia="IRNazanin" w:cs="IRNazanin"/>
          <w:color w:val="111111"/>
          <w:sz w:val="28"/>
          <w:szCs w:val="28"/>
          <w:rtl w:val="true"/>
          <w:lang w:bidi="fa-IR"/>
        </w:rPr>
        <w:t>.</w:t>
      </w:r>
    </w:p>
    <w:p>
      <w:pPr>
        <w:pStyle w:val="Heading3"/>
        <w:numPr>
          <w:ilvl w:val="2"/>
          <w:numId w:val="1"/>
        </w:numPr>
        <w:rPr/>
      </w:pPr>
      <w:bookmarkStart w:id="403" w:name="__RefHeading___Toc1265370_653776707"/>
      <w:bookmarkStart w:id="404" w:name="_Toc156"/>
      <w:bookmarkEnd w:id="403"/>
      <w:r>
        <w:rPr>
          <w:rtl w:val="true"/>
        </w:rPr>
        <w:t>فی السلف والسلم</w:t>
      </w:r>
      <w:bookmarkEnd w:id="40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ابتیاع کلّیّ مؤجّل بثمن حالّ عکس النسیئة، ویقال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w:t>
      </w:r>
      <w:bookmarkStart w:id="405" w:name="pg6476_56865"/>
    </w:p>
    <w:p>
      <w:pPr>
        <w:pStyle w:val="BookText"/>
        <w:rPr/>
      </w:pPr>
      <w:bookmarkEnd w:id="405"/>
      <w:r>
        <w:rPr>
          <w:rFonts w:ascii="IRNazanin" w:hAnsi="IRNazanin" w:eastAsia="IRNazanin"/>
          <w:color w:val="111111"/>
          <w:sz w:val="28"/>
          <w:sz w:val="28"/>
          <w:szCs w:val="28"/>
          <w:rtl w:val="true"/>
          <w:lang w:bidi="fa-IR"/>
        </w:rPr>
        <w:t>بکسر اللام، وللثمن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بفتحها، وللبائع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إلیه، وللمبیع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فیه، فیقول البائع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منّاً من حنطة إلی شهر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یقول المشتری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أسلمت إلیک درهماً فی منّ من حنطة إلی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یجوز فیه المعاطاة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بإعطاء الثمن وأخذه، ویعتبر فی المبیع بالسلف إمکان ضبط أوصافه الدخیلة فی القیمة، کالحنطة والسمن والثوب والفرش، لا الجواهر والعقار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الجنس والوصف الرافع للجهالة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الثمن قبل التفرّق من مجلس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کلّ مبیع بمقدِّره من الوزن والعدد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أجل مضبوط للمبیع بالشهور والسنین؛ لا بحرارة الهواء أو وصول الفواکه مثلاً، والأحوط تعیین بلد التسلیم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اشتری شیئاً سلفاً لم یجز بیعه قبل حلول الأجل؛ لا من البائع ولا من غیره بأیّ ثمن کان، ویجوز بعده مطلقاً، وإذا حلّ الأجل ولم یتمکّن البائع من الأداء، کان المشتری بالخیار بین أن یصبر إلی أن یتمکّن البائع من الأداء وأن یفسخ البیع ویرجع بالثمن الأوّل، ولیس له إلزامه بقیمة وقت حلول الأجل</w:t>
      </w:r>
      <w:r>
        <w:rPr>
          <w:rFonts w:eastAsia="IRNazanin" w:cs="IRNazanin"/>
          <w:color w:val="111111"/>
          <w:sz w:val="28"/>
          <w:szCs w:val="28"/>
          <w:rtl w:val="true"/>
          <w:lang w:bidi="fa-IR"/>
        </w:rPr>
        <w:t>.</w:t>
      </w:r>
    </w:p>
    <w:p>
      <w:pPr>
        <w:pStyle w:val="Heading3"/>
        <w:numPr>
          <w:ilvl w:val="2"/>
          <w:numId w:val="1"/>
        </w:numPr>
        <w:rPr/>
      </w:pPr>
      <w:bookmarkStart w:id="406" w:name="__RefHeading___Toc1265372_653776707"/>
      <w:bookmarkStart w:id="407" w:name="_Toc157"/>
      <w:bookmarkEnd w:id="406"/>
      <w:r>
        <w:rPr>
          <w:rtl w:val="true"/>
        </w:rPr>
        <w:t>فی المرابحة والمواضعة والتولیة</w:t>
      </w:r>
      <w:bookmarkEnd w:id="407"/>
    </w:p>
    <w:p>
      <w:pPr>
        <w:pStyle w:val="BookText"/>
        <w:rPr/>
      </w:pPr>
      <w:r>
        <w:rPr>
          <w:rFonts w:ascii="IRNazanin" w:hAnsi="IRNazanin" w:eastAsia="IRNazanin"/>
          <w:color w:val="111111"/>
          <w:sz w:val="28"/>
          <w:sz w:val="28"/>
          <w:szCs w:val="28"/>
          <w:rtl w:val="true"/>
          <w:lang w:bidi="fa-IR"/>
        </w:rPr>
        <w:t>قد یباع المتاع بقیمة معیّنة من دون ذکر رأس المال فیسمّی البیع بالمساومة، وقد یذکر رأس المال فیباع بأکثر منه فیسمّی بالمرابحة، أو بأنقص منه فیسمّی بالمواضعة، أو بما یساویه فیسمّی بالتولیة، والأوّل أفضل الأقسام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اشتری متاعاً وعمل فیه عملاً، لم یجز أن یضمّ اُجرة عمله</w:t>
      </w:r>
      <w:bookmarkStart w:id="408" w:name="pg6476_56866"/>
    </w:p>
    <w:p>
      <w:pPr>
        <w:pStyle w:val="BookText"/>
        <w:rPr/>
      </w:pPr>
      <w:bookmarkEnd w:id="408"/>
      <w:r>
        <w:rPr>
          <w:rFonts w:ascii="IRNazanin" w:hAnsi="IRNazanin" w:eastAsia="IRNazanin"/>
          <w:color w:val="111111"/>
          <w:sz w:val="28"/>
          <w:sz w:val="28"/>
          <w:szCs w:val="28"/>
          <w:rtl w:val="true"/>
          <w:lang w:bidi="fa-IR"/>
        </w:rPr>
        <w:t>إلی الثمن المسمّی؛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رأس المال کذا، 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اشتریته بکذا وعملت فیه کذا، ولو کذب أثم، وکذا إذا باع المتاع من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اشتراه بأکثر لیخبر به المشتری، فإنّه غشّ وخیانة وإن کان البیع صحیحاً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ظهر کذب البائع للمشتری، تخیّر بین فسخ العقد وإمضائه بتمام الثمن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سلّم التاجر متاعاً إلی الدلّال لیبیعه،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بعه بعشرة، وما زاد فهو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یجز للدلّال أن یبیع مرابحة بجعل ما عیّنه التاجر رأس ماله ویأخذ الربح، بل إمّا أن یبیع مساومة أو یخبره بحقیقة الحال، فیکون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زاد علی العشرة للدلّال</w:t>
      </w:r>
      <w:r>
        <w:rPr>
          <w:rFonts w:eastAsia="IRNazanin" w:cs="IRNazanin"/>
          <w:color w:val="111111"/>
          <w:sz w:val="28"/>
          <w:szCs w:val="28"/>
          <w:rtl w:val="true"/>
          <w:lang w:bidi="fa-IR"/>
        </w:rPr>
        <w:t>.</w:t>
      </w:r>
    </w:p>
    <w:p>
      <w:pPr>
        <w:pStyle w:val="Heading3"/>
        <w:numPr>
          <w:ilvl w:val="2"/>
          <w:numId w:val="1"/>
        </w:numPr>
        <w:rPr/>
      </w:pPr>
      <w:bookmarkStart w:id="409" w:name="__RefHeading___Toc1265374_653776707"/>
      <w:bookmarkStart w:id="410" w:name="_Toc158"/>
      <w:bookmarkEnd w:id="409"/>
      <w:r>
        <w:rPr>
          <w:rtl w:val="true"/>
        </w:rPr>
        <w:t>فی بیع الثمار</w:t>
      </w:r>
      <w:bookmarkEnd w:id="410"/>
    </w:p>
    <w:p>
      <w:pPr>
        <w:pStyle w:val="Heading4"/>
        <w:numPr>
          <w:ilvl w:val="3"/>
          <w:numId w:val="1"/>
        </w:numPr>
        <w:rPr/>
      </w:pPr>
      <w:bookmarkStart w:id="411" w:name="__RefHeading___Toc1265376_653776707"/>
      <w:bookmarkStart w:id="412" w:name="_Toc159"/>
      <w:bookmarkEnd w:id="411"/>
      <w:r>
        <w:rPr>
          <w:rtl w:val="true"/>
        </w:rPr>
        <w:t>اشارة</w:t>
      </w:r>
      <w:bookmarkEnd w:id="412"/>
    </w:p>
    <w:p>
      <w:pPr>
        <w:pStyle w:val="BookText"/>
        <w:rPr/>
      </w:pPr>
      <w:r>
        <w:rPr>
          <w:rFonts w:ascii="IRNazanin" w:hAnsi="IRNazanin" w:eastAsia="IRNazanin"/>
          <w:color w:val="111111"/>
          <w:sz w:val="28"/>
          <w:sz w:val="28"/>
          <w:szCs w:val="28"/>
          <w:rtl w:val="true"/>
          <w:lang w:bidi="fa-IR"/>
        </w:rPr>
        <w:t>أی بیعها علی الأشجار وکذا الزرع والخضروات قائمة علی اُصولها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بیع الثمار علی الأشجار قبل بروزها عاماً واحداً بلا ضمیمة، ویجوز بیعها عامین فما زاد أو مع الضمیمة، ویجوز بیعها بعد بدوّ الصلاح؛ وهو الإحمرار فی التمر، وانعقاد الحبّة والخروج عن الورد والکِمام فی غیره فی الجملة، وظهور بعض ثمرة البستان یکفی فی صحّة بیع الجمیع وإن لم یظهر الباقی أو اختلف جنس الثمر، وبیع الثمار لا یمنع عن بیع نفس البستان بعده مسلوبة المنافع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باع الثمار بعد الظهور فاُصیبت بآفة سماویّة أو أرضیّة قبل القبض، بطل البیع، وإن کان بعده فالخسران علی المشتری ولا یرجع إلی البائع</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بیع الثمر علی الشجر بمقدار من نفس ذلک الثمر، وأمّا من ثمر آخر فلا یجوز فی التمر ویجوز فی غیره علی تردّد فیه، وأمّا البیع بغیر الثمر</w:t>
      </w:r>
      <w:bookmarkStart w:id="413" w:name="pg6476_56867"/>
    </w:p>
    <w:p>
      <w:pPr>
        <w:pStyle w:val="BookText"/>
        <w:rPr/>
      </w:pPr>
      <w:bookmarkEnd w:id="413"/>
      <w:r>
        <w:rPr>
          <w:rFonts w:ascii="IRNazanin" w:hAnsi="IRNazanin" w:eastAsia="IRNazanin"/>
          <w:color w:val="111111"/>
          <w:sz w:val="28"/>
          <w:sz w:val="28"/>
          <w:szCs w:val="28"/>
          <w:rtl w:val="true"/>
          <w:lang w:bidi="fa-IR"/>
        </w:rPr>
        <w:t>فلا إشکال فیه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بیع الزرع بذراً قبل ظهوره، وأمّا بعد الظهور فیجوز بیعه قصیلاً؛ بأن یقطعه المشتری قبل أن یسنبل، وأمّا بعد طلوع السنبلة فلا یجوز البیع قبل انعقاد الحبّ، ویجوز بعده، وفی خصوص الحنطة والشعیر لا یجوز بیع سنبلهما بجنسهما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بیع الخضر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کالخیار والباذنجان والبطّیخ ونحوها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ظهورها لقطة واحدة أو لقطات، مع مشاهدة ما یظهر منها من خلال الأوراق، ولا یضرّ عدم رؤیة البعض، وأمّا المستور منها تحت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کالجزر والشلجم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فیشکل بیعها حینئذٍ، ومثلها بیع الرطبة والکُرّاث جزّة أو جزّات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مرّ بثمر عنب أو نخل أو غیرهما مجتازاً، جاز له أن یأکل منها شیئاً من دون أن یحمل، أو یفسد سواء فی ذلک المتساقط أو ما علی الشجر</w:t>
      </w:r>
      <w:r>
        <w:rPr>
          <w:rFonts w:eastAsia="IRNazanin" w:cs="IRNazanin"/>
          <w:color w:val="111111"/>
          <w:sz w:val="28"/>
          <w:szCs w:val="28"/>
          <w:rtl w:val="true"/>
          <w:lang w:bidi="fa-IR"/>
        </w:rPr>
        <w:t>.</w:t>
      </w:r>
    </w:p>
    <w:p>
      <w:pPr>
        <w:pStyle w:val="Heading4"/>
        <w:numPr>
          <w:ilvl w:val="3"/>
          <w:numId w:val="1"/>
        </w:numPr>
        <w:rPr/>
      </w:pPr>
      <w:bookmarkStart w:id="414" w:name="__RefHeading___Toc1265378_653776707"/>
      <w:bookmarkStart w:id="415" w:name="_Toc160"/>
      <w:bookmarkEnd w:id="414"/>
      <w:r>
        <w:rPr>
          <w:rtl w:val="true"/>
        </w:rPr>
        <w:t>مسألتان</w:t>
      </w:r>
      <w:bookmarkEnd w:id="415"/>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بیع الحیوان جمیعه أو بعضه المشاع، وبیع خصوص الرأس والجلد فیما یؤکل لحمه، فإن 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الرأس والجلد، وإن بیع فله من الثمن بنسبة ماله، فإن کان نسبة الرأس إلی المجموع علی تقدیر الذبح العُشر، کان له من الثمن العشر، ومثله ما إذا باع الحیوان واستثنی لنفسه الرأس والقوائم مثلاً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الإقاله هی فسخ العقد من الطرفین؛ وهی جاریة فی جمیع العقود غیر النکاح، وتقع بکلّ لفظ؛ کأن یقولا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وبالمعاطاة وإرجاع العوضین، ولا تجوز الإقالة بزیادة أو نقیصة، فلو استقال بتسعة ما باعه بعشرة بطلت الإقالة وبقی البیع علی حاله، وتجوز فی البعض، وکذا بعد التلف فیردّ بدل التالف</w:t>
      </w:r>
      <w:r>
        <w:rPr>
          <w:rFonts w:eastAsia="IRNazanin" w:cs="IRNazanin"/>
          <w:color w:val="111111"/>
          <w:sz w:val="28"/>
          <w:szCs w:val="28"/>
          <w:rtl w:val="true"/>
          <w:lang w:bidi="fa-IR"/>
        </w:rPr>
        <w:t>.</w:t>
      </w:r>
      <w:bookmarkStart w:id="416" w:name="pg6476_56868"/>
    </w:p>
    <w:p>
      <w:pPr>
        <w:pStyle w:val="Heading2"/>
        <w:numPr>
          <w:ilvl w:val="1"/>
          <w:numId w:val="1"/>
        </w:numPr>
        <w:rPr/>
      </w:pPr>
      <w:bookmarkStart w:id="417" w:name="__RefHeading___Toc1265380_653776707"/>
      <w:bookmarkStart w:id="418" w:name="_Toc161"/>
      <w:bookmarkEnd w:id="416"/>
      <w:bookmarkEnd w:id="417"/>
      <w:r>
        <w:rPr>
          <w:rtl w:val="true"/>
        </w:rPr>
        <w:t>کتاب الشفعة</w:t>
      </w:r>
      <w:bookmarkEnd w:id="4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باع أحد الشریکین حصّته من ثالث، فللشریک الآخر أن یتملّکها وینتزعها من المشتری بمثل ذلک الثمن، ویسمّی هذا الحقّ بالشفعة وصاحبه بالشفیع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یثبت حقّ الشفعة فیما لا ینقل وکان قابلاً للقسمة کالأرض والدار، وفی ثبوته فیما ینقل کالثوب، وما لا ینقسم کالشجر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لیست الشفعة فی العین المقسومة إذا باع أحد المتقاسمین حصّته، ولا للجار إذا باع جاره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طریق الدارین مشترکاً فباع أحدهما داره مع الطریق المشترک ثبت لجاره حقّ الشفعة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تثبت الشفعة إلّافی البیع، فلو انتقلت حصّة الشریک بالصداق أو الهبة فلا شفعة، وتثبت فی الشریکین دون الشرکاء الکثیرین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الشفعة کون الشفیع قادراً علی أداء الثمن، بل وإحضار الثمن عند الأخذ بها، فلا شفعة للعاجز وإن أتی بالضامن أو الرهن، ولا شفعة للکافر علی المسلم وتثبت فی عکسه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الأخذ بالشفعة إمّا بالقول؛ کأن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أخذت بالشفعة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وإمّا بالفعل؛ کأن یعطی مثل الثمن للمشتری ویأخذ المبیع، وإذا کان مؤجّلاً أخذ المبیع</w:t>
      </w:r>
    </w:p>
    <w:p>
      <w:pPr>
        <w:pStyle w:val="BookText"/>
        <w:rPr/>
      </w:pPr>
      <w:r>
        <w:rPr>
          <w:rFonts w:ascii="IRNazanin" w:hAnsi="IRNazanin" w:eastAsia="IRNazanin"/>
          <w:color w:val="111111"/>
          <w:sz w:val="28"/>
          <w:sz w:val="28"/>
          <w:szCs w:val="28"/>
          <w:rtl w:val="true"/>
          <w:lang w:bidi="fa-IR"/>
        </w:rPr>
        <w:t>وأعطی الثمن عند الأجل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اللازم علی الشفیع إعطاء مثل الثمن، لا ما غرمه المشتری فی طریق شرائه، وفی ثبوتها فیما لو کان الثمن غیر النقود کالحیوان والثیاب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یبطل حقّ الشفعة بالرضا بالبیع من أوّل الأمر، وبالإسقاط بعد البیع، وبتأخیر الأخذ بلا عذر، ولا یسقط بالتأخیر للجهل بوقوع العقد أو بثبوت الشفعة شرعاً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تصرّف المشتری فی المبیع، بالبیع والهبة والوقف ونحوها، یبطل الجمیع إذا بذل الشفیع مثل الثمن للمشتری وأخذ المبیع، ویجوز مصالحة حقّ الشفعة بشیء من المال فیسقط</w:t>
      </w:r>
      <w:r>
        <w:rPr>
          <w:rFonts w:eastAsia="IRNazanin" w:cs="IRNazanin"/>
          <w:color w:val="111111"/>
          <w:sz w:val="28"/>
          <w:szCs w:val="28"/>
          <w:rtl w:val="true"/>
          <w:lang w:bidi="fa-IR"/>
        </w:rPr>
        <w:t>.</w:t>
      </w:r>
      <w:bookmarkStart w:id="419" w:name="pg6476_56870"/>
    </w:p>
    <w:p>
      <w:pPr>
        <w:pStyle w:val="Heading2"/>
        <w:numPr>
          <w:ilvl w:val="1"/>
          <w:numId w:val="1"/>
        </w:numPr>
        <w:rPr/>
      </w:pPr>
      <w:bookmarkStart w:id="420" w:name="__RefHeading___Toc1265382_653776707"/>
      <w:bookmarkStart w:id="421" w:name="_Toc162"/>
      <w:bookmarkEnd w:id="419"/>
      <w:bookmarkEnd w:id="420"/>
      <w:r>
        <w:rPr>
          <w:rtl w:val="true"/>
        </w:rPr>
        <w:t>کتاب الصلح</w:t>
      </w:r>
      <w:bookmarkEnd w:id="421"/>
    </w:p>
    <w:p>
      <w:pPr>
        <w:pStyle w:val="BookText"/>
        <w:rPr/>
      </w:pPr>
      <w:r>
        <w:rPr>
          <w:rFonts w:ascii="IRNazanin" w:hAnsi="IRNazanin" w:eastAsia="IRNazanin"/>
          <w:color w:val="111111"/>
          <w:sz w:val="28"/>
          <w:sz w:val="28"/>
          <w:szCs w:val="28"/>
          <w:rtl w:val="true"/>
          <w:lang w:bidi="fa-IR"/>
        </w:rPr>
        <w:t>وهو التراضی والتسالم علی أمر؛ من تملیک عین أو منفعة، أو إسقاط دین أو حقّ، ویجوز الصلح علی کلّ أمر فی کلّ مقام إلّاما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الصلح عقد مستقلّ بنفسه، ویعتبر فیه إجراء الصیغة بکلّ لفظ أفاد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یفید فائدة سائر العقود، فیفید فائدة البیع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صالحتک عن الدار بألف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وفائدة الهبة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صالحتک عن العین بلا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وهکذا؛ لکنّه لا یلحقه أحکام تلک العقود کخیار المجلس إذا أفاد فائدة البیع، وقبض العین فیما أفاد فائدة الهبة، وهو عقد لازم من الطرفین، لا ینفسخ إلّابالإقالة واشتراط الخیار ونحوهما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متعلّق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عین أو منفعة أو دین أو حقّ، وعلی التقادیر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بلا عوض أو مع العوض،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صالحتک عن الدار أو عن منفعتها أو عمّا فی ذمّتک من الدین أو عن حقّ التحجیر بألف، أو بلا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فیفید الأوّل انتقال العین إلی المتصالح، والثانی انتقال المنفعة، والثالث سقوط الدین عن الذمّة، والرابع انتقال حقّ التحجیر</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یصحّ الصلح علی مجرّد الانتفاع بشیء، فتصالح زیداً علی أن تسکن داره أو تلبس ثوبه أو تضع طرف الجذع علی حائطه أو تجری الماء علی سطح داره أو یجری المیزاب علی عرصة داره أو تخرج جناحاً إلی فضاء ملکه،</w:t>
      </w:r>
    </w:p>
    <w:p>
      <w:pPr>
        <w:pStyle w:val="BookText"/>
        <w:rPr/>
      </w:pPr>
      <w:r>
        <w:rPr>
          <w:rFonts w:ascii="IRNazanin" w:hAnsi="IRNazanin" w:eastAsia="IRNazanin"/>
          <w:color w:val="111111"/>
          <w:sz w:val="28"/>
          <w:sz w:val="28"/>
          <w:szCs w:val="28"/>
          <w:rtl w:val="true"/>
          <w:lang w:bidi="fa-IR"/>
        </w:rPr>
        <w:t>فهذه کلّها صحیحة بعوض وغیره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یغتفر الجهالة فی الصلح، فیصحّ علی الثمار والخضر قبل وجودها، وفیما إذا اختلط مال أحدهما بالآخر، ولم یعلما المقدار، فیصالحان علی النصف أو الثلث، وفیما إذا لم یعلم مقدار الدین، ولو صالحا علی منّ من حنطة بمنّین منها ففی جریان حکم الربا فیه تردّد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للمتداعیین أن یتصالحا بشیء، مع إنکار المدّعی علیه، فلو طلب منه مائة فأنکر فصالحا علی خمسین سقط الدعوی بینهما ظاهراً، وأمّا فی الواقع، فإن کان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مبطلاً فی إنکاره بقی علی ذمّته حقّ الغیر ویطالب به فی الآخرة</w:t>
      </w:r>
      <w:r>
        <w:rPr>
          <w:rFonts w:eastAsia="IRNazanin" w:cs="IRNazanin"/>
          <w:color w:val="111111"/>
          <w:sz w:val="28"/>
          <w:szCs w:val="28"/>
          <w:rtl w:val="true"/>
          <w:lang w:bidi="fa-IR"/>
        </w:rPr>
        <w:t>.</w:t>
      </w:r>
      <w:bookmarkStart w:id="422" w:name="pg6476_56872"/>
    </w:p>
    <w:p>
      <w:pPr>
        <w:pStyle w:val="Heading2"/>
        <w:numPr>
          <w:ilvl w:val="1"/>
          <w:numId w:val="1"/>
        </w:numPr>
        <w:rPr/>
      </w:pPr>
      <w:bookmarkStart w:id="423" w:name="__RefHeading___Toc1265384_653776707"/>
      <w:bookmarkStart w:id="424" w:name="_Toc163"/>
      <w:bookmarkEnd w:id="422"/>
      <w:bookmarkEnd w:id="423"/>
      <w:r>
        <w:rPr>
          <w:rtl w:val="true"/>
        </w:rPr>
        <w:t>کتاب الإجارة</w:t>
      </w:r>
      <w:bookmarkEnd w:id="424"/>
    </w:p>
    <w:p>
      <w:pPr>
        <w:pStyle w:val="BookText"/>
        <w:rPr/>
      </w:pP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متعلّقة بالأعیان کالدّار والدکّة، فتفید نقل منفعتها بعوض، أو بالنفس، فتفید تملیک عمله للغیر باُجرة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اللفظ الدالّ علی تسلیط المستأجر علی العین لیستوفی منفعتها، أو علی الشخص لیستوفی عمله، ویقع بکلّ لفظ أفاد المقصود،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آجرتک الدار شهراً بمأة، أو آجرتک نفسی یوماً بعشرة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ویجری فیها المعاطاة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یسلّط المستأجر علی العین، أو یجعل نفسه تحت اختیاره، أو یشرع فی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صحّة الإجارة اُمور؛ بعضها فی المتعاقدین، وبعضها فی العین المستأجرة، وبعضها فی المنفعة، وبعضها فی 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المتعاقدان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فیعتبر فیهما مع الشرائط العامّة عدم الحجر لسفه أو فلس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العین المستأجرة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فیعتبر فیها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المعلومیّة بالمشاهدة أو بذکر الأوصاف التی تختلف بها الاُجرة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مقدور التسلیم، ومنها کونها ممّا یمکن الانتفاع بها مع بقاء عینها، فلا تصحّ إجارة الخبز للأکل، ولا إجارة الأرض التی لا ماء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فیعتبر فیها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مباحة، فلا تصحّ إجارة الدکّان لبیع الخمر، والسیّارة لحملها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نوعها لو کانت للعین منافع متعدّدة، فیتعیّن أنّ استیجار الدابّة للرکوب وللحمل أو لجمیع منافعها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بالزمان، کسکنی الدار شهراً، أو بالعمل، کخیاطة ثوب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فتعتبر معلومیّتها، وتعیین مقدارها بالوزن أو الکیل أو غیرهما، ویجوز أن تکون عیناً خارجیّة، أو کلّیّاً ذمّیّاً، أو منفعة، أو حقّاً کالثمن فی البیع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استأجر دابّة أو سیّارة للحمل، لابدّ من تعیین جنس ما یحمل علیها، ومقداره، ومقدار مسافة الطریق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معلومیّة المنفعة بحسب الزمان، لابدّ من تعیین ذلک بشهر أو سنة، فلو قال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اسکن هذه الدار کلّ شهر بدینار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بطل إن کان المقصود الإجارة، وصحّ إن کان إباحته بعوض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استأجر المرکوب لإیصاله إلی مکان فی وقت معیّن، کمطار الطیّارة أوّل الظهر، فلم یوصله، سواء أکان بتقصیر منه أو أنّه ضلّ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یستحقّ من الاُجرة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یشترط اتّصال مدّة الإجارة بالعقد، فلو آجر داره فی الشهر المستقبل صحّت، ولو أطلق العقد انصرف إلی الاتّصال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الإجارة لازم من الطرفین، لا ینفسخ إلّابالتقایل، ویجری فیه الخیارات المشترکة کخیار الشرط والغبن والعیب والرؤیة، ولا فرق بین العقدیة والمعاطاتیّة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آجر داره من زید سنة، ثمّ أراد بیعها من عمرو جاز، فتنتقل إلی عمرو مسلوبة المنفعة مدّة الإجارة، ویتخیّر فی فسخ البیع إذا کان جاهلاً بها، ولو اتّفق انفساخ الإجارة رجعت المنفعة فی بقیّة المدّة إلی البائع، ومثله لو باعها من زید المستأجر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تبطل إجارة الأعیان بموت المؤجر ولا بموت المستأجر، فینتقل بقیّة المنفعة إلی ورثة المستأجر، والاُجرة إلی ورثة المؤجر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إجارة النفس لبعض الأعمال فتبطل بموت الأجیر، نعم لو تقبّل عملاً فی ذمّته لا بمباشرته کبناء دار وصلاة سنة لا تبطل بموته، بل یستوفی من ترکته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وجد المستأجر فی العین المستأجرة عیباً، کالرطوبة فی الدار والعرج فی الدّابة، جاز له فسخ الإجارة، ومثله الاُجرة المعیّنة لو کان بها عیب، کما أنّه لو ظهر الغبن فی الإجارة کان للمغبون خیار الغبن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یملک المستأجر المنفعة، والمؤجر الاُجرة بمجرّد العقد، لکن لیس لکلّ منهما مطالبة ما ملّکه إلّابتسلیم ما ملکه، ومثله المستأجر والأجیر، ویتحقّق تسلیم المنفعة بتسلیم العین، وتسلیم العمل بإتمامه کحفر بئر وبناء دار، فقبل الإتمام لا یستحقّ الاُجرة إلّاإذا کان هناک اشتراط أو عادة مرسومة، وحینئذٍ لو تلف الثوب عند الخیّاط بعد الخیاطة، استحقّ الخیّاط اُجرة العمل ولم یضمن الثوب، نعم لو تلف بتفریطه ضمن قیمته مع وصف المخیطیّة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بذل المؤجر العین، فامتنع المستأجر عن تسلّمها، أو تسلّم ولم یستوف المنفعة حتّی انقضت مدّة الإجارة استقرّت علیه الاُجرة، ومثله ما لو بذل الأجیر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استوفی منفعة اُخری کما إذا استأجر دابّة للحمل فرکبها،</w:t>
      </w:r>
    </w:p>
    <w:p>
      <w:pPr>
        <w:pStyle w:val="BookText"/>
        <w:rPr/>
      </w:pPr>
      <w:r>
        <w:rPr>
          <w:rFonts w:ascii="IRNazanin" w:hAnsi="IRNazanin" w:eastAsia="IRNazanin"/>
          <w:color w:val="111111"/>
          <w:sz w:val="28"/>
          <w:sz w:val="28"/>
          <w:szCs w:val="28"/>
          <w:rtl w:val="true"/>
          <w:lang w:bidi="fa-IR"/>
        </w:rPr>
        <w:t>وکان اُجرة الحمل خمسة واُجرة الرکوب عشرة، فهل علیه کلتا الاُجرتین أو أکثرهما؟ الأرجح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تلفت العین المستأجرة أو شردت الدابّة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قبل القبض بطلت الإجارة ورجعت الاُجرة إلی صاحبها، وإن کان فی أثناء المدّة بطلت فی بقیّتها ورجعت الاُجرة بنسبتها، ففی التلف فی نصف المدّة یرجع نصف الاُجرة وفی ثلثها یرجع ثلثاها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غصبها غاصب قبل القبض، تخیّر المستأجر بین أن یفسخ وأن یمضی فیرجع باُجرة المثل إلی الغاصب، ولو غصبها فی الأثناء صحّت الإجارة ورجع إلی الغاصب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موضع کانت الإجارة فاسدة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سکن الدار بلا تعیین مدّة، أو عَمِلَ بلا تعیین اُجرة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 للمؤجر اُجرة المثل لملکه، وللعامل اُجرة المثل لعمله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استأجر عیناً باُجرة، یجوز أن یؤجرها لآخر حتّی بأکثر ممّا استأجر، غیر البیت والدار والدکّان والأجیر، فإنّه لا یجوز إجارتها بأکثر ممّا استأجر إلّاإذا أحدث فیها حدثاً من تعمیر أو تبییض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تقبّل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کخیاطة ثوب أو صلاة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یستأجر غیره له بالأقلّ إلّاإذا أحدث حدثاً کفصل الثوب أو صلاة أیّام، فیولّیه غیره بالأقلّ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الأجیر إذا آجر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یکون جمیع منافعه للمستأجر فی مدّة معیّنة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له العمل فی تلک المدّة لنفسه أو لغیره، نعم لا بأس ببعض الأعمال غیر المنافیة کقراءة قرآن وعقد ونحوهما، ولو آجر نفسه لعمل جاز الاستیجار للغیر علی نوع ذلک العمل إذا لم یناف الاستیجار الأوّل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آجر نفسه لعمل، فعمل له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أمر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w:t>
      </w:r>
    </w:p>
    <w:p>
      <w:pPr>
        <w:pStyle w:val="BookText"/>
        <w:rPr/>
      </w:pPr>
      <w:r>
        <w:rPr>
          <w:rFonts w:ascii="IRNazanin" w:hAnsi="IRNazanin" w:eastAsia="IRNazanin"/>
          <w:color w:val="111111"/>
          <w:sz w:val="28"/>
          <w:sz w:val="28"/>
          <w:szCs w:val="28"/>
          <w:rtl w:val="true"/>
          <w:lang w:bidi="fa-IR"/>
        </w:rPr>
        <w:t>یستحقّ شیئاً، ولو آجر دابّته لحمل متاع زید فحمل، متاع عمرو، عمداً أو نسیاناً لم یستحقّ شیئاً منهما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استئجار المرأة للإرضاع ولا یعتبر إذن الزوج، واستئجار الشاة للانتفاع بلبنها والبستان للانتفاع بثمره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للإنسان أن یؤجر نفسه للإتیان بما وجب علیه کفایة بعنوانه الخاصّ، کتغسیل المیّت والصلاة علیه ودفنه، وأمّا ما وجب من جهة حفظ النظام وحاجة الأنام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کالطبابة والخیاطة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بأخذ الاُجرة علیه کما لا بأس بأخذ الاُجرة علی النیابة عن الغیر فی واجباته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الإجارة لحفظ المتاع عن الضیاع وحراسة البستان، ویجوز اشتراط الضمان علیه لو حصل الضیاع والسرقة، ولو بلا تقصیر منه، ولو طلب من شخص أن یعمل له عملاً فعمله، استحقّ اُجرة المثل لعمله، إن لم یکن قاصداً للتبرّع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استأجر شخصاً لحیازة المباحات وتملّکها، کالاحتشاش ونحوه، کان ما یجمعه الأجیر وفاءً لعقد الإجارة ملکاً للمستأجر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قصد ملکیّته لنفسه، ففی کونه له أو للمستأجر وجهان أرجحهما الثانی، وعلی الأوّل لم یستحقّ الاُجرة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تجوز إجارة الأرض لزرع الحنطة والشعیر وغیرهما بمقدار من حاصلها، وأمّا إجارتها بالحنطة والشعیر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تقیید بکونهما منها فلا بأس</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العین المستأجرة أمانة فی ید المستأجر، فلا یضمن تلفها أو تعیّبها إلّابالتعدّی أو التفریط، وکذا العین مورد العمل، کالثوب عند الخیّاط</w:t>
      </w:r>
    </w:p>
    <w:p>
      <w:pPr>
        <w:pStyle w:val="BookText"/>
        <w:rPr/>
      </w:pPr>
      <w:r>
        <w:rPr>
          <w:rFonts w:ascii="IRNazanin" w:hAnsi="IRNazanin" w:eastAsia="IRNazanin"/>
          <w:color w:val="111111"/>
          <w:sz w:val="28"/>
          <w:sz w:val="28"/>
          <w:szCs w:val="28"/>
          <w:rtl w:val="true"/>
          <w:lang w:bidi="fa-IR"/>
        </w:rPr>
        <w:t>والصبّاغ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أفسدها ولو بغیر قصد، ضمنها، فیضمن الذابح للحیوان إذا ذبحه باطلاً، والختّان إذا أضرّ بالولد والطبیب إذا باشر العلاج فأضرّ بالمریض، وکذا لو أمره بشرب الدواء فشربه فمات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عثر الحمّال فتلف ما کان یحمله ضمن، بخلاف الدابّة لو عثرت، فتلف المتاع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استأجر الدابّة لا یجوز الحمل أو الرکوب بأکثر ممّا عیّن أو تعورف وإلّا ضمن النقصان، ولو استؤجر لحفظ متاع فسُرق لم یضمن إلّامع التقصیر، کما أنّ صاحب الحمّام لا یضمن الثیاب، إلّاإذا اُودعت عنده فأفرط أو فرّط</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ید أمینة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کالمستودع والمستأجر وغیرهما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تضمن التعیّب والتلف إلّابالإفراط أو التفریط، والأوّل فعل ما یجب ترکه، کالحمل علی المرکوب فوق قدرته، والثانی ترک ما یجب فعله، کترک الحیوان بلا غذاء حتّی یموت</w:t>
      </w:r>
      <w:r>
        <w:rPr>
          <w:rFonts w:eastAsia="IRNazanin" w:cs="IRNazanin"/>
          <w:color w:val="111111"/>
          <w:sz w:val="28"/>
          <w:szCs w:val="28"/>
          <w:rtl w:val="true"/>
          <w:lang w:bidi="fa-IR"/>
        </w:rPr>
        <w:t>.</w:t>
      </w:r>
      <w:bookmarkStart w:id="425" w:name="pg6476_56878"/>
    </w:p>
    <w:p>
      <w:pPr>
        <w:pStyle w:val="Heading2"/>
        <w:numPr>
          <w:ilvl w:val="1"/>
          <w:numId w:val="1"/>
        </w:numPr>
        <w:rPr/>
      </w:pPr>
      <w:bookmarkStart w:id="426" w:name="__RefHeading___Toc1265386_653776707"/>
      <w:bookmarkStart w:id="427" w:name="_Toc164"/>
      <w:bookmarkEnd w:id="425"/>
      <w:bookmarkEnd w:id="426"/>
      <w:r>
        <w:rPr>
          <w:rtl w:val="true"/>
        </w:rPr>
        <w:t>کتاب الجعالة</w:t>
      </w:r>
      <w:bookmarkEnd w:id="427"/>
    </w:p>
    <w:p>
      <w:pPr>
        <w:pStyle w:val="BookText"/>
        <w:rPr/>
      </w:pPr>
      <w:r>
        <w:rPr>
          <w:rFonts w:ascii="IRNazanin" w:hAnsi="IRNazanin" w:eastAsia="IRNazanin"/>
          <w:color w:val="111111"/>
          <w:sz w:val="28"/>
          <w:sz w:val="28"/>
          <w:szCs w:val="28"/>
          <w:rtl w:val="true"/>
          <w:lang w:bidi="fa-IR"/>
        </w:rPr>
        <w:t>وهی الالتزام بإعطاء عوض معلوم علی عمل محلّل؛ ویقال للملتزم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الجاعل، ولفاعل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وللعوض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ویؤدّی بکلّ لفظ،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 ابنی أو خاط ثوبی فله عشر، ولا تفتقر إلی القبول، وتفترق عن الإجارة بأنّ العامل فیها لا یستحقّ الجعل إلّابعد العمل، بخلاف الإجارة، فإنّ ملکیّة المنفعة للمستأجر والاُجرة للمؤجر تحصل بمجرّد العقد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تصحّ الجعالة علی العمل المحرّم، أو اللغو کضرب المؤمن أو حمل شیء ثقیل أو الوثبة الفاحشة، ولا علی الواجبات الکفائیّة کدفن المیّت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الجاعل أهلیّة الاستئجار حتّی الاختیار وعدم الحجر، ولا یعتبر فی العامل إلّاجواز العمل منه شرعاً،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کنس هذا المسجد فله خمسة، فکنسه الجنب لم یستحقّ الجُعل، وإذا کنسه الصبیّ أو المجنون ولو بدون إذن الولیّ، استحقّه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بکون العمل مجهولاً فی الجعالة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 ابنی فله کذا، وأمّا الجُعل فلابدّ من تعیّنه نوعاً وصفة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الجعل مجهولاً بطلت الجعالة واستحقّ العامل اُجرة المثل لعمله، ومنه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 ضالّتی أو دلّنی علی ابنی فله عندی 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 أن یقول للدلّال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بعت هذا المتاع بأکثر من عشر فلک ما زاد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یعتبر أن یکون الجعل ممّن له العمل، فیجوز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 دابّة زید فله علیَّ خمسة، کما أنّه لو عیّن الجعل لزید فعمله عمرو، لم یستحقّ واحد منهما شیئاً، ولو عیّن لزید فشارکه عمرو یسقط عن جُعل زید بمقدار عمل عمرو</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الجعالة جائزة من الطرفین قبل تمام العمل، فلکلّ منهما نقضها قبل شروع العمل أو فی أثنائه، فعلی الأوّل لم یستحقّ العامل شیئاً، وعلی الثانی ففی استحقاقه من المسمّی بنسبة عمله أو استحقاق اُجرة المثل له وجهان</w:t>
      </w:r>
      <w:r>
        <w:rPr>
          <w:rFonts w:eastAsia="IRNazanin" w:cs="IRNazanin"/>
          <w:color w:val="111111"/>
          <w:sz w:val="28"/>
          <w:szCs w:val="28"/>
          <w:rtl w:val="true"/>
          <w:lang w:bidi="fa-IR"/>
        </w:rPr>
        <w:t>.</w:t>
      </w:r>
      <w:bookmarkStart w:id="428" w:name="pg6476_56880"/>
    </w:p>
    <w:p>
      <w:pPr>
        <w:pStyle w:val="Heading2"/>
        <w:numPr>
          <w:ilvl w:val="1"/>
          <w:numId w:val="1"/>
        </w:numPr>
        <w:rPr/>
      </w:pPr>
      <w:bookmarkStart w:id="429" w:name="__RefHeading___Toc1265388_653776707"/>
      <w:bookmarkStart w:id="430" w:name="_Toc165"/>
      <w:bookmarkEnd w:id="428"/>
      <w:bookmarkEnd w:id="429"/>
      <w:r>
        <w:rPr>
          <w:rtl w:val="true"/>
        </w:rPr>
        <w:t>کتاب العاریة</w:t>
      </w:r>
      <w:bookmarkEnd w:id="430"/>
    </w:p>
    <w:p>
      <w:pPr>
        <w:pStyle w:val="BookText"/>
        <w:rPr/>
      </w:pPr>
      <w:r>
        <w:rPr>
          <w:rFonts w:ascii="IRNazanin" w:hAnsi="IRNazanin" w:eastAsia="IRNazanin"/>
          <w:color w:val="111111"/>
          <w:sz w:val="28"/>
          <w:sz w:val="28"/>
          <w:szCs w:val="28"/>
          <w:rtl w:val="true"/>
          <w:lang w:bidi="fa-IR"/>
        </w:rPr>
        <w:t>وهی التسلیط علی العین للانتفاع بها علی جهة التبرّع، وهی من العقود، وتقع بکلّ لفظ أفاد هذا المعنی،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أعرت لک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 وانتفع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وبالمعاطاة بهذا القصد، ویعتبر فی المعیر أن یکون مالکاً للمنفعة ولو بالإجارة، وأهلاً للتصرّف فیها، فلا تصحّ إعارة المحجور لصغر أو فلس، ویعتبر فی المستعیر أهلیّة الانتفاع، فلا تصحّ إعارة حلی الذهب للرجل، وکتب الضلال لغیر أهله، ویعتبر فی العین المستعارة کونها محلّلة الانتفاع بها، مع بقاء عینها، فلا تصحّ إعارة آلات اللهو والقمار، ولا الخبز للأکل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للعین منافع متعدّدة کالأرض للغرس والزرع، وکان الغرض منفعة خاصّة، وجب التصریح بها، فتحرم الانتفاع بغیرها، وإن کان الغرض الانتفاع المطلق جاز التصریح بالعموم، وجاز الإطلاق ویحلّ جمیع التصرّفات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العاریة جائزة من الطرفین، فللمعیر الرجوع متی شاد وللمستعیر الرّدّ کذلک، کما أنّها تبطل بموت المعیر دون المستعیر، فینتفع بها ورثته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المستعیر أن لا یتعدّی عن المنفعة التی عیّنها المعیر، وأن یقتصر فیها بنحو العادة، فلو تعدّی نوعاً أو کیفیّة، کمن استعار الدابّة للرکوب فحمل علیها، أو لحمل عشرة أمنان فحمل عشرین، کان غاصباً ضامناً، وعلیه اُجرة المنفعة فی الأوّل، واُجرة ما زاد فی الثانی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العین المستعارة أمانة بید المستعیر، لا یضمنها إلّابالتعدّی أو اشتراط الضمان أو کون العین ذهباً أو فضّة، ولا یجوز للمستعیر إعارتها لآخر أو إجارتها</w:t>
      </w:r>
      <w:r>
        <w:rPr>
          <w:rFonts w:eastAsia="IRNazanin" w:cs="IRNazanin"/>
          <w:color w:val="111111"/>
          <w:sz w:val="28"/>
          <w:szCs w:val="28"/>
          <w:rtl w:val="true"/>
          <w:lang w:bidi="fa-IR"/>
        </w:rPr>
        <w:t>.</w:t>
      </w:r>
      <w:bookmarkStart w:id="431" w:name="pg6476_56882"/>
    </w:p>
    <w:p>
      <w:pPr>
        <w:pStyle w:val="Heading2"/>
        <w:numPr>
          <w:ilvl w:val="1"/>
          <w:numId w:val="1"/>
        </w:numPr>
        <w:rPr/>
      </w:pPr>
      <w:bookmarkStart w:id="432" w:name="__RefHeading___Toc1265390_653776707"/>
      <w:bookmarkStart w:id="433" w:name="_Toc166"/>
      <w:bookmarkEnd w:id="431"/>
      <w:bookmarkEnd w:id="432"/>
      <w:r>
        <w:rPr>
          <w:rtl w:val="true"/>
        </w:rPr>
        <w:t>کتاب الودیعة</w:t>
      </w:r>
      <w:bookmarkEnd w:id="433"/>
    </w:p>
    <w:p>
      <w:pPr>
        <w:pStyle w:val="BookText"/>
        <w:rPr/>
      </w:pPr>
      <w:r>
        <w:rPr>
          <w:rFonts w:ascii="IRNazanin" w:hAnsi="IRNazanin" w:eastAsia="IRNazanin"/>
          <w:color w:val="111111"/>
          <w:sz w:val="28"/>
          <w:sz w:val="28"/>
          <w:szCs w:val="28"/>
          <w:rtl w:val="true"/>
          <w:lang w:bidi="fa-IR"/>
        </w:rPr>
        <w:t>وهی وضع المال عند الغیر لیحفظه لمالکه، ویقال لصاحب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المودِع، ولذلک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الودعی أو المستودَع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وتصحّ بکلّ لفظ دالّ علی المقصود، کأن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أودعتک هذا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فیقبل الآخر، وتقع بالمعاطاة بذلک القصد، ولا تقع مع سکوت الودعی، فلو طرح ثوبه عند زید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ودیعة، فذهب، لا یضمنه زید إذا تلف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کلّ من المودِع والودعی البلوغ والعقل، فلا یصحّ إیداع الصبیّ ولا المجنون، واستیداعهما، بل لا یجوز وضع الید علی ما أودعاه، فلو أخذه ضمن ولا یبرأ إلّابإیصاله إلی ولیّهما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خیف من تلفه یؤخذ حسبة ویصیر أمانة شرعیّة تجب المبادرة إلی ردّه، لا ودیعة وأمانة مالکیّة، نعم لو کان الصبیّ آلة للإیصال بین البالغین 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المستودَع حفظ الودیعة بما جرت العادة بحفظها فی الحرز؛ من بیت أو صندوق مقفّل ونحوهما، ویجب القیام بما له دخل فی صونها من التعیّب والتلف؛ کنشر الثوب وعلف الدابّة ولو عیّن المودِع لها موضعاً لم یجز نقلها إلی غیره، ولو خالف ضمن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تلفت بید المستودَع بلا تفریط، أو أخذها ظالم لم یضمن إلّا إذا کان هو السبب فی ذلک؛ ولو بإخباره، ولو تمکّن من دفع الظالم حتّی بالحلف</w:t>
      </w:r>
    </w:p>
    <w:p>
      <w:pPr>
        <w:pStyle w:val="BookText"/>
        <w:rPr/>
      </w:pPr>
      <w:r>
        <w:rPr>
          <w:rFonts w:ascii="IRNazanin" w:hAnsi="IRNazanin" w:eastAsia="IRNazanin"/>
          <w:color w:val="111111"/>
          <w:sz w:val="28"/>
          <w:sz w:val="28"/>
          <w:szCs w:val="28"/>
          <w:rtl w:val="true"/>
          <w:lang w:bidi="fa-IR"/>
        </w:rPr>
        <w:t>کاذباً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توقّف الدفع علی تحمّل ضرر مالی أو عرضی أو بدنی لم یجب، ولو توقّف دفعه علی بذل مقدار منها وجب لحفظ الباقی، فلو أهمل وأخذ الظالم کلّها، ضمن ما زاد عمّا کان یجب دفعه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نفقة 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وضع المالک عنده عین النفقة أو قیمتها، أو أذن فی الإنفاق علیها علی ذمّته فهو، وإلّا فالواجب الاستئذان من المالک، وإن لم یمکن فمن الحاکم، لیأمره بما یراه صلاحاً ولو ببیع بعضها، وإن تعذّر أنفق من ماله ورجع إلی المالک فیما 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تبطل الودیعة بموت الطرفین، فإن کان هو المودِع تکون فی ید الودعی أمانة شرعیّة تجب المبادرة فی ردّها إلی الوارث، ولو کان متعدّداً سلّمها إلی الکلّ، ولو سلّمها إلی بعضهم ضمن حصّة الباقین، وإن کان المیّت المستودَع تکون أمانة شرعیّة واجب الردّ فی ید وارثه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الودیعة جائزة من الطرفین، فللمالک استرداد ماله متی شاء، وللمستودع ردّه کذلک، ویجب ردّها فوراً عرفیّاً إذا طلبها صاحبها ولو کان کافراً، ویجب 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خاف من تلفها أو ظهرت عنده أمارات الموت، ولو لم یمکن الإیصال إلی المالک فإلی 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أودع الغاصب ما غصبه عند شخص، لا یجوز ردّه إلیه مع الإمکان، بل یکون أمانة شرعیّة فی یده، ویجب إیصاله إلی مالکه، ومع الجهل به کان مجهول المالک یجب التصدّق عنه، وإن جاء بعد ذلک صاحبها وطلبها، ضمنها المتصدِّق ویکون الأجر له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للمستودع أن یسافر ویبقی الودیعة عند أهله، وإذا توقّف حفظها علی حضوره یجب ردّها إلی المالک أو إلی الحاکم ثمّ السفر، ولا یجوز أن یسافر بها إلّافی بعض الودائع وبعض الأسفار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المستودَع إذا نوی غصب الودیعة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رجع عن قصده أو جحدها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امتنع من الردّ مع المطالبة، أو فتح الکیس المختوم، أو سلّمها إلی زوجته أو خادمه، وکذا فی کلّ إفراط وتفریط، یصیر ضامناً لها بمعنی أنّ یده الأمینة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الضمانیة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تنقلب إلی الخائنة الضمانیّة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الأمانة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مالکیّة وشرعیّة، فالأوّل ما کان بإذن واستئمان من المالک، سواء کان بعقد مستقلّ کالودیعة، أو فی ضمن عقد آخر کالرهن والعاریة والإجارة، فإنّ العین فیها أمانة بإذن المالک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الإذن والاستئمان من ناحیة الشارع دون المالک، کما فی اللقطة أو المأخوذ من الغاصب أو الصبیّ للإیصال إلی مالکه، أو الودیعة إذا مات مالکها، أو الواقع فی یده لاشتباه الحساب، ففی الجمیع یجب حفظها وإیصالها إلی المالک فوراً، ولیس علیه ضمان إذا لم یتجاوز الحدود</w:t>
      </w:r>
      <w:r>
        <w:rPr>
          <w:rFonts w:eastAsia="IRNazanin" w:cs="IRNazanin"/>
          <w:color w:val="111111"/>
          <w:sz w:val="28"/>
          <w:szCs w:val="28"/>
          <w:rtl w:val="true"/>
          <w:lang w:bidi="fa-IR"/>
        </w:rPr>
        <w:t>.</w:t>
      </w:r>
      <w:bookmarkStart w:id="434" w:name="pg6476_56885"/>
    </w:p>
    <w:p>
      <w:pPr>
        <w:pStyle w:val="Heading2"/>
        <w:numPr>
          <w:ilvl w:val="1"/>
          <w:numId w:val="1"/>
        </w:numPr>
        <w:rPr/>
      </w:pPr>
      <w:bookmarkStart w:id="435" w:name="__RefHeading___Toc1265392_653776707"/>
      <w:bookmarkStart w:id="436" w:name="_Toc167"/>
      <w:bookmarkEnd w:id="434"/>
      <w:bookmarkEnd w:id="435"/>
      <w:r>
        <w:rPr>
          <w:rtl w:val="true"/>
        </w:rPr>
        <w:t>کتاب المضاربة</w:t>
      </w:r>
      <w:bookmarkEnd w:id="436"/>
    </w:p>
    <w:p>
      <w:pPr>
        <w:pStyle w:val="BookText"/>
        <w:rPr/>
      </w:pPr>
      <w:r>
        <w:rPr>
          <w:rFonts w:ascii="IRNazanin" w:hAnsi="IRNazanin" w:eastAsia="IRNazanin"/>
          <w:color w:val="111111"/>
          <w:sz w:val="28"/>
          <w:sz w:val="28"/>
          <w:szCs w:val="28"/>
          <w:rtl w:val="true"/>
          <w:lang w:bidi="fa-IR"/>
        </w:rPr>
        <w:t>وتسمّی قِراضاً، وهی عقدٌ واقع بین شخصین أو أکثر فی تجارة علی أن یکون رأس المال من أحدهما والعمل من الآخر، لیشترکا فی ربحها، وتحتاج إلی إیجاب وقبول بکلّ لفظ أدّی هذا المقصود کقول 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کذا، وقول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وتجوز المعاطاة بهذا القصد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یشترط فی المتعاقدین الکمال، وفی ربّ المال عدم المحجوریّة، وفی العامل القدرة علی التجارة،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رأس المال أن یکون عیناً أو درهماً أو دیناراً أو سائر النقود الرائجة، وفی الربح أن یکون معلوماً بأحد الکسور کالنصف أو الثلث،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عاملتک ولک نصف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صحّت، ولو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 مأة مثلاً بطلت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أن یکون الاسترباح بالتجارة، فلو دفع إلی أحد مالاً لیشتری أعناباً أو أغناماً علی أن تکون الثمرة والنتاج بینهما لم یکن مضاربة، وکانت الثمرة والنتاج لربّ المال، وعلی العامل اُجرة عمله، وکذا لو دفع إلی الزارع أو إلی الخیّاط مالاً لیصرفا فی عملهما ویکون الحاصل بینهما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اتّحاد المالک وتعدّد العامل، کما یجوز تعدّد المالک واتّحاد العامل؛ بأن کان المال مشترکاً بین اثنین، فقارضا واحداً، ویجب تعیین حصصهم من الربح مع تساوی الشریکین فی المال وتفاضلهما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المضاربة جائزة من الطرفین، یجوز لکلّ منهما فسخها، قبل الشروع فی العمل وبعده، کان المال کلّه عروضاً أو صار کلّه نقداً، أو کان بالاختلاف، فیأخذ المالک رأس ماله ویقتسمان الربح، وتبطل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بموت کلّ من المالک والعامل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العامل أمین، فلا ضمان علیه لو تلف المال أو تعیّب إلّامع التجاوز، کما لا ضمان علیه من جهة الخسارة فی التجارة، بل هی واردة لصاحب المال حتّی مع اشتراط أن یکون العامل شریکاً فی الخسارة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علی العامل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عقد المضاربة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بوظائف التجارة؛ من نشر المتاع وعرض القماش وأخذ الثمن وإحرازه، ویعطی اُجرة الدلّال والحمّال من أصل المال، ولو باشر ما لا یجب علیه من اُمور التجارة بقصد أخذ الاُجرة جاز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اشترط المالک أن لا یشتری الجنس الفلانی، أو لا یبیع من الطوائف الفلانیّة، ونحو ذلک من الشروط، لم تجز المخالفة، وإلّا ضمن المال والخسارة، ومع إطلاق العقد یعمل بما هو صلاح التجارة من شراء أیّ جنس شاء، ومن أیّ شخص کان، ولیس له أن یسافر بالمال أو یبیع نسیئة، إلّامع إذن المالک أو کان هناک تعارف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للعامل أن ینفق علی نفسه فی الحضر من مال القراض وإن قلّ، وکذا فی السفر إلّامع الإذن، فینفق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الاقتصاد، ومنه دفع العشور وأخذ جواز السفر، ولو أسرف فیه ضمن الزیادة، ولو کان السفر لغرضین، أو کان عاملاً لاثنین، توزّع النفقة علی الأمرین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یعتبر ظهور الربح فی الإنفاق، بل ینفق من أصل المال، فإذا حصل الربح یجبر ما أنفقه بالربح، فیعطی المالک رأس ماله فیقسّم الباقی، ومثله سائر الغرامات والخسارات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للعامل الشراء بعین مال المضاربة، وأن یشتری کلّیّاً فی</w:t>
      </w:r>
    </w:p>
    <w:p>
      <w:pPr>
        <w:pStyle w:val="BookText"/>
        <w:rPr/>
      </w:pPr>
      <w:r>
        <w:rPr>
          <w:rFonts w:ascii="IRNazanin" w:hAnsi="IRNazanin" w:eastAsia="IRNazanin"/>
          <w:color w:val="111111"/>
          <w:sz w:val="28"/>
          <w:sz w:val="28"/>
          <w:szCs w:val="28"/>
          <w:rtl w:val="true"/>
          <w:lang w:bidi="fa-IR"/>
        </w:rPr>
        <w:t>الذمّة ویؤدّی من المال، ولا یجوز له التوکیل فی التجارة من دون إذن المالک، إلّا فی بعض المقدّمات أو المعاملات التی تعارف إیکالها إلی الغیر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یملک العامل حصّته من الربح بمجرّد ظهوره، ولا یتوقّف علی الإنضاض بمعنی جعل الجنس نقداً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علی القسمة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یصیر شریکاً مع المالک فی نفس العین، فیملک منها مقدار حصّته من الربح، ویترتّب علیه آثاره؛ من جواز مطالبة القسمة وغیره، لکنّه ملک متزلزل لاحتمال ورود خسارة علی المال، فإذا انفسخت المضاربة ونُضّ المال وقسّم، استقرّ ملکه، ولا یبعد الاستقرار بمجرّد الفسخ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کانت المضاربة فاسدة کان الربح بتمامه للمالک، وللعامل اُجرة المثل لعمله، کانا عالمین بالفساد أو جاهلین أو مختلفین، إلّافی صورة عدم حصول ربح أو کونه أقلّ من اُجرة المثل، فإنّه لا یستحقّ شیئاً علی الأوّل، وما زاد علی الربح علی الثانی، وحکم التلف والنقص الواردین علی المال حکم المضاربة الصحیحة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تجری الفضولیّة فی المضاربة، فلو ضارب أحد بمال الغیر وقفت علی إجازة المالک، فإن أجاز وقعت له، وکان الخسران علیه، والربح بینه وبین العامل علی ما شرطه الفضولی، وإن ردّها تخیّر بین أن یرجع بماله إلی الفضولی أو العامل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إیقاع الجعالة علی الاتّجار بمال؛ وجعل الجُعل حصّة من الربح؛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اتّجر بمالی هذا فله نصف الربح مثلاً، فتکون جعالة تفید فائدة المضاربة، ولا یشترط فیها شرائط المضاربة، فیجوز أن یکون المال عروضاً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للأب والجدّ المضاربة بمال الصغیر مع عدم المفسدة، فیکون الربح للطفل، ویجوز للوصیّ إذا فوّض المیّت أمر الثلث إلیه، المضاربة به ویکون الربح للمیّت</w:t>
      </w:r>
      <w:r>
        <w:rPr>
          <w:rFonts w:eastAsia="IRNazanin" w:cs="IRNazanin"/>
          <w:color w:val="111111"/>
          <w:sz w:val="28"/>
          <w:szCs w:val="28"/>
          <w:rtl w:val="true"/>
          <w:lang w:bidi="fa-IR"/>
        </w:rPr>
        <w:t>.</w:t>
      </w:r>
      <w:bookmarkStart w:id="437" w:name="pg6476_56888"/>
    </w:p>
    <w:p>
      <w:pPr>
        <w:pStyle w:val="Heading2"/>
        <w:numPr>
          <w:ilvl w:val="1"/>
          <w:numId w:val="1"/>
        </w:numPr>
        <w:rPr/>
      </w:pPr>
      <w:bookmarkStart w:id="438" w:name="__RefHeading___Toc1265394_653776707"/>
      <w:bookmarkStart w:id="439" w:name="_Toc168"/>
      <w:bookmarkEnd w:id="437"/>
      <w:bookmarkEnd w:id="438"/>
      <w:r>
        <w:rPr>
          <w:rtl w:val="true"/>
        </w:rPr>
        <w:t>کتاب الشرکة</w:t>
      </w:r>
      <w:bookmarkEnd w:id="439"/>
    </w:p>
    <w:p>
      <w:pPr>
        <w:pStyle w:val="Heading3"/>
        <w:numPr>
          <w:ilvl w:val="2"/>
          <w:numId w:val="1"/>
        </w:numPr>
        <w:rPr/>
      </w:pPr>
      <w:bookmarkStart w:id="440" w:name="__RefHeading___Toc1265396_653776707"/>
      <w:bookmarkStart w:id="441" w:name="_Toc169"/>
      <w:bookmarkEnd w:id="440"/>
      <w:r>
        <w:rPr>
          <w:rtl w:val="true"/>
        </w:rPr>
        <w:t>اشارة</w:t>
      </w:r>
      <w:bookmarkEnd w:id="441"/>
    </w:p>
    <w:p>
      <w:pPr>
        <w:pStyle w:val="BookText"/>
        <w:rPr/>
      </w:pPr>
      <w:r>
        <w:rPr>
          <w:rFonts w:ascii="IRNazanin" w:hAnsi="IRNazanin" w:eastAsia="IRNazanin"/>
          <w:color w:val="111111"/>
          <w:sz w:val="28"/>
          <w:sz w:val="28"/>
          <w:szCs w:val="28"/>
          <w:rtl w:val="true"/>
          <w:lang w:bidi="fa-IR"/>
        </w:rPr>
        <w:t>وهی کون شیء واحد لاثنین أو أکثر، وهی إمّا فی عین أو دین أو منفعة أو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إرثاً، أو عقداً ناقلاً، فإذا مات الإنسان کان ما ترکه من عین ودین ومنفعة وحقّ تحجیر مشترکاً بین ورّاثه بالإرث، ولو اشتری اثنان عیناً أو استأجرا داراً أو صولحا عن دین أو حقّ تحجیر اشترکا فیها بالعقد، ولها سببان آخران یختصّان بالأعیان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الحیازة، کما لو اشترکا فی أخذ سمک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الامتزاج، کما إذا امتزج الخلّ من شخص بالخلّ من آخر، وکذا سائر المائعات غیر الممتازة عند الامتزاج إذا اختلط بعضها ببعض مجانس أو غیر مجانس، ومثله دقیق الحبوبات، بل ونفس الحبوبات غالباً کالحنطة إذا اختلطت بالحنطة والدُخن بالدُخن ونحوهما، وأمّا اختلاط البیض والجوز والدراهم والنقود وظروف المکائن وکتب المطابع ونحوها بعضها مع بعض، فلا یوجب الشرکة، فالعلاج فیها التصالح والقرعة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لبعض الشرکاء التصرّف فی المال المشترک إلّابرضا الباقین، ولا یجوز التعدّی عن المقدار المأذون فیه، إلّاأنّه قد یکون الإذن فی الشیء إذناً فی لوازمه، فإنّ الإذن فی سکنی الدار إذن فی إسکان أهله وتردّد أصدقائه وضیوفه بالمقدار المتعارف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تطلق الشرکة علی معنی آخر، وهو العقد الواقع بین الشریکین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مالهما المشترک لیتصرّف کلّ واحد منهما فیه بالتجارة والتکسّب، ویکفی قول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اشترکنا وقبول الآخر، وثمرته جواز تصرّفهما فی المال، وکون الربح والخسران بینهما علی نسبة المالین، ویسمّی بالشرکه العقدیة، ویعتبر فیه ما اعتبر فی العقود المالیّة من الکمال وعدم الحجر ونحوه، وتجری فیه المعاطاة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یخلطا المالین بقصد الاشتراک فی التجارة بهما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تصحّ الشرکة العقدیّة إلّافی الأموال نقوداً کانت أو عروضاً، وتسمّی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العِنان أیضاً، وأمّا شرکة الأبدان بأن أوقع العقد اثنان کالخیّاطین أو خیّاط ونجّار علی أن تکون اُجرة عمل کلّ منهما مشترکاً بینهما، فلا تصحّ، بل یختصّ کلّ منهما باُجرة عمله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حیث إنّ الغرض من شرکة العنان التجارة بالمال المشترک، فلابدّ من کون رأس المال مشترکاً بینهما، فإن کان مشترکاً من قبل فهو، وإلّا فاللّازم اتّحاد أحد أسباب الشرکة قبل العقد أو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إطلاق عقد الشرکة یقتضی جواز تصرّف کلّ منهما بالتکسّب فی رأس المال بما یراه صلاحاً، إلّاإذا عیّنا تصرّفاً خاصّاً فیتّبع، وحیث إنّ کلّاً منهما بالنسبة إلی الآخر کعامل المضاربة، فلابدّ أن یقتصرا فی کیفیّة العمل علی المتعارف، فلا یبیعا نسیئة ولا یخرجا المال من البلد ونحو ذلک، ویجوز أن یجعلا التصرّف لأحدهما دون الآخر</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إطلاق الشرکة یقتضی بسط الربح والخسران علی الشریکین علی نسبة مالهما، فإن تساویا فی المال تساویا فی الربح، وإن تفاضلا تفاضلا، وفی جواز اشتراط التساوی فی الربح مع التفاضل فی المال، أو التفاضل فی الربح مع التساوی فی المال إشکال، إلّاإذا جعلا التفاضل من الربح لمن کان له العمل أو کان عمله أکثر</w:t>
      </w:r>
      <w:r>
        <w:rPr>
          <w:rFonts w:eastAsia="IRNazanin" w:cs="IRNazanin"/>
          <w:color w:val="111111"/>
          <w:sz w:val="28"/>
          <w:szCs w:val="28"/>
          <w:rtl w:val="true"/>
          <w:lang w:bidi="fa-IR"/>
        </w:rPr>
        <w:t>.</w:t>
      </w:r>
      <w:bookmarkStart w:id="442" w:name="pg6476_56890"/>
    </w:p>
    <w:p>
      <w:pPr>
        <w:pStyle w:val="BookText"/>
        <w:rPr/>
      </w:pPr>
      <w:bookmarkEnd w:id="4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الشرکة جائز من الطرفین، ولو جعلا له أجلاً لم یلزم، فینفسخ بفسخ کلّ منهما، وکذا بموته وجنونه ونحوهما، ولا تبطل بذلک أصل الشرکة فیبقی مع عدم جواز التصرّف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العامل من الشریکین أمین، فلا یضمن التلف إلّامع التجاوز، وإن ادّعی التلف قبل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تبیّن بطلان عقد الشرکة، کانت المعاملات الواقعة محکومة بالصحّة، ولهما الربح وعلیهما الخسران، ولکلّ منهما اُجرة مثل عمله بالنسبةحصّة الآخر</w:t>
      </w:r>
      <w:r>
        <w:rPr>
          <w:rFonts w:eastAsia="IRNazanin" w:cs="IRNazanin"/>
          <w:color w:val="111111"/>
          <w:sz w:val="28"/>
          <w:szCs w:val="28"/>
          <w:rtl w:val="true"/>
          <w:lang w:bidi="fa-IR"/>
        </w:rPr>
        <w:t>.</w:t>
      </w:r>
    </w:p>
    <w:p>
      <w:pPr>
        <w:pStyle w:val="Heading3"/>
        <w:numPr>
          <w:ilvl w:val="2"/>
          <w:numId w:val="1"/>
        </w:numPr>
        <w:rPr/>
      </w:pPr>
      <w:bookmarkStart w:id="443" w:name="__RefHeading___Toc1265398_653776707"/>
      <w:bookmarkStart w:id="444" w:name="_Toc170"/>
      <w:bookmarkEnd w:id="443"/>
      <w:r>
        <w:rPr>
          <w:rtl w:val="true"/>
        </w:rPr>
        <w:t>القول فی القسمة</w:t>
      </w:r>
      <w:bookmarkEnd w:id="444"/>
    </w:p>
    <w:p>
      <w:pPr>
        <w:pStyle w:val="BookText"/>
        <w:rPr/>
      </w:pPr>
      <w:r>
        <w:rPr>
          <w:rFonts w:ascii="IRNazanin" w:hAnsi="IRNazanin" w:eastAsia="IRNazanin"/>
          <w:color w:val="111111"/>
          <w:sz w:val="28"/>
          <w:sz w:val="28"/>
          <w:szCs w:val="28"/>
          <w:rtl w:val="true"/>
          <w:lang w:bidi="fa-IR"/>
        </w:rPr>
        <w:t>وهی إخراج الحصّة عن الإشاعة إلی التعیین، ولیست ببیع ولا بمعاوضة، فلا یجری فیها خیار المجلس والحیوان، ولا یدخلها الربا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لابدّ فی القسمة من تعدیل 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بحسب الأجزاء والکمّیة؛ وزناً أو عدّاً أو مساحة، وتسمّی قسمة إفراز، وهی جاریة فی المثلیّات، کالحبوب والألبان والأقمشة وبعض الأراضی، وإمّا بحسب القیمة والمالیّة، کالأغنام والأشجار، کما إذا اشترک اثنان فی ثلاثة أغنام قد ساوت قیمة أحدها مع اثنین، فیجعل الواحد سهماً والاثنان سهماً، وتسمّی قسمة 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بضمّ مقدار من المال ببعض السّهام لیعادل الآخر، کما إذا کان بین اثنین ثوبان قیمة أحدهما خمسین والآخر أربعین، فإذا ضمّ إلی الثانی خمسة، بأن یدفعها من وضع الأوّل فی نصیبه إلی شریکه، ساوی الأوّل، وتسمّی قسمة الردّ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الأموال المشترکة قد لا یتأتّی فیها إلّاقسمة الافراز، وهو فی المثلیّات کمنّ من حنطة بین شریکین، وقد لا یتأتّی إلّاقسمة التعدیل کمثال</w:t>
      </w:r>
    </w:p>
    <w:p>
      <w:pPr>
        <w:pStyle w:val="BookText"/>
        <w:rPr/>
      </w:pPr>
      <w:r>
        <w:rPr>
          <w:rFonts w:ascii="IRNazanin" w:hAnsi="IRNazanin" w:eastAsia="IRNazanin"/>
          <w:color w:val="111111"/>
          <w:sz w:val="28"/>
          <w:sz w:val="28"/>
          <w:szCs w:val="28"/>
          <w:rtl w:val="true"/>
          <w:lang w:bidi="fa-IR"/>
        </w:rPr>
        <w:t>الأغنام، وقد لا یتأتّی إلّاقسمة الردّ کمثال الثوبین، وقد یتأتّی فیه قسمان، کما أنّه قد یتأتّی الأقسام الثلاثة، فلو اشترک اثنان فی وزنة حنطة قیمتها عشرة دراهم، ووزنة شعیر قیمتها خمسة، ووزنة حمّص قیمتها خمسة عشر، فإن قسّمت کلّ منها منفرداً کانت قسمة الإفراز، وإن جعلت الحنطة مع الشعیر سهماً والحمّص سهماً کانت قسمة التعدیل، وإن جعل الحمّص مع الشعیر سهماً والحنطة مع خمسة دراهم کانت قسمة الرّد، وفی صحّة قسمة الرّد مع إمکان غیره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یعتبر العلم بمقدار السهام مع کونها متساویة، فلو قسّمت الصبرة المجهولة المقدار نصفین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القسمة، وکذا الأرض إذا قسّمت بالحبل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طلب أحد الشریکین القسمة، فإن کانت قسمة ردّ أو مستلزمة للضرر لم یجبر الشریک الآخر، وتسمّی قسمة تراض، وإن لم تکن قسمة ردّ ولا مستلزمة للضرر یجبر علیها الممتنع، وتسمّی قسمة إجبار، ففیما یمکن فیه الأقسام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طلب قسمة الردّ لم یقبل، وإن طلب غیرها یقبل، ویکفی فی الضرر حدوث نقصان فی العین أو القیمة بسبب القسمة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کانت دار ذات بیوت بین جماعة، وطلب بعض الشرکاء القسمة اُجبر الباقون، إلّاإذا استلزم الضرر من جهة ضیقها وکثرة الشرکاء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کانت بینهما بستان مشتمل علی أشجار، فقسمته مع أشجاره بالتعدیل قسمة إجبار، وقسمة کلّ من الأرض والأشجار علی حدة قسمة تراض لا یجبر الممتنع علیها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کانت بینهما دکّاکین، وأمکن قسمتها إفرازاً، بأن یقسّم کلّ دکّان علی حدة، وتعدیلاً لتساوی قیمة واحد مع اثنین، یقدّم قول من یطلب الإفراز، ویجبر الآخر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بینهما حمّام لا یقبل القسمة الخالیة عن الضرر، لا یجبر الآخر، ولو کان یقبل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بإحداث تون أو بئر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لابدّ فی القسمة من تعدیل السهام ثمّ القرعة، فإذا کان الشرکاء ثلاثة، وحصصهم متساویة، تجعل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قطعات متساویة، ویوضع علی کلّ منها علامة مثل الأوّل والثانی والثالث، وإن کانت الحصص متفاوتة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کان لزید سدس ولعمرو ثلث ولبکر 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تجعل الأرض ستّ قطعات، ویوضع لکلّ منها 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کیفیّة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المثال الأوّل تؤخذ ثلاث رقاع ویکتب علیها اسم الشرکاء وتختلط وتستر، ثمّ تعیّن قطعة ذات علامة وتخرج رقعة قاصداً بأنّ هذه القطعة لهذه الرقعة، ثمّ تعیّن قطعة اُخری وتخرج رقعة اُخری لها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المثال الثانی تخرج الرقعة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القطعة وما یلیها لهذه الرقعة، فإن خرج صاحب النصف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له القطعة الاُولی والثانیة، ثمّ یقرع بین الآخرین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لیست للقرعة کیفیّة خاصّة، بل المراد إناطة التعیین بأمر لم یکن لإرادة المخلوق دخلٌ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للشرکاء أن یعیّنوا لکلّ نفس حصاة، ویدفعوها لغیرهم الجاهل بالحال لیلقی کلّ حصاة إلی قطعة من الأرض قاصداً بأنّ هذه لهذه، وتتمّ القسمة بإیقاع القرعة ولا تحتاج إلی تراض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طلب بعض الشرکاء المهایاة فی الانتفاع بالعین المشترکة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بحسب الزمان؛ بأن یسکن هذا شهراً وذاک شهراً، أو بحسب المکان، فیسکن هذا فی الفوقانی وذاک فی التحتانی، لم یجبر شریکه علی القبول، ومثله الشرکة فی المنافع کدار استأجرها اثنان، فلهما المهایاة ولهما السکنی مشترکین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القسمة فی الأعیان بعد الإقراع والتمامیّة لازمة، لیس للشرکاء إبطالها ولا فسخها، بل لا تشرع الإقالة فیها أیضاً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المنافع المشترکة کدار استأجرها اثنان تنحصر قسمتها بإفرازها مهایاة، بأن یسکن هذا شهراً وذاک شهراً، لکنّها غیر لازمة ولا یجبر الممتنع، فلیسکنا معاً، إلّاأن یجبرهما الحاکم حسماً للنزاع، کما أنّه لا تشرع القسمة فی الدیون، فإن کان لزید وعمرو معاً دیون علی الناس، فتقاسما علی أن یکون ما علی الحضری لزید وما علی البدوی لعمرو وتقارعا علی ذلک، لم تصحّ وتبقی علی الإشاعة، لکن یجوز ذلک بالصّلح، وأمّا قسمة الحقوق فتجری فیها قسمة التعدیل والرّد، کحقّ التحجیر فی أراضی مختلفة، ویمکن الإفراز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للمحلّ، ولیلاحظ فی کلّ حقّ حاله</w:t>
      </w:r>
      <w:r>
        <w:rPr>
          <w:rFonts w:eastAsia="IRNazanin" w:cs="IRNazanin"/>
          <w:color w:val="111111"/>
          <w:sz w:val="28"/>
          <w:szCs w:val="28"/>
          <w:rtl w:val="true"/>
          <w:lang w:bidi="fa-IR"/>
        </w:rPr>
        <w:t>.</w:t>
      </w:r>
      <w:bookmarkStart w:id="445" w:name="pg6476_56894"/>
    </w:p>
    <w:p>
      <w:pPr>
        <w:pStyle w:val="Heading2"/>
        <w:numPr>
          <w:ilvl w:val="1"/>
          <w:numId w:val="1"/>
        </w:numPr>
        <w:rPr/>
      </w:pPr>
      <w:bookmarkStart w:id="446" w:name="__RefHeading___Toc1265400_653776707"/>
      <w:bookmarkStart w:id="447" w:name="_Toc171"/>
      <w:bookmarkEnd w:id="445"/>
      <w:bookmarkEnd w:id="446"/>
      <w:r>
        <w:rPr>
          <w:rtl w:val="true"/>
        </w:rPr>
        <w:t>کتاب المزارعة</w:t>
      </w:r>
      <w:bookmarkEnd w:id="447"/>
    </w:p>
    <w:p>
      <w:pPr>
        <w:pStyle w:val="BookText"/>
        <w:rPr/>
      </w:pPr>
      <w:r>
        <w:rPr>
          <w:rFonts w:ascii="IRNazanin" w:hAnsi="IRNazanin" w:eastAsia="IRNazanin"/>
          <w:color w:val="111111"/>
          <w:sz w:val="28"/>
          <w:sz w:val="28"/>
          <w:szCs w:val="28"/>
          <w:rtl w:val="true"/>
          <w:lang w:bidi="fa-IR"/>
        </w:rPr>
        <w:t>وهی المعاملة علی أن تزرع الأرض بحصّة من حاصلها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عقد یحتاج إلی إیجاب من المزارع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صاحب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وقبول من الزارع، ویصحّ بکلّ لفظ أفاد المقصود،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زارعتک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سلّمت إلیک الأرض مدّة کذا لتزرعها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وتقع بالمعاطاة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سلّم إلیه الأرض لیزرعها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حقیقة المزارعة کون الأرض من أحدهما والعمل من الآخر، وأمّا البذر والماء والعوامل وسائر المصارف؛ فبحسب ما یشترطانه؛ من جعل الجمیع علی المزارع أو علی الزارع أو بالاختلاف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فیها زائداً علی ما اعتبر فی سائر العقود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الحاصل بینهما مشاعاً، فلو جعلا ما یحصل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لأحدهما، وآخر للآخر لم تصحّ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حصّة الطرفین بمثل النصف أو الثلث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المدّة بالأشهر أو السنین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المزروع، من الحنطة والشعیر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الأرض المزروعة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یعیّنا کون البذر وسائر المصارف علی أیً‌ّ منهما إن لم یکن تعارف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یعتبر فی المزارعة کون الأرض ملکاً للمزارع، بل یکفیه الاستیجار والاستعارة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المزارعة کون المزارع مالکاً لمنفعة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بملک العین أو بالاستیجار أو بالاستعارة ونحوها، فلا مزارعة فی المباحات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مقتضی وضع المزارعة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المالک مع العامل فی الزرع من حین بروزه، لا أن یکون الحاصل لصاحب البذر ویشترکان فی خصوص الحبّ من حین الانعقاد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ویترتّب علی الوجهین ثمرات؛</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القصیل والتبن مشترکاً بینهما علی الأوّل، ومختصّاً لصاحب البذر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حصل الفسخ أو انقضت مدّة المزارعة، مع کون الحاصل قصیلاً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الزرع بینهما علی الأوّل، ویکون کلّ منهما مسلّطاً علی حصّته، فلصاحب الأرض مطالبة القسمة وإلزام الزارع بقلع حصّته، کما أنّ للعامل مطالبتها لیقطع حصّته، ویکون لصاحب البذر علی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ترک الزارع الزرع حتّی انقضت المدّة، فهل یضمن اُجرة المثل، أو ما یعادل حصّة المالک بحسب التخمین، أو لا یضمن شیئاً؟ وجوه، أوجهها ضمان اُجرة الأرض إذا قبضها وفرّط فی زراعتها، فلو لم یقبضها لم یضمن، ولو ترک الزراعة لعذر عامّ، کالثلج الشدید ونحوه، انکشف بطلان المزارعة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عامله وشرط علیه زرع الحنطة فزرع شعیراً، تخیّر المالک بین الفسخ والإمضاء، فإن أمضاه أخذ حصّته، وإن فسخ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البذر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شیء علی العامل، وإن کان البذر من العامل کان الزرع له وعلیه اُجرة الأرض، ولو</w:t>
      </w:r>
    </w:p>
    <w:p>
      <w:pPr>
        <w:pStyle w:val="BookText"/>
        <w:rPr/>
      </w:pPr>
      <w:r>
        <w:rPr>
          <w:rFonts w:ascii="IRNazanin" w:hAnsi="IRNazanin" w:eastAsia="IRNazanin"/>
          <w:color w:val="111111"/>
          <w:sz w:val="28"/>
          <w:sz w:val="28"/>
          <w:szCs w:val="28"/>
          <w:rtl w:val="true"/>
          <w:lang w:bidi="fa-IR"/>
        </w:rPr>
        <w:t>کان تعیین الحنطة بعنوان القیدیّة کان بحکم الفسخ فی المثال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المزارعة لازم من الطرفین، وینفسخ بالتقایل، وخروج الأرض عن قابلیّة الانتفاع، ولا تبطل بموت المتعاقدین، بل یقوم وارثهما مقامهما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تبیّن بطلان المزارعة بعدما زرع الأرض، فإن کان البذر لصاحب الأرض کان الزرع له، وعلیه اُجرة العمل والعوامل للزارع، وإن کان من العامل فله الزرع وعلیه اُجرة الأرض، وللمالک أن یأمر بقلع الزرع کما مرّ</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لکلّ من المالک والزارع تقبّل حصّة الآخر بعد الخرص بمقدار معیّن، ویکون لازماً للطرفین، سواء ربح فی تقبّله أو خسر</w:t>
      </w:r>
      <w:r>
        <w:rPr>
          <w:rFonts w:eastAsia="IRNazanin" w:cs="IRNazanin"/>
          <w:color w:val="111111"/>
          <w:sz w:val="28"/>
          <w:szCs w:val="28"/>
          <w:rtl w:val="true"/>
          <w:lang w:bidi="fa-IR"/>
        </w:rPr>
        <w:t>.</w:t>
      </w:r>
      <w:bookmarkStart w:id="448" w:name="pg6476_56897"/>
    </w:p>
    <w:p>
      <w:pPr>
        <w:pStyle w:val="Heading2"/>
        <w:numPr>
          <w:ilvl w:val="1"/>
          <w:numId w:val="1"/>
        </w:numPr>
        <w:rPr/>
      </w:pPr>
      <w:bookmarkStart w:id="449" w:name="__RefHeading___Toc1265402_653776707"/>
      <w:bookmarkStart w:id="450" w:name="_Toc172"/>
      <w:bookmarkEnd w:id="448"/>
      <w:bookmarkEnd w:id="449"/>
      <w:r>
        <w:rPr>
          <w:rtl w:val="true"/>
        </w:rPr>
        <w:t>کتاب المساقاة</w:t>
      </w:r>
      <w:bookmarkEnd w:id="450"/>
    </w:p>
    <w:p>
      <w:pPr>
        <w:pStyle w:val="BookText"/>
        <w:rPr/>
      </w:pPr>
      <w:r>
        <w:rPr>
          <w:rFonts w:ascii="IRNazanin" w:hAnsi="IRNazanin" w:eastAsia="IRNazanin"/>
          <w:color w:val="111111"/>
          <w:sz w:val="28"/>
          <w:sz w:val="28"/>
          <w:szCs w:val="28"/>
          <w:rtl w:val="true"/>
          <w:lang w:bidi="fa-IR"/>
        </w:rPr>
        <w:t>وهی المعاملة علی اُصول ثابتة؛ بأن یسقیها مدّة معیّنة بحصّة من ثمرها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عقد یحتاج إلی إیجاب من صاحب الاُصول وقبول من العامل، وتقع بأیّ لفظ أدّی المقصود،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ساقیتک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سلّمت إلیک هذا البستان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وتقع بالمعاطاة أیضاً، بأن یسلّم البستان بهذا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ویشترط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شرائط المتعاقدین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الاُصول معیّنة معلومة، وأن تکون مغروسة ثابتة، فلا تصحّ فی البطّیخ والخیار مثلاً، وأن تکون المدّة معلومة بالشهور أو السنین أو إلی بلوغ الثمر، وأن تکون الحصّة مشاعة مقدّرة بمثل النصف والثلث، فلا یصحّ أن یجعل ثمر أشجار لأحدهما وأشجار لآخر، نعم یصحّ اختصاص أحدهما بأشجار معیّنة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إشکال فی صحّة المساقاة قبل ظهور الثمر وبعده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الاُصول محتاجة إلی السقی والعمل الذی یستزاد به الثمرة، ولا تصحّ إذا لم یکن عمل غیر الحفظ والاقتطاف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تجوز المساقاة علی أشجار ینتفع بورقه أو وَرده، کالحنّاء والتوت الذَّکَر وبعض أقسام الخِلاف ونحوها، فإنّها ثمرها، کما تجوز علی فسلان مغروسة، بشرط أن تجعل المدّة بمقدار تصیر مثمرة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اشتمل البستان علی أنواع من الشجر، جاز أن یفرد کلّ نوع بحصّة، کالنصف فی النخیل والثلث فی الکرم وهکذا، کما یجوز أن یجعل حصّة معیّنة فی الجمیع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یحتاج إلیه البستان فی استزادة ثماره اُمور کثیرة، کتنقیة الأنهار وتهذیب جرائد الشجر، وإزالة الموانع، وغیرها، فلابدّ من تعیین أنّ أیّ مقدار منها علی العامل، إن لم یکن هناک تعارف وعادة، کما أنّ لهما تعیین من علیه الخراج والمالیّات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المساقاة لازمة من الطرفین لا تنفسخ إلّابالتقایل، ولو مات أحدهما قام وارثه مقامه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یشترط مباشرة العامل بنفسه، فله أن یستأجر أجیراً للأعمال وتکون علیه اُجرته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موضع بطل فیه عقد المساقاة تکون الثمرة للمالک، وللعامل اُجرة مثل عمله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یملک العامل الحصّة من الثمر حین ظهوره، فتجب علیه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نصیبه النصاب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المغارسة باطلة، وهی أن یدفع أرضاً إلی غیره لیغرس فیها، علی أن یکون المغروس بینهما، سواء اشترطا کون حصّة من الأرض للعامل أم لا، وسواء کان الاُصول من المالک أم من العامل، وحینئذٍ یکون الغرس لصاحبه، فإن کان من صاحب الأرض فعلیه اُجرة عمل الغارس، وإن کان من العامل فعلیه اُجرة الأرض، وللمالک إلزامه بالقلع مع بذله أرش النقص، وللغارس قلعه وعلیه طمّ الحفر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یمکن تصحیح المغارسة بأن یشترکا فی الاُصول ببیع أو هبة أو غیرهما، ویجعل المالک نصف ملک الأرض أو نصف منفعتها للعامل فی مقابل غرسه حصّة المالک من الاُصول، وترتیبه مدّة معلومة بعنوان الصلح، ویشترطا فی ضمن العقد ما أرادا من سائر القیود</w:t>
      </w:r>
      <w:r>
        <w:rPr>
          <w:rFonts w:eastAsia="IRNazanin" w:cs="IRNazanin"/>
          <w:color w:val="111111"/>
          <w:sz w:val="28"/>
          <w:szCs w:val="28"/>
          <w:rtl w:val="true"/>
          <w:lang w:bidi="fa-IR"/>
        </w:rPr>
        <w:t>.</w:t>
      </w:r>
      <w:bookmarkStart w:id="451" w:name="pg6476_56899"/>
    </w:p>
    <w:p>
      <w:pPr>
        <w:pStyle w:val="Heading2"/>
        <w:numPr>
          <w:ilvl w:val="1"/>
          <w:numId w:val="1"/>
        </w:numPr>
        <w:rPr/>
      </w:pPr>
      <w:bookmarkStart w:id="452" w:name="__RefHeading___Toc1265404_653776707"/>
      <w:bookmarkStart w:id="453" w:name="_Toc173"/>
      <w:bookmarkEnd w:id="451"/>
      <w:bookmarkEnd w:id="452"/>
      <w:r>
        <w:rPr>
          <w:rtl w:val="true"/>
        </w:rPr>
        <w:t>کتاب الدین والقرض</w:t>
      </w:r>
      <w:bookmarkEnd w:id="453"/>
    </w:p>
    <w:p>
      <w:pPr>
        <w:pStyle w:val="Heading3"/>
        <w:numPr>
          <w:ilvl w:val="2"/>
          <w:numId w:val="1"/>
        </w:numPr>
        <w:rPr/>
      </w:pPr>
      <w:bookmarkStart w:id="454" w:name="__RefHeading___Toc1265406_653776707"/>
      <w:bookmarkStart w:id="455" w:name="_Toc174"/>
      <w:bookmarkEnd w:id="454"/>
      <w:r>
        <w:rPr>
          <w:rtl w:val="true"/>
        </w:rPr>
        <w:t>اشارة</w:t>
      </w:r>
      <w:bookmarkEnd w:id="455"/>
    </w:p>
    <w:p>
      <w:pPr>
        <w:pStyle w:val="BookText"/>
        <w:rPr/>
      </w:pP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کلّیّ ثابت فی ذمّة شخص لآخر بسبب من الأسباب، ویقال لمن اشتغلت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 وللآخر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الدائن، ولکلیهما الغریم، وسببه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اختیاریّ کالاقتراض والشراء نسیئة والصداق فی النکاح، وإمّا قهریّ کإتلاف مال الغیر خطأً وفوت نفقة الزوجة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والقرض مال شخصی تعطیه غیرک لیعید لک بدله، ولکلّ واحد منهما أحکام</w:t>
      </w:r>
      <w:r>
        <w:rPr>
          <w:rFonts w:eastAsia="IRNazanin" w:cs="IRNazanin"/>
          <w:color w:val="111111"/>
          <w:sz w:val="28"/>
          <w:szCs w:val="28"/>
          <w:rtl w:val="true"/>
          <w:lang w:bidi="fa-IR"/>
        </w:rPr>
        <w:t>.</w:t>
      </w:r>
    </w:p>
    <w:p>
      <w:pPr>
        <w:pStyle w:val="Heading3"/>
        <w:numPr>
          <w:ilvl w:val="2"/>
          <w:numId w:val="1"/>
        </w:numPr>
        <w:rPr/>
      </w:pPr>
      <w:bookmarkStart w:id="456" w:name="__RefHeading___Toc1265408_653776707"/>
      <w:bookmarkStart w:id="457" w:name="_Toc175"/>
      <w:bookmarkEnd w:id="456"/>
      <w:r>
        <w:rPr>
          <w:rtl w:val="true"/>
        </w:rPr>
        <w:t>فی أحکام الدین</w:t>
      </w:r>
      <w:bookmarkEnd w:id="4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حالّ وإمّا مؤجّل، وتعیین الأجل إمّا بجعل المتداینین کما فی النسیئة، وإمّا بجعل الشارع کالنجوم المقرّرة فی الدیة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الدین حالّاً، أو مؤجّلاً وقد حلّ أجله، فکما یجب علی المدین الواجد أدائه عند مطالبة الدائن، کذلک یجب علی الدائن أخذه وتفریغ ذمّة المدین، فلو امتنع اُجبر ولو بالتوصّل إلی الحاکم، ولو لم یتمکن الإجبار أحضره عنده وجعله تحت سلطانه وبه تفرغ ذمّته، فلو تلف بعده فلا ضمان علیه، وأمّا المؤجّل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للدّائن حقّ المطالبة، لکن لو تبرّع المدین بأدائه، فهل یجب علیه القبول أم لا؟ وجهان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یتعیّن الدین فیما عیّنه المدین، ولا یصیر ملکاً للدائن، ما لم</w:t>
      </w:r>
    </w:p>
    <w:p>
      <w:pPr>
        <w:pStyle w:val="BookText"/>
        <w:rPr/>
      </w:pPr>
      <w:r>
        <w:rPr>
          <w:rFonts w:ascii="IRNazanin" w:hAnsi="IRNazanin" w:eastAsia="IRNazanin"/>
          <w:color w:val="111111"/>
          <w:sz w:val="28"/>
          <w:sz w:val="28"/>
          <w:szCs w:val="28"/>
          <w:rtl w:val="true"/>
          <w:lang w:bidi="fa-IR"/>
        </w:rPr>
        <w:t>یقبضه، فلو أخرج الدرهم من جیبه لیؤدّی دینه فتلف قبل الوصول إلی یده کان من ماله ولم تبرء ذمّته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یحلّ الدین المؤجّل بموت المدین، لا موت الدائن، ففی الصداق المؤجّل إذا مات الزوج استحقّت الزوجة مطالبته، وإذا ماتت الزوجة لم یستحقّ ورّاثها الطلب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بیع الدین بالدین، بأن کان العوضان کلاهما دیناً قبل البیع، فلو کان لزید علی عمرو منّ من حنطة، وله علی زید منّ من عدس، فبیع الحنطة بالعدس لم یصحّ، وأمّا إذا لم یکن العوضان دیناً قبل البیع، وإن صارا أو أحدهما دیناً بعده فللمسألة شقوق، کما إذا کان لک فی ذمّة زید منّ من حنطة، فبعتَه منه بدرهم نسیئة، فالمبیع دین قبل البیع والثمن صار دیناً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تعجیل الدین المؤجَّل بنقصان مع التراضی، ولا یجوز تأجیل الحالّ ولا زیادة أجل المؤجّل بزیادة، فإنّه ربا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المدین عند حلول الدین ومطالبة الدائن، السعی فی أدائه ولو ببیع متاع وعقار، والأحوط وجوب التکسّب علیه لذلک، ویستثنی من ذلک بیع دار السکنی وضروریّاتها ولباسه وخادمه والکتب العلمیّة مراعیاً فی الجمیع مقدار الحاجة، هذا فی حیاته، فإذا مات بیع الجمیع فی أداء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کانت دار سکناه أزید عمّا یحتاجه، باع ما زاد، أو بدّلها بدار أدون، ولو أمکنه السکنی فی الوقف بلا منقصة باع الدار المملوکة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معنی کون الدار ونحوها من المستثنیات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إلزامه ببیعها، وأمّا لو باعها برضاه جاز للدائن أخذه، ولو کان عنده متاع یطلب بأقلّ من قیمته، وجب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إلّاإذا عُدَّ تضییعاً وإتلافاً</w:t>
      </w:r>
      <w:r>
        <w:rPr>
          <w:rFonts w:eastAsia="IRNazanin" w:cs="IRNazanin"/>
          <w:color w:val="111111"/>
          <w:sz w:val="28"/>
          <w:szCs w:val="28"/>
          <w:rtl w:val="true"/>
          <w:lang w:bidi="fa-IR"/>
        </w:rPr>
        <w:t>.</w:t>
      </w:r>
      <w:bookmarkStart w:id="458" w:name="pg6476_56901"/>
    </w:p>
    <w:p>
      <w:pPr>
        <w:pStyle w:val="BookText"/>
        <w:rPr/>
      </w:pPr>
      <w:bookmarkEnd w:id="4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علی الدائن إعسار المدین وإجباره علی بیع المستثنیات، کما أنّ مماطلة المدین مع القدرة معصیة، بل یجب علیه نیّة الأداء ولو لم یقدر بالفعل</w:t>
      </w:r>
      <w:r>
        <w:rPr>
          <w:rFonts w:eastAsia="IRNazanin" w:cs="IRNazanin"/>
          <w:color w:val="111111"/>
          <w:sz w:val="28"/>
          <w:szCs w:val="28"/>
          <w:rtl w:val="true"/>
          <w:lang w:bidi="fa-IR"/>
        </w:rPr>
        <w:t>.</w:t>
      </w:r>
    </w:p>
    <w:p>
      <w:pPr>
        <w:pStyle w:val="Heading3"/>
        <w:numPr>
          <w:ilvl w:val="2"/>
          <w:numId w:val="1"/>
        </w:numPr>
        <w:rPr/>
      </w:pPr>
      <w:bookmarkStart w:id="459" w:name="__RefHeading___Toc1265410_653776707"/>
      <w:bookmarkStart w:id="460" w:name="_Toc176"/>
      <w:bookmarkEnd w:id="459"/>
      <w:r>
        <w:rPr>
          <w:rtl w:val="true"/>
        </w:rPr>
        <w:t>فی القرض</w:t>
      </w:r>
      <w:bookmarkEnd w:id="460"/>
    </w:p>
    <w:p>
      <w:pPr>
        <w:pStyle w:val="BookText"/>
        <w:rPr/>
      </w:pPr>
      <w:r>
        <w:rPr>
          <w:rFonts w:ascii="IRNazanin" w:hAnsi="IRNazanin" w:eastAsia="IRNazanin"/>
          <w:color w:val="111111"/>
          <w:sz w:val="28"/>
          <w:sz w:val="28"/>
          <w:szCs w:val="28"/>
          <w:rtl w:val="true"/>
          <w:lang w:bidi="fa-IR"/>
        </w:rPr>
        <w:t>وهو تملیک المال للغیر بضمان بدله مثلاً أو قیمة، ویقال للمملِّک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المقرض، وللمتملّک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المقترض، وقد یطلق القرض علی نفس المال المبذول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یکره الاقتراض مع عدم الحاجة، ویجب لو توقّف علیه أمر واجب کحفظ النفس والعرض، والأحوط لمن لم یترقّب قدرة الأداء عدم الاستدانة، إلّاعند الضرورة أو علم المقرض بحاله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القرض عقد یحتاج إلی إیجاب وقبول، ویقع بکلّ لفظ أفاد المقصود، وبالمعاطاة بالمقصد المذکور، ویعتبر فی المتعاقدین ما یعتبر فی سائر العقود، وفی المال أن یکون عیناً قابلة للتملّک، کلّیّة أو شخصیّة، فلا یصحّ إقراض المنفعة کسکنی الدار شهراً، ولا الخمر وآلات اللهو، ویصحّ إقراض الکلّی بأن یوقع العقد علی الکلّی ویقبض مصداقه منه، ویعتبر کون المال ممّا یمکن ضبط أوصافه الدخیلة فی القیمة مثلیّاً کان أو قیمیّاً، فلا یکفی إقراض الجواهر کفصّ الخاتم مثلاً، ویعتبر تعیین قدره بالوزن والکیل ولو بأن یزن بصخرة مجهولة الوزن أو یکیل بظرف مجهول المقدار، ویعتبر فی القرض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القبض، فلا یملک المقترض إلّا بعده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الأقوی أنّ القرض عقد لازم بالنسبة إلی العین المقترضة، فلیس للمقرض فسخه والرجوع بالعین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جائز بالنسبة إلی بدلها الذمّی، فله مطالبة المقترض بالأداء بلا فصل، إلّاإذا شرطا التأجیل فی الأداء، فلیس له</w:t>
      </w:r>
    </w:p>
    <w:p>
      <w:pPr>
        <w:pStyle w:val="BookText"/>
        <w:rPr/>
      </w:pPr>
      <w:r>
        <w:rPr>
          <w:rFonts w:ascii="IRNazanin" w:hAnsi="IRNazanin" w:eastAsia="IRNazanin"/>
          <w:color w:val="111111"/>
          <w:sz w:val="28"/>
          <w:sz w:val="28"/>
          <w:szCs w:val="28"/>
          <w:rtl w:val="true"/>
          <w:lang w:bidi="fa-IR"/>
        </w:rPr>
        <w:t xml:space="preserve">المطالبة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الأجل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المال المقترض مثلیّاً کالحنطة والخلّ وما یصنع بالمکائن الحدیثة من الظروف والأقمشة، یثبت بعد القرض فی ذمّة المقترض مثله، ولو کان قیمیّاً کالغنم والکتب الخطّیّة یثبت فی ذمّته قیمته، وفی اعتبار قیمة وقت الاقتراض أو الأداء وجهان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شرط الزیادة؛ بأن یقرض مالاً علی أن یؤدّی المقترض أزید منه؛ سواء اشترطاه أو أضمراه بحیث وقع العقد مبنیّاً علیه، وهذا هو الربا القرضیّ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الزیادة أن تکون عیناً کما إذا أقرض تسعة لیأخذ عشرة، أو عملاً کخیاطة الثوب، أو منفعة کالانتفاع بالعین المرهونة، أو صفة کإقراض الدرهم المکسورة لیأخذ الصحیح، وکذا لا فرق أن یکون المال ربویّاً کالمکیل والموزون أو غیره کالمعدود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أقرضه وشرط علیه أن یبیع منه شیئاً بأقلّ من قیمته، أو یؤجره بأقلّ من اُجرته، کان ربا محرّماً، ولو باع المقترض منه شیئاً بأقلّ وشرط علیه الإقراض، لم یکن به بأس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تحرم الزیادة مع الشرط، وأمّا بدونه فلا بأس، بل تستحبّ للمقترض، بل لو کان الإقراض لأجل أن ینتفع من حسن قضاء المقترض، بحیث لولا ذلک لم یقرضه، 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یحرم شرط الزیادة علی المقترض دون المقرض، فلو أقرضه عشرة علی أن یأخذ تسعة لم یکن به بأس، فالحوائل المرسومة بین التجّار، بأن یأخذ من المسافر مائة، علی أن یعطیه الحوالة بتسعین فی بلد آخر لا بأس به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القرض المثلی أدائه بإعطاء مماثله، سواء بقی علی سعر</w:t>
      </w:r>
    </w:p>
    <w:p>
      <w:pPr>
        <w:pStyle w:val="BookText"/>
        <w:rPr/>
      </w:pPr>
      <w:r>
        <w:rPr>
          <w:rFonts w:ascii="IRNazanin" w:hAnsi="IRNazanin" w:eastAsia="IRNazanin"/>
          <w:color w:val="111111"/>
          <w:sz w:val="28"/>
          <w:sz w:val="28"/>
          <w:szCs w:val="28"/>
          <w:rtl w:val="true"/>
          <w:lang w:bidi="fa-IR"/>
        </w:rPr>
        <w:t>وقت الإقراض أم ترقّی أو تنزّل، فلیس للمقترض الامتناع من إعطائه وإن ترقّی، ولیس للمقرض الامتناع من قبوله وإن تنزّل، ویمکن أن یؤدّی بالقیمة أو بغیر الجنس کإعطاء قیمة الحنطة أو العدس بدلهما، وهذا یتوقّف علی تراضیهما، فالأداء قسمان؛ أداء إجبار وأداء 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القرض القیمی فقد اشتغل ذمّه المقترض بالقیمة وهی النقود، فإعطائها أداء إجبار، وإعطاء جنس آخر أداء تراض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فی قرض المثلی اشتراط الأداء من غیر جنسه، بشرط عدم زیادة قیمته عن العین المقترضة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شرط علی المقترض الأداء فی بلد معیّن، صحّ ولزم وإن کان فی حمله مؤونة، کما أنّه لو شرط علیه الرهن أو الضامن، وکلّ شرط سائغ لا یکون فیه نفع وإن کان فیه مصلحة، جاز</w:t>
      </w:r>
      <w:r>
        <w:rPr>
          <w:rFonts w:eastAsia="IRNazanin" w:cs="IRNazanin"/>
          <w:color w:val="111111"/>
          <w:sz w:val="28"/>
          <w:szCs w:val="28"/>
          <w:rtl w:val="true"/>
          <w:lang w:bidi="fa-IR"/>
        </w:rPr>
        <w:t>.</w:t>
      </w:r>
      <w:bookmarkStart w:id="461" w:name="pg6476_56904"/>
    </w:p>
    <w:p>
      <w:pPr>
        <w:pStyle w:val="Heading2"/>
        <w:numPr>
          <w:ilvl w:val="1"/>
          <w:numId w:val="1"/>
        </w:numPr>
        <w:rPr/>
      </w:pPr>
      <w:bookmarkStart w:id="462" w:name="__RefHeading___Toc1265412_653776707"/>
      <w:bookmarkStart w:id="463" w:name="_Toc177"/>
      <w:bookmarkEnd w:id="461"/>
      <w:bookmarkEnd w:id="462"/>
      <w:r>
        <w:rPr>
          <w:rtl w:val="true"/>
        </w:rPr>
        <w:t>کتاب الرهن</w:t>
      </w:r>
      <w:bookmarkEnd w:id="463"/>
    </w:p>
    <w:p>
      <w:pPr>
        <w:pStyle w:val="BookText"/>
        <w:rPr/>
      </w:pPr>
      <w:r>
        <w:rPr>
          <w:rFonts w:ascii="IRNazanin" w:hAnsi="IRNazanin" w:eastAsia="IRNazanin"/>
          <w:color w:val="111111"/>
          <w:sz w:val="28"/>
          <w:sz w:val="28"/>
          <w:szCs w:val="28"/>
          <w:rtl w:val="true"/>
          <w:lang w:bidi="fa-IR"/>
        </w:rPr>
        <w:t>وهو جعل العین وثیقة للدین، ویقال للعین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المرهون أو الرهن، ولدافعها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الراهن، ولآخذها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ویحتاج إلی إیجاب من الراهن وقبول من المرتهن، ویقع بکلّ لفظ أدّی المقصود،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رهنتک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هذا وثیقة علی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ویقع بالمعاطاة بهذا القصد، ویشترط فی الطرفین شرائط المتعاقدین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الرهن قبض العین، ولا یعتبر استدامته، فلو ردّها إلی الرّاهن برضاه لم یبطل الرهن، ویشترط فی المرهون أن یکون عیناً مملوکاً یمکن قبضه، فلا یصحّ رهن المنفعة، ولا مال الغیر إلّابإذنه، ولا الخمر وآلات اللهو، ولا المملوک غیر المقدور علیه، ولا الوقف، ویجوز لشخص أن یرهن ماله لدین غیره، کما یجوز للمدیون أن یستعیر شیئاً لیرهنه علی دینه، فیباع فی وقته للدین، ولمالکه أن یأخذ القیمة من المستعیر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ما یرهن علیه أن یکون دیناً ثابتاً فی الذمّة بالفعل، فلا یصحّ أخذ الرهن علی ما سیستقرضه، فیصحّ فی الإجارة أن یأخذ المؤجر الرهن علی الاُجرة فی ذمّة المستأجر، والمستأجر الرهن علی العمل الثابت فی ذمّة الأجیر</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الرهن علی الأعیان المضمونة کالعین المغصوبة والعاریة المضمونة، وإذا اشتری شیئاً نسیئة جاز جعل المبیع رهناً علی الثمن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رهن علی دینه عیناً، ثمّ استدان ثانیاً من المرتهن جاز جعل ذلک الرهن رهناً علی الدین الثانی أیضاً، بل لو استدان ثانیاً من شخص آخر، جاز جعله رهناً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برضا المرتهنین، کما أنّه إذا رهن عیناً علی دینه جاز إعطاء رهن ثانٍ لذلک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کانت عین واحدة رهناً علی دینین أو دیون، فأداء أیٍّ من الدیون یوجب فکّ ما یقابله من الرهن، هذا فی الابتداء، وأمّا التعدّد الطارئ فلا عبرة به، کما إذا مات الراهن عن ولدین، فأداء أحدهما حصّته من الدین لا یوجب الفکّ بالنسبة، وکذا لو مات المرتهن عن ولدین فأدّی الراهن حصّة أحدهما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الرهن لازم من جهة الراهن، وجائز من طرف المرتهن، فلیس للراهن انتزاعه من المرتهن إلّاإذا أدّی دینه أو أبرأه المرتهن منه، أو أسقط حقّ الرهانة، ولو برئت ذمّته من البعض، فالظاهر بقاء الجمیع رهناً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للراهن التصرّف فی الرّهن ببیع وإجارة وغیرهما إلّا بإجازة المرتهن، ویجوز ما کان بنفع الرهن، کسقی الأشجار وعلف الدابّة، ولو تصرّف فأتلف شیئاً منه، یلزمه بدله ویکون رهناً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للمرتهن التصرّف فی الرهن بدون إذن الراهن، ولو تصرّف ضمن اُجرة المثل لما استوفاه، ولو تلف تحت یده ضمن البدل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منافع الرهن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کسکنی الدار ونتاج الحیوان ونماء الأشجار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للراهن، ولا یتبعه فی الرهانة إلّانمائه المتّصل کالسمن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حلّ أجل الدین وأراد المرتهن استیفاء حقّه، فإن کان وکیلاً عن الراهن فی بیعه واستیفاء حقّه باعه، وإلّا فلیس له التصرّف، بل یراجعه ویطالبه بالوفاء ولو ببیع الرهن، فإن امتنع استأذن من الحاکم، ثمّ باعه وأخذ حقّه، وکان</w:t>
      </w:r>
    </w:p>
    <w:p>
      <w:pPr>
        <w:pStyle w:val="BookText"/>
        <w:rPr/>
      </w:pPr>
      <w:r>
        <w:rPr>
          <w:rFonts w:ascii="IRNazanin" w:hAnsi="IRNazanin" w:eastAsia="IRNazanin"/>
          <w:color w:val="111111"/>
          <w:sz w:val="28"/>
          <w:sz w:val="28"/>
          <w:szCs w:val="28"/>
          <w:rtl w:val="true"/>
          <w:lang w:bidi="fa-IR"/>
        </w:rPr>
        <w:t>الزائد أمانة شرعیّة یوصله إلی صاحبه، وکذا یبیع لو لم یمکن الاستیذان من الحاکم، أو مات الراهن وخاف المرتهن جحود الوارث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الرهن أمانة مالکیّة بید المرتهن، لا یضمنه ما لم یتجاوز، وإذا انفکّ الرهن بالأداء أو غیره، یبقی أمانة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یطالبه المالک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تبطل الرهانة بموت الطرفین، فإن مات الراهن ینتقل إلی ورثته مرهوناً علی دین مورّثهم، وإن مات المرتهن ینتقل حقّ الرهانة إلی ورثته، فإن امتنع الراهن من استئمانهم، سُلّم إلی أمین</w:t>
      </w:r>
      <w:r>
        <w:rPr>
          <w:rFonts w:eastAsia="IRNazanin" w:cs="IRNazanin"/>
          <w:color w:val="111111"/>
          <w:sz w:val="28"/>
          <w:szCs w:val="28"/>
          <w:rtl w:val="true"/>
          <w:lang w:bidi="fa-IR"/>
        </w:rPr>
        <w:t>.</w:t>
      </w:r>
      <w:bookmarkStart w:id="464" w:name="pg6476_56907"/>
    </w:p>
    <w:p>
      <w:pPr>
        <w:pStyle w:val="Heading2"/>
        <w:numPr>
          <w:ilvl w:val="1"/>
          <w:numId w:val="1"/>
        </w:numPr>
        <w:rPr/>
      </w:pPr>
      <w:bookmarkStart w:id="465" w:name="__RefHeading___Toc1265414_653776707"/>
      <w:bookmarkStart w:id="466" w:name="_Toc178"/>
      <w:bookmarkEnd w:id="464"/>
      <w:bookmarkEnd w:id="465"/>
      <w:r>
        <w:rPr>
          <w:rtl w:val="true"/>
        </w:rPr>
        <w:t>کتاب الحَجر</w:t>
      </w:r>
      <w:bookmarkEnd w:id="466"/>
    </w:p>
    <w:p>
      <w:pPr>
        <w:pStyle w:val="Heading3"/>
        <w:numPr>
          <w:ilvl w:val="2"/>
          <w:numId w:val="1"/>
        </w:numPr>
        <w:rPr/>
      </w:pPr>
      <w:bookmarkStart w:id="467" w:name="__RefHeading___Toc1265416_653776707"/>
      <w:bookmarkStart w:id="468" w:name="_Toc179"/>
      <w:bookmarkEnd w:id="467"/>
      <w:r>
        <w:rPr>
          <w:rtl w:val="true"/>
        </w:rPr>
        <w:t>اشارة</w:t>
      </w:r>
      <w:bookmarkEnd w:id="468"/>
    </w:p>
    <w:p>
      <w:pPr>
        <w:pStyle w:val="BookText"/>
        <w:rPr/>
      </w:pPr>
      <w:r>
        <w:rPr>
          <w:rFonts w:ascii="IRNazanin" w:hAnsi="IRNazanin" w:eastAsia="IRNazanin"/>
          <w:color w:val="111111"/>
          <w:sz w:val="28"/>
          <w:sz w:val="28"/>
          <w:szCs w:val="28"/>
          <w:rtl w:val="true"/>
          <w:lang w:bidi="fa-IR"/>
        </w:rPr>
        <w:t>هو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المنع، وشرعاً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الشخص ممنوعاً عن التصرّف فی ماله بسبب من الأسباب، وهی کثیرة نذکر منها ما هو العمدة،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الصغر، والسفه، والفلس، ومرض الموت</w:t>
      </w:r>
      <w:r>
        <w:rPr>
          <w:rFonts w:eastAsia="IRNazanin" w:cs="IRNazanin"/>
          <w:color w:val="111111"/>
          <w:sz w:val="28"/>
          <w:szCs w:val="28"/>
          <w:rtl w:val="true"/>
          <w:lang w:bidi="fa-IR"/>
        </w:rPr>
        <w:t>.</w:t>
      </w:r>
    </w:p>
    <w:p>
      <w:pPr>
        <w:pStyle w:val="Heading3"/>
        <w:numPr>
          <w:ilvl w:val="2"/>
          <w:numId w:val="1"/>
        </w:numPr>
        <w:rPr/>
      </w:pPr>
      <w:bookmarkStart w:id="469" w:name="__RefHeading___Toc1265418_653776707"/>
      <w:bookmarkStart w:id="470" w:name="_Toc180"/>
      <w:bookmarkEnd w:id="469"/>
      <w:r>
        <w:rPr>
          <w:rtl w:val="true"/>
        </w:rPr>
        <w:t>فی الصغر</w:t>
      </w:r>
      <w:bookmarkEnd w:id="4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غیر البالغ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محجور علیه شرعاً لا تنفذ تصرّفاته فی أمواله إلّافی موارد نادرة، وإن کان رشیداً، وتصرّفه صلاحاً، وکان بإذن الولیّ عند المشهور، ولا تنفذ بالنسبة إلی ذمّته کاقتراضه وبیعه بالسلم، ولا بالنسبة إلی نفسه کتزویجه وطلاقه وکونه عاملاً فی المضاربة، نعم لو حاز المباحات أو أخذ أجراً لحمل متاع أو عمل جعالة، ملکها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یعرف البلوغ فی الذکر والاُنثی بأحد اُمور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 الشعر الخشن علی العانة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المنیّ، بجماع أو احتلام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 وهو فی الذکر إکمال خمس عشرة سنة، وفی الاُنثی إکمال تسع سنین، ولا یکفی مجرّد البلوغ، بل لابدّ معه من الرشد</w:t>
      </w:r>
      <w:r>
        <w:rPr>
          <w:rFonts w:eastAsia="IRNazanin" w:cs="IRNazanin"/>
          <w:color w:val="111111"/>
          <w:sz w:val="28"/>
          <w:szCs w:val="28"/>
          <w:rtl w:val="true"/>
          <w:lang w:bidi="fa-IR"/>
        </w:rPr>
        <w:t>.</w:t>
      </w:r>
      <w:bookmarkStart w:id="471" w:name="pg6476_56908"/>
    </w:p>
    <w:p>
      <w:pPr>
        <w:pStyle w:val="BookText"/>
        <w:rPr/>
      </w:pPr>
      <w:bookmarkEnd w:id="4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ولایة التصرّف فی مال الطفل والنظر فی مصالحه لأبیه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وجدّه لأبیه لا غیرهما من الأقارب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القیّم من أحدهما؛ أی من نصبه ناظراً فی أمره، ثمّ الحاکم الشرعی، ثمّ عدول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یشترط العدالة فی الأب والجدّ، لکن متی ظهر الخیانة منهما، عزلهما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مستقلّان فی الولایة، فأیّهما سبق فی تصرّف نفذ، ولو اختلفا فالمسألة مشکلة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للولیّ بیع عقار الصبیّ مع الحاجة، والمضاربة بماله مع وثاقة العامل، وتسلیمه إلی أمین یعلّمه العلم والصنعة وما له نفع لدینه أو دنیاه، ویلزمه أن یصونه عمّا یفسد عقائده وأخلاقه وأعماله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لولیّ الیتیم إفراده بالمأکول والمشروب ونحوهما، وأن یخلطه بعائلته، فیحسب حصّته من ماله، وأمّا الکسوة فیحسب علی کلٍّ علی حدة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المجنون کالصغیر فی جمیع ما ذکر، نعم لو تجدّد جنونه بعد بلوغه ورشده، فالولایة له للحاکم دون الأب والجدّ علی تردّد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ینفق الولیّ علی الصبیّ بالاقتصاد؛ لا بالإسراف ولا بالتقتیر، ملاحظاً عادة أقرانه ونظرائه، ویجب اختبار رشد الصبیّ قبل بلوغه أو عنده لیسلّم إلیه أمواله بمجرّد بلوغه ورشده</w:t>
      </w:r>
      <w:r>
        <w:rPr>
          <w:rFonts w:eastAsia="IRNazanin" w:cs="IRNazanin"/>
          <w:color w:val="111111"/>
          <w:sz w:val="28"/>
          <w:szCs w:val="28"/>
          <w:rtl w:val="true"/>
          <w:lang w:bidi="fa-IR"/>
        </w:rPr>
        <w:t>.</w:t>
      </w:r>
    </w:p>
    <w:p>
      <w:pPr>
        <w:pStyle w:val="Heading3"/>
        <w:numPr>
          <w:ilvl w:val="2"/>
          <w:numId w:val="1"/>
        </w:numPr>
        <w:rPr/>
      </w:pPr>
      <w:bookmarkStart w:id="472" w:name="__RefHeading___Toc1265420_653776707"/>
      <w:bookmarkStart w:id="473" w:name="_Toc181"/>
      <w:bookmarkEnd w:id="472"/>
      <w:r>
        <w:rPr>
          <w:rtl w:val="true"/>
        </w:rPr>
        <w:t>فی السفیه</w:t>
      </w:r>
      <w:bookmarkEnd w:id="47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لیس له حالة حفظ ماله، یصرفه فی غیر موضعه وینخدع ولا یبالی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محجور علیه شرعاً فی أمواله وذمّته ونفسه، فإن کان السفه متّصلاً بصغره لم یحتج إلی حجر الحاکم، وولایته للأب والجدّ والقیّم، وإن تجدّد بعد رشده احتاج إلی حجر الحاکم وهو الولیّ له</w:t>
      </w:r>
      <w:r>
        <w:rPr>
          <w:rFonts w:eastAsia="IRNazanin" w:cs="IRNazanin"/>
          <w:color w:val="111111"/>
          <w:sz w:val="28"/>
          <w:szCs w:val="28"/>
          <w:rtl w:val="true"/>
          <w:lang w:bidi="fa-IR"/>
        </w:rPr>
        <w:t>.</w:t>
      </w:r>
      <w:bookmarkStart w:id="474" w:name="pg6476_56909"/>
    </w:p>
    <w:p>
      <w:pPr>
        <w:pStyle w:val="BookText"/>
        <w:rPr/>
      </w:pPr>
      <w:bookmarkEnd w:id="4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معنی عدم نفوذ تصرّف السفیه عدم استقلاله، فلو کان بإذن الولیّ أو إجازته صحّ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یصحّ زواج السفیه بدون إذن الولیّ، ویصحّ طلاقه، ویقبل إقراره إذا لم یتعلّق بماله، ویصحّ وکالته عن الغیر فی بیع وشراء فضلاً عن إجراء الصیغة، وینعقد نذره فی غیر ماله، ویتعلّق علیه الکفّارة للإفطار فی شهر رمضان لکن یختار الصیام، وله العفو عن القصاص دون الدیة والأرش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اطّلع الولیّ علی معاملة من السفیه لا مصلحة فیها، أبطلها واستردّ العوضین، ولو اقترض مالاً أو أخذه بالشراء فتلف عنده أو أتلفه، فإن کان المالک عالماً بالحال لم یضمنه، وإن کان جاهلاً ضمنه، ولو أتلف الودیعة، ضمنها، ولو تلف عنده ففیه تردّد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یسلّم إلی السفیه أمواله ما لم یحرز رشده، فیختبر أوّلاً بتفویض بعض الاُمور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کالبیع والشراء والإنفاق علی نفسه وعیاله، فإن آنس منه رشداً یدفع إلیه أمواله وإلّا فلا، ولو ادّعی حصول الرشد واحتمله الولیّ یجب اختباره</w:t>
      </w:r>
      <w:r>
        <w:rPr>
          <w:rFonts w:eastAsia="IRNazanin" w:cs="IRNazanin"/>
          <w:color w:val="111111"/>
          <w:sz w:val="28"/>
          <w:szCs w:val="28"/>
          <w:rtl w:val="true"/>
          <w:lang w:bidi="fa-IR"/>
        </w:rPr>
        <w:t>.</w:t>
      </w:r>
    </w:p>
    <w:p>
      <w:pPr>
        <w:pStyle w:val="Heading3"/>
        <w:numPr>
          <w:ilvl w:val="2"/>
          <w:numId w:val="1"/>
        </w:numPr>
        <w:rPr/>
      </w:pPr>
      <w:bookmarkStart w:id="475" w:name="__RefHeading___Toc1265422_653776707"/>
      <w:bookmarkStart w:id="476" w:name="_Toc182"/>
      <w:bookmarkEnd w:id="475"/>
      <w:r>
        <w:rPr>
          <w:rtl w:val="true"/>
        </w:rPr>
        <w:t>فی المفلَّس</w:t>
      </w:r>
      <w:bookmarkEnd w:id="476"/>
    </w:p>
    <w:p>
      <w:pPr>
        <w:pStyle w:val="BookText"/>
        <w:rPr/>
      </w:pPr>
      <w:r>
        <w:rPr>
          <w:rFonts w:ascii="IRNazanin" w:hAnsi="IRNazanin" w:eastAsia="IRNazanin"/>
          <w:color w:val="111111"/>
          <w:sz w:val="28"/>
          <w:sz w:val="28"/>
          <w:szCs w:val="28"/>
          <w:rtl w:val="true"/>
          <w:lang w:bidi="fa-IR"/>
        </w:rPr>
        <w:t>وهو الذی حجر عن ماله لقصوره عن دیونه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کثرت دیونه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کانت أضعاف أمواله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له التصرّفات فیها ولو بإخراجها عن ملکه؛ ما لم یحجر علیه الحاکم الشرعی، ولا یجوز الحجر إلّابشروط</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أمواله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عروض ونقود ودیون علی الناس عدا مستثنیات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قاصرةً عن دیونه</w:t>
      </w:r>
      <w:r>
        <w:rPr>
          <w:rFonts w:eastAsia="IRNazanin" w:cs="IRNazanin"/>
          <w:color w:val="111111"/>
          <w:sz w:val="28"/>
          <w:szCs w:val="28"/>
          <w:rtl w:val="true"/>
          <w:lang w:bidi="fa-IR"/>
        </w:rPr>
        <w:t>.</w:t>
      </w:r>
      <w:bookmarkStart w:id="477" w:name="pg6476_56910"/>
    </w:p>
    <w:p>
      <w:pPr>
        <w:pStyle w:val="BookText"/>
        <w:rPr/>
      </w:pPr>
      <w:bookmarkEnd w:id="477"/>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الدیون المستوعبة لماله 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یرجع الغرماء کلّهم أو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یستغرق دینه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الحاکم، فیلتمس منه، فیحکم علیه بالحجر، وبعد ذلک یتعلّق حقّ الغرماء بأمواله، فلا یجوز له التصرّف فیها، ولو تجدّدت له أموال بإرث أو اکتساب أو نحو ذلک، ففی شمول الحجر علیه أو لزوم حجر آخر تردّد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حکم الحاکم بحجره، یشرع فی بیع أمواله وقسمتها بین الغرماء بالحصص وعلی نسبة دیونهم، عدا مستثنیات الدین کما مرّ، والدائن الذی عنده رهن من المحجور أحقّ بالرهن من سائر الغرماء، والذی باع منه شیئاً أو أقرضه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موجود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یتخیّر فی فسخ عقده والأخذ بعین ماله إذا لم تکن من المستثنیات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العین المشتراة أو المقترضة إذا تصرّف فیها المحجور، فحصلت زیادة أو نقص، أو خلطه بملکه أو غیر ملکه أو لعیب أو أحدث فیه غرساً أو زرعاً، أو نسج أو غزل أو غیر ذلک، فروع تناسب ما یأتی فی الغصب</w:t>
      </w:r>
      <w:r>
        <w:rPr>
          <w:rFonts w:eastAsia="IRNazanin" w:cs="IRNazanin"/>
          <w:color w:val="111111"/>
          <w:sz w:val="28"/>
          <w:szCs w:val="28"/>
          <w:rtl w:val="true"/>
          <w:lang w:bidi="fa-IR"/>
        </w:rPr>
        <w:t>.</w:t>
      </w:r>
    </w:p>
    <w:p>
      <w:pPr>
        <w:pStyle w:val="Heading3"/>
        <w:numPr>
          <w:ilvl w:val="2"/>
          <w:numId w:val="1"/>
        </w:numPr>
        <w:rPr/>
      </w:pPr>
      <w:bookmarkStart w:id="478" w:name="__RefHeading___Toc1265424_653776707"/>
      <w:bookmarkStart w:id="479" w:name="_Toc183"/>
      <w:bookmarkEnd w:id="478"/>
      <w:r>
        <w:rPr>
          <w:rtl w:val="true"/>
        </w:rPr>
        <w:t>فی المرض</w:t>
      </w:r>
      <w:bookmarkEnd w:id="479"/>
    </w:p>
    <w:p>
      <w:pPr>
        <w:pStyle w:val="BookText"/>
        <w:rPr/>
      </w:pPr>
      <w:r>
        <w:rPr>
          <w:rFonts w:ascii="IRNazanin" w:hAnsi="IRNazanin" w:eastAsia="IRNazanin"/>
          <w:color w:val="111111"/>
          <w:sz w:val="28"/>
          <w:sz w:val="28"/>
          <w:szCs w:val="28"/>
          <w:rtl w:val="true"/>
          <w:lang w:bidi="fa-IR"/>
        </w:rPr>
        <w:t>المریض إن لم یتّصل مرضه بموته فهو کالصحیح، وإذا اتّصل بذلک فلا إشکال فی عدم نفوذ وصیّته بما زاد علی الثلث، ولا فی نفوذ عقوده المعاوضیّة المتعلّقة بماله، کالبیع بثمن المثل والإجارة کذلک، ولا فی جواز انتفاعه بماله بکلّ تصرّف فیه غرض عقلائی ممّا لا یعدّ سرفاً، کالأکل والإنفاق علی عیاله وأضیافه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الإشکال والخلاف فی مثل الهبة والوقف والإبراء والصلح بغیر عوض وبیع ما یسوّی مائة بخمسین بالنسبة إلی ما حاباه، ونحو ذلک ممّا فیه ضرر علی الورثة ویعبّر عنها بالمنجَّزات، فهل هی نافذة من الأصل وإن زادت عن الثلث أو استغرق جمیع المال، أو هی نافذة من الثلث ویتوقّف ما زاد علیه علی إمضاء</w:t>
      </w:r>
    </w:p>
    <w:p>
      <w:pPr>
        <w:pStyle w:val="BookText"/>
        <w:rPr/>
      </w:pPr>
      <w:r>
        <w:rPr>
          <w:rFonts w:ascii="Amiri" w:hAnsi="Amiri" w:eastAsia="Amiri" w:cs="Amiri"/>
          <w:color w:val="111111"/>
          <w:sz w:val="28"/>
          <w:sz w:val="28"/>
          <w:szCs w:val="28"/>
          <w:rtl w:val="true"/>
          <w:lang w:bidi="ar-SA"/>
        </w:rPr>
        <w:t>الورثة؟ وجهان، الأحوط التصالح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الواجبات المالیّة، التی یؤدّیها فی مرض موته کالخمس والزکاة وردّ مظالم العباد تخرج من الأصل ولو أقرّ للغیر فیه بدین أو عین خارجیّة، نفذ إقراره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غیر 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زاد عن الثلث، والاتّهام کالعداوة للورثة، أو الحبّ الشدید للمقرّ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المراد من الثلث فی مسألة الوصیّة والمنجّزات مجموع ما یترکه عند موته من الأعیان والمنافع والدیون والحقوق المالیّة کالتحجیر، ولعلّ منها الدیة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أجاز الورثة ما زاد عن الثلث نفذت، ولو أجاز بعضهم نفذت بمقدار حصّته، فلو أوصی لزید بنصف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إثنی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عن ولدین، فأمضی أحدهما، کان لزید خمسة وللممضی ثلاثة وللرادّ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والإجازة حال الحیاة نافذة کالإجازة بعد الموت</w:t>
      </w:r>
      <w:r>
        <w:rPr>
          <w:rFonts w:eastAsia="IRNazanin" w:cs="IRNazanin"/>
          <w:color w:val="111111"/>
          <w:sz w:val="28"/>
          <w:szCs w:val="28"/>
          <w:rtl w:val="true"/>
          <w:lang w:bidi="fa-IR"/>
        </w:rPr>
        <w:t>.</w:t>
      </w:r>
      <w:bookmarkStart w:id="480" w:name="pg6476_56912"/>
    </w:p>
    <w:p>
      <w:pPr>
        <w:pStyle w:val="Heading2"/>
        <w:numPr>
          <w:ilvl w:val="1"/>
          <w:numId w:val="1"/>
        </w:numPr>
        <w:rPr/>
      </w:pPr>
      <w:bookmarkStart w:id="481" w:name="__RefHeading___Toc1265426_653776707"/>
      <w:bookmarkStart w:id="482" w:name="_Toc184"/>
      <w:bookmarkEnd w:id="480"/>
      <w:bookmarkEnd w:id="481"/>
      <w:r>
        <w:rPr>
          <w:rtl w:val="true"/>
        </w:rPr>
        <w:t>کتاب الضمان</w:t>
      </w:r>
      <w:bookmarkEnd w:id="482"/>
    </w:p>
    <w:p>
      <w:pPr>
        <w:pStyle w:val="BookText"/>
        <w:rPr/>
      </w:pPr>
      <w:r>
        <w:rPr>
          <w:rFonts w:ascii="IRNazanin" w:hAnsi="IRNazanin" w:eastAsia="IRNazanin"/>
          <w:color w:val="111111"/>
          <w:sz w:val="28"/>
          <w:sz w:val="28"/>
          <w:szCs w:val="28"/>
          <w:rtl w:val="true"/>
          <w:lang w:bidi="fa-IR"/>
        </w:rPr>
        <w:t>وهو التعهّد بدین المدین لدائنه ونقله إلی ذمّته، فالمتعهّد الضامن، والدائن المضمون له، والمدین المضمون عنه، وهو عقد یحتاج إلی إیجاب من الضامن وقبول من المضمون له، ولا یعتبر رضا المضمون عنه، ویقع بکلّ لفظ دالّ علی المقصود، کقوله ضمنت لک، أو تعهّدت لک دینک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صحّة الضمان مضافاً إلی الشرائط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التنجیز ،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یؤدِّ إلی زمان کذا، أو إن لم یَفِ أصلاً فأنا ضامن، 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وثبوت الدین فی ذمّة المضمون عنه بالفعل،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أقرض زیداً أو بعه نسیئة وأنا ضامن، لم یصحّ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یشترط فی الضمان معرفة المضمون عنه،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 لک دین من هو أشدّ فقراً من غرمائک صحّ، ولا معرفة مقدار الدین،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 کلّ ما لک علی زید صحّ أیضاً، نعم یشترط معرفة المضمون له لیقبل الإیجاب</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تحقّق الضمان الصحیح، انتقل الحقّ من ذمّة المضمون عنه إلی ذمّة الضامن وبرئت ذمّته، فلو أبرأ المضمون له ذمّة الضامن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برئت الذمّتان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الضمان لازم من طرف الضامن، فلیس له فسخه، وکذا من طرف المضمون له، إلّاإذا کان جاهلاً بإعسار الضامن، فله الفسخ والرجوع علی المضمون عنه، ویجوز اشتراط الخیار لهما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یجوز ضمان الدین الحالّ حالّاً ومؤجّلاً، وضمان الدین المؤجّل مؤجّلاً وحالّاً، والمؤجّل بأجل أزید أو أنقص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ضمن تبرّعاً وبلا إذن من المضمون عنه فلیس له الرجوع علیه، وإن کان بالتماسه فله الرجوع بعد أداء الدین، ولو أبرأه المضمون له عن الکلّ أو البعض لم یرجع إلّابمقدار ما أدّاه، ولو ضمن المؤجّل حالاً وأدّاه لم یرجع إلیه إلّا بعد حلول أجل الدین، ولو ضمن الحالّ مؤجّلاً، فله الرجوع حالاً بشرط الأداء، ولو دفع المضمون عنه، الدین إلی المضمون له برئت ذمّة الضامن وتمّ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الترامی فی الضمان؛ بأن یضمن زید عن عمرو، وبکر عن زید وهکذا، فیستقرّ الدین علی الضامن الأخیر، کان الضمان تبرّعیاً أو إذنیّاً أو بالاختلاف، وکان لکلّ حکمه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ضمان اثنین دیناً واحداً بالاشتراک، بأن یکون نصفه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أحدهما ونصفه علی الآخر، وأمّا الضمان بالاستقلال، بأن یتعهّد کلّ واحد تمام الدین، فهو باطل علی مذهبنا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الضمان بغیر جنس الدین، لکن لیس له الرجوع علی المضمون عنه إلّابجنسه، ویجوز الضمان علی الأعمال، المستقرّة فی الذمّة، فیضمن عن الأجیر ما علیه من العمل</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الأقوی عدم جواز ضمان الأعیان المضمونة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لمالکها عمّن کانت بیده، وفی صحّة ضمان عهدة الثمن للمشتری عن البائع، إذا ظهر المبیع مال الغیر قبل تلف الثمن إشکال، وکذا فی ضمان خسارة ما یحدثه المشتری من بناء أو غرس فی الأرض المشتراة، إن ظهرت مال الغیر وقلعه المالک</w:t>
      </w:r>
      <w:r>
        <w:rPr>
          <w:rFonts w:eastAsia="IRNazanin" w:cs="IRNazanin"/>
          <w:color w:val="111111"/>
          <w:sz w:val="28"/>
          <w:szCs w:val="28"/>
          <w:rtl w:val="true"/>
          <w:lang w:bidi="fa-IR"/>
        </w:rPr>
        <w:t>.</w:t>
      </w:r>
      <w:bookmarkStart w:id="483" w:name="pg6476_56914"/>
    </w:p>
    <w:p>
      <w:pPr>
        <w:pStyle w:val="Heading2"/>
        <w:numPr>
          <w:ilvl w:val="1"/>
          <w:numId w:val="1"/>
        </w:numPr>
        <w:rPr/>
      </w:pPr>
      <w:bookmarkStart w:id="484" w:name="__RefHeading___Toc1265428_653776707"/>
      <w:bookmarkStart w:id="485" w:name="_Toc185"/>
      <w:bookmarkEnd w:id="483"/>
      <w:bookmarkEnd w:id="484"/>
      <w:r>
        <w:rPr>
          <w:rtl w:val="true"/>
        </w:rPr>
        <w:t>کتاب الحوالة</w:t>
      </w:r>
      <w:bookmarkEnd w:id="485"/>
    </w:p>
    <w:p>
      <w:pPr>
        <w:pStyle w:val="BookText"/>
        <w:rPr/>
      </w:pPr>
      <w:r>
        <w:rPr>
          <w:rFonts w:ascii="IRNazanin" w:hAnsi="IRNazanin" w:eastAsia="IRNazanin"/>
          <w:color w:val="111111"/>
          <w:sz w:val="28"/>
          <w:sz w:val="28"/>
          <w:szCs w:val="28"/>
          <w:rtl w:val="true"/>
          <w:lang w:bidi="fa-IR"/>
        </w:rPr>
        <w:t>وحقیقتها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المدین ما فی ذمّته إلی غیره، وهی متقوّمة بأشخاص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المُحیل وهو المدین، والمُحتال وهو الدائن، والمُحال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عقد یحتاج إلی إیجاب من المحیل وقبول من المحتال، وأمّا المحال علیه فهو لیس طرفاً للعقد، وتقع بکلّ لفظ یدلّ علی المقصود،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أحلتک بما فی ذمّتی علی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ویعتبر فی عقدها ما یعتبر فی سائر العقود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المحال علیه قد یکون ذمّته مشغولة بدین علی المحیل، وقد یکون بریئاً، وعلی الثانی یکون رضاه شرطاً فی صحّة الحوالة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فرق فی المُحال به بین أن یکون عیناً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مثلیّة أو قیمیّة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منفعة أو عملاً، فتصحّ إحالة من علیه منّ من حنطة أو شاة کلّیّة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بیع السلم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علیه سکنی الدار أو خیاطة الثوب من جهة الإجارة دائنه إلی غیره، بریئاً کان أو مشغول الذمّة بمثلها للمحیل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 الحوالة مع اتّحاد الدین المحال به مع الذی علی المحال علیه جنساً ونوعاً، بأن یکون لزید علیه درهم وله علی عمرو درهم، فیحیل زیداً علی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رضا المحتال، کأن یکون لزید علیه حنطة وله علی عمرو شعیر، فیحیل زیداً علی عمرو، بأن یأخذ بدل حنطته شعیراً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تحقّقت الحوالة صحیحة برئت ذمّة المحیل عن الدین، واشتغلت ذمّة المحال علیه للمحتال، ثمّ إن کان ذمّة المحال علیه مشغولة للمحیل فتبرأ من دینه، وإن کان بریئاً اشتغلت ذمّة المحیل للمحال علیه بما أحال بالعقد أو بعد الأداء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علی المحتال قبول الحوالة، وبعد القبول فهی لازمة بالنسبة إلی کلّ من الثلاثة، نعم لو ظهر کون المحال علیه فقیراً مع جهل المحیل بالحال یجوز له الفسخ کما یجوز فسخهم مع الاشتراط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الترامی فی الحوالة بتعدّد المحال علیه واتّحاد المحتال، کما لو أحال المدین زیداً علی عمرو، ثمّ أحال عمرو زیداً علی بکر وهکذا، أو بتعدّد المحتال مع وحدة المحال علیه، کأن أحال المدیون زیداً علی عمرو، وأحال زید خالداً علی عمرو، وخالد بکراً علی عمرو وهکذا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أحال علی البری وقبل المحال علیه، فلیس له الرجوع إلی المحیل إلّابعد أداء الدین للمحتال</w:t>
      </w:r>
      <w:r>
        <w:rPr>
          <w:rFonts w:eastAsia="IRNazanin" w:cs="IRNazanin"/>
          <w:color w:val="111111"/>
          <w:sz w:val="28"/>
          <w:szCs w:val="28"/>
          <w:rtl w:val="true"/>
          <w:lang w:bidi="fa-IR"/>
        </w:rPr>
        <w:t>.</w:t>
      </w:r>
      <w:bookmarkStart w:id="486" w:name="pg6476_56916"/>
    </w:p>
    <w:p>
      <w:pPr>
        <w:pStyle w:val="Heading2"/>
        <w:numPr>
          <w:ilvl w:val="1"/>
          <w:numId w:val="1"/>
        </w:numPr>
        <w:rPr/>
      </w:pPr>
      <w:bookmarkStart w:id="487" w:name="__RefHeading___Toc1265430_653776707"/>
      <w:bookmarkStart w:id="488" w:name="_Toc186"/>
      <w:bookmarkEnd w:id="486"/>
      <w:bookmarkEnd w:id="487"/>
      <w:r>
        <w:rPr>
          <w:rtl w:val="true"/>
        </w:rPr>
        <w:t>کتاب الکفالة</w:t>
      </w:r>
      <w:bookmarkEnd w:id="488"/>
    </w:p>
    <w:p>
      <w:pPr>
        <w:pStyle w:val="BookText"/>
        <w:rPr/>
      </w:pPr>
      <w:r>
        <w:rPr>
          <w:rFonts w:ascii="IRNazanin" w:hAnsi="IRNazanin" w:eastAsia="IRNazanin"/>
          <w:color w:val="111111"/>
          <w:sz w:val="28"/>
          <w:sz w:val="28"/>
          <w:szCs w:val="28"/>
          <w:rtl w:val="true"/>
          <w:lang w:bidi="fa-IR"/>
        </w:rPr>
        <w:t>وهی التعهّد لشخص بإحضار نفس له علیها حقّ، ویسمّی المتعهّد کفیلاً، وذلک الشخص مکفولاً له، والنفس المحضرة مکفولاً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عقد یحتاج إلی إیجاب من الکفیل وقبول من المکفول له، ویقع بکلّ لفظ أدّی المقصود، کأن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کفیل لک بإحضار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وعقدها لازم لا ینفسخ إلّابالإقالة والشرط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الکفیل مضافاً إلی الشرائط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علی إحضار المکفول، ولا یعتبر رضا المکفول فإنّه لیس طرفاً فی العقد، والأحوط جعله طرفاً، بأن یکون العقد مرکّباً من إیجاب وقبولین من المکفول والمکفول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من علیه حقّ مالی تصحّ الکفالة بإحضاره ولو مع الجهل بمقدار المال، وکذا کلّ من یلزمه الحضور فی مجلس الشرع لدعوی مسموعة، وکلّ من علیه عقوبة من حقوق الخلق کالقصاص والقذف، دون حقوق اللّه کحدّ الزنا واللواط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الحقّ الثابت علی المکفول حالّاً تصحّ الکفالة حالّة ومؤجّلة، ولو کان مؤجّلاً فاللازم تعیین الأجل للکفالة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تحقّقت الکفالة صحیحة جاز مطالبة المکفول له الکفیلَ بإحضار المکفول، فإن کان المکفول حاضراً وجب تسلیمه إلی المکفول له، وإن</w:t>
      </w:r>
    </w:p>
    <w:p>
      <w:pPr>
        <w:pStyle w:val="BookText"/>
        <w:rPr/>
      </w:pPr>
      <w:r>
        <w:rPr>
          <w:rFonts w:ascii="IRNazanin" w:hAnsi="IRNazanin" w:eastAsia="IRNazanin"/>
          <w:color w:val="111111"/>
          <w:sz w:val="28"/>
          <w:sz w:val="28"/>
          <w:szCs w:val="28"/>
          <w:rtl w:val="true"/>
          <w:lang w:bidi="fa-IR"/>
        </w:rPr>
        <w:t>امتنع الکفیل أجبره الحاکم حتّی یحضره أو یؤدّی ما علیه فی الدین، وإن تعذّر الإحضار لغیبة منقطعة أو فرار، أجبره الحاکم لیؤدّی ما علیه، ثمّ إنّه إذا أدّی المال، فإن کانت الکفالة تبرّعیّة لم یرجع إلی المکفول، وإن کان مأذوناً فی الکفالة والأداء رجع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تعیین محلّ تسلیم المکفول، إلّامع وجود انصراف فی العقد، وإلّا بطلت الکفالة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الکفیل التوسّل بکلّ وسیلة مشروعة لإحضار المکفول، ولو کان غائباً واحتاج إلی مؤونة، فعلی المکفول إن کان أذن بها، وإلّا فعلی الکفیل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تبرأ ذمّة الکفیل إمّا بإحضار المکفول، أو حضوره نفسه بدلاً عنه، أو إبراء المکفول له ذمّة المکفول عن الحقّ، أو إبرائه الکفیل عن الکفالة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نقل المکفول له الحقّ الذی علی المکفول إلی غیره، أو مات الکفیل والمکفول بطلت الکفالة، بخلاف موت المکفول له، فإنّ حقّه ینتقل إلی ورثته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خلّی غریماً من ید صاحبه قهراً، أو خلّی قاتلاً من ید صاحب الدم، وجب إحضاره، وإلّا ضمن الحقّ فی الأوّل والدیة فی الثانی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ترامی الکفالات؛ بأن یکفل الکفیل ثالث، ویکفل الثالث رابع، وهکذا، فبراءة الکفیل الأوّل توجب براءة من بعده دون العکس</w:t>
      </w:r>
      <w:r>
        <w:rPr>
          <w:rFonts w:eastAsia="IRNazanin" w:cs="IRNazanin"/>
          <w:color w:val="111111"/>
          <w:sz w:val="28"/>
          <w:szCs w:val="28"/>
          <w:rtl w:val="true"/>
          <w:lang w:bidi="fa-IR"/>
        </w:rPr>
        <w:t>.</w:t>
      </w:r>
      <w:bookmarkStart w:id="489" w:name="pg6476_56918"/>
    </w:p>
    <w:p>
      <w:pPr>
        <w:pStyle w:val="Heading2"/>
        <w:numPr>
          <w:ilvl w:val="1"/>
          <w:numId w:val="1"/>
        </w:numPr>
        <w:rPr/>
      </w:pPr>
      <w:bookmarkStart w:id="490" w:name="__RefHeading___Toc1265432_653776707"/>
      <w:bookmarkStart w:id="491" w:name="_Toc187"/>
      <w:bookmarkEnd w:id="489"/>
      <w:bookmarkEnd w:id="490"/>
      <w:r>
        <w:rPr>
          <w:rtl w:val="true"/>
        </w:rPr>
        <w:t>کتاب الوکالة</w:t>
      </w:r>
      <w:bookmarkEnd w:id="491"/>
    </w:p>
    <w:p>
      <w:pPr>
        <w:pStyle w:val="BookText"/>
        <w:rPr/>
      </w:pPr>
      <w:r>
        <w:rPr>
          <w:rFonts w:ascii="IRNazanin" w:hAnsi="IRNazanin" w:eastAsia="IRNazanin"/>
          <w:color w:val="111111"/>
          <w:sz w:val="28"/>
          <w:sz w:val="28"/>
          <w:szCs w:val="28"/>
          <w:rtl w:val="true"/>
          <w:lang w:bidi="fa-IR"/>
        </w:rPr>
        <w:t>وهی استنابة الغیر فی التصرّف فیما کان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عقد یحتاج إلی إیجاب وقبول، ویقع بکلّ لفظ یؤدّی المقصود،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وکّلتک فی بیع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وتقع بالمعاطاة؛ بأن یسلّم إلیه المال بقصد البیع ویتسلّمه لذلک، وبالکتابة من الموکّل والعمل من الوکیل؛ ولو وقع بینهما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یتّسع الأمر فیها بما لا یتّسع فی غیرها من العقود؛ حتّی أنّه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وکیلک فی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مستفهماً،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تمّت الوکالة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فیها التنجیز، فلو علّقها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أذِنَ أبی فأنت وکیلی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بطلت، ویشترط فی المتعاقدین ما یشترط فی سائر العقود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فیما وکّل فیه أن یکون سائغاً، وللموکّل سلطنة شرعاً علی إیقاعه، فلا توکیل فی الغصب وبیع مال الغیر، ولا یعتبر قدرة الموکّل خارجاً، فیجوز لمن لا یقدر علی أخذ ماله من غاصب أن یوکّل فیه القادر</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وکّله فی إیقاع أمر بعد ایقاع ما یترتّب علیه؛ بأن وکّله فی شراء شیء له ثمّ بیعه صحّ، وأمّا التوکیل فی البیع استقلالاً من دون توکیل فی ما یتوقّف علیه، فالظاهر عدم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لو وقعت الوکالة علی کلّیّ یکون هو من مصادیقه، کما لو وکّله علی جمیع اُموره، فیکون وکیلاً فی المتجدّد من أمواله بشراء أو اتّهاب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یشترط فی الموکّل فیه قابلیّته للتفویض إلی الغیر، فلو اعتبر فی وقوعه المباشرة کالعبادات البدنیّة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الطهارة والصلاة والصیام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تصحّ الوکالة فیها، وأمّا العبادات المالیّة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کالزکاة والخمس والکفّارات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تعتبر فیها المباشرة فتصحّ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یصحّ التوکیل فی جمیع العقود، کالبیع، والصلح، والإجارة، والهبة، والعاریة، والودیعة، والمضاربة، والمساقاة، والقرض، والرهن، والشرکة، والضمان، والحوالة، والوکالة، والنکاح، إیجاباً وقبولاً فی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إبراء الذمّة، والإمضاء، والإسقاط فی الخیارات، والقبض والإقباض فی السلم ونحوه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التوکیل فی الطلاق، بل یجوز توکیل الزوجة؛ بأن تطلّق نفسها بنفسها، أو بأن توکّل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التوکیل فی حیازة المباحات کأخذ السمک والاحتطاب، فإذا حازها الوکیل بعنوان النیابة عنه صار ملکاً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الوکالة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خاصّة، أو عامّة، أو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فالاُولی کما إذا وکّله فی شراء شیء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عامّة من جهة التصرّف وخاصّة من جهة المتعلّق؛ کما إذا وکّله فی جمیع التصرّفات فی داره من بیع وإجارة ونحوهما، وإمّا عکسه کما إذا وکّله فی بیع جمیع أمواله،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عامّة من الجهتین کما إذا وکّله فی جمیع التصرّفات فی جمیع أمواله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أقسام ثلاثة؛ کأن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وکیلی فی أمر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وکیلی فی بیع أحد أملاکی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وکیلی فی أمر أحد أملاکی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والظاهر صحّة جمیع الأقسام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یقتصر الوکیل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شمله عقد الوکالة ولو بالقرائن الدالّة علی أنّ من یوکّل فی کذا یرید ما یشمل کذا، فإذا أعطاه الشیء لیبیعه فهو توکیل فی إقباض المبیع إلی المشتری وقبض الثمن منه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خالف الوکیل وأتی بما یخالف مورد الوکالة بالکلّیة؛ کما إذا وکّل فی البیع فوهبه، أو یخالفه فی الجملة؛ کما إذا وکّله فی النقد فباعه نسیئة، فإن کان المأتیّ به ممّا یجری فیه الفضولیّة کالعقود، توقّف علی إمضاء المالک، وإلّا بطل؛ کما إذا وکّله فی إثبات الخیار فأسقطه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للولیّ أن یوکّل غیره فیما یتعلّق بالمولّی علیه ممّا له الولایة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للوکیل أن یوکّل غیره إلّابإذن الموکّل ویتبع کیفیّة إذنه فی التوکیل عن نفسه أو عن موکّله، فعلی الأوّل ینعزل الوکیل الثانی بانعزال الأوّل وموته، وعلی الثانی لا ینعزل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الوکالة عقد جائز من الطرفین، فللوکیل أن یعزل نفسه فی حضور الموکّل وغیبته، وللموکّل عزله کذلک، لکن لو لم یبلغ العزل إلی الوکیل فأمضی مورد الوکالة کان نافذاً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تبطل الوکالة بموت الوکیل والموکّل، وعروض الجنون أو الإغماء علی کلّ منهما، وبتلف مورد الوکالة، وبفعل الوکیل ما تعلّقت به الوکالة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التوکیل فی الخصومة والمرافعة لکلّ من المدّعی والمدّعی علیه، فوظیفة وکیل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 الدعوی وإقامة البیّنة وتحلیف المنکر ونحو ذلک، ووظیفة وکیل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الإنکار والطعن علی الشهود والسعی فی الدفع مهما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یقبل إقرارهما علی موکّلهما، فلو أقرّ وکیل المنکر بالحقّ لم</w:t>
      </w:r>
    </w:p>
    <w:p>
      <w:pPr>
        <w:pStyle w:val="BookText"/>
        <w:rPr/>
      </w:pPr>
      <w:r>
        <w:rPr>
          <w:rFonts w:ascii="IRNazanin" w:hAnsi="IRNazanin" w:eastAsia="IRNazanin"/>
          <w:color w:val="111111"/>
          <w:sz w:val="28"/>
          <w:sz w:val="28"/>
          <w:szCs w:val="28"/>
          <w:rtl w:val="true"/>
          <w:lang w:bidi="fa-IR"/>
        </w:rPr>
        <w:t>یقبل، بل تبطل الوکالة وتبقی الدعوی علی حالها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التوکیل بجُعل وغیره، ویستحقّ الجعل بتسلیم العمل؛ أی بمجرّد الإتیان به؛ کإیقاع البیع والشراء وإثبات الدعوی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الوکیل أمین بالنسبة إلی ما فی یده؛ لا یضمنه إلّامع التجاوز؛ کما إذا لبس الثوب، لکن لا تبطل وکالته، فلو باعه بعد ذلک صحّ البیع</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وکّله فی بیع متاع بنحو الإطلاق، فهل یجوز بیعه من نفسه أو لا؟ وجهان، أظهرهما الجواز، وکذا لو وکّله فی الشراء</w:t>
      </w:r>
      <w:r>
        <w:rPr>
          <w:rFonts w:eastAsia="IRNazanin" w:cs="IRNazanin"/>
          <w:color w:val="111111"/>
          <w:sz w:val="28"/>
          <w:szCs w:val="28"/>
          <w:rtl w:val="true"/>
          <w:lang w:bidi="fa-IR"/>
        </w:rPr>
        <w:t>.</w:t>
      </w:r>
      <w:bookmarkStart w:id="492" w:name="pg6476_56922"/>
    </w:p>
    <w:p>
      <w:pPr>
        <w:pStyle w:val="Heading2"/>
        <w:numPr>
          <w:ilvl w:val="1"/>
          <w:numId w:val="1"/>
        </w:numPr>
        <w:rPr/>
      </w:pPr>
      <w:bookmarkStart w:id="493" w:name="__RefHeading___Toc1265434_653776707"/>
      <w:bookmarkStart w:id="494" w:name="_Toc188"/>
      <w:bookmarkEnd w:id="492"/>
      <w:bookmarkEnd w:id="493"/>
      <w:r>
        <w:rPr>
          <w:rtl w:val="true"/>
        </w:rPr>
        <w:t>کتاب الإقرار</w:t>
      </w:r>
      <w:bookmarkEnd w:id="494"/>
    </w:p>
    <w:p>
      <w:pPr>
        <w:pStyle w:val="BookText"/>
        <w:rPr/>
      </w:pPr>
      <w:r>
        <w:rPr>
          <w:rFonts w:ascii="IRNazanin" w:hAnsi="IRNazanin" w:eastAsia="IRNazanin"/>
          <w:color w:val="111111"/>
          <w:sz w:val="28"/>
          <w:sz w:val="28"/>
          <w:szCs w:val="28"/>
          <w:rtl w:val="true"/>
          <w:lang w:bidi="fa-IR"/>
        </w:rPr>
        <w:t>وهو الإخبار الجازم بحقّ لازم علی المخبر، أو بنفی حقّ له،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علیَّ درهم، أو إنّی زنیت أو سرقت، أو إنّه لیس لی حقّ علی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فیه الجزم،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 أنّ لک علیَّ کذا، لم ینفذ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ویقع بکلّ لفظ له صراحة أو ظهور لدی العرف بنحو المطابقة أو التضمّن أو الالتزام، فلو کان فیه إجمال وتردّد لم یکن إقراراً،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عندی ألف واحتمل الاستهزاء والإنکار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المقرّ الکمال والقصد والاختیار، فلا اعتبار بإقرار الصبیّ والمجنون والسکران والساهی والهازل والغافل والمکره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المقرّ به أن یکون أمراً یجوز للمقرّ له مطالبته والإلزام بإیفائه؛ بأن یکون عیناً أو منفعة أو عملاً أو حقّاً کالشفعة والخیار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فی نفوذه أن یکون ضرراً علی المقرّ لا علی غیره، فلو أقرّ ببنوّته لشخص، لا یرثه المقرّ وهو یرث المقرّ</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یصحّ الإقرار بالمبهم، فیُلزم بالتفسیر ویقبل بأیّ شیء فسّره، 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عندی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وفسّره بهرّة أو نعل خَلِق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ویصحّ الإقرار للمبهم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الثوب لأحد هذین أو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فسّر المبهم فهو، وإلّا اصطلح الشخصان أو الأشخاص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یقبل إقرار السفیه بالمال ویقبل بغیره، فلو أقرّ بالسرقة یحدّ ولا یؤخذ منه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ادّعی الصبیّ البلوغ بالإنبات أو السنّ یلزم الاختبار، وإن ادّعاه بالاحتلام ففی الثبوت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المقرّ له أهلیّة الاستحقاق عرفاً کالإنسان، بل والمسجد والمدرسة ونحوهما، 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ألف للمسجد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کان المقصود عرفاً اشتغال ذمّته بغلّاته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المنذور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کذّبه المقرّ له فی إقراره، فإن کان المقرّ به عیناً تصیر مجهول المالک بحسب الظاهر، وإن کان دَیناً لم یطالب به، ثمّ علی المقرّ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بینه وبین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إیصاله إلی المقرّ له ولو بدسّه فی 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أقرّ بشیء ثمّ عقّبه بإنکار کلّه أو بعضه، یؤخذ بالإقرار ویُلغی الإنکار، ولیس من الإنکار استثناء شیء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الدار التی بیدی لزید إلّاثلثها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کان إقراراً بالثُلْثَین، ولو أقرّ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الدار لزید،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حکم بکونها لزید، واُغرم قیمتها لعمرو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ینفذ الإقرار بالنسب مطلقاً بالنسبة إلی ما علیه من الحقوق؛ کوجوب الإنفاق وحرمة التزویج وإرثهم من المقرّ ونحوها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أقرّ بعض الورثة بدین علی المیّت وأنکره الآخرون، نفذ إقراره فی حقّ نفسه خاصّة، ویؤخذ منه من الدین بنسبة نصیبه، فلو مات المیّت عن ولدین وترکته مائة، فأقرّ أحدهما لزید بخمسین، اُخذ منه لزید خمسة وعشرین</w:t>
      </w:r>
      <w:r>
        <w:rPr>
          <w:rFonts w:eastAsia="IRNazanin" w:cs="IRNazanin"/>
          <w:color w:val="111111"/>
          <w:sz w:val="28"/>
          <w:szCs w:val="28"/>
          <w:rtl w:val="true"/>
          <w:lang w:bidi="fa-IR"/>
        </w:rPr>
        <w:t>.</w:t>
      </w:r>
      <w:bookmarkStart w:id="495" w:name="pg6476_56924"/>
    </w:p>
    <w:p>
      <w:pPr>
        <w:pStyle w:val="Heading2"/>
        <w:numPr>
          <w:ilvl w:val="1"/>
          <w:numId w:val="1"/>
        </w:numPr>
        <w:rPr/>
      </w:pPr>
      <w:bookmarkStart w:id="496" w:name="__RefHeading___Toc1265436_653776707"/>
      <w:bookmarkStart w:id="497" w:name="_Toc189"/>
      <w:bookmarkEnd w:id="495"/>
      <w:bookmarkEnd w:id="496"/>
      <w:r>
        <w:rPr>
          <w:rtl w:val="true"/>
        </w:rPr>
        <w:t>کتاب الهبة</w:t>
      </w:r>
      <w:bookmarkEnd w:id="497"/>
    </w:p>
    <w:p>
      <w:pPr>
        <w:pStyle w:val="BookText"/>
        <w:rPr/>
      </w:pPr>
      <w:r>
        <w:rPr>
          <w:rFonts w:ascii="IRNazanin" w:hAnsi="IRNazanin" w:eastAsia="IRNazanin"/>
          <w:color w:val="111111"/>
          <w:sz w:val="28"/>
          <w:sz w:val="28"/>
          <w:szCs w:val="28"/>
          <w:rtl w:val="true"/>
          <w:lang w:bidi="fa-IR"/>
        </w:rPr>
        <w:t>وهی تملیک عین مجّاناً، وهی عقد یحتاج إلی إیجاب وقبول بأیّ لفظ أدّی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وتقع بالمعاطاة بتسلیم العین وتسلّمها بذلک القصد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الواهب والموهوب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الشرائط العامّة، وفی الواهب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مالکاً للعین غیر محجور علیه فی تصرّفها، وفی الموهوب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عیناً، فلا تصحّ هبة المنافع، ولا الدین لغیر من هو علیه، وأمّا هبته له فتصحّ وتسقط عنه بالقبول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الهبة قبض الموهوب له، ویکفی کونه فی ید الموهوب له قبلها، أو کون الواهب ولیّاً للموهوب له وقد وهبه ما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والقبض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کالقبض فی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غیر المنقول التخلیة وجعله تحت استیلائه، وفی المنقول الاستیلاء علیه بالید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تعتبر فیه الفوریّة، فمتی وقع حصلت الملکیّة للموهوب له من ذلک الحین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تمّت الهبة بالقبض، فإن کانت لذی رحم لم یکن للواهب الرجوع، وإن کانت لأجنبیّ جاز الرجوع ما دامت العین باقیة، وإن تلفت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أو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رجوع، وکذا لا رجوع لو عَوّض المتّهب عنها ولو یسیراً، وکذا فیما لو قصد الواهب القربة، وکذا فیما لو مات الواهب أو المتّهب، فلا رجوع للورثة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یلحق بالتلف التصرّف الناقل کالبیع والهبة، أو المغیّر للعین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کطحن الحنطة وفصل الثوب دون مثل لبس الثوب وقصارته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معوّضة أو غیر معوّضة، والمراد بالاُولی ما عُوّض عنها وإن لم یشترط، أو اشترط فیها العوض، ومعه أیضاً لا یجب علی المتّهب دفع العوض، فیجوز للواهب الرجوع فی هبته، ویکفی فی العوض أن یکون هبة لشیء أو عملاً أو إبراء حقّ ونحو ذلک، فإذا تحقّق ما جعلوه عوضاً لزمت الهبة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الرجوع مع اطّلاع المتّهب وبدونه، ویکون بالقول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وبالفعل کاسترداد العین</w:t>
      </w:r>
      <w:r>
        <w:rPr>
          <w:rFonts w:eastAsia="IRNazanin" w:cs="IRNazanin"/>
          <w:color w:val="111111"/>
          <w:sz w:val="28"/>
          <w:szCs w:val="28"/>
          <w:rtl w:val="true"/>
          <w:lang w:bidi="fa-IR"/>
        </w:rPr>
        <w:t>.</w:t>
      </w:r>
      <w:bookmarkStart w:id="498" w:name="pg6476_56926"/>
    </w:p>
    <w:p>
      <w:pPr>
        <w:pStyle w:val="Heading2"/>
        <w:numPr>
          <w:ilvl w:val="1"/>
          <w:numId w:val="1"/>
        </w:numPr>
        <w:rPr/>
      </w:pPr>
      <w:bookmarkStart w:id="499" w:name="__RefHeading___Toc1265438_653776707"/>
      <w:bookmarkStart w:id="500" w:name="_Toc190"/>
      <w:bookmarkEnd w:id="498"/>
      <w:bookmarkEnd w:id="499"/>
      <w:r>
        <w:rPr>
          <w:rtl w:val="true"/>
        </w:rPr>
        <w:t>کتاب الوقف وأخواته</w:t>
      </w:r>
      <w:bookmarkEnd w:id="500"/>
    </w:p>
    <w:p>
      <w:pPr>
        <w:pStyle w:val="Heading3"/>
        <w:numPr>
          <w:ilvl w:val="2"/>
          <w:numId w:val="1"/>
        </w:numPr>
        <w:rPr/>
      </w:pPr>
      <w:bookmarkStart w:id="501" w:name="__RefHeading___Toc1265440_653776707"/>
      <w:bookmarkStart w:id="502" w:name="_Toc191"/>
      <w:bookmarkEnd w:id="501"/>
      <w:r>
        <w:rPr>
          <w:rtl w:val="true"/>
        </w:rPr>
        <w:t>اشارة</w:t>
      </w:r>
      <w:bookmarkEnd w:id="502"/>
    </w:p>
    <w:p>
      <w:pPr>
        <w:pStyle w:val="BookText"/>
        <w:rPr/>
      </w:pPr>
      <w:r>
        <w:rPr>
          <w:rFonts w:ascii="IRNazanin" w:hAnsi="IRNazanin" w:eastAsia="IRNazanin"/>
          <w:color w:val="111111"/>
          <w:sz w:val="28"/>
          <w:sz w:val="28"/>
          <w:szCs w:val="28"/>
          <w:rtl w:val="true"/>
          <w:lang w:bidi="fa-IR"/>
        </w:rPr>
        <w:t>الوقف تحبیس المال والعین وتسبیل المنفعة، ویعتبر فیه الصیغة، ویکفی فیها کلّ ما دلّ علی المقصود،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تصدّقت صدقة لا 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ونحو ذلک، ویعتبر فیه التنجیز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لابدّ فی وقف المسجد من قصد عنوان المسجدیّة، ویکفی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جعلته مسجداً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تکفی المعاطاة فی مثل المساجد والمدارس والمقابر وفرش المسجد ونحوه، فإذا بنی بعنوان المسجدیّة، وأذِنَ فی الصلاه فیه، فصلّی بعض الناس کفی، ومثله السکنی فی المدرسة والدفن فی المقبرة، هذا فیما بنی بذلک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جعل البیت الموجود مسجداً أو مدرسة، فالأحوط إجراء الصیغة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الأقوی عدم اعتبار القبول فی الوقف علی الجهات العامّة، کالمساجد والمقابر، وفی الوقف علی العناوین الکلّیة کالوقف علی الطلّاب والفقراء، لکنّ الأحوط قبول الحاکم ولایة علی الجهات والعناوین، وأمّا الوقف الخاصّ کالوقف علی الأولاد، فالأحوط قبول الموجودین من الموقوف علیهم، کما أنّ الأحوط اعتبار قصد القربة فی القسمین الأوّلین</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صحّة الوقف القبض، ففی الوقف الخاصّ یعتبر قبض الموجودین من الطبقة الاُولی، وفی الوقف علی الجهات العامّة والعناوین الکلّیة،</w:t>
      </w:r>
    </w:p>
    <w:p>
      <w:pPr>
        <w:pStyle w:val="BookText"/>
        <w:rPr/>
      </w:pPr>
      <w:r>
        <w:rPr>
          <w:rFonts w:ascii="IRNazanin" w:hAnsi="IRNazanin" w:eastAsia="IRNazanin"/>
          <w:color w:val="111111"/>
          <w:sz w:val="28"/>
          <w:sz w:val="28"/>
          <w:szCs w:val="28"/>
          <w:rtl w:val="true"/>
          <w:lang w:bidi="fa-IR"/>
        </w:rPr>
        <w:t xml:space="preserve">فإن عیّن له متولّیاً اعتبر قبضه، وإلّا قبضه الحاکم ویکفی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قبض المسجد والمقبرة صلاة واحدة، أو دفن میّت واحد بإذن الواقف وبعنوان التسلیم، وفی الوقف علی العنوان الکلّی قبض بعض أفراده، فإذا سلّم الوقف إلی المستحقّ لاستیفاء ما یستحقّه کفی، ولو کانت العین بید المتولّی أو الموقوف علیهم قبل الوقف، ثمّ وقفها، لم یحتج إلی تجدید القبض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یشترط فی الوقف الدوام، فلو وقفه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نعم لو وقف علی أولاده واقتصر علی بطن ولم یذکر المصرف بعده نفذ، فیصحّ الوقف المنقطع الآخر، ونظیره أن یوقف علی أولاده وبعد انقراضهم علی ما لا یصحّ له الوقف کمجالس اللهو، فینقطع بعد انقراض الأولاد، وکذا لو وقف وشرط عوده إلیه عند حاجته، ویصحّ المنقطع الوسط أیضاً؛ کما إذا کان الموقوف علیه فی الوسط غیر صالح للوقف، بخلافه فی الأوّل والآخر، ولا یصحّ الوقف المنقطع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الوقف إخراج نفسه عن الوقف، فلو وقفه علی نفسه بطل، وکذا لو وقف علی الغیر وشرط أداء دیونه من غلّته، ولو وقف علی نفسه وغیره بطل بالنسبة إلی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آجر عیناً، ثمّ وقفها صحّ الوقف مسلوب المنفعة فی مدّة الإجارة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انتفاع الواقف فی الأوقاف العامّة کالمساجد والقناطر، وفی انتفاعه فی الوقف علی العناوین الکلّیّة کالفقراء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صار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الواقف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الکمال والاختیار وعدم الحجر، ویصحّ وقف الکافر فیما یصحّ من المسلم، وفی الموقوف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عیناً مملوکة یصحّ الانتفاع بها منفعة محلّلة، فلا یصحّ وقف المباحات ولا آلات اللهو، ولا یعتبر إمکان الانتفاع بالفعل، فیصحّ وقف الاُصول المغروسة الحدیثة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خاصّ کالوقف علی الأولاد، وإمّا عامّ، وهو ما کان علی جهة ومصلحة عامّة کالمساجد والقناطر، أو علی عنوان عامّ کالفقراء والأیتام، فهو علی أقسام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یشترط فی الوقف الخاصّ وجود الموقوف علیه حین الوقف، فالوقف علی من سیوجد من أولاده باطل، ولا یشترط فی الوقف العام، فلو وقف بستاناً علی فقراء بلده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حینه 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 ولم یکن من منقطع الأوّل، کما أنّه لو فقد الفقیر فی الأثناء لا یکون من منقطع الوسط، بل یحفظ غلّته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یوجد الفقیر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یصحّ الوقف علی الجهات المحرّمة، وما فیه إعانة علی المعصیة کالمکتبة لکتب الضلال، والبستان لتنزّه الفتیة والفتیات مختلطین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وقف الشیعی للفقراء انصرف إلی فقراء الشیعة، ولو وقف السنّی فإلی فقراء أهل السنّة، ولو وقف علی العلماء انصرف إلی علماء المذهب، لا الطبّ والنجوم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عنوان الموقوف علیه منحصراً فی أفراد معدودة؛ کما إذا وقف علی فقراء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توزیع المنافع علیهم، وإن کانوا غیر محصورین، لم یجب الاستیعاب وجاز تقسیمها فی بعضهم، والوقف فی سبیل اللّه یصرف فی کلّ ما یکون وصلة إلی الثواب، والوقف علی الأرحام یشمل من یعدّ رحماً عرفاً، والوقف علی الأولاد یشمل الذکور والإناث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واسطة ومعها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ویقتسمون بالسویّة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وقف علی المسجد، صرف فی تعمیره وضوئه وفرشه وخادمه وإمامه، وکذا الوقف علی المشهد، ولو وقف علی الحسین علیه السلام أو العبّاس علیه السلام، یُصرف فی إقامة مجلس التعزیة؛ من اُجرة القارئ ونحوه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التغییر فی الوقف بعد تمامه؛ بإدخال بعض الأفراد وإخراج بعض، وهل یصحّ ذلک إذا شرطه فی ضمن عقده؟ فیه تردّد، نعم لو وقف علی جماعة، ثمّ بعدهم علی آخرین صحّ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علم الوقفیّة ونسی المصرف، فإن کان هنا مورد التصادق بین المحتملات صرف فیه، کما إذا تردّد بین الفقراء والطلّاب، وإن کانت متبائنة لکنّها محصورة بین جهات أو عناوین؛ کما إذا تردّد بین المساجد والمشاهد وبین علماء هذا البلد وبلد آخر، یقرع بینهما، وإن کانت غیر محصورة من العناوین صار بحکم مجهول المالک، أو غیر محصورة من الجهات، صرف فی وجوه البرّ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وقف علی جهة من مسجد أو مدرسة، فلم تحتج إلیه لخراب ونحوه، صرف فی وجوه البرّ، والأحوط مراعاة المجانسة، ولو خرب المسجد لم تخرج عرصتها عن المسجدیّة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الوقف یوجب خروج العین عن ملک الواقف، فإن کان وقفاً علی الجهات؛ کالمساجد والمشاهد والقناطر وموقوفاتها، فهو فکّ ملک لا یدخل فی ملک أحد، وإن کان وقفاً علی العناوین کالفقراء ففی کونه فکّ ملک أو ملکاً للموقوف علیهم إشکال، وکذا إن کان وقفاً خاصّاً، والأقرب فیه دخوله فی ملک الموقوف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تبدیل الوقف وإبطال عنوانه کجعل البستان حمّاماً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خرب وزال عنوانه، فإن أمکن إعادته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باستیجاره 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وإلّا استفید من العرصة فی غرض الوقف ولا یبطل بالکلّیّة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بیع الأوقاف علی الجهات کالمساجد والمشاهد، ولا إجارتها وإن خربت بالکلّیة ولم ینتفع بها، وأمّا آلاتها من الفرش والسرج ونحوها، فإن لم یمکن الانتفاع بها فیها بالمرّة، جعلت فی وقف مجانس لها، وإن لم</w:t>
      </w:r>
    </w:p>
    <w:p>
      <w:pPr>
        <w:pStyle w:val="BookText"/>
        <w:rPr/>
      </w:pPr>
      <w:r>
        <w:rPr>
          <w:rFonts w:ascii="IRNazanin" w:hAnsi="IRNazanin" w:eastAsia="IRNazanin"/>
          <w:color w:val="111111"/>
          <w:sz w:val="28"/>
          <w:sz w:val="28"/>
          <w:szCs w:val="28"/>
          <w:rtl w:val="true"/>
          <w:lang w:bidi="fa-IR"/>
        </w:rPr>
        <w:t>یمکن الحفظ أصلاً، بیعت وصرفت ثمنها کأصلها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غصب الأوقاف غاصب فأتلفها، ضمن قیمتها، ولو انتفع بها بلا إتلاف ضمن اُجرة المثل فی مثل المدرسة والحمّام دون المساجد والمشاهد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الأوقاف الخاصّة کالوقف علی الأولاد، والأوقاف العامّة کالوقف علی الفقراء، لا یجوز بیعها إلّافی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خربت بحیث لا یمکن الانتفاع بها إلّابالبیع ونحوه، کالحیوان المذبوح وبعض فرش المسجد، فیباع ویشتری به ما یماثله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یخرب فیقلّ نفعه بحیث یعدّ عرفاً بحکم العدم، لکن یمکن أن یشتری بثمنه ما ینتفع به معتدّاً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یشترط الواقف فی عقده أن یبیعه عند کذا وکذا، فیجوز عند حدوث ذلک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وقع بین أرباب الوقف اختلاف شدید؛ لا یؤمن معه من تلف الأموال والنفوس، ولا ینحسم إلّاببیعه، فیباع ویقسّم ثمنه بینهم، ولو ارتفع الاختلاف بالإبدال قدّم علی قسمة الثمن، ولو ارتفع بتقسیم العین قدّم علی الإبدال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وقف منفعة؛ کما إذا کان المقصود الاستنماء بها ووصول نفعها إلی الموقوف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خاصّاً کان أو عامّاً عنوانیّاً أو جهتیّاً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وقف الدکّان والبستان لیصرف فی الأولاد أو الفقراء أو فی المساجد، فیجوز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وقف انتفاع؛ کالدار الموقوفة لسکنی الأولاد، والمقبرة الموقوفة لموتی الناس، فلا یجوز إجارتها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خرب الوقف واحتاج إلی التعمیر، صرف منافعه فی تعمیره، ولو لم توجد بالفعل استقرض المتولّی أو صرف من ماله قاصداً أخذه من منافعه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إفراز الوقف عن الملک الطلق إذا کانا مشاعین؛ کدار مشترکة بین زید والفقراء، وکذا إذا تعدّد الواقف والموقوف علیه؛ کدار بین شخصین وقف کلّ حصّته علی أولاده، وکذا إذا تعدّد الوقف والموقوف علیه مع اتّحاد الواقف؛ کدار وقف نصفها علی المسجد ونصفها علی المشهد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آجر الوقف البطن الأوّل وماتوا، بطلت الإجارة فی بقیّة المدّة، ولو آجر المتولّی لمصلحة الوقف أو لمصلحة البطون، لم تبطل بموت بطن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للواقف جعل التولیة لنفسه ولغیره؛ دائماً و إلی مدّة، ویجوز جعل أمر التولیة بید شخص وجعل أمر کلّ لاحق بید سابقه، کلّ ذلک فی ضمن العقد لا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فی المتولّی الأمانة والکفایة، ولا یجب علیه القبول، ویجوز جعل التولیة لاثنین مستقلّین أو بالاجتماع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وظیفة المتولّی ما هو المتعارف؛ من تعمیر الوقف، وإجارته، وقسمة الاُجرة والمنافع بین أربابه ونحوها، ولو عیّن للمتولّی شیئاً هو اُجرته، وإلّا فله اُجرة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عیّن الواقف ناظراً، فإن اُحرز أنّ المقصود مجرّد اطّلاعه لأجل الوثوق، فالمتولّی مستقلّ فی عمله، وإنّما اللازم اطّلاع الناظر، وإن کان المقصود إعمال نظره، فلا یصحّ عمل المتولّی بدون الإذن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لم یعیّن الواقف متولّیاً، أو لم یکن من عیّنه أهلاً، ففی الأوقات العامّة یکون التولیة بید الحاکم، وکذا فی الخاصّة بالنسبة إلی مصالح الوقف ومراعاة البطون المتأخّرة، ولو لم یکن حاکم، فهی مع عدول المؤمنین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تثبت الوقفیّة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بالشیاع المفید للاطمئنان، وبإقرار ذی الید، وبأن یعامل معه المتصرّفون معاملة الوقف، وبالبیّنة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کتاب أو مصحف بید من</w:t>
      </w:r>
      <w:bookmarkStart w:id="503" w:name="pg6476_56932"/>
    </w:p>
    <w:p>
      <w:pPr>
        <w:pStyle w:val="BookText"/>
        <w:rPr/>
      </w:pPr>
      <w:bookmarkEnd w:id="503"/>
      <w:r>
        <w:rPr>
          <w:rFonts w:ascii="IRNazanin" w:hAnsi="IRNazanin" w:eastAsia="IRNazanin"/>
          <w:color w:val="111111"/>
          <w:sz w:val="28"/>
          <w:sz w:val="28"/>
          <w:szCs w:val="28"/>
          <w:rtl w:val="true"/>
          <w:lang w:bidi="fa-IR"/>
        </w:rPr>
        <w:t>یدّعی ملکیّته، وکان مکتوباً علیه أنّه وقف، لم یحکم بالوقفیّة بمجرّده ما لم یحصل الاطمئنان، وکذا لو کان فی ترکة المیّت ورقة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وقفیّة شیء من أمواله، وأنّه وقف المال الفلانی وأقبضه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نماء الوقف زکویّاً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کالتمر والزبیب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وقفاً عامّاً جهتیّاً أو عنوانیّاً، لم تجب الزکاة فیه، وإن کان خاصّاً وجبت علی من بلغت حصّته النصاب من الموقوف علیهم</w:t>
      </w:r>
      <w:r>
        <w:rPr>
          <w:rFonts w:eastAsia="IRNazanin" w:cs="IRNazanin"/>
          <w:color w:val="111111"/>
          <w:sz w:val="28"/>
          <w:szCs w:val="28"/>
          <w:rtl w:val="true"/>
          <w:lang w:bidi="fa-IR"/>
        </w:rPr>
        <w:t>.</w:t>
      </w:r>
    </w:p>
    <w:p>
      <w:pPr>
        <w:pStyle w:val="Heading3"/>
        <w:numPr>
          <w:ilvl w:val="2"/>
          <w:numId w:val="1"/>
        </w:numPr>
        <w:rPr/>
      </w:pPr>
      <w:bookmarkStart w:id="504" w:name="__RefHeading___Toc1265442_653776707"/>
      <w:bookmarkStart w:id="505" w:name="_Toc192"/>
      <w:bookmarkEnd w:id="504"/>
      <w:r>
        <w:rPr>
          <w:rtl w:val="true"/>
        </w:rPr>
        <w:t>خاتمة فی الصدقة</w:t>
      </w:r>
      <w:bookmarkEnd w:id="505"/>
    </w:p>
    <w:p>
      <w:pPr>
        <w:pStyle w:val="BookText"/>
        <w:rPr/>
      </w:pPr>
      <w:r>
        <w:rPr>
          <w:rFonts w:ascii="IRNazanin" w:hAnsi="IRNazanin" w:eastAsia="IRNazanin"/>
          <w:color w:val="111111"/>
          <w:sz w:val="28"/>
          <w:sz w:val="28"/>
          <w:szCs w:val="28"/>
          <w:rtl w:val="true"/>
          <w:lang w:bidi="fa-IR"/>
        </w:rPr>
        <w:t>هی من المستحبّات الأکیدة فی الإسلام، ویعتبر فیها قصد القربة، والإقباض والقبض، ولا یجوز الرجوع فیها بعد القبض، وتحلّ صدقة الهاشمی لغیره مطلقاً؛ حتّی الزکاة المفروضة، وصدقة غیر الهاشمی له إذا کانت مندوبة، وأمّا الواجبة فتحرم زکاة المال والفطرة، وأمّا غیرهما کالمظالم والکفّارات فتحلّ</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المتصدّق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الکمال وعدم الحجر، ولا یعتبر فی المتصدَّق علیه الفقر، ویکفی فیه الإسلام، ویکره شدیداً أن یتملّک من الفقیر ما تُصُدّق به بشراء أو اتّهاب، وأن یسأل من غیر حاجة، بل قیل بحرمة الأمرین</w:t>
      </w:r>
      <w:r>
        <w:rPr>
          <w:rFonts w:eastAsia="IRNazanin" w:cs="IRNazanin"/>
          <w:color w:val="111111"/>
          <w:sz w:val="28"/>
          <w:szCs w:val="28"/>
          <w:rtl w:val="true"/>
          <w:lang w:bidi="fa-IR"/>
        </w:rPr>
        <w:t>.</w:t>
      </w:r>
      <w:bookmarkStart w:id="506" w:name="pg6476_56933"/>
    </w:p>
    <w:p>
      <w:pPr>
        <w:pStyle w:val="Heading2"/>
        <w:numPr>
          <w:ilvl w:val="1"/>
          <w:numId w:val="1"/>
        </w:numPr>
        <w:rPr/>
      </w:pPr>
      <w:bookmarkStart w:id="507" w:name="__RefHeading___Toc1265444_653776707"/>
      <w:bookmarkStart w:id="508" w:name="_Toc193"/>
      <w:bookmarkEnd w:id="506"/>
      <w:bookmarkEnd w:id="507"/>
      <w:r>
        <w:rPr>
          <w:rtl w:val="true"/>
        </w:rPr>
        <w:t>کتاب الوصیّة</w:t>
      </w:r>
      <w:bookmarkEnd w:id="508"/>
    </w:p>
    <w:p>
      <w:pPr>
        <w:pStyle w:val="BookText"/>
        <w:rPr/>
      </w:pP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تملیکیّة، کأن یوصی بشیء من ترکته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عهدیّة کأن یوصی بما یتعلّق بتجهیزه أو بصلاة وحجّ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فکّیة کأن یوصی بوقف داره مسجداً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ظهرت للإنسان علائم الموت، یجب علیه إیصال ودائع الناس إلی أربابها، وأداء ما علیه من حقّ خلقیّ کدیونه، أو خالقیّ کالزکاة والخمس، وإن لم یمکنه فالإیصاء بها والإشهاد علیها، بل یجب علیه أن یوصی باستیجار الواجبات البدنیة؛ کقضاء الصلاة والصیام إن لم یکن له ولیّ یطمئنّ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یکفی فی الوصیّة اللفظ الدالّ علی المقصود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أوصیت لزید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یحجّ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وتکفی الکتابة إذا علم من القرائن کونها بعنوان الوصیّة، بل تکفی الإشارة المفهمة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للوصیّة التملیکیّة أرکان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الموصی والموصی به والموصی له، وقوام العهدیّة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الموصی والموصی به، وإذا عیّن شخصاً لتنفیذها تقوم باُمور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والموصی إلیه، أی الوصیّ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الوصیّة العهدیّة لا تحتاج إلی قبول، نعم لو عیّن وصیّاً لتنفیذها لابدّ من قبوله، لکن فی وصایته لا فی أصل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التملیکیّة فإن کانت</w:t>
      </w:r>
    </w:p>
    <w:p>
      <w:pPr>
        <w:pStyle w:val="BookText"/>
        <w:rPr/>
      </w:pPr>
      <w:r>
        <w:rPr>
          <w:rFonts w:ascii="IRNazanin" w:hAnsi="IRNazanin" w:eastAsia="IRNazanin"/>
          <w:color w:val="111111"/>
          <w:sz w:val="28"/>
          <w:sz w:val="28"/>
          <w:szCs w:val="28"/>
          <w:rtl w:val="true"/>
          <w:lang w:bidi="fa-IR"/>
        </w:rPr>
        <w:t>تملیکاً للنوع کالوصیّة للفقراء، فلا یعتبر فیها القبول، وإن کانت للشخص فقبوله شرط فی نفوذ إیقاع الموصی، فالوصیّة من الإیقاعات دون العقود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یکفی فی القبول کلّ ما دلّ علی الرضا قولاً أو فعلاً، وقع فی حیاة الموصی أو بعد موته، ولو مات الموصی له قبل القبول، قام وارثه مقامه فی تملّک الموصی به، فیتلقّی المال من الموصی لا من مورّثه، فلا یخرج منه دیون الموصی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الموصی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الکمال والرشد، وأن لا یکون قاتل نفسه متعمّداً، فلو شرب سمّاً عمداً لم تنفذ وصیّته، ولو شرب خطأً تنفذ، ولو أوصی ثمّ شرب سمّاً أو جُنّ نفذت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الموصی به فی التملیکیّة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مالاً، أو حقّاً قابلاً للنقل، عیناً أو دیناً أو منفعة أو حقّ اختصاص، وأن تکون العین ذات منفعة محلّلة، فلا تصحّ الوصیّة بآلات اللهو ومحالّ الفحشاء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ویشترط فی الموصی به فی العهدیّة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عملاً سائغاً، فلا تصحّ الوصیّة بإعانة الظالمین ونشر کتب الضلال وتعمیر مراکز الفجور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أوصی لغیر الولیّ بأمر تجهیزه کالغسل والصلاة، فالأحوط أن یکون برضا الولیّ أیضاً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الوصیّة إن کانت بواجب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کالدیون والزکاة ونحوها، تخرج من أصل الترکة وإن استوعبتها کما إذا لم یوص به، ومثله الواجب المالی المشوب بالبدنی کالحجّ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إن کانت تملیکیّة کإعطاء زید ألفاً، أو عهدیّة تبرّعیة کإطعام الفقراء، أو کانت بواجب غیر مالی کالصلاة والصیام، فهی تخرج من الثلث، وفیما زاد علیه تحتاج إلی إجازة الوارث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فرق بین أن یوصی بالکسر کالنصف، أو بمال معیّن کالبستان، فی أنّ الزائد علی الثلث تحتاج إلی الإجازة، ولو أجازوا بعض الزیادة نفذت فیه، ولو أجاز بعض الورثة نفذت بالنسبة، فلو أوصی بنصف ماله؛ ومات عن ولدین؛ وماله اثنی عشر، یدفع للموصی له خمسة، وللمجیز ثلاثة، وللرادّ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ویلاحظ الثلث بالنسبة إلی ماله حین الموت، لا حین الوصیّة، وتحسب ما اکتسبه بعد الوصیّة وکذلک دینه، من الترکة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أوصی بالثلث صار شریکاً فی الترکة بالإشاعة، ویحسب الثلث بعد ما یخرج من الأصل کالدیون والواجبات المالیّة، فإن بقی بعد ذلک شیء یخرج ثلثه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یف الثلث بالوصیّة، فإن لم یکن ترتیب زمانی بین الوصایا، 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اقضوا عشرین سنة صلواتی وصیامی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یوزّع النقص علی الجمیع بالنسبة، فإذا کان اُجرة الصلاة أربعین؛ والصیام عشرین؛ ولم یفِ الثلث إلّا بنصف الوصیّة؛ ینتقص من الصلاة عشرون ومن الصوم عشرة وهکذا، وإن کان هناک ترتیب کأن أوصی أوّلاً بالصلاة ثمّ بالصوم، بُدئ بالأوّل فالأوّل إلی أن یتمّ الثلث فتلغوا البقیّة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أوصی بواجب مالیّ وبدنیّ وأمر تبرّعیّ، فعیّن مائة للزکاة ومأئة للصلاة ومأئة للفقراء، یخرج الواجب المالی من الأصل والباقیان من الثلث، فإن لم یفِ قُدّم الواجب البدنی علی التبرّعی، وإن أوصی بخروج المالی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الثلث نفذت، ولو أوصی بوصایا متبائنة کما لو أوصی بعین لزید ثمّ أوصی بها لعمرو، نفذت الثانیة وبطلت الاُولی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متعلّق الوصیّة إن کان کسراً مشاعاً، کأن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أعطوا ثلث مالی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یکون زید شریکاً فی جمیع الترکة بتلک النسبة واحتاجت إلی القسمة،</w:t>
      </w:r>
    </w:p>
    <w:p>
      <w:pPr>
        <w:pStyle w:val="BookText"/>
        <w:rPr/>
      </w:pPr>
      <w:r>
        <w:rPr>
          <w:rFonts w:ascii="IRNazanin" w:hAnsi="IRNazanin" w:eastAsia="IRNazanin"/>
          <w:color w:val="111111"/>
          <w:sz w:val="28"/>
          <w:sz w:val="28"/>
          <w:szCs w:val="28"/>
          <w:rtl w:val="true"/>
          <w:lang w:bidi="fa-IR"/>
        </w:rPr>
        <w:t>وإذا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اصرفوا ثلث مالی فی صلاتی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یکون المیّت شریکاً کذلک، ولو أوصی عیناً خارجیّة ولم تکن أزید من الثلث، تعیّنت للوصیّة، ولو زادت صارت مشترکة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للموصی تعیین شخص لتنجیز وصایاه وهو الوصیّ، ویشترط فیه مع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الوثاقة، نعم یجوز ضمّ الصغیر إلی الکبیر فی الوصایة، فیتصرّف بعد بلوغه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یجب علی الموصی إلیه قبول الوصایة، وله ردّها بشرط أن یبلغ ردّه الموصی، فإن لم یردّ، أو لم یبلغه الردّ حتّی مات لزمت علیه الوصایة، کما أنّه لو التفت بعد موت الموصی أنّه جعله وصیّاً، لزمته الوصایة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أن یجعل الوصایة لاثنین أو أکثر، علی نحو الاستقلال فی التصرّف أو الاشتراک، وأن یوصی إلی واحد فی شیء وإلی الآخر فی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ظهرت خیانة الوصیّ، فعلی الحاکم عزله ونصب شخص آخر، أو ضمّ أمین إلیه، وکذا لو ظهر 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والوصیّ أمین، فلا یضمن ما کان فی یده إلّامع التجاوز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أوصی المیّت وصیّة عهدیّة ولم یعیّن وصیّاً، تولّی الحاکم أمرها أو عیّن من یتولّاه، ولو لم یکن الحاکم تولّاه ثقات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للموصی أن یجعل ناظراً علی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بأن یجعله رقیباً؛ ویکون أعمال الوصی باطّلاعه؛ فالوصیّ مستقلّ فی التصرّف، وإمّا بأن یکون أعماله منوطة بنظره؛ فلا استقلال للوصیّ بدونه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للأب والجدّ له جعل القیّم علی الصغار، ویشترط فیه ما یشترط فی الوصیّ علی المال، ولو عیّن له تصرّفاً خاصّاً کان سائر التصرّفات</w:t>
      </w:r>
    </w:p>
    <w:p>
      <w:pPr>
        <w:pStyle w:val="BookText"/>
        <w:rPr/>
      </w:pPr>
      <w:r>
        <w:rPr>
          <w:rFonts w:ascii="IRNazanin" w:hAnsi="IRNazanin" w:eastAsia="IRNazanin"/>
          <w:color w:val="111111"/>
          <w:sz w:val="28"/>
          <w:sz w:val="28"/>
          <w:szCs w:val="28"/>
          <w:rtl w:val="true"/>
          <w:lang w:bidi="fa-IR"/>
        </w:rPr>
        <w:t>للحاکم، ولو أطلق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قیّم علی أولادی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کان ولیّاً علی جمیع شؤونهم؛ من حفظ أموالهم واستنمائها، والإنفاق علیهم وغیرها، ویجب علیه الاقتصاد فی إنفاقهم والتصرّف فی أموالهم، ویجوز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غنیّاً کان أو فقیراً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اُجرة المثل من أموال الیتیم، وکذا الوصیّ إن لم یکن قرینة علی عدم الأخذ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الوصیّة جائزة من طرف الموصی ما دام حیّاً، فله الرجوع بالکلّیّة أو تبدیلها إلی نحو آخر، وله الرجوع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الوصیّة بالولایة للأطفال، ویتحقّق الرجوع بالقول، وبالفعل کبیع مورد الوصیّة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الوصیّة بعدما وقعت تبقی علی حالها ولو مع طول المدّة، إلّاإذا قامت القرینة علی الاختصاص، کما إذا کان علی جناح سفر وظهرت أمارات الاختصاص بالموت فی هذه الواقعة</w:t>
      </w:r>
      <w:r>
        <w:rPr>
          <w:rFonts w:eastAsia="IRNazanin" w:cs="IRNazanin"/>
          <w:color w:val="111111"/>
          <w:sz w:val="28"/>
          <w:szCs w:val="28"/>
          <w:rtl w:val="true"/>
          <w:lang w:bidi="fa-IR"/>
        </w:rPr>
        <w:t>.</w:t>
      </w:r>
      <w:bookmarkStart w:id="509" w:name="pg6476_56938"/>
    </w:p>
    <w:p>
      <w:pPr>
        <w:pStyle w:val="Heading2"/>
        <w:numPr>
          <w:ilvl w:val="1"/>
          <w:numId w:val="1"/>
        </w:numPr>
        <w:rPr/>
      </w:pPr>
      <w:bookmarkStart w:id="510" w:name="__RefHeading___Toc1265446_653776707"/>
      <w:bookmarkStart w:id="511" w:name="_Toc194"/>
      <w:bookmarkEnd w:id="509"/>
      <w:bookmarkEnd w:id="510"/>
      <w:r>
        <w:rPr>
          <w:rtl w:val="true"/>
        </w:rPr>
        <w:t>کتاب الأیمان والنذور</w:t>
      </w:r>
      <w:bookmarkEnd w:id="511"/>
    </w:p>
    <w:p>
      <w:pPr>
        <w:pStyle w:val="Heading3"/>
        <w:numPr>
          <w:ilvl w:val="2"/>
          <w:numId w:val="1"/>
        </w:numPr>
        <w:rPr/>
      </w:pPr>
      <w:bookmarkStart w:id="512" w:name="__RefHeading___Toc1265448_653776707"/>
      <w:bookmarkStart w:id="513" w:name="_Toc195"/>
      <w:bookmarkEnd w:id="512"/>
      <w:r>
        <w:rPr>
          <w:rtl w:val="true"/>
        </w:rPr>
        <w:t>فی الیمین</w:t>
      </w:r>
      <w:bookmarkEnd w:id="513"/>
    </w:p>
    <w:p>
      <w:pPr>
        <w:pStyle w:val="BookText"/>
        <w:rPr/>
      </w:pPr>
      <w:r>
        <w:rPr>
          <w:rFonts w:ascii="IRNazanin" w:hAnsi="IRNazanin" w:eastAsia="IRNazanin"/>
          <w:color w:val="111111"/>
          <w:sz w:val="28"/>
          <w:sz w:val="28"/>
          <w:szCs w:val="28"/>
          <w:rtl w:val="true"/>
          <w:lang w:bidi="fa-IR"/>
        </w:rPr>
        <w:t>ویطلق علیها الحلف والقسم، وهی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یقع تأکیداً للإخبار بوقوع شیء فی زمان،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سافرت أمس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المناشدة، وهی ما یقرن بالسؤال بقصد حثّ المسؤول علی إنجاز المقصود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أسألک باللّه أن تعطینی درهماً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العقد، وهی ما یقع تأکیداً لما بنی علیه من فعل أو ترک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لأصلنّ رحمی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لأترکنّ الدخان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إنّه لا یترتّب علی القسم الأوّل والثانی أثر، ولا یجب علی المحلوف علیه قبوله، وأمّا الثالث فینعقد ویجب الوفاء به ویترتّب علی حنثه الکفّارة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یشترط فی انعقادها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 لغة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المقسم به ذاته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بذکر اسمه العَلَمی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والرحمانِ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صفاته المختصّة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خلق الأرض فی 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ومقلِّبِ القلوب والأبصار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الصفات المشترکة المنصرف إطلاقها إلیه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والخالقِ والرازقِ والرحیمِ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الحلف باللّه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بحقِّ اللّه وجلالِ اللّه ولَعَمْرُ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w:t>
      </w:r>
    </w:p>
    <w:p>
      <w:pPr>
        <w:pStyle w:val="BookText"/>
        <w:rPr/>
      </w:pPr>
      <w:r>
        <w:rPr>
          <w:rFonts w:ascii="IRNazanin" w:hAnsi="IRNazanin" w:eastAsia="IRNazanin"/>
          <w:color w:val="111111"/>
          <w:sz w:val="28"/>
          <w:sz w:val="28"/>
          <w:szCs w:val="28"/>
          <w:rtl w:val="true"/>
          <w:lang w:bidi="fa-IR"/>
        </w:rPr>
        <w:t>یشترط حروف القسم، بل یصحّ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حلفت باللّه وأقسمت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تنعقد الیمین بالحلف بالنبیّ صلی الله علیه و آله والأئمّة علیهم السلام والقرآن الکریم والکعبة المعظّمة وغیرها من المقدّسات، وبقوله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برئت من اللّه أو من الدین أو من الرسول أو الأئمّة علیهم السلام إن فعلت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کفّارة فی حنثها، نعم ذلک التبرّی حرام فی نفسه وإن کان صادقاً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الحالف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الکمال والقصد، فالحلف مع الغصب السالب للقصد غیر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یصحّ حلف الولد مع منع الوالد، والزوجة مع منع الزوج؛ بمعنی أنّهما لو منعا قبل الحلف لم تنعقد، ولو حلّا بعد الوقوع انحلّت، فلو لم یطّلعا ولم یحلّا انعقدت، وقیل لا تنعقد إلّابرضاهما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تنعقد الیمین إذا تعلّقت بفعل واجب أو مستحبّ أو ترک حرام أو مکروه، أو بأمر راجح عقلیّ أو دنیویّ، بل وفی متساوی الطرفین أیضاً علی الأقوی، ولو انعقدت ثمّ صار المتعلّق مرجوحاً أو غیر مقدور أو عسراً أو حرجیّاً انحلّت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انعقدت الیمین وجب الوفاء بها والکفّارة بحنثها، والحنث هی المخالفة العمدیّة، فلو کانت جهلاً أو نسیاناً أو اضطراراً أو إکراهاً، فلا حنث ولا کفّارة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متعلّق الیمین فعلاً موقّتاً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کالنافلة فی هذه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فحنثها عدم إتیانها فی ذلک الوقت، وإن کان مطلقاً فحنثها الترک فی جمیع العمر، ومثله لو حلف علی ترک الدخان موقّتاً أو مطلقاً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المحلوف علیه فعلاً واحداً أو ترکاً واحداً، فله حنث واحد، ولو حلف أن یصوم کلّ جمعة أو یترک السَوم فی کلّ جمعة، فهل یتکرّر</w:t>
      </w:r>
      <w:bookmarkStart w:id="514" w:name="pg6476_56940"/>
    </w:p>
    <w:p>
      <w:pPr>
        <w:pStyle w:val="BookText"/>
        <w:rPr/>
      </w:pPr>
      <w:bookmarkEnd w:id="514"/>
      <w:r>
        <w:rPr>
          <w:rFonts w:ascii="IRNazanin" w:hAnsi="IRNazanin" w:eastAsia="IRNazanin"/>
          <w:color w:val="111111"/>
          <w:sz w:val="28"/>
          <w:sz w:val="28"/>
          <w:szCs w:val="28"/>
          <w:rtl w:val="true"/>
          <w:lang w:bidi="fa-IR"/>
        </w:rPr>
        <w:t>الکفّارة إذا خالف أکثر من جمعة؟ فیه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کفّارة الیمین إطعام عشرة مساکین أو کسوتهم، فإن لم یقدر فصیام ثلاثة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الأیمان الصادقة مکروهة، إلّالدفع مظلمة مالیّة عن نفسه أو أخیه، فتجوز ولو کانت کاذبة، بل قد تجب لدفع الظلم عن نفسه ونفس أخیه وعرضهما</w:t>
      </w:r>
      <w:r>
        <w:rPr>
          <w:rFonts w:eastAsia="IRNazanin" w:cs="IRNazanin"/>
          <w:color w:val="111111"/>
          <w:sz w:val="28"/>
          <w:szCs w:val="28"/>
          <w:rtl w:val="true"/>
          <w:lang w:bidi="fa-IR"/>
        </w:rPr>
        <w:t>.</w:t>
      </w:r>
    </w:p>
    <w:p>
      <w:pPr>
        <w:pStyle w:val="Heading3"/>
        <w:numPr>
          <w:ilvl w:val="2"/>
          <w:numId w:val="1"/>
        </w:numPr>
        <w:rPr/>
      </w:pPr>
      <w:bookmarkStart w:id="515" w:name="__RefHeading___Toc1265450_653776707"/>
      <w:bookmarkStart w:id="516" w:name="_Toc196"/>
      <w:bookmarkEnd w:id="515"/>
      <w:r>
        <w:rPr>
          <w:rtl w:val="true"/>
        </w:rPr>
        <w:t>فی النذر</w:t>
      </w:r>
      <w:bookmarkEnd w:id="516"/>
    </w:p>
    <w:p>
      <w:pPr>
        <w:pStyle w:val="BookText"/>
        <w:rPr/>
      </w:pPr>
      <w:r>
        <w:rPr>
          <w:rFonts w:ascii="IRNazanin" w:hAnsi="IRNazanin" w:eastAsia="IRNazanin"/>
          <w:color w:val="111111"/>
          <w:sz w:val="28"/>
          <w:sz w:val="28"/>
          <w:szCs w:val="28"/>
          <w:rtl w:val="true"/>
          <w:lang w:bidi="fa-IR"/>
        </w:rPr>
        <w:t>وهو الالتزام بعمل للّه‌تعالی، ولابدّ له من صیغة تدلّ علی جعل الشیء فی ذمّته للّه،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أن أصل قرابتی، أو أترک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وینعقد بما یرادف هذا القول من کلّ لغة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الناذر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الکمال وانتفاء الحجر عن متعلّق نذره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نذر الزوجة إذن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نذر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الوالد علی تردّد وإشکال</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نذر برّ،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المجازاة، وهو ما علّق علی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شکراً لنعمة، کأن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رُزقت ولداً أو زرت بیت اللّه فلِلّهِ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وإمّا استدفاعاً لبلیّة، کأن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شفی اللّه مریضی فلِلّهِ علیَّ کذا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وإمّا نذر زجر، وهو ما علّق علی فعل حرام أو مکروه؛ زجراً للنفس عن ارتکابها، کأن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تعمّدت الکذب، أو کذبت مزاحاً فلِلّه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علّق علی ترک واجب أو مستحبّ؛ زجراً للنفس عن ترکهما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نذر تبرّع، وهو ما لم یعلّق علی شیء، کأن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أن أقرأ القرآن صباحاً، ولا إشکال فی انعقاد النذر البرّی والزّجری، وأمّا التبرّعی ففیه خلاف، والأظهر الانعقاد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یشترط فی متعلّق النذر بأقسامه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یلتزم بإتیانه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الرجحان شرعاً أو عقلاً، فلم ینعقد فیما کان مرجوحاً ولو لعارض، 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أن أظلم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لم ینعقد، وفی المعلّق علیه فی النذر البرّی، أن یکون أمراً صالحاً لأن یشکر علیه؛ کزیارة بیت اللّه وشفاء المریض، فلو قال شکراً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أخذت مال المؤمن أو قطع اللّه عمره فلِلّه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لم ینعقد، وفی المعلّق علیه فی الزّجری، أن یکون فعلاً اختیاریّاً صالحاً لأن یزجر عنه کما مرّ من الأمثلة؛ فلو قال زجراً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صلّیت الغداة أو ترکت الربا فلِلّه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لم ینعقد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نذر صوم کلّ خمیس، فصادف بعضها أحد العیدین أو مرضاً أو حیضاً، أفطره وقضاه، ولو أفطره بلا عذر قضاه مع الکفّارة، ولو نذر صوماً معیّناً جاز أن یسافر بلا ضرورة، لکنّه یقضیه ولا کفّارة علیه، ولو نذر زیارة إمام علیه السلام أو مؤمن یکفی الحضور عنده والسلام علیه، ولو ترکها عمداً تجب الکفّارة، وفی وجوب القضاء تردّد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نذر التصدّق بعین شخصیّة تعیّنت، فإن تلفت انحلّ النذر، وإن أتلفها ضمن أن یتصدّق بدلها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أو قیمة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الکفّارة، ولو نذرها لشخص معیّن لزم ولا یسقط بإبراء ذلک الشخص، ولا یجب علیه القبول، فإن ردّ انحلّ النذر، ولو مات الناذر یخرج من أصل ترکته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نذر شیئاً للمشاهد المشرّفة صرف فی مصالحها؛ کتعمیرها وضیائها وفرشها، ولو نذر شیئاً للإمام علیه السلام أو بعض أولاده صرفه فی سبیل الخیر بقصد رجوع ثوابه إلیه؛ کإعانة المساکین وبناء المساجد والقناطر وصلة زوّارهم ومن یلوذ بهم من الفقراء والصلحاء، هذا إذا لم یکن قصد الناذر جهة خاصّة وإلّا اقتصر علیها</w:t>
      </w:r>
      <w:r>
        <w:rPr>
          <w:rFonts w:eastAsia="IRNazanin" w:cs="IRNazanin"/>
          <w:color w:val="111111"/>
          <w:sz w:val="28"/>
          <w:szCs w:val="28"/>
          <w:rtl w:val="true"/>
          <w:lang w:bidi="fa-IR"/>
        </w:rPr>
        <w:t>.</w:t>
      </w:r>
      <w:bookmarkStart w:id="517" w:name="pg6476_56942"/>
    </w:p>
    <w:p>
      <w:pPr>
        <w:pStyle w:val="BookText"/>
        <w:rPr/>
      </w:pPr>
      <w:bookmarkEnd w:id="5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عیّن شاة للصدقة، أو لأحد الأئمّة علیهم السلام یتبعها نمائها المتّصل کالسّمن، وأمّا النماء المنفصل کالحمل واللبن ففیه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عجز الناذر عن الوفاء فی وقته انحلّ نذره ولا شیء، نعم فی نذر الصوم لو عجز کفّر عن کلّ یوم بمدّ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النذر کالیمین فی أنّه إذا کان موقّتاً، حصل الحنث بترکه فی ذلک الوقت، ووجبت الکفّارة، ولا قضاء فی غیر الصلاة والصوم، والأظهر فیهما القضاء أیضاً، وإن کان مطلقاً فالحنث بترکه فی العمر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الحنث الموجب للکفّارة هی المخالفة عن عمد، فلو خالف نسیاناً أو جهلاً أو اضطراراً أو إکراهاً، لم یترتّب علیه شیء ولا ینحلّ نذره، فیجب الوفاء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کفّارة حنث النذر خلاف، فقیل ککفّارة الیمین، وقیل کشهر رمضان</w:t>
      </w:r>
      <w:r>
        <w:rPr>
          <w:rFonts w:eastAsia="IRNazanin" w:cs="IRNazanin"/>
          <w:color w:val="111111"/>
          <w:sz w:val="28"/>
          <w:szCs w:val="28"/>
          <w:rtl w:val="true"/>
          <w:lang w:bidi="fa-IR"/>
        </w:rPr>
        <w:t>.</w:t>
      </w:r>
    </w:p>
    <w:p>
      <w:pPr>
        <w:pStyle w:val="Heading3"/>
        <w:numPr>
          <w:ilvl w:val="2"/>
          <w:numId w:val="1"/>
        </w:numPr>
        <w:rPr/>
      </w:pPr>
      <w:bookmarkStart w:id="518" w:name="__RefHeading___Toc1265452_653776707"/>
      <w:bookmarkStart w:id="519" w:name="_Toc197"/>
      <w:bookmarkEnd w:id="518"/>
      <w:r>
        <w:rPr>
          <w:rtl w:val="true"/>
        </w:rPr>
        <w:t>فی العهد</w:t>
      </w:r>
      <w:bookmarkEnd w:id="51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العهد یحتاج إلی الصیغة،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عاهدت اللّه علی أن أفعل کذا أو أترک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ویعتبر فی المعلّق علیه فیه ما اعتبر فی النذر المعلّق، وفی المعاهد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مرجوحاً دیناً أو دنیاً، ولا یشترط فیه الرجحان، فلو عاهد علی مباح لزم، ولو طرأ علی المعاهد علیه المرجوحیّة انحلّ، ولو خالف العهد عمداً، وجبت علیه کفّارة من أفطر فی شهر رمضان</w:t>
      </w:r>
      <w:r>
        <w:rPr>
          <w:rFonts w:eastAsia="IRNazanin" w:cs="IRNazanin"/>
          <w:color w:val="111111"/>
          <w:sz w:val="28"/>
          <w:szCs w:val="28"/>
          <w:rtl w:val="true"/>
          <w:lang w:bidi="fa-IR"/>
        </w:rPr>
        <w:t>.</w:t>
      </w:r>
      <w:bookmarkStart w:id="520" w:name="pg6476_56943"/>
    </w:p>
    <w:p>
      <w:pPr>
        <w:pStyle w:val="Heading2"/>
        <w:numPr>
          <w:ilvl w:val="1"/>
          <w:numId w:val="1"/>
        </w:numPr>
        <w:rPr/>
      </w:pPr>
      <w:bookmarkStart w:id="521" w:name="__RefHeading___Toc1265454_653776707"/>
      <w:bookmarkStart w:id="522" w:name="_Toc198"/>
      <w:bookmarkEnd w:id="520"/>
      <w:bookmarkEnd w:id="521"/>
      <w:r>
        <w:rPr>
          <w:rtl w:val="true"/>
        </w:rPr>
        <w:t>کتاب الکفّارات</w:t>
      </w:r>
      <w:bookmarkEnd w:id="522"/>
    </w:p>
    <w:p>
      <w:pPr>
        <w:pStyle w:val="Heading3"/>
        <w:numPr>
          <w:ilvl w:val="2"/>
          <w:numId w:val="1"/>
        </w:numPr>
        <w:rPr/>
      </w:pPr>
      <w:bookmarkStart w:id="523" w:name="__RefHeading___Toc1265456_653776707"/>
      <w:bookmarkStart w:id="524" w:name="_Toc199"/>
      <w:bookmarkEnd w:id="523"/>
      <w:r>
        <w:rPr>
          <w:rtl w:val="true"/>
        </w:rPr>
        <w:t>فی أقسامها</w:t>
      </w:r>
      <w:bookmarkEnd w:id="524"/>
    </w:p>
    <w:p>
      <w:pPr>
        <w:pStyle w:val="BookText"/>
        <w:rPr/>
      </w:pPr>
      <w:r>
        <w:rPr>
          <w:rFonts w:ascii="IRNazanin" w:hAnsi="IRNazanin" w:eastAsia="IRNazanin"/>
          <w:color w:val="111111"/>
          <w:sz w:val="28"/>
          <w:sz w:val="28"/>
          <w:szCs w:val="28"/>
          <w:rtl w:val="true"/>
          <w:lang w:bidi="fa-IR"/>
        </w:rPr>
        <w:t>وهی علی أربعة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ومخیّرة، وما اجتمع فیه الأمران، وکفّارة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المرتّبة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قتل الخطأ، یجب فیها صیام شهرین، وإن عجز فإطعام ستّین مسکیناً، وکفّارة من أفطر یوماً من قضاء رمضان بعد الزوال، وهی إطعام عشرة مساکین، فإن عجز فصیام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کفّارة من أفطر یوماً من رمضان، وحنث النذر والعهد، وکفّارة جزّ المرأة شعرها فی المصاب وهی صیام شهرین متتابعین، أو إطعام ستّین مسکیناً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اجتمع فیه الأمران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کفّارة حنث الیمین، وکفّارة نتف المرأة شعرها وخدش وجهها فی المصاب، وشقّ الرجل ثوبه فی موت ولده أو زوجته، فیجب فی الجمیع إطعام عشرة مساکین أو کسوتهم مخیّراً، وإن عجز فصیام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کفّارة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کفّارة قتل المؤمن عمداً وظلماً، وکفّارة الإفطار فی شهر رمضان بالمحرّم، فیجمع بین إطعام ستّین وصیام شهرین متتابعین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فرق فی جزّ المرأة شعرها بین البعض والجمیع، وکونها فی</w:t>
      </w:r>
      <w:bookmarkStart w:id="525" w:name="pg6476_56944"/>
    </w:p>
    <w:p>
      <w:pPr>
        <w:pStyle w:val="BookText"/>
        <w:rPr/>
      </w:pPr>
      <w:bookmarkEnd w:id="525"/>
      <w:r>
        <w:rPr>
          <w:rFonts w:ascii="IRNazanin" w:hAnsi="IRNazanin" w:eastAsia="IRNazanin"/>
          <w:color w:val="111111"/>
          <w:sz w:val="28"/>
          <w:sz w:val="28"/>
          <w:szCs w:val="28"/>
          <w:rtl w:val="true"/>
          <w:lang w:bidi="fa-IR"/>
        </w:rPr>
        <w:t>مصاب زوجها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فی خدش الوجه مسمّاه الموجب للإدماء، ولا عبرة بخدشها غیر وجهها، ولا بشقّ ثوبها، ولا بخدش الرجل وجهه وجزّ شعره، ولا بشقّه ثوبه علی غیر ولده وزوجته</w:t>
      </w:r>
      <w:r>
        <w:rPr>
          <w:rFonts w:eastAsia="IRNazanin" w:cs="IRNazanin"/>
          <w:color w:val="111111"/>
          <w:sz w:val="28"/>
          <w:szCs w:val="28"/>
          <w:rtl w:val="true"/>
          <w:lang w:bidi="fa-IR"/>
        </w:rPr>
        <w:t>.</w:t>
      </w:r>
    </w:p>
    <w:p>
      <w:pPr>
        <w:pStyle w:val="Heading3"/>
        <w:numPr>
          <w:ilvl w:val="2"/>
          <w:numId w:val="1"/>
        </w:numPr>
        <w:rPr/>
      </w:pPr>
      <w:bookmarkStart w:id="526" w:name="__RefHeading___Toc1265458_653776707"/>
      <w:bookmarkStart w:id="527" w:name="_Toc200"/>
      <w:bookmarkEnd w:id="526"/>
      <w:r>
        <w:rPr>
          <w:rtl w:val="true"/>
        </w:rPr>
        <w:t>فی أحکام الکفّارات</w:t>
      </w:r>
      <w:bookmarkEnd w:id="5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صیام الکفّارة وإطعامها قصد القربة؛ وأنّها کفّارة ماذا، ولو علم إجمالاً أنّ علیه صیام ستّین ولا یدری أنّه من إفطار رمضان أو مخالفة العهد، کفی قصد ما فی الذمّة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یتحقّق العجز عن الصیام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 للانتقال إلی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بالمرض المانع فعلاً ولو مع رجاء زواله بعد مدّة، لا بالسفر والحیض ونحوهما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التتابع فی الصیام فی جمیع الکفّارات، سواء الشهران وثلاثة أیّام وغیرهما، وإن أخلّ بالتتابع وجب الاستیناف، فلو شرع بالشهرین فی أوّل شعبان، وبالثلاثة الأیّام فی ثامن ذی الحجّة، بطلا لوقوع الفصل، ولا بأس بفصل الحیض والمرض والسفر الضروری، ویکفی فی تتابع الشهرین صیام شهر ویوم من الثانی ولا یضرّ الفصل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یتخیّر فی إطعام الکفّارة بین إشباع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مسکین مرّة، والتسلیم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 مُدّاً، أو بالاختلاف، ولابدّ من إکمال العدد، فلا یجزی إشباع ثلاثین مرّتین أو إعطاء عشرة؛ کلّ واحد ستّة أمداد، ولا تجب الفوریّة، بل یجوز إکمال العدد فی 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یجزی فی الإشباع، المتعارف من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خبز بلا إدام أو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شیء کان الإدام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 أو جبناً أو لحماً أو اُرزاً أو غیرها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یتساوی الصغیر والکبیر فی تسلیم المدّ من الطعام، فیعطی لکلّ</w:t>
      </w:r>
    </w:p>
    <w:p>
      <w:pPr>
        <w:pStyle w:val="BookText"/>
        <w:rPr/>
      </w:pPr>
      <w:r>
        <w:rPr>
          <w:rFonts w:ascii="IRNazanin" w:hAnsi="IRNazanin" w:eastAsia="IRNazanin"/>
          <w:color w:val="111111"/>
          <w:sz w:val="28"/>
          <w:sz w:val="28"/>
          <w:szCs w:val="28"/>
          <w:rtl w:val="true"/>
          <w:lang w:bidi="fa-IR"/>
        </w:rPr>
        <w:t>مُدّاً، وکذا فی الإشباع إذا اختلط مع الکبیر، وإذا اُفرد الصغار فی الإطعام حسب الاثنین منهم بواحد، ولا یعتبر فی إشباعهم إذن الأولیاء، ویعتبر فی التسلیم قبض أولیائهم، وکلّ تسلیم تملیک للمسکین ولا یتعیّن علیه بعده صرفه فی الأکل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إعطاء کلّ مسکین أزید من مدّ من کفّارات متعدّدة، فلو أفطر تمام رمضان جاز له تسلیم ثلاثین مدّاً لکلّ واحد من ستّین مسکیناً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المراد بالمسکین من لم یملک قوت سنته فعلاً أو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فیه الإیمان، وأن لا یکون واجب النفقة علی الدافع، ولا یشترط فیه العدالة، وفی المتجاهر بالفسق إشکال، ویجوز إعطاء غیر الهاشمی إلی الهاشمی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تجزی القیمة لا فی الإطعام ولا فی الکسوة، بل لابدّ من بذل الطعام إشباعاً أو تملیکاً، ومن بذل الکسوة المخیطة، نعم لو کان المسکین ثقة جاز دفع القیمة وتوکیله فی أن یشتری الطعام أو الکسوة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التبعیض فی الجنس بأن یطعم ثلاثین مسکیناً ویصوم شهراً، ویجوز فی الصنف بأن یشبع ثلاثین ویدفع المدّ إلی ثلاثین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کفّارة شهر رمضان إذا عجز عن الإطعام والصیام تصدّق بما یطیق، ولو عجز استغفر اللّه، والظاهر أنّ وجوب الکفّارات موسّع ما لم یؤدّ إلی التهاون، ویجوز التوکیل فی الکفّارات المالیّة، فینوی الموکّل إن کان الوکیل وکیلاً فی الإیصال، وینوی الوکیل إن کان وکیلاً فی الإخراج</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الکفّارات المالیّة بحکم الدیون، فتخرج من أصل الترکة، وأمّا البدنیّة فلا یجب علی الورثة أدائها ما لم یوص بها المیّت، وحینئذٍ تخرج من الثلث</w:t>
      </w:r>
      <w:r>
        <w:rPr>
          <w:rFonts w:eastAsia="IRNazanin" w:cs="IRNazanin"/>
          <w:color w:val="111111"/>
          <w:sz w:val="28"/>
          <w:szCs w:val="28"/>
          <w:rtl w:val="true"/>
          <w:lang w:bidi="fa-IR"/>
        </w:rPr>
        <w:t>.</w:t>
      </w:r>
      <w:bookmarkStart w:id="528" w:name="pg6476_56946"/>
    </w:p>
    <w:p>
      <w:pPr>
        <w:pStyle w:val="Heading2"/>
        <w:numPr>
          <w:ilvl w:val="1"/>
          <w:numId w:val="1"/>
        </w:numPr>
        <w:rPr/>
      </w:pPr>
      <w:bookmarkStart w:id="529" w:name="__RefHeading___Toc1265460_653776707"/>
      <w:bookmarkStart w:id="530" w:name="_Toc201"/>
      <w:bookmarkEnd w:id="528"/>
      <w:bookmarkEnd w:id="529"/>
      <w:r>
        <w:rPr>
          <w:rtl w:val="true"/>
        </w:rPr>
        <w:t>کتاب الصید والذباحة</w:t>
      </w:r>
      <w:bookmarkEnd w:id="530"/>
    </w:p>
    <w:p>
      <w:pPr>
        <w:pStyle w:val="Heading3"/>
        <w:numPr>
          <w:ilvl w:val="2"/>
          <w:numId w:val="1"/>
        </w:numPr>
        <w:rPr/>
      </w:pPr>
      <w:bookmarkStart w:id="531" w:name="__RefHeading___Toc1265462_653776707"/>
      <w:bookmarkStart w:id="532" w:name="_Toc202"/>
      <w:bookmarkEnd w:id="531"/>
      <w:r>
        <w:rPr>
          <w:rtl w:val="true"/>
        </w:rPr>
        <w:t>فی الصید</w:t>
      </w:r>
      <w:bookmarkEnd w:id="532"/>
    </w:p>
    <w:p>
      <w:pPr>
        <w:pStyle w:val="BookText"/>
        <w:rPr/>
      </w:pPr>
      <w:r>
        <w:rPr>
          <w:rFonts w:ascii="IRNazanin" w:hAnsi="IRNazanin" w:eastAsia="IRNazanin"/>
          <w:color w:val="111111"/>
          <w:sz w:val="28"/>
          <w:sz w:val="28"/>
          <w:szCs w:val="28"/>
          <w:rtl w:val="true"/>
          <w:lang w:bidi="fa-IR"/>
        </w:rPr>
        <w:t>کما یذکّی الحیوان بالذبح فکذلک بالصید علی النحو المعتبر، وآلة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حیوانیّة أو جمادیّة، فالکلام فی حکم القسمین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یحلّ من صید الحیوان إلّاما کان بالکلب المعلّم، فما أخذه وقتله بعقره وجرحه مذکّیً حلال، فیکون عضّه وجرحه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أیّ موضع من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الذبح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الکلب کونه معلّماً وعلامته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یهیج إلی الصید لو أرسله صاحبه، وأن یقف عن الهیاج إذا زجره، والأحوط أن یکون من عادته أن یمسک الصید، ولا یأکله حتّی یصل 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حلّیّة صید الکلب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بالإرسال، فلو استرسل من دون إغراء صاحبه أو استرسله لأمر آخر فقتل صیداً لم یحلّ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المرسل مسلماً ولو صبیّاً ممیّزاً، فلو أرسله الکافر لم یحلّ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یسمّی باسم اللّه عند إرساله، فلو ترکه عمداً حرم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موت الصید مستنداً إلی جرحه وعقره، فلو مات بصدم وخنق</w:t>
      </w:r>
    </w:p>
    <w:p>
      <w:pPr>
        <w:pStyle w:val="BookText"/>
        <w:rPr/>
      </w:pPr>
      <w:r>
        <w:rPr>
          <w:rFonts w:ascii="IRNazanin" w:hAnsi="IRNazanin" w:eastAsia="IRNazanin"/>
          <w:color w:val="111111"/>
          <w:sz w:val="28"/>
          <w:sz w:val="28"/>
          <w:szCs w:val="28"/>
          <w:rtl w:val="true"/>
          <w:lang w:bidi="fa-IR"/>
        </w:rPr>
        <w:t>أو خوف لم یحلّ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یدرکه حیّاً مع التمکّن من التذکیة، فلو أدرکه حیّاً ووسع الزمان للتذکیة فلم یذکّه حرم، ویجب علی المرسل المسارعة إلی الصید حین اشعر الإیقاف، ولا یعتبر وحدة المرسل ولا وحدة الکلب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یؤکل من الصید المقتول بالآلة الجمادیّة، إلّاما قتلته الأسلحة التی تقطع بحدّها کالخنجر أو تشوک بحدّتها کالرمح والسهم، ویکفی القاطع والشائک من أیّ فلزّ کان، مع صدق کونه سلاحاً لا مثل الإبرة والشوک، ولا یعتبر فیها الخرق والجرح، فلو قتله الرمح والسهم حلّ ولو لم یخرقا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قتل بالبارودة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المرمی بها فشکاً أو بنادق صغار تقتل بالخرق والشوک، یحلّ أکله، وأمّا إذا کان بندقة تقتل بثقلها، أو قتل بالحجارة والعمود والحبائل فلا یحلّ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الصید بالآلة الجمادیّة ما یشترط فی الحیوانیّة؛ من کون الصائد مسلماً، والتسمیة، وأن یقصد الاصطیاد، فلو رمی إلی خنزیر فأصاب غزالاً لم یحلّ، وأن لا یدرکه حیّاً، وأن یسارع إلیه بعد الرمی، وأن یستعمل الآلة فی القتل، فلو وقع بعد الرمی فی الماء، فاستند موته إلیهما لم یحلّ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الحیوان الذی یحلّ مقتوله بالکلب والآلة الجمادیّة، کلّ وحش ممتنع من طیر أو غیره، وکذا الصائل من البهائم، وبالجملة کلّ ما لا یجیء تحت الید إلّابالعلاج، فلو رمی طائراً وفرخه الذی لا یطیر لم یحلّ فرخه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تقع التذکیة الصیدیّة علی الحیوان المأکول اللحم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فیحلّ أکله ویطهر جلده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 علی غیر المأکول القابل للتذکیة، فتطهر أجزائه ویجوز الانتفاع به، هذا فی الآلة الجمادیّة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الحیوانیّة ففیه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یُملک الحیوان الوحشی من الطیور وغیرها بأحد اُمور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حقیقة بالید ونحوها بقصد الاصطیاد والتملّک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وقوعه فی الحبالة ونحوها إذا نصبها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یجعله غیر ممتنع بضرب وجرح وکسر جناح، أو إیقاعه فی وحل، أو إدخاله فی مکان ضیّق ونحوها بقصد التملّک، فلو أخذه شخص بعد أحد هذه الاُمور کان غاصباً ضامناً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رماه أحد فجرحه لکن لم یخرج عن الامتناع، فأخذه آخر ملکه، ولو أطلق الصائد صیده، فإن لم یعرض عنه لم یجز للغیر تملّکه، وإن أعرض جاز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یملک غیر الطیر بالاصطیاد إذا لم یکن علیه أمارة الملک؛ من طوق العنق وحبل الرِجل، وإلّا کان بحکم اللقطة، وأمّا الطیر فکونه مقصوص الجناحین أمارة لملکیّة الغیر فیکون لقطة، وإن کان مالکاً لجناحیه جاز تملّکه بالاصطیاد، وتملّک النحل غیر المملوکة بتملّک أمیرها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ذکاة السمک بإخراجه من الماء حیّاً، أو أخذه حیّاً بعد خروجه، فلو مات فی الماء أو فی خارجه بدون أخذ الإنسان حرم، ولا یعتبر فیه التسمیة ولا فی صائده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بید الکافر ولم یعلم أنّه أخذه حیّاً، لم یحلّ بخلاف ما بید المسلم، ولو وضع ضوء فی السفینة، ودقّ الجرس حتّی وثبت السموک فیها، فهی تذکیة محلّلة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وضع شبکة فی الماء أو جعل فیه حظیرة فاجتمع السموک فیهما صارت ملکاً له، ولو نضب وغار الماء بعد ذلک فماتت، کانت مذکّاة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ألقی سمّاً فی الماء فبلغه السمک، أو ضربه بآلة فزال امتناعه،</w:t>
      </w:r>
      <w:bookmarkStart w:id="533" w:name="pg6476_56949"/>
    </w:p>
    <w:p>
      <w:pPr>
        <w:pStyle w:val="BookText"/>
        <w:rPr/>
      </w:pPr>
      <w:bookmarkEnd w:id="533"/>
      <w:r>
        <w:rPr>
          <w:rFonts w:ascii="IRNazanin" w:hAnsi="IRNazanin" w:eastAsia="IRNazanin"/>
          <w:color w:val="111111"/>
          <w:sz w:val="28"/>
          <w:sz w:val="28"/>
          <w:szCs w:val="28"/>
          <w:rtl w:val="true"/>
          <w:lang w:bidi="fa-IR"/>
        </w:rPr>
        <w:t>وکان بقصد الاصطیاد، تملّکه ولیس لغیره أخذه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یعتبر فی حلّیة السمک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أخذه من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یموت بنفسه، فلو قطعه ومات به حلّ، بل یجوز بلعه قبل أن یموت، بل لو قطعه وأخرج نصفه من الماء حیّاً، حلّ وإن بقی الباقی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ذکاة الجراد أخذه حیّاً بالید أو بالآلة، فلو مات بنفسه حرم، ولا یعتبر فیه التسمیة ولا الإسلام کالسمک</w:t>
      </w:r>
      <w:r>
        <w:rPr>
          <w:rFonts w:eastAsia="IRNazanin" w:cs="IRNazanin"/>
          <w:color w:val="111111"/>
          <w:sz w:val="28"/>
          <w:szCs w:val="28"/>
          <w:rtl w:val="true"/>
          <w:lang w:bidi="fa-IR"/>
        </w:rPr>
        <w:t>.</w:t>
      </w:r>
    </w:p>
    <w:p>
      <w:pPr>
        <w:pStyle w:val="Heading3"/>
        <w:numPr>
          <w:ilvl w:val="2"/>
          <w:numId w:val="1"/>
        </w:numPr>
        <w:rPr/>
      </w:pPr>
      <w:bookmarkStart w:id="534" w:name="__RefHeading___Toc1265464_653776707"/>
      <w:bookmarkStart w:id="535" w:name="_Toc203"/>
      <w:bookmarkEnd w:id="534"/>
      <w:r>
        <w:rPr>
          <w:rtl w:val="true"/>
        </w:rPr>
        <w:t>فی الذباحة</w:t>
      </w:r>
      <w:bookmarkEnd w:id="535"/>
    </w:p>
    <w:p>
      <w:pPr>
        <w:pStyle w:val="BookText"/>
        <w:rPr/>
      </w:pPr>
      <w:r>
        <w:rPr>
          <w:rFonts w:ascii="IRNazanin" w:hAnsi="IRNazanin" w:eastAsia="IRNazanin"/>
          <w:color w:val="111111"/>
          <w:sz w:val="28"/>
          <w:sz w:val="28"/>
          <w:szCs w:val="28"/>
          <w:rtl w:val="true"/>
          <w:lang w:bidi="fa-IR"/>
        </w:rPr>
        <w:t>والکلام فی الذابح وآلة الذبح وکیفیّته وبعض أحکامه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تذکیة الذبیحة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الذابح مسلماً غیر ناصب، فلا تحلّ ذبیحة الکافر حتّی الکتابی علی الأظهر، ولا یشترط فیها الذکورة والبلوغ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الآلة حدیداً مع الاختیار، فلو خیف موت الذبیحة جاز بکلّ ما یفری الأوداج من قصب أو زجاجة أو حجارة حادّة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تمام الأوداج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الحلقوم والمریء والودجان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ومحلّه تحت اللحیین ما تحت العقدة المسمّاة بالجوزة، فتجعل فی طرف الرأس، ویلزم أن یکون شیء من کلّ من الأوداج الأربعة علی الرأس؛ حتّی یعلم أنّها انقطعت جمیعاً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أخطأ الذابح وذبح من فوق العقدة، فإن لم تبق لها الحیاة حرمت، وإن بقیت یمکن أن یتدارک؛ بأن یتسارع إلی إیقاع الذبح من تحت ویقطع الأعضاء، فتحلّ</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أکل الذئب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مذبح الحیوان وأدرکه حیّاً، فإن أکل تمام</w:t>
      </w:r>
    </w:p>
    <w:p>
      <w:pPr>
        <w:pStyle w:val="BookText"/>
        <w:rPr/>
      </w:pPr>
      <w:r>
        <w:rPr>
          <w:rFonts w:ascii="IRNazanin" w:hAnsi="IRNazanin" w:eastAsia="IRNazanin"/>
          <w:color w:val="111111"/>
          <w:sz w:val="28"/>
          <w:sz w:val="28"/>
          <w:szCs w:val="28"/>
          <w:rtl w:val="true"/>
          <w:lang w:bidi="fa-IR"/>
        </w:rPr>
        <w:t xml:space="preserve">الأوداج الأربعة أو بعضها تماماً، فهو غیر قابل للتذکیة، وإن بقی مقدار من الجمیع فی طرف الرأس أو 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ذبحه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یذبح وتحلّ الذبیحة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الذبح من القدّام، فلو ذبح من القفا وأسرع إلی أن قطع الأوداج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التتابع فی الذبح، فلو فصل بین قطع الأوداج بما خرج عن المتعارف المعتاد؛ ولم یعدّ عملاً واحداً، بل عملین 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الاستقبال بالذبیحه حال الذبح؛ بأن یوجّه مذبحها ومقادیم بدنها إلی القبلة، فإن أخلّ عالماً عامداً حرمت، وإن کان جاهلاً أو ناسیاً أو مخطئاً فی القبلة أو فی العمل؛ بأن تخیّل أنّ الاستقبال جعل الرأس إلی القبلة أو لم یعلم جهة القبلة، أو لم یتمکّن من التوجیه إلیها لم تحرم، ولا یشترط استقبال الذابح، ولا فرق بین وضع الذبیحة علی جانبها الأیمن أو الأیسر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التسمیة من الذابح؛ بأن یذکر اسم اللّه علیها حین الذبح، فلو أخلّ عمداً حرمت، ولو أخلّ نسیاناً لم تحرم، والجاهل بالحکم کالعامد علی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الذبح علی الحیوان الذی له حیاة ولو کانت عند إشراف الخروج، فإن علمت حین الذبح فهو، وإلّا کان الکاشف صدور حرکة منها؛ مثل أن تطرف عینها أو تحرّک ذنبها أو رجلها، ولا حاجة معها إلی خروج الدم المعتدل، فلو لم یخرج الدم أو خرج متثاقلاً لم تحرم، وفی الاکتفاء بأحد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الیسیرة، وخروج الدم المعتدل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لو وقع الذبح الشرعی، ثمّ سقطت من جبل أو وقعت فی نار، فماتت بذلک لم تحرم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یشترط فی التسمیة کیفیّة خاصّة، بل المدار ذکر اسم اللّه علیها، فیکفی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ونحوها، وفی الاکتفاء باللغات الاُخر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یختصّ الإبل من بین البهائم بکون تذکیتها بالنحر، فلو ذبحت حرمت، نعم لو بقیت حیاتها فنحرت 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وکیفیّة النحر ومحلّه أن یدخل سکّیناً أو رمحاً ونحوهما فی لبته، أی المحلّ المنخفض تحت أصل العنق، وشرائطه کشرائط الذبح، ویجوز نحرها قائمة وبارکة مقبلة إلی القبلة، وساقطة علی جنبها إلی القبلة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ما یتعذّر ذبحه ونحره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لاستعصائه، أو لوقوعه فی محلّ لا یتمکّن من الذبح کالبئر والتنوّر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أن یجرح برمح أو سکّین ممّا یجرحه ویقتله ولو فی غیر موضع التذکیة، ویحلّ أکله، فالساقط شرطیّة المذبح والاستقبال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حرمة إبانة رأس الذبیحة قبل خروج الروح، لکن لا تحرم الذبیحة بفعلها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التعمّد، وأمّا مع الغفلة أو سبق السکّین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أن تنخع الذبیحة؛ بمعنی إصابة السکّین إلی نخاعها، وهو الخیط الأبیض وسط القفار الممتدّ من الرقبة إلی عجز الذنب، وأن یسلخ جلدها قبل خروج الروح، وقیل بالحرمة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خرج الجنین أو اُخرج من بطن اُمّه، فمع حیاة الاُمّ أو موتها بلا تذکیة، لم یحلّ أکله إلّاإذا کان حیّاً ووقعت علیه التذکیة، ومثله ما لو اُخرج حیّاً من بطن اُمّه المذکّاة، وأمّا لو اُخرج میّتاً من بطن اُمّه المذکّاة، حلّ وکانت ذکاة الجنین ذکاة اُمّه، بشرط أن یکون تامّ الخلقة وقد أشعر أو أوبر وإلّا فمیتة، ولا فرق فی الحلّیة بین ما لم تلجه الروح أو ولجت فماتت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تقع التذکیة علی کلّ حیوان مأکول اللحم ذاتاً، برّیّاً أو بحریّاً أو جوّیاً، وأثر التذکیة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أکلها وطهارة لحمها وجلدها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غیر المأکول منه فما لیس له نفس سائلة، أو کان نجس العین کالکلب والخنزیر فلیس قابلاً للتذکیة،</w:t>
      </w:r>
    </w:p>
    <w:p>
      <w:pPr>
        <w:pStyle w:val="BookText"/>
        <w:rPr/>
      </w:pPr>
      <w:r>
        <w:rPr>
          <w:rFonts w:ascii="IRNazanin" w:hAnsi="IRNazanin" w:eastAsia="IRNazanin"/>
          <w:color w:val="111111"/>
          <w:sz w:val="28"/>
          <w:sz w:val="28"/>
          <w:szCs w:val="28"/>
          <w:rtl w:val="true"/>
          <w:lang w:bidi="fa-IR"/>
        </w:rPr>
        <w:t>فالأوّل طاهر مطلقاً والثانی نجس کذلک، وما کان من سباع الوحش والطیر، فالأظهر قبوله للتذکیة وبها تطهر لحومها وجلودها، وما کان من المسوخ غیر السباع کالفیل والدبّ والقرد ونحوها ففی قبوله لها إشکال، وأمّا غیر تلک الأنواع فالظاهر قبوله لها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تذکیة الحیوان المحرّم کالمحلّل فی جمیع الشرائط، سواء وقعت بالذبح أو بالاصطیاد، وبالآلة الجمادیّة أو الحیوانیّة علی تردّد فی الأخیر</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یؤخذ من ید المسلم من اللحوم والشحوم والجلود یعامل معه معاملة المذکّی مع عدم العلم بالحال، ولا یجب الفحص، بل 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ما یباع فی سوق المسلمین ولو کان البائع مجهولاً، وما کان مطروحاً فی أرضهم إذا کان علیه أثر الاستعمال، وما اُخذ من ید الکافر وعلم کونه مسبوقاً بید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اُخذ من الکفّار ولم یعلم کونه مسبوقاً بید المسلم أو من سوقهم أو من أرضهم فهی بحکم المیتة، ولا فرق فی المسلم بین فرقه</w:t>
      </w:r>
      <w:r>
        <w:rPr>
          <w:rFonts w:eastAsia="IRNazanin" w:cs="IRNazanin"/>
          <w:color w:val="111111"/>
          <w:sz w:val="28"/>
          <w:szCs w:val="28"/>
          <w:rtl w:val="true"/>
          <w:lang w:bidi="fa-IR"/>
        </w:rPr>
        <w:t>.</w:t>
      </w:r>
      <w:bookmarkStart w:id="536" w:name="pg6476_56953"/>
    </w:p>
    <w:p>
      <w:pPr>
        <w:pStyle w:val="Heading2"/>
        <w:numPr>
          <w:ilvl w:val="1"/>
          <w:numId w:val="1"/>
        </w:numPr>
        <w:rPr/>
      </w:pPr>
      <w:bookmarkStart w:id="537" w:name="__RefHeading___Toc1265466_653776707"/>
      <w:bookmarkStart w:id="538" w:name="_Toc204"/>
      <w:bookmarkEnd w:id="536"/>
      <w:bookmarkEnd w:id="537"/>
      <w:r>
        <w:rPr>
          <w:rtl w:val="true"/>
        </w:rPr>
        <w:t>کتاب الأطعمة والأشربة</w:t>
      </w:r>
      <w:bookmarkEnd w:id="538"/>
    </w:p>
    <w:p>
      <w:pPr>
        <w:pStyle w:val="Heading3"/>
        <w:numPr>
          <w:ilvl w:val="2"/>
          <w:numId w:val="1"/>
        </w:numPr>
        <w:rPr/>
      </w:pPr>
      <w:bookmarkStart w:id="539" w:name="__RefHeading___Toc1265468_653776707"/>
      <w:bookmarkStart w:id="540" w:name="_Toc205"/>
      <w:bookmarkEnd w:id="539"/>
      <w:r>
        <w:rPr>
          <w:rtl w:val="true"/>
        </w:rPr>
        <w:t>اشارة</w:t>
      </w:r>
      <w:bookmarkEnd w:id="540"/>
    </w:p>
    <w:p>
      <w:pPr>
        <w:pStyle w:val="BookText"/>
        <w:rPr/>
      </w:pPr>
      <w:r>
        <w:rPr>
          <w:rFonts w:ascii="IRNazanin" w:hAnsi="IRNazanin" w:eastAsia="IRNazanin"/>
          <w:color w:val="111111"/>
          <w:sz w:val="28"/>
          <w:sz w:val="28"/>
          <w:szCs w:val="28"/>
          <w:rtl w:val="true"/>
          <w:lang w:bidi="fa-IR"/>
        </w:rPr>
        <w:t>والمقصود هنا بیان المحلّل والمحرّم من الحیوان وغیر الحیوان</w:t>
      </w:r>
      <w:r>
        <w:rPr>
          <w:rFonts w:eastAsia="IRNazanin" w:cs="IRNazanin"/>
          <w:color w:val="111111"/>
          <w:sz w:val="28"/>
          <w:szCs w:val="28"/>
          <w:rtl w:val="true"/>
          <w:lang w:bidi="fa-IR"/>
        </w:rPr>
        <w:t>.</w:t>
      </w:r>
    </w:p>
    <w:p>
      <w:pPr>
        <w:pStyle w:val="Heading3"/>
        <w:numPr>
          <w:ilvl w:val="2"/>
          <w:numId w:val="1"/>
        </w:numPr>
        <w:rPr/>
      </w:pPr>
      <w:bookmarkStart w:id="541" w:name="__RefHeading___Toc1265470_653776707"/>
      <w:bookmarkStart w:id="542" w:name="_Toc206"/>
      <w:bookmarkEnd w:id="541"/>
      <w:r>
        <w:rPr>
          <w:rtl w:val="true"/>
        </w:rPr>
        <w:t>فی الحیوان</w:t>
      </w:r>
      <w:bookmarkEnd w:id="5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یؤکل من حیوان البحر إلّاالسمک؛ بشرط أن یکون له فلس وقشور بجمیع أقسامه، ومنه الإربیان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وبیضه یتبعه فی الحلّیّة والحرمة، ولو اشتبه أنّه من المحلّل أو المحرّم حلّ أکله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البهائم البرّیّة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إنسیّة ووحشیّة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الإنسیّة فیحلّ منها أصناف الغنم والبقر والإبل، ویکره الخیل والبغال والحمیر، وتحرم غیر ذلک کالسنّور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الوحشیّة فتحلّ منها الضبی وما یسانح منها الأقسام الأهلیّة، وتحرم منها السباع، وهو المفترس الذی له ظفر وناب، وتحرم الأرنب والحشرات کلّها، وتحرم المسوخ بأقسامها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یحلّ من الطیر الحمام بأقسامه، والدُرّاج والقَبَج والقَطا والطَیهوج والبَطّ والکَرَوان والحُباری والکُرْکیّ، والدجاج بأقسامه، وأنواع العصافیر والصُوّام والشِقِّراق، ولا یحرم شیء منها حتّی الخُطّاف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ویحرم الخفّاش والطاووس وکلّ ذی مخلب، والأقسام الأربعة للغراب؛ اثنان أسودان واثنان أبقعان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یمیّز محلّل الطیر عن محرّمه بأمرین، جعلا علامه لما لم ینصّ</w:t>
      </w:r>
    </w:p>
    <w:p>
      <w:pPr>
        <w:pStyle w:val="BookText"/>
        <w:rPr/>
      </w:pPr>
      <w:r>
        <w:rPr>
          <w:rFonts w:ascii="IRNazanin" w:hAnsi="IRNazanin" w:eastAsia="IRNazanin"/>
          <w:color w:val="111111"/>
          <w:sz w:val="28"/>
          <w:sz w:val="28"/>
          <w:szCs w:val="28"/>
          <w:rtl w:val="true"/>
          <w:lang w:bidi="fa-IR"/>
        </w:rPr>
        <w:t>علی حلّیته وحرمته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الصفیف والدفیف، فکلّ ما کان صفیفه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بسط جناحه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من دفیفه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تحریکه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حرام وما کان بالعکس فهو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الحوصلة والقانصة والصیصیة، فما کان فیه أحد هذه فهو حلال، وما لم یکن فیه شیء منها فهو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الحبّ بعد الحلق، والقانصة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قطعة صلبة تجتمع فیها الحصاة ونحوها، والصیصیة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الشوکة فی رِجل الطیر موضع العقب، ولا فرق فی العلامات بین طیر الماء وغیره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تعارضت العلامتان کان الاعتبار بالاُولی، لکن قیل بتلازمهما، ولو تساوت العلامتان فی طیر أو لم یمکن إحراز الاُولی، کما إذا اُخذ من وجه الأرض یرجع إلی الثانیة، ولو لم یحرز حاله مطلقاً فالأقرب الحلّ، والنَّعامة حلال لحماً وبَیضاً، واللقلق حرام لکثرة صفیفه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بَیض الطیور تابع لها فی الحلّ والحرمة، وما اشتبه حاله یؤکل ما اختلف طرفاه؛ وتمیّز رأسه من تحته دون ما تساوی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تعرض الحرمة علی الحیوان المحلّل بالأصل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الجَلَل، وهو أن یعتاد الحیوان بتغذّی عذرة الإنسان، فیحرم بذلک لحمه ولبنه وبیضه، ویترتّب علیه أحکام الحیوان المحرّم، ویؤثّر تذکیته الطهارة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وتزول بالاستبراء والتغذّی بغیر العذرة حتّی یزول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یطأه الإنسان صغیراً کان الواطئ أم کبیراً، فحلاً کان الموطوء أم اُنثی، فیحرم بذلک لحمه ولحم نسله ولبنه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الحیوان الموطوء إن کان ممّا یراد أکله کالشاة والبقر، یجب أن یذبح ثمّ یحرق، ویغرم الواطئ قیمته للمالک إذا کان ملکاً لغیره، وإن کان ممّا یراد</w:t>
      </w:r>
      <w:bookmarkStart w:id="543" w:name="pg6476_56955"/>
    </w:p>
    <w:p>
      <w:pPr>
        <w:pStyle w:val="BookText"/>
        <w:rPr/>
      </w:pPr>
      <w:bookmarkEnd w:id="543"/>
      <w:r>
        <w:rPr>
          <w:rFonts w:ascii="IRNazanin" w:hAnsi="IRNazanin" w:eastAsia="IRNazanin"/>
          <w:color w:val="111111"/>
          <w:sz w:val="28"/>
          <w:sz w:val="28"/>
          <w:szCs w:val="28"/>
          <w:rtl w:val="true"/>
          <w:lang w:bidi="fa-IR"/>
        </w:rPr>
        <w:t>ظهره کالحمار والفرس، اُخرج من المحلّ وبیع فی بلد آخر، ویعطی ثمنه للواطئ، ویغرم قیمته إن کان غیر 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وممّا یوجب عروض الحرمة أن یرتضع حَمَل أو جَدْی أو عِجْل لبن خنزیرة؛ حتّی نبت لحمه واشتدّ عظمه، فیحرم لحمه ولبنه ولحم نسله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من الحیوان المحلّل أربعة عشر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 والروث والطحال والقضیب والفرج ظاهره وباطنه، والاُنثیان والمثانة والمَرارة والنخاع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الخیط الأبیض وسط القفار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والغدد والمشیمة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موضع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ومثلها قرین الولد والعلباوان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العصبتان الصفراوان الممتدّان من الرقبة إلی الذنب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وخَرزة الدماغ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مثل الحمّصة تخالف لون الدّماغ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والحدقة؛ أی الحبّة الناظرة للعین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وتختصّ حرمة هذه الأشیاء بالذبیحة والمنحورة والطیور دون السّموک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رجیع کلّ حیوان ولو کان مأکولاً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الظاهر عدم حرمة فضلات الدیدان الملتصقة بأجواف الفواکه، وما فی جوف السمک والجراد إذا اُکل 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ویحرم الدم من کلّ ذی النفس، ویحلّ من السمک إذا اُکل بدمه، والأحوط أنّ دم البیضة حرام وإن کان طاهراً</w:t>
      </w:r>
      <w:r>
        <w:rPr>
          <w:rFonts w:eastAsia="IRNazanin" w:cs="IRNazanin"/>
          <w:color w:val="111111"/>
          <w:sz w:val="28"/>
          <w:szCs w:val="28"/>
          <w:rtl w:val="true"/>
          <w:lang w:bidi="fa-IR"/>
        </w:rPr>
        <w:t>.</w:t>
      </w:r>
    </w:p>
    <w:p>
      <w:pPr>
        <w:pStyle w:val="Heading3"/>
        <w:numPr>
          <w:ilvl w:val="2"/>
          <w:numId w:val="1"/>
        </w:numPr>
        <w:rPr/>
      </w:pPr>
      <w:bookmarkStart w:id="544" w:name="__RefHeading___Toc1265472_653776707"/>
      <w:bookmarkStart w:id="545" w:name="_Toc207"/>
      <w:bookmarkEnd w:id="544"/>
      <w:r>
        <w:rPr>
          <w:rtl w:val="true"/>
        </w:rPr>
        <w:t>فی غیر الحیوان</w:t>
      </w:r>
      <w:bookmarkEnd w:id="5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یحرم تناول الأعیان النجسة والمتنجّسة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مائعة کانت أو جامدة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یضرّ بالبدن؛ سواء کان سبباً للهلاک، أو سقوط الجنین، أو تعطیل بعض الحواسّ والقوی؛ کتناول ما یقطع النسل ویورث العقم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تناول ما یحتمل کونه ضرراً؛ احتمالاً معتدّاً به بحیث یوجب الخوف عند العقلاء؛ سواء الضرر العاجل وما هو بعد 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وتجوز المعالجة بالمضرّ العاجل إذا دفع به ما هو أعظم ضرراً؛ کقطع بعض الأعضاء؛ وبعض العملیّات المعمولة إذا کان المباشر حاذقاً محتاطاً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یضرّ کثیره دون قلیله یحرم کثیره، دون قلیله؛ ولو فرض العکس کان بالعکس، وما یضرّ منضمّاً فیحرم منضمّاً، وما یضرّ منفرداً فیحرم منفرداً، وما یضرّ إدمانه والاعتیاد به یحرم إدمانه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أکل الطین والمدر، وفی حرمة التراب تردّد، ولا بأس بما علی الطعام والفواکه من الغبار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ویستثنی من الطین تربة قبر سیّدنا الحسین علیه السلام للاستشفاء، بقدر الحمّصة المتوسّطة، وفی تربة قبر النبیّ صلی الله علیه و آله والأئمّة علیهم السلام، الأحوط خلطها بالماء بحیث تستهلک ثمّ الشرب استشفاء، والقدر المتیقّن من محلّ التربة هو القبر الشریف وما یقاربه إلی سبعین ذراعاً، لکن اللازم استعمال الترب فی هذه الأعصار مع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الخمر بالضرورة من الدین، ومستحلّها کافر مع التوجّه إلی أنّه تکذیب للنبیّ صلی الله علیه و آله، ویلحق بها کلّ مسکر مائع أو جامد؛ حتّی لمن لم یؤثّر فی طبعه الإسکار، وما أسکر کثیره دون قلیله یحرم کثیره وقلیله، ولو انقلبت خلّاً بنفسها أو بعلاج حلّت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المحرّمات الفقّاع وإن لم یسکر، وهو شراب متّخذ من الشعیر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ویحرم عصیر العنب إذا نشّ وغلی بنفسه أو بالنار، ولا بأس بعصیر الزبیب والتمر، وهو الماء المکتسب حلاوتهما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بوضعهما فیه مدّة، أو بجذبهما الماء ثمّ عصرهما، سواء غلی بنفسه أو بالنار أو بالشمس علی إشکال فی الزبیبی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وقع العنب فی قدر یغلی فشکّ فی غلیانه، یحکم بعدمه، ولو غلی نفس الزبیب والتمر فی المرق ونحوه فلا شبهة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العصیر الذی یحرم بغلیانه کعصیر العنب إن غلی بنفسه، فلا تزول حرمته إلّابالتخلیل، وإن غلی بالنار فلا تزول إلّابذهاب الثلثین بالنار، ولا تکفی صیرورته دبساً قبل الثلثین، فلابدّ من العلاج بصبّ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مزج العصیر بالماء کفی فی الحلّیّة ذهاب ثلثی المجموع، ولو صبّ علیه مقدار آخر من العصیر قبل ذهاب الثلثین، وجب أن یذهب ثلثا المجموع، فلو کان تسعة أرطال فغلت حتّی صارت ستّة، فصبّ علیه تسعة اُخری فصارت خمسة عشر، لزم ذهاب عشره وبقاء خمسة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بأن یطرح فیه قبل ذهاب الثلثین، مثل التفّاح والسفرجل حتّی یذهب ثلثاه؛ حتّی المقدار النافذ فی الخلیط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یثبت ذهاب الثلثین بالعلم، وإخبار ذی الید المسلم، بل وبالأخذ ممّن یعتقد حرمته، أو لم یعلم اعتقاده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یحرم تناول مال 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کافراً ذمیّاً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إلّامع رضاه، ولابدّ من إحراز الرضا، ولا یجوز مع الشکّ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الأکل من بیوت من ذکر فی الآیة الشریفة </w:t>
      </w:r>
      <w:r>
        <w:rPr>
          <w:rStyle w:val="FootnoteAnchor"/>
          <w:rtl w:val="true"/>
        </w:rPr>
        <w:footnoteReference w:id="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 الآباء والاُمّهات والإخوان والأخوات والأعمام والعمّات والأخوال والخالات والصدیق، والبیت الذی فوّض إلی الإنسان أمره وحفظه، وکذا بیت الأولاد، ولا یشترط فیها إحراز الرضا، بل یکفی عدم الکراهة من صاحب البیت، والأحوط اختصاص الجواز بما یعتاد أکله من خبز وإدام وفواکه، دون نفائس الأطعمة المدّخرة للأضیاف ونحوهم، ویُتعدّی إلی المشروبات العادیّة کالماء والشای والمخیض</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تباح جمیع المحرّمات حال الضروره؛ کما إذا توقّف حفظ النفس أو رفع المرض علی تناولها بحیث انحصر العلاج بها ولو بحکم احذاق الأطبّاء، أو أدّی ترکها إلی الجوع أو العطش الشدیدین، أو خیف بترکها علی</w:t>
      </w:r>
    </w:p>
    <w:p>
      <w:pPr>
        <w:pStyle w:val="BookText"/>
        <w:rPr/>
      </w:pPr>
      <w:r>
        <w:rPr>
          <w:rFonts w:ascii="IRNazanin" w:hAnsi="IRNazanin" w:eastAsia="IRNazanin"/>
          <w:color w:val="111111"/>
          <w:sz w:val="28"/>
          <w:sz w:val="28"/>
          <w:szCs w:val="28"/>
          <w:rtl w:val="true"/>
          <w:lang w:bidi="fa-IR"/>
        </w:rPr>
        <w:t>نفس اُخری کالجنین والرضیع، والمدار هو الخوف العقلائی الحاصل بترکها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الضرورة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الإکراه والتقیّة عمّن یخاف منه علی نفسه، أو عرضه، أو ماله المعتدّ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کلّ مورد یتوقّف حفظ النفس علی ارتکاب محرّم یجب الارتکاب، ولا فرق بین الخمر وغیرها، ویجب الاقتصار علی مقدار الضرورة، فلا تجوز الزیادة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اضطرّ إلی أکل طعام الغیر لسدّ رمقه جاز أخذه ولو قهراً، وعلیه بدله مثلاً أو قیمة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الأکل علی مائدة یشرب علیها الخمر وغیرها من المسکرات، وکذا الفقّاع</w:t>
      </w:r>
      <w:r>
        <w:rPr>
          <w:rFonts w:eastAsia="IRNazanin" w:cs="IRNazanin"/>
          <w:color w:val="111111"/>
          <w:sz w:val="28"/>
          <w:szCs w:val="28"/>
          <w:rtl w:val="true"/>
          <w:lang w:bidi="fa-IR"/>
        </w:rPr>
        <w:t>.</w:t>
      </w:r>
      <w:bookmarkStart w:id="546" w:name="pg6476_56959"/>
    </w:p>
    <w:p>
      <w:pPr>
        <w:pStyle w:val="Heading2"/>
        <w:numPr>
          <w:ilvl w:val="1"/>
          <w:numId w:val="1"/>
        </w:numPr>
        <w:rPr/>
      </w:pPr>
      <w:bookmarkStart w:id="547" w:name="__RefHeading___Toc1265474_653776707"/>
      <w:bookmarkStart w:id="548" w:name="_Toc208"/>
      <w:bookmarkEnd w:id="546"/>
      <w:bookmarkEnd w:id="547"/>
      <w:r>
        <w:rPr>
          <w:rtl w:val="true"/>
        </w:rPr>
        <w:t>کتاب الغصب</w:t>
      </w:r>
      <w:bookmarkEnd w:id="548"/>
    </w:p>
    <w:p>
      <w:pPr>
        <w:pStyle w:val="BookText"/>
        <w:rPr/>
      </w:pPr>
      <w:r>
        <w:rPr>
          <w:rFonts w:ascii="IRNazanin" w:hAnsi="IRNazanin" w:eastAsia="IRNazanin"/>
          <w:color w:val="111111"/>
          <w:sz w:val="28"/>
          <w:sz w:val="28"/>
          <w:szCs w:val="28"/>
          <w:rtl w:val="true"/>
          <w:lang w:bidi="fa-IR"/>
        </w:rPr>
        <w:t>وهو الاستیلاء علی ما للغیر من مال أو حقّ عدواناً، وقد تطابق العقل والنقل علی حرمته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عین أو منفعة أو کلتاهما أو حقّ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کغصب درهم أو رغیف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کغصب المالک داره عن المستأجر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کأخذ الدار من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کغصب الأرض المحجّرة والمساجد والمدارس والقناطر والشوارع، وغصب الأمکنة العامّة عمّن سبق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المغصوب منه قد یکون شخصاً، وقد یکون نوعاً؛ کغصب ما وقف علی الفقراء والطلّاب، وقد یکون جهة؛ کغصب ما وقف علی المساجد وسبیل الخیر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للغصب حکمان تکلیفیّان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الحرمة ووجوب الردّ، وحکم وضعی هو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کون المغصوب علی ذمّة الغاصب، ویترتّب علیه وجوب ردّ العین مع البقاء، والبدل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أو قیمة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التلف، ویسمّی ضمان الید، ویختصّ الضمان بغصب الأموال دون الحقوق، فلو غصب مسجداً وسکن فیه مدّة فلا ضمان فیه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استولی علی حرّ فحبسه لم یضمن العین ولا المنفعة وإن أثم بذلک، فلو مات من غیر تسبیب منه لم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حبسه فی محلّ صار سبباً</w:t>
      </w:r>
    </w:p>
    <w:p>
      <w:pPr>
        <w:pStyle w:val="BookText"/>
        <w:rPr/>
      </w:pPr>
      <w:r>
        <w:rPr>
          <w:rFonts w:ascii="IRNazanin" w:hAnsi="IRNazanin" w:eastAsia="IRNazanin"/>
          <w:color w:val="111111"/>
          <w:sz w:val="28"/>
          <w:sz w:val="28"/>
          <w:szCs w:val="28"/>
          <w:rtl w:val="true"/>
          <w:lang w:bidi="fa-IR"/>
        </w:rPr>
        <w:t>لموته ضمن الدیة، أو استخدمه ضمن الاُجرة، کما أنّه لو کان أجیراً لغیره فحبسه مدّة الإجارة، ضمن منفعته الفائتة للمستأجر، ولو منعه عن العمل من غیر استیلاء علیه، لم یضمن، ولو غصب دابّة ضمن منافعها، سواء استوفاها أم 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منع المالک عن التصرّف فی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فتلفت أو نقصت قیمتها، لم یکن غاصباً وضامناً من جهة الید، أمّا من جهة التسبیب فلا ضمان لنقص القیمة، وأمّا العین فإن تلفت بآفة سماویّة کالزلزلة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ضمان، وإن استند إلیه کما إذا منعه عن حفظ دابّته فأکلها الذئب، فالظاهر الضمان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استیلاء الغاصب علی المغصوب یختلف باختلاف الموارد، کالأخذ بالید، والنقل بالرِجل، والقعود علی الفراش، وأخذ مقود الدابّة للرکوب، وأخذ مفتاح الدار مع التردّد فیها ومنع صاحبها، وکمنع المالک عن البستان والأرض والتردّد إلیهما بقصد الغصب وغیرها من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اشترک اثنان فی غصب شیء ضمن کلّ منهما لبعضه بنسبة الاستیلاء؛ إن نصفاً فنصفاً وهکذا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غصب الأوقاف العامّة کالمساجد والمقابر والشوارع حرام ویجب ردّها، لکنّه لا یوجب ضمان الید عیناً ولا منفعة، فلو غصبها فتلفت تحت یده من دون تسبیب منه، لم یضمن عینها ولا منفعتها، وأمّا الوقف علی العنوان وقف منفعة کوقف الدار لیکون منفعتها للفقراء، فغصبها یوجب ضمان العین والمنفعة کالمملوک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یلحق بالغصب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المقبوض بالعقد الفاسد المعاوضی؛ من بیع وإجارة ونکاح، فیضمن البائع الثمن، والمشتری المبیع، والمؤجر الاُجرة، والمستأجر المنفعة وهکذا، وأمّا العقد غیر المعاوضی کالهبة الفاسدة فلا ضمان فیه، ویلحق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المقبوض بالسوم، وهو ما یأخذه الشخص لینظر فیه لکی یشتریه، فلو تلف عند القابض ضمنه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ردّ المغصوب إلی مالکه وإن استلزم مؤونة أو ضرراً؛ کما لو وضع الحجر فی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یبق له قیمة لو أُخرج؛ کالخیط الغصبی من الثوب فهو بحکم التالف، یجب ردّ القیمة، ولیس للمالک مطالبة العین علی تردّد فیه، ولو مزجه بغیره کالحنطة بالشعیر یجب تخلیصه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یجب علی الغاصب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ردّ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منفعتها فی مدّة الغصب، سواء استوفاها أم 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کانت العین قابلة لمنافع متعدّدة وکانت معطّلة، فالمدار المنفعة المتعارفة بالنسبة إلی تلک العین، ولو کانت المتعارفة فیها متعدّدة؛ کالدابّة القابلة للحمل والرکوب، فالمدار إحداها وأعلاها، فلو فرض أنّ اُجرة الحمل کلّ یوم درهمان والرکوب درهم، ضمن الدرهمین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المغصوب منه إن کان شخصاً، یجب ردّ العین إلیه أو إلی ولیّه، وإن کان هو 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غصب الوقف علی الفقراء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فیردّه إلی المتولّی أو الحاکم لا إلی الفقیر، وإن کان هی الجهة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کغصب المساجد والقناطر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فیکفی رفع الید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نقل الغاصب المال إلی بلد آخر جاز للمالک إلزامه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بتسلیم المال هناک، وإلزامه بالردّ إلی بلد الغصب، ولیس له الإلزام بالحمل إلی بلد 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حدث فی المغصوب عیب وجب علی الغاصب الأرش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تفاوت الصحیح والمعیب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ردّ العین، ولیس للمالک إلزام الغاصب بأخذ العین وإعطاء قیمة الصحیح، ولو لم تتعیّب لکن نزلت قیمتها السوقیّة، لم یضمنها بعد ردّ العین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تلف المغصوب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فی 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الردّ، ضمنه بمثله إن</w:t>
      </w:r>
    </w:p>
    <w:p>
      <w:pPr>
        <w:pStyle w:val="BookText"/>
        <w:rPr/>
      </w:pPr>
      <w:r>
        <w:rPr>
          <w:rFonts w:ascii="IRNazanin" w:hAnsi="IRNazanin" w:eastAsia="IRNazanin"/>
          <w:color w:val="111111"/>
          <w:sz w:val="28"/>
          <w:sz w:val="28"/>
          <w:szCs w:val="28"/>
          <w:rtl w:val="true"/>
          <w:lang w:bidi="fa-IR"/>
        </w:rPr>
        <w:t>کان مثلیّاً وبقیمته إن کان قیمیّاً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وتعیین المثلی والقیمی موکول إلی العرف، فمصنوعات المکائن الیوم مثلیّة، وکذا الحبوبات والأدهان والأدویة ونحوها، وأنواع الحیوان والجواهر والکتب الخطّیّة قیمیّات، ویلاحظ فی الحبوب أصنافها لا أنواعها، فیضمن الحنطة الحمراء بالحمراء لا بالبیضاء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تعذّر المثل فی المثلی ضمن القیمة الملحوظة له یوم الدفع، دون یوم الغصب أو التعذّر، ولو وجد المثل لکن تنزّلت قیمته فلیس علیه إلّاإعطاء المثل، ولو سقط عن المالیّة بالکلیّة ضمن القیمة کالتعذّر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تلف المغصوب وکان قیمیّاً کالدوابّ والثیاب وجب دفع القیمة، ولو اختلفت القیم فهل یلاحظ قیمة یوم الغصب أو یوم التلف؟ فیه قولان مشهوران، وهذا إذا کان تفاوت القیمة من جهة السوق، وأمّا إن کان لسمن العین وهزالها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فاللازم مراعاة أعلی الأزمنة التی مرّت علی العین وأعلی القیم، فیضمنها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المغصوب موجوداً لکن تعذّر علی الغاصب تسلیمه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سرق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دفع القیمة بعنوان بدل الحیلولة ویملکه المالک موقّتاً وتکون له منافعه، فمتی قدر الغاصب علی ردّ العین أخذ بدل الحیلولة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القیمة المضمونة فی القیمیّات وفی المثلیّات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تعذّرها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النقد الرائج فی البلد من ذهب وفضّة وأوراق، وهذا هو المیزان فی جمیع الغرامات والضمانات، فدفع غیرها یحتاج إلی التراضی</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تعاقبت الأیادی الغاصبة علی عین ثمّ تلفت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غصبه زید فأخذه عمرو وأخذه منه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الجمیع، فللمالک أن یرجع ببدله علی کلّ واحد منهم، أو یوزّع القیمة علیهم، هذا حکم المالک معهم، وأمّا حکم بعضهم</w:t>
      </w:r>
    </w:p>
    <w:p>
      <w:pPr>
        <w:pStyle w:val="BookText"/>
        <w:rPr/>
      </w:pPr>
      <w:r>
        <w:rPr>
          <w:rFonts w:ascii="IRNazanin" w:hAnsi="IRNazanin" w:eastAsia="IRNazanin"/>
          <w:color w:val="111111"/>
          <w:sz w:val="28"/>
          <w:sz w:val="28"/>
          <w:szCs w:val="28"/>
          <w:rtl w:val="true"/>
          <w:lang w:bidi="fa-IR"/>
        </w:rPr>
        <w:t>مع بعض، فالظاهر أنّ قرار الضمان علی من تلف عنده؛ بمعنی أنّ المالک إذا رجع فی المثال إلی خالد وأخذ منه القیمة لم یرجع هو إلی زید أو عمرو، ولو رجع إلی أحدهما رجع هو إلی خالد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غصب مثلیّاً فیه صنعة محلّلة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کالقرط من الذهب والآنیة من النحاس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فتلف، ضمن المجموع بالقیمیّة، فیقوّم بمادّته وهیأته، ویعطی القیمة السوقیّة، ولو کان من مصنوعات المکائن الحدیثة فالضمان بالمثل، ولو تلفت الهیئة فقط ردّ العین وقیمة الصنعة، ولیس للمالک إلزامه بإعادة الصنعة، ولیس للغاصب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ولو کانت الصنعة محرّمة، کآلات اللهو والقمار، فالمادّة مضمونة والصنعة غیر مضمونة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غصب شیئین؛ کان لکلّ واحد منهما قیمة ولاجتماعهما أیضاً قیمة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کالنعلین إذا کان قیمة کلّ واحد ثلاثة دراهم وقیمة المجموع عشرة، فالأربعة قیمة للاجتماع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فتلف أحدهما عند الغاصب، وجب علیه ردّ الآخر مع سبعة دراهم، ثلاثة منها قیمة أحدهما وأربعة منها قیمة الهیئة، ونظیره ما إذا غصب أحدهما فتلف عنده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زادت بفعل الغاصب زیادة فی العین، فهی علی أقسام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أثراً محضاً، کغزل القطن وطحن الطعام وصیاغة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عینیّة محضة، کغرس الأشجار فی الأرض المغصوبة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أثراً مشوباً بالعینیّة کصبغ الثوب، ففی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یردّها کما هی، ولا شیء له لأجل الزیادة، ولیس له إزالة الصنعة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فالغرس للغاصب، علیه اُجرة الأرض، یلزمه إزالة غرسه وإن تضرّر بذلک، وعلیه أرش الأرض لو نقصت، ولو بذل صاحب الأرض قیمة الغرس لا یجب علی الغاصب قبوله، وکذا لو بذل صاحب الغرس اُجرة البقاء، لم یجب علی صاحب الأرض إجابته، ولو کان الغرس أو أجزاء البناء</w:t>
      </w:r>
    </w:p>
    <w:p>
      <w:pPr>
        <w:pStyle w:val="BookText"/>
        <w:rPr/>
      </w:pPr>
      <w:r>
        <w:rPr>
          <w:rFonts w:ascii="IRNazanin" w:hAnsi="IRNazanin" w:eastAsia="IRNazanin"/>
          <w:color w:val="111111"/>
          <w:sz w:val="28"/>
          <w:sz w:val="28"/>
          <w:szCs w:val="28"/>
          <w:rtl w:val="true"/>
          <w:lang w:bidi="fa-IR"/>
        </w:rPr>
        <w:t>لصاحب الأرض، فلیس للغاصب قلعها أو مطالبة الاُجرة، وللمالک إلزامه بالقلع والهدم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یمکن إزالة الصبغ عن الثوب اشترکا فی قیمته بالنسبة، فإذا کان الصبغ خمسة والثوب خمسة عشر؛ فصار المجموع عشرین، فالربع للغاصب، ولو زادت عن ذلک فبتلک النسبة، ولو لم تزد قیمة الثوب فلا شیء لصاحب الصبغ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غصب مالاً فمزجه بجنسه، کمنّ من زیت خلطه بمنّ منه، فإن کانا متساویین فی القیمة، فلا شیء علی الغاصب غیر التقسیم بالسویّة، وإن کان أحدهما أجود والآخر أردأ؛ بأن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 المنّ من أحدهما عشرة ومن الآخر عشرین، تقسّم العین أثلاثاً، والأحوط بیع المجموع وقسمة الثمن أثلاثاً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خلطه بغیر الجنس؛ فإن کان ممّا یعدّ تالفاً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کماء الورد إذا غصبه وخلطه بالسکّر والقند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دفع قیمته، وإن کان باقیاً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کالخلّ خلطه بالعسل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فیشترکان کالمتجانسین الأجود والأردأ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یضمن الغاصب منافع المغصوب کلّها؛ من اللبن والولد والشعر والثمر وسکنی الدار ونحوها، فیجب ردّها عیناً أو بدلاً مع ردّ العین، ویضمن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صفة تزید بها قیمة المال إذا وجدت فی العین ثمّ زالت، کما إذا سمنت الدابّة عند الغاصب ثمّ هزلت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غصب حبّاً فزرعه، أو بیضاً فاستفرخه تحت دجاجته، کان الزرع والفرخ للمغصوب منه، ولو غصب فحلاً فأنزاه علی الاُنثی کان الولد تابعاً للاُمّ، وعلیه اُجرة الضراب</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جمیع ما مرّ من الضمان وکیفیّته وأحکامه، ثابتة فی کلّ ید جاریة علی مال الغیر بغیر حقّ؛ وإن لم تکن غاصبة؛ کالمأخوذ بالعقد الفاسد؛ والمأخوذ لاشتباه الحساب؛ والمَداس المتبدّل خطأً ونحوها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أنّ الید الغاصبة سبب للضمان، کذلک للضمان سبب آخر، هو الإتلاف مباشرة؛ ککسر الإناء وقتل الحیوان، أو تسبیباً؛ کحفر البئر فی المعابر لیقع فیه أحد، وفکّ الدابّة، وفتح القفص فشردت وتلفت ونحوها، ولیس منه ما لو فتح باباً فسرق متاعه أو دلّ السارق فسرق؛ لأنّ المباشر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مال حائطه فلم یصلحه حتّی وقع فأتلف، ضمن التالف، ومثله ما لو أشعل ناراً، أو أرسل ماء فی معرض التعدّی، أو وضع حجراً فی الطریق، أو ألقی قشر الفاکهة فی المعبر، أو أسند حمّال المتاع إلی شیء فأتلفه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أتلفت الدابّة زرعاً، کان الضمان علی مصاحبها، مالکاً کان أو غیر مالک، وإن لم یکن معها أحد وانفلتت بلا تقصیر من صاحبها، لم یضمن، وإلّا ضمن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اشترک السبب مع المباشر کان الضمان علی المباشر، فلو حفر شخص بئراً فی الطریق؛ ودفع آخر زیداً فیها، کان الضمان علی الدافع، نعم لو کان السبب أقوی کان الضمان علیه، فلو وضع الکأس تحت رجل النائم فکسره، کان الضمان علی الواضع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غصب مأکولاً فأطعمه المالک جهلاً ضمن الغاصب، ولو أکرهه علی إتلاف مال الغیر، کان الضمان علی المکرِه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فی غیر القتل، فإنّه لو اُکره علی قتل أحد فقتله، فالضمان علی القاتل، فإنّه لا إکراه فی الدماء</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غصب طعاماً وأطعمه غیر المالک بعنوان الضیافة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کلاهما، فإن أغرم المالک الآکل رجع علی الغاصب، وإن أغرم الغاصب لم یرجع علی الآکل، فإنّه قد 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سعی بأحد عند الظالم، فأخذ الظالم ماله، لم یضمن الساعی وإن أثم بنمیمته</w:t>
      </w:r>
      <w:r>
        <w:rPr>
          <w:rFonts w:eastAsia="IRNazanin" w:cs="IRNazanin"/>
          <w:color w:val="111111"/>
          <w:sz w:val="28"/>
          <w:szCs w:val="28"/>
          <w:rtl w:val="true"/>
          <w:lang w:bidi="fa-IR"/>
        </w:rPr>
        <w:t>.</w:t>
      </w:r>
      <w:bookmarkStart w:id="549" w:name="pg6476_56966"/>
    </w:p>
    <w:p>
      <w:pPr>
        <w:pStyle w:val="Heading2"/>
        <w:numPr>
          <w:ilvl w:val="1"/>
          <w:numId w:val="1"/>
        </w:numPr>
        <w:rPr/>
      </w:pPr>
      <w:bookmarkStart w:id="550" w:name="__RefHeading___Toc1265476_653776707"/>
      <w:bookmarkStart w:id="551" w:name="_Toc209"/>
      <w:bookmarkEnd w:id="549"/>
      <w:bookmarkEnd w:id="550"/>
      <w:r>
        <w:rPr>
          <w:rtl w:val="true"/>
        </w:rPr>
        <w:t>کتاب إحیاء الموات والمشترکات</w:t>
      </w:r>
      <w:bookmarkEnd w:id="551"/>
    </w:p>
    <w:p>
      <w:pPr>
        <w:pStyle w:val="Heading3"/>
        <w:numPr>
          <w:ilvl w:val="2"/>
          <w:numId w:val="1"/>
        </w:numPr>
        <w:rPr/>
      </w:pPr>
      <w:bookmarkStart w:id="552" w:name="__RefHeading___Toc1265478_653776707"/>
      <w:bookmarkStart w:id="553" w:name="_Toc210"/>
      <w:bookmarkEnd w:id="552"/>
      <w:r>
        <w:rPr>
          <w:rtl w:val="true"/>
        </w:rPr>
        <w:t>فی إحیاء الموات</w:t>
      </w:r>
      <w:bookmarkEnd w:id="553"/>
    </w:p>
    <w:p>
      <w:pPr>
        <w:pStyle w:val="BookText"/>
        <w:rPr/>
      </w:pPr>
      <w:r>
        <w:rPr>
          <w:rFonts w:ascii="IRNazanin" w:hAnsi="IRNazanin" w:eastAsia="IRNazanin"/>
          <w:color w:val="111111"/>
          <w:sz w:val="28"/>
          <w:sz w:val="28"/>
          <w:szCs w:val="28"/>
          <w:rtl w:val="true"/>
          <w:lang w:bidi="fa-IR"/>
        </w:rPr>
        <w:t>الموات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الأرض العطلة التی لا ینتفع بها، وهی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الموات 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لا یکون مسبوقاً بالإحیاء فیما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الموات بالعارض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عرض علیه الموتان بعد الحیاة، کالأرض الدارسة فیها آثار الحیاة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الموات بالأصل ملک للإمام علیه السلام، وهو من الأنفال، ویجوز لکلّ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أو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إحیائه وتملّکه، وأمّا الموات بالعارض، فإن لم یعلم له مالک بالمرّة فهو کالأوّل، وإن علم المالک إجمالاً فالأحوط الاستیذان من الحاکم فی إحیائه وتملّکه، وأحوط منه جعله فی حکم مجهول المالک، فیتفحّص عن مالکه، ثمّ یشتریه من الحاکم، أو یستأجر فیتصدّق بالثمن والاُجرة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الأرض التی لها مالک معیّن، فلا یجوز التصرّف فیها وإن ترکها المالک برهة حتّی آل إلی الخراب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کانت أرض موات، وعلم أنّها من الموقوفات القدیمة، ولم یعلم کیفیّة وقفها أصلاً، جاز إحیائها وتملّکها، وأمّا لو علم بعض جهات الوقف، فقد مرّ </w:t>
      </w:r>
      <w:r>
        <w:rPr>
          <w:rStyle w:val="FootnoteAnchor"/>
          <w:rtl w:val="true"/>
        </w:rPr>
        <w:footnoteReference w:id="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الصفحة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مسألة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حکمه فی کتاب الوقف</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الموات حریماً لعامر مملوک، لا یجوز لغیره إحیائه ولا</w:t>
      </w:r>
    </w:p>
    <w:p>
      <w:pPr>
        <w:pStyle w:val="BookText"/>
        <w:rPr/>
      </w:pPr>
      <w:r>
        <w:rPr>
          <w:rFonts w:ascii="IRNazanin" w:hAnsi="IRNazanin" w:eastAsia="IRNazanin"/>
          <w:color w:val="111111"/>
          <w:sz w:val="28"/>
          <w:sz w:val="28"/>
          <w:szCs w:val="28"/>
          <w:rtl w:val="true"/>
          <w:lang w:bidi="fa-IR"/>
        </w:rPr>
        <w:t>یملکه، والحریم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المحلّ التابع لملک الغیر ممّا یحتاج إلیه الانتفاع بذلک الملک عرفاً، ویختلف زیادة ونقیصة باختلاف ذی الحریم، فللدّار حریم، وللبئر والنهر حریم، وللقریة حریم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لکلّ من البئر والعین والقناة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المحدثات فی أرض 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محدود لیس لأحد إحداث مثلها فی حریمها، فحریم البئر أربعون أو ستّون ذراعاً، وحریم العین والقناة خمسمائة ذراع فی الأرض الصلبة وألف فی الرخوة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فرض أنّ الثانیة تضرّ بالاُولی وتنقص مائها مع البعد المزبور، فالأحوط التباعد بما یندفع به الضرر أو التراضی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الآبار العمیقة المحدثة فی عصرنا حکم العین والقناة لو لم یکن أزید، ولا بأس بإحیاء أطرافها بغیر إحداث المثل کالزرع والبناء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الحریم مخصوص بکلّ ملک اُبتکر فی الأرض الموات، فلیس فی الأملاک حریم، فلکلٍّ احداث بئر أو قناة فی ملکه وإن لم یتباعدا بذاک الحدّ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 حریم القریة مقدار حاجة أهالیها فی دفن موتاهم واحتطابهم ورعی مواشیهم، ویختلف ذلک بکثرة أهلها وقلّتهم وکثرة المواشی وقلّتها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کان موات بقرب العامر ولم یکن من حریمه، جاز لکلّ أحد إحیاؤه، ولا أولویّة للقریب، فإذا طلع شاطئ من النهر بقرب أرض محیاة أو بستان، لا یکون لصاحبها منع من سبق إلیه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عدم جواز تصرّف المالک فی ملکه بما یکون ضرراً علی الجار، کحبس الماء فیه بما یضرّ نداوته للجار، إلّاإذا کان فی ترکه ضرر أو حرج علیه، ولا مانع لإطالة البناء المانعة من الشمس، أو إحداث ثقبة لا یتطلّع منها، ولکن اللازم علی کلّ من یؤمن باللّه ورسوله الاجتناب عن کلّ ما یؤذی</w:t>
      </w:r>
    </w:p>
    <w:p>
      <w:pPr>
        <w:pStyle w:val="BookText"/>
        <w:rPr/>
      </w:pPr>
      <w:r>
        <w:rPr>
          <w:rFonts w:ascii="IRNazanin" w:hAnsi="IRNazanin" w:eastAsia="IRNazanin"/>
          <w:color w:val="111111"/>
          <w:sz w:val="28"/>
          <w:sz w:val="28"/>
          <w:szCs w:val="28"/>
          <w:rtl w:val="true"/>
          <w:lang w:bidi="fa-IR"/>
        </w:rPr>
        <w:t>الجار، کالثقب القابل للإشراف، وإحداث ما یتأذّی من ریحه أو صوته أو یمنع الهواء أو الشمس ونحو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الإحیاء أن لا یسبقه أحد بالتحجیر، وهو وضع الأحجار، أو إحداث حفر، أو غرز خشب أو حدید فی أطرافه، أو الشروع فی إحیاء ما یریده، فإذا حفر البئر فی مباح فهو تحجیر بالنسبة إلی الأرض التی تسقی بمائها، وإذا قطع الماء عن أجمة فهو تحجیرٌ لها، فلا یجوز للغیر إحیاء تلک الأرض والأجَمَة، ولو أحیاها ظلماً لم یملکه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التحجیر حقّ یفید الأولویّة، ولا یفید الملکیّة، فیصحّ الصلح عنه ویورث، لأنّه حقّ قابل للنقل والانتقال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فیه أن یکون المحجّر قادراً علی إحیاء ما حجّره، وإلّا فلا أثر لتحجیره، فلیس لمن عجز عن إحیاء موات تحجیره، ثمّ نقله إلی الغیر بصلح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انمحت آثار التحجیر بنفسها بطل، ولیس للمحجِّر تعطیل المحجَّر علیه، بل اللازم الاشتغال بالإحیاء عقیبه، فلو عطّله فلیراجع من یرید إحیائه إلی الحاکم؛ حتّی یجبره بالعمارة أو رفع الید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الإحیاء المفید للملک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جعل الأرض حیّة عامرة بعد الموتان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بجعلها داراً أو بستاناً أو مزرعة أو محلّاً للمواشی، وبالجملة إنهائهاحدّ یصدق علیها أحد العناوین العامرة، وقبل أن یصدق ذلک علیها یکون تحجیراً مفیداً للأولویّة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یعتبر فی إحیاء الأرض مزرعاً إزالة الموانع، وتسویة الأرض، وترتیب مائها؛ بشقّ نهر، أو حفر بئر، وبذلک یتمّ إحیائها ولا یعتبر حرثها، ولو کانت مُهیّأة ذاتاً فإحیائها بإدارة المرز حولها والحرث، ویعتبر فی إحیاء البستان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غرس شجر قابل للنموّ، ویعتبر فی إحیاء البئر الوصول إلی الماء، وفی إحیاء النهر الحفر إلی قرب الشطّ ونحوه، ولا یعتبر الجریان فعلاً</w:t>
      </w:r>
      <w:r>
        <w:rPr>
          <w:rFonts w:eastAsia="IRNazanin" w:cs="IRNazanin"/>
          <w:color w:val="111111"/>
          <w:sz w:val="28"/>
          <w:szCs w:val="28"/>
          <w:rtl w:val="true"/>
          <w:lang w:bidi="fa-IR"/>
        </w:rPr>
        <w:t>.</w:t>
      </w:r>
      <w:bookmarkStart w:id="554" w:name="pg6476_56969"/>
    </w:p>
    <w:p>
      <w:pPr>
        <w:pStyle w:val="Heading3"/>
        <w:numPr>
          <w:ilvl w:val="2"/>
          <w:numId w:val="1"/>
        </w:numPr>
        <w:rPr/>
      </w:pPr>
      <w:bookmarkStart w:id="555" w:name="__RefHeading___Toc1265480_653776707"/>
      <w:bookmarkStart w:id="556" w:name="_Toc211"/>
      <w:bookmarkEnd w:id="554"/>
      <w:bookmarkEnd w:id="555"/>
      <w:r>
        <w:rPr>
          <w:rtl w:val="true"/>
        </w:rPr>
        <w:t>فی المشترکات</w:t>
      </w:r>
      <w:bookmarkEnd w:id="556"/>
    </w:p>
    <w:p>
      <w:pPr>
        <w:pStyle w:val="BookText"/>
        <w:rPr/>
      </w:pPr>
      <w:r>
        <w:rPr>
          <w:rFonts w:ascii="IRNazanin" w:hAnsi="IRNazanin" w:eastAsia="IRNazanin"/>
          <w:color w:val="111111"/>
          <w:sz w:val="28"/>
          <w:sz w:val="28"/>
          <w:szCs w:val="28"/>
          <w:rtl w:val="true"/>
          <w:lang w:bidi="fa-IR"/>
        </w:rPr>
        <w:t>وهی الطرق والشوارع والمساجد والمدارس والرِب‌اطات والمیاه والمعادن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الطریق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 وغیر نافذ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المسمّی بالشارع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محبوس علی کافّة الأنام، والناس فیه شَرع سواء، ولیس لأحد إحیاؤه، ولا التصرّف فیه بغرس وبناء دکّة وحائط، إلّا البئر والنهر والغرس لمصلحة المارّة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إخراج الروشن فی فضائه ونصب المیزاب إلیه إذا لم یضرّ بالمارّة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السِکّة، فهو ملک مشترک لأرباب الدور التی تفتح إلیه، فلا یجوز للشرکاء إخراج روشن أو جناح إلیه أو حفر بئر فیه إلّابإذن الجمیع، ولهم فتح الباب إلیه من أیّ موضع من جدارهم، ولیس لغیرهم تملّکه، ولا لمن حائطه متّصل به فتح باب إلیه إلّابإذن أهله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لکلّ أحد، الانتفاع بالشوارع العامّة بغیر الاستطراق؛ من جلوس أو نوم أو معاملة ولو مع نصب التظلیل، أو غیرها ما لم یضیّق علی المارّة ولم یضرّهم، ولیس لأحد إزعاجه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قام عنه من غیر وضع بساط أو رحل فیه، جاز لغیره الجلوس وإن کان ناویاً للعود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وصیرورة المحلّ شارعاً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بکثرة الاستطراق فی الأرض الموات فی الصحاری أو خلال القُری، وإمّا بتسبیل أحد ملکه لذلک دائماً، وأخذ الناس للسلوک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انقطعت المارّة عن الطریق، لعدم وجودهم، أو لوجود غیره، أو لمنع قاهر، انقطع موضوعه وزال حکمه، وجاز لکلّ أحد إحیاؤه، بل یجوز فی الطریق المسلوک إحیاء الزائد إذا کان معرضاً عنه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المشترکات المسجد یشترک فیه عامّة الناس، فمن سبق إلی</w:t>
      </w:r>
    </w:p>
    <w:p>
      <w:pPr>
        <w:pStyle w:val="BookText"/>
        <w:rPr/>
      </w:pPr>
      <w:r>
        <w:rPr>
          <w:rFonts w:ascii="IRNazanin" w:hAnsi="IRNazanin" w:eastAsia="IRNazanin"/>
          <w:color w:val="111111"/>
          <w:sz w:val="28"/>
          <w:sz w:val="28"/>
          <w:szCs w:val="28"/>
          <w:rtl w:val="true"/>
          <w:lang w:bidi="fa-IR"/>
        </w:rPr>
        <w:t xml:space="preserve">مکان منه لصلاة أو دعاء أو تدریس أو وعظ، فلیس لأحد إزعاجه لأیّ غرض کان، نعم یقدّم الصلاة جماعة أو فرادی علی الجلوس لمجرّد النزهة والاستراحة مع انحصار مکان الصلاة فیه، أو کان هناک رجحان دینی، فیجب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للمنزّه تخلیة المکان للمصلّی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قام السابق عن مکانه رافعاً یده، بطل حقّه وإن بقی رحله، نعم لا یجوز التصرّف فی رحله وإن کان ناویاً للعود، فإن کان رحله باقیاً بقی حقّه، وإلّا سقط حقّه علی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وضع الرحل مقدّمة للجلوس یفید الأولویّة إن کان یشغل معظم مکان الصلاة لا بمثل تربة أو سبحة، ویعتبر أن لا یطول مجیئه، بحیث یستلزم تعطیل المکان المحتاج إلیه، وإلّا جاز رفعه مع ضمانه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المشاهد کالمساجد فی الأحکام، سواء العاکف فیها والباد، فمن سبق إلی محلّ منها، لیس لأحد إزعاجه، وحکم الرحل کما سبق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المشترکات المدارس بالنسبة إلی طالبی العلم، أو من خصّه الواقف بسکناها، فمن سبق إلی حجرة منها فهو أحقّ بها وإن طالت المدّة، ما لم یعرض عنها، أو لم یزل عنوان الموقوف علیه عنه، ولا یبطل بالأسفار المعتادة کالزیارة والمعالجة، ویجوز للساکن منع غیره إذا کان المحلّ معدّاً للواحد، ویلحق بالمدارس الرِباطات فی أحکامها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المشترکات المیاه والمراد میاه الأنهار الکبار، کدجلة والفرات، أو الصغار الجاریة بنفسها من العیون أو الثلوج، أو المنفجرة فی الأرض الموات، أو المجتمعة فیها من الأمطار، فالناس فی جمیعها شَرع سواء، ومن حاز شیئاً ملکه، وأمّا المیاه الجاریة بید من تملّکها وأجراها، فلا یجوز لأحد التصرّف فیها، إلّابما مرّ فی کتاب الطهارة </w:t>
      </w:r>
      <w:r>
        <w:rPr>
          <w:rStyle w:val="FootnoteAnchor"/>
          <w:rtl w:val="true"/>
        </w:rPr>
        <w:footnoteReference w:id="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الصفحة؟ ؟ ؟ ، 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شرائط الوضوء</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شقّ نهراً من ماء مباح کالشطّ، ملک ما یدخل فیه من الماء، وإن کان النهر لمتعدّد کانت ملکیّة مائه تابعة لملکیّة النهر، فلمالک النصف نصف الماء، ولمالک الثلث ثلثه وهکذا، ولا تتبع الأرض التی تسقی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قسمة الماء بینهم بالإفراز قسمة إجبار، وبالمهایاة بحسب الساعات أو الأیّام، قسمة تراضٍ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 اجتمعت أملاک علی ماء مباح لتسقی منه بالسّواقی ونحوها، کان للجمیع حقّ السقی، فإن لم یفِ بها ووقع بین أربابها التشاحّ، یقدّم الأسبق فالأسبق فی الإحیاء، وإن لم یعلم ذلک یقدّم الأقرب فالأقرب إلی فوهة الماء وأصله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المشترکات المعادن،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ظاهرة لا یحتاج فی استخراجها إلی العمل کالملح والکبریت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باطنة تحتاج ظهورها إلی العمل والعلاج؛ کالذهب والفضّة والنفط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فتملک بالحیازة لا بالإحیاء، فمن أخذ منها شیئاً ملکه ویبقی الباقی علی إباحته، وأمّا الباطنة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فتملک بالإحیاء؛ بأن ینتهی عمل الحفر والنقب إلیها، وما دام لم یصل فهو تحجیر یفید الأولویّة دون الملکیّة کما مرّ فی بئر الماء </w:t>
      </w:r>
      <w:r>
        <w:rPr>
          <w:rStyle w:val="FootnoteAnchor"/>
          <w:rtl w:val="true"/>
        </w:rPr>
        <w:footnoteReference w:id="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الصفحة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مسألة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شرع فی إحیاء معدن ثمّ عطّله، اُجبر علی إتمام العمل أو رفع الید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ظهر فی ما أحیاه معدن ملکه تبعاً للأرض</w:t>
      </w:r>
      <w:r>
        <w:rPr>
          <w:rFonts w:eastAsia="IRNazanin" w:cs="IRNazanin"/>
          <w:color w:val="111111"/>
          <w:sz w:val="28"/>
          <w:szCs w:val="28"/>
          <w:rtl w:val="true"/>
          <w:lang w:bidi="fa-IR"/>
        </w:rPr>
        <w:t>.</w:t>
      </w:r>
      <w:bookmarkStart w:id="557" w:name="pg6476_56972"/>
    </w:p>
    <w:p>
      <w:pPr>
        <w:pStyle w:val="Heading2"/>
        <w:numPr>
          <w:ilvl w:val="1"/>
          <w:numId w:val="1"/>
        </w:numPr>
        <w:rPr/>
      </w:pPr>
      <w:bookmarkStart w:id="558" w:name="__RefHeading___Toc1265482_653776707"/>
      <w:bookmarkStart w:id="559" w:name="_Toc212"/>
      <w:bookmarkEnd w:id="557"/>
      <w:bookmarkEnd w:id="558"/>
      <w:r>
        <w:rPr>
          <w:rtl w:val="true"/>
        </w:rPr>
        <w:t>کتاب اللُّقَطَة</w:t>
      </w:r>
      <w:bookmarkEnd w:id="559"/>
    </w:p>
    <w:p>
      <w:pPr>
        <w:pStyle w:val="Heading3"/>
        <w:numPr>
          <w:ilvl w:val="2"/>
          <w:numId w:val="1"/>
        </w:numPr>
        <w:rPr/>
      </w:pPr>
      <w:bookmarkStart w:id="560" w:name="__RefHeading___Toc1265484_653776707"/>
      <w:bookmarkStart w:id="561" w:name="_Toc213"/>
      <w:bookmarkEnd w:id="560"/>
      <w:r>
        <w:rPr>
          <w:rtl w:val="true"/>
        </w:rPr>
        <w:t>اشارة</w:t>
      </w:r>
      <w:bookmarkEnd w:id="561"/>
    </w:p>
    <w:p>
      <w:pPr>
        <w:pStyle w:val="BookText"/>
        <w:rPr/>
      </w:pPr>
      <w:r>
        <w:rPr>
          <w:rFonts w:ascii="IRNazanin" w:hAnsi="IRNazanin" w:eastAsia="IRNazanin"/>
          <w:color w:val="111111"/>
          <w:sz w:val="28"/>
          <w:sz w:val="28"/>
          <w:szCs w:val="28"/>
          <w:rtl w:val="true"/>
          <w:lang w:bidi="fa-IR"/>
        </w:rPr>
        <w:t>وهی کلّ مال ضایع عن مالکه ولم یکن ید علیه وهی إمّا حیوان أو غیر حیوان</w:t>
      </w:r>
      <w:r>
        <w:rPr>
          <w:rFonts w:eastAsia="IRNazanin" w:cs="IRNazanin"/>
          <w:color w:val="111111"/>
          <w:sz w:val="28"/>
          <w:szCs w:val="28"/>
          <w:rtl w:val="true"/>
          <w:lang w:bidi="fa-IR"/>
        </w:rPr>
        <w:t>.</w:t>
      </w:r>
    </w:p>
    <w:p>
      <w:pPr>
        <w:pStyle w:val="Heading3"/>
        <w:numPr>
          <w:ilvl w:val="2"/>
          <w:numId w:val="1"/>
        </w:numPr>
        <w:rPr/>
      </w:pPr>
      <w:bookmarkStart w:id="562" w:name="__RefHeading___Toc1265486_653776707"/>
      <w:bookmarkStart w:id="563" w:name="_Toc214"/>
      <w:bookmarkEnd w:id="562"/>
      <w:r>
        <w:rPr>
          <w:rtl w:val="true"/>
        </w:rPr>
        <w:t>فی لقطة الحیوان</w:t>
      </w:r>
      <w:bookmarkEnd w:id="563"/>
    </w:p>
    <w:p>
      <w:pPr>
        <w:pStyle w:val="BookText"/>
        <w:rPr/>
      </w:pPr>
      <w:r>
        <w:rPr>
          <w:rFonts w:ascii="Amiri" w:hAnsi="Amiri" w:eastAsia="Amiri" w:cs="Amiri"/>
          <w:color w:val="111111"/>
          <w:sz w:val="28"/>
          <w:sz w:val="28"/>
          <w:szCs w:val="28"/>
          <w:rtl w:val="true"/>
          <w:lang w:bidi="ar-SA"/>
        </w:rPr>
        <w:t>وهی المسمّاة بالضالّة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وجد الحیوان فی العُمران لا یجوز أخذه أیّ حیوان کان، فمن أخذه ضمنه، ویجب علیه حفظه والإنفاق علیه، ولیس له الرجوع علی صاحبه بما أنفق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فی معرض الخطر لمرض أو غیره جاز أخذه من دون ضمان، ویجب الإنفاق، ویجوز الرجوع علی صاحبه بما أنفق، وله الاستفادة من رکوبه وحلبه واحتسابها من إنفاقه، ویجب فی صورتی جواز الأخذ وعدمه الفحص عن مالکه، فإذا یئس تصدّق به أو بثمنه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یدخل دار الإنسان من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کالدجاج والحمام ممّا لم یعرف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فی مجهول المالک، فیفحص عن صاحبه، ثمّ یتصدّق به أو بثمنه، وفیما لم یعلم أنّ له صاحباً یجوز تملّکه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یوجد من الحیوان فی غیر العمران من الصحاری والشوارع</w:t>
      </w:r>
      <w:bookmarkStart w:id="564" w:name="pg6476_56973"/>
    </w:p>
    <w:p>
      <w:pPr>
        <w:pStyle w:val="BookText"/>
        <w:rPr/>
      </w:pPr>
      <w:bookmarkEnd w:id="564"/>
      <w:r>
        <w:rPr>
          <w:rFonts w:ascii="IRNazanin" w:hAnsi="IRNazanin" w:eastAsia="IRNazanin"/>
          <w:color w:val="111111"/>
          <w:sz w:val="28"/>
          <w:sz w:val="28"/>
          <w:szCs w:val="28"/>
          <w:rtl w:val="true"/>
          <w:lang w:bidi="fa-IR"/>
        </w:rPr>
        <w:t xml:space="preserve">والجبال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ممّا یحفظ نفسه من صغار السباع، لعَدْوه کالفرس والغزال، أو بطشه کالبقر والجاموس، لا یجوز أخذه إذا کان قادراً علی تحصیل الکَلَأ والماء، ولو أخذه وجب حفظه والإنفاق علیه ولا یرجع علی مالکه بما أنفق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ممّا تغلب علیه صغار السباع کالشاة والدوابّ، جاز أخذه والتعریف فی تلک الحوالی، فإن لم یوجد مالکه تملّکه مع الضمان لمالکه لو وجد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ترک الحیوان صاحبه فی الصحراء بقصد الاعراض لکلاله، جاز لکلّ أحد تملّکه، کما هو الحال فی کلّ مال أعرض عنه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یعرض عنه، فإن کان فی ماء وکلأ لم یجز لأحد أخذه، وإلّا جاز تملّکه، ومثله لو شکّ فی الاعراض وعدمه، أو شکّ فی أنّه ترکه المالک أو ضاع عنه</w:t>
      </w:r>
      <w:r>
        <w:rPr>
          <w:rFonts w:eastAsia="IRNazanin" w:cs="IRNazanin"/>
          <w:color w:val="111111"/>
          <w:sz w:val="28"/>
          <w:szCs w:val="28"/>
          <w:rtl w:val="true"/>
          <w:lang w:bidi="fa-IR"/>
        </w:rPr>
        <w:t>.</w:t>
      </w:r>
    </w:p>
    <w:p>
      <w:pPr>
        <w:pStyle w:val="Heading3"/>
        <w:numPr>
          <w:ilvl w:val="2"/>
          <w:numId w:val="1"/>
        </w:numPr>
        <w:rPr/>
      </w:pPr>
      <w:bookmarkStart w:id="565" w:name="__RefHeading___Toc1265488_653776707"/>
      <w:bookmarkStart w:id="566" w:name="_Toc215"/>
      <w:bookmarkEnd w:id="565"/>
      <w:r>
        <w:rPr>
          <w:rtl w:val="true"/>
        </w:rPr>
        <w:t>فی لقطة غیر الحیوان</w:t>
      </w:r>
      <w:bookmarkEnd w:id="566"/>
    </w:p>
    <w:p>
      <w:pPr>
        <w:pStyle w:val="BookText"/>
        <w:rPr/>
      </w:pPr>
      <w:r>
        <w:rPr>
          <w:rFonts w:ascii="IRNazanin" w:hAnsi="IRNazanin" w:eastAsia="IRNazanin"/>
          <w:color w:val="111111"/>
          <w:sz w:val="28"/>
          <w:sz w:val="28"/>
          <w:szCs w:val="28"/>
          <w:rtl w:val="true"/>
          <w:lang w:bidi="fa-IR"/>
        </w:rPr>
        <w:t>وهی التی تطلق علیها 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فیها عدم معرفة المالک، فهی قسم من مجهول المالک، لها أحکام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فیها إحراز الضیاع عن المالک، فالمأخوذ من ید السارق، والمَداس واللباس المتبدّل فی الحمّام لا یکون لقطة، بل مجهول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الالتقاط، فلو رآها أحد وأخبر بها فأخذها آخر، کان حکمها علی الآخذ، وکذا لو قال ناولنیها فأخذها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أخذها بظنّ أنّها ماله، فتبیّن أنّها ضائع صارت 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دفعها برجله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لیتعرّف من غیر 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اللقطة یجوز التقاطها علی کراهة خصوصاً فی الحرم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المال المجهول المالک غیر الضائع لا یجوز أخذه، فإن أخذه کان غاصباً إلّاإذا کان فی معرض التلف، فیجوز بقصد الحفظ، ویکون أمانة شرعیّة</w:t>
      </w:r>
    </w:p>
    <w:p>
      <w:pPr>
        <w:pStyle w:val="BookText"/>
        <w:rPr/>
      </w:pPr>
      <w:r>
        <w:rPr>
          <w:rFonts w:ascii="IRNazanin" w:hAnsi="IRNazanin" w:eastAsia="IRNazanin"/>
          <w:color w:val="111111"/>
          <w:sz w:val="28"/>
          <w:sz w:val="28"/>
          <w:szCs w:val="28"/>
          <w:rtl w:val="true"/>
          <w:lang w:bidi="fa-IR"/>
        </w:rPr>
        <w:t>لا یضمن إلّابالتجاوز، وعلی تقدیری جواز الأخذ وعدمه لو أخذه، وجب الفحص عن مالکه حتّی الیأس، وحینئذٍ یتصدّق به أو بثمنه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اللقطة إن کانت قیمتها دون الدرهم جاز تملّکها فی الحال؛ من دون تعریف، فإن جاء مالکها دفعها إلیه مع البقاء، ولا یضمن مع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درهماً أو أزید وجب تعریفها والفحص عن صاحبها، فإذا لم یظفر به تخیّر بین اُمور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تملّکها، والتصدّق بها مع الضمان، وحفظها أمانة من غیر ضمان، ولا یجوز التملّک فی لقطة الحرم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الدرهم هو الفضّة المسکوکة الرائجة، والمراد هنا ما کان علی وزن اثنتی عشرة حمّصة وستّة أعشارها </w:t>
      </w: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المثقال وربع عشرة بالمثقال الصیرفی، والمدار قیمة الدرهم فی مکان الالتقاط وزمانه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التعریف فوراً، ومدّته سنة کاملة، ویجب فیه التوالی؛ بأن یعدّ المعرّف فی هذه المدّة فاحصاً عن صاحبه مشغولاً بتعریفه، والظاهر کفایة کلّ اُسبوع مرّة إلی تمام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فیه الاستنابة واُجرته علی الملتقط، ولو علم أنّ التعریف لا فائدة فیه، أو حصل الیأس من وجدان مالکه، تخیّر بین التصدّق والحفظ علی الأحوط، ولو عطّل التعریف مدّة عصیاناً أو لعذر، أتمّ المدّة من السنة الثانیة أو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ضاعت اللقطة من الملتقط ووجدها آخر، وجب ردّها إلی الأوّل ولیس علیه تعریفها، ولو لم یجد الأوّل، عرّفها سنة طالباً به المالک أو الملتقط الأوّل، فإن أصاب أحدهما فهو، وإلّا تخیّر بین الاُمور الثلاثة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کانت اللقطة ممّا لا تبقی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کاللحم والفاکهة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قوّمها وأکلها وحفظ صفاتها لیعرّفها 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التعریف مجامع الناس؛ کالأسواق والمساجد والمجالس، ویجب التعریف فی بلد الالتقاط وأمکنة یحتمل وجود المالک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مسافراً استناب أحداً فی تعریفها، وإن وجدها فی البراری والشوارع عرّفها فی أقرب البلدان إلیها ممّا احتمل وجود صاحبها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کیفیّة التعریف أن یقول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ضاع له ذهب أو فضّة أو کتاب مثلاً مع إبهام الصفات، والأحوط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ضاع له شیء؟ مع إبهام الجنس، فإذا ادّعی أحد، سأله عن نوعه وصفاته، ولا یضرّ جهله بما لا یطّلع المالک علیه غالباً، کعدد صفحات الکتاب وحلق الزنجیر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تکن اللقطة قابلة للتعریف کالدینار الواحد والإسکناس المجرّد من العلامة، سقط التعریف، والأحوط معاملة مجهول المالک معها، فیتصدّق بها بعد الفحص والیأس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التقط اثنان لقطة واحدة وجب علیهما التعریف بنحو الکفایة، ولیختر کلّ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تمام الحول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أراد من الاُمور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التقط صبیّ أو مجنون فالأمر لولیّهما، فیتملّک عنهما ما نقص عن الدرهم، وعلیه التعریف فیما زاد، ثمّ اختیار الأصلح لهما من الاُمور الثلاثة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اللقطة فی مدّة التعریف أمانة؛ لا یضمن إلّابالتجاوز، وکذا بعده إذا اختار البقاء أمانة، وأمّا التصدّق والتملّک، فقد عرفت أنّ فیهما الضمان إذا لم یرضَ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فلو وجد بعد التصدّق، أخذ البدل ولیس له الرجوع إلی العین ولو کانت موجودة عند الفقیر، ولو وجد بعد التملّک، فإن کانت باقیة أخذها، وإلّا أخذ بدلها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یسقط التعریف بدفعها إلی الحاکم وإن جاز الدفع قبل التعریف وبعده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النماء المتّصل للّقطة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کالسمن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للعین أینما صارت، أخذها المالک أو الملتقط أو الفقیر، وأمّا المنفصل فما حصل قبل التملّک والتصدّق فهو للمالک إن وجد، وبحکم مجهول المالک إن لم یوجد، وما حصل بعد التملّک فهو للملتقط، وما حصل بعد التصدّق فهو للفقیر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یوجد مدفوناً فی أرض لا ربّ لها، فهو لواجده من دون تعریف، وعلیه الخمس، وکذا المطروح الذی علم أنّه لیس لأهل زمن الواجد، ولو علم أنّه لأهل زمانه فهو لقطة، ولو وجد لؤلؤة فی جوف سمکة أو حیوان لا ربّ له فهو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وجد فی داره التی یسکنها شیئاً ولم یعلم أنّه له أو لغیره، فإن لم یدخلها أحد إلّااتّفاقاً فهو له، وإن کان یکثر فیها التردّد فهو لقطة، وما یجده فی صندوقه فهو له إن احتمل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أخذ من شخص مالاً، ثمّ علم أنّه مغصوب ولم یعرف المالک، فهو بحکم مجهول المالک، ولو أخذ اللقطة ثمّ ادّعی أحد أنّه ماله، لا یدفع إلیه إلّابالبیّنة، ومع عدمها یرتّب علیها أحکام اللقطة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یدفع اللقطة إلی من یدّعیها إلّامع البیّنة، أو التوصیف المفید للقطع بکونها له، وفی الاکتفاء بالظنّ إشکال</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تبدّل مَداسه بمَداس آخر، أو تبدّل ثیابه فی الحمّام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علم أنّ الموجود لمن أخذ ماله، جاز تملّک الموجود تقاصّاً إذا علم تعمّد الآخذ، وإن لم یعلم به جاز التقاصّ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الفحص والیأس عن المالک، وإن لم یعلم بأنّ المتروک لمن أخذ ماله، کان بحکم مجهول المالک، یتصدّق به بعد الفحص والیأس</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وجد صبیّاً ضائعاً لا کافل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اللقیط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أخذه، بل یجب إذا کان فی معرض التلف، ویجب بعد الأخذ حفظه وحضانته، وهو أحقّ به من غیره، ولیس لأحد انتزاعه من یده، إلّاإذا وجد من له الحضانة شرعاً، من والدیه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فإن وجد من ینفق علیه من حاکم أو متبرّع استعان بهم، وإلّا تعیّن علیه الإنفاق، وله الرجوع علی اللقیط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بلوغه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أنفق إن قصد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لقیط دار الإسلام محکوم بالإسلام والطهارة وإن علم بکونه وُلد من الزنا</w:t>
      </w:r>
      <w:r>
        <w:rPr>
          <w:rFonts w:eastAsia="IRNazanin" w:cs="IRNazanin"/>
          <w:color w:val="111111"/>
          <w:sz w:val="28"/>
          <w:szCs w:val="28"/>
          <w:rtl w:val="true"/>
          <w:lang w:bidi="fa-IR"/>
        </w:rPr>
        <w:t>.</w:t>
      </w:r>
      <w:bookmarkStart w:id="567" w:name="pg6476_56978"/>
    </w:p>
    <w:p>
      <w:pPr>
        <w:pStyle w:val="BookText"/>
        <w:rPr/>
      </w:pPr>
      <w:bookmarkEnd w:id="567"/>
      <w:r>
        <w:rPr>
          <w:rFonts w:ascii="IRNazanin" w:hAnsi="IRNazanin" w:eastAsia="IRNazanin"/>
          <w:color w:val="111111"/>
          <w:sz w:val="28"/>
          <w:sz w:val="28"/>
          <w:szCs w:val="28"/>
          <w:rtl w:val="true"/>
          <w:lang w:bidi="fa-IR"/>
        </w:rPr>
        <w:t>کتاب النکاح</w:t>
      </w:r>
    </w:p>
    <w:p>
      <w:pPr>
        <w:pStyle w:val="Heading2"/>
        <w:numPr>
          <w:ilvl w:val="1"/>
          <w:numId w:val="1"/>
        </w:numPr>
        <w:rPr/>
      </w:pPr>
      <w:bookmarkStart w:id="568" w:name="__RefHeading___Toc1265490_653776707"/>
      <w:bookmarkStart w:id="569" w:name="_Toc216"/>
      <w:bookmarkEnd w:id="568"/>
      <w:r>
        <w:rPr>
          <w:rtl w:val="true"/>
        </w:rPr>
        <w:t>کتاب النکاح</w:t>
      </w:r>
      <w:bookmarkEnd w:id="569"/>
    </w:p>
    <w:p>
      <w:pPr>
        <w:pStyle w:val="Heading3"/>
        <w:numPr>
          <w:ilvl w:val="2"/>
          <w:numId w:val="1"/>
        </w:numPr>
        <w:rPr/>
      </w:pPr>
      <w:bookmarkStart w:id="570" w:name="__RefHeading___Toc1265492_653776707"/>
      <w:bookmarkStart w:id="571" w:name="_Toc217"/>
      <w:bookmarkEnd w:id="570"/>
      <w:r>
        <w:rPr>
          <w:rtl w:val="true"/>
        </w:rPr>
        <w:t>مقدّمة فیها مسائل</w:t>
      </w:r>
      <w:bookmarkEnd w:id="5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نظر الرجل إلی ما عدا العورة من مماثله من الرجال ومحارمه من النساء، ویجوز نظر المرأة إلی ما عدا العورة من مماثلها من النساء ومحارمها من الرجال ما لم یکن تلذّذ وریبة أی خوف الوقوع فی الحرام، والعورة القبل والدبر، والمحارم من یحرم نکاحهنّ من جهة النسب أو الرضاع أو المصاهرة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للرجل أن ینظر إلی الصبیّة ما لم تبلغ، وللمرأة أن تنظر إلی الصبیّ ما لم یبلغ؛ ما لم یکن ذلک بشهوة ولذّة، کما لا یجب علیها التستّر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النظر إلی نساء الکفّار مع عدم التلذّذ والریبة، وکذا نساء أهل البوادی والقری اللاتی جرت عادتهنّ علی عدم التستّر وإذا نهین لا ینتهین، علی تردّد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نظر الرجل إلی ما عدا الوجه والکفّین من المرأة الأجنبیّة من شعرها وجسدها؛ مع التلذّذ وبدونه، وکذا الوجه والکفّان مع التلذّذ والریبة، وأمّا بدونهما فالظاهر الجواز، وفی حکم الرجل نظر المرأة إلی الأجنبی منعاً وجوازاً والجواز هنا أولی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من یحرم النظر إلیه یحرم مسّه، بل یحرم مسّ ما یجوز</w:t>
      </w:r>
    </w:p>
    <w:p>
      <w:pPr>
        <w:pStyle w:val="BookText"/>
        <w:rPr/>
      </w:pPr>
      <w:r>
        <w:rPr>
          <w:rFonts w:ascii="IRNazanin" w:hAnsi="IRNazanin" w:eastAsia="IRNazanin"/>
          <w:color w:val="111111"/>
          <w:sz w:val="28"/>
          <w:sz w:val="28"/>
          <w:szCs w:val="28"/>
          <w:rtl w:val="true"/>
          <w:lang w:bidi="fa-IR"/>
        </w:rPr>
        <w:t>النظر من الأعضاء، فلا یجوز له مصافحتها إلّامن وراء الثوب، بل لا یجوز النظر إلی العضو المبان من الأجنبی والأجنبیّة، نعم لا بأس بالشعر والسنّ بعد الانفصال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النساء التستّر من الأجانب، ولا یجب علی الرجال التستّر منهنّ، وإذا علموا بأنّهنّ یتعمّدن النظر إلیهم فلا یجوز لهم التبرّز لهنّ بقصد نظرهنّ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لکلّ من الزوج والزوجة النظر إلی جسد الآخر ظاهره وباطنه حتّی العورة، وکذا مسّ کلّ عضو بکلّ عضو مع التلذّذ وبدونه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العزل وسائر ما یمنع عن صبّ المنیّ فی الرحم، أو عن انعقاد النطفة فیه؛ سواء الزوجة الدائمة والمنقطعة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ترک وطء الزوجة أکثر من أربعة أشهر إلّابإذنها دائمة کانت أو منقطعة، إلّامع العذر من مرض أو ضرر علیه أو علیها أو سفر ضروریّ ولو عند العرف، والأقوی جواز وطئها دبراً علی کراهة شدیدة، خصوصاً مع عدم رضاها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یستثنی من حرمة النظر واللمس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الأجنبی والأجنبیّة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المعالجة إذا لم یکن مماثل، ومقام الضرورة، کما إذا توقّف استنقاذه من الحرق والغرق علی النظر واللمس، ویقتصر فی المقامین علی مقدار الضرورة ولا یتعدّی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لمن یرید تزویج امرأة أن ینظر إلیها ولو حصل التلذّذ به؛ بشرط أن یحصل زیادة بصیرة بها؛ وأن یجوز تزویجها فعلاً، لا مثل ذات البعل؛ وأن یحتمل حصول التوافق بینهما، لا مع القطع بالعدم، وأن یکون قاصداً لتزویجها بالخصوص، لا ما إذا کان قاصداً للتزویج وأراد تعیین الزوجة، ومورد الجواز وجهها وشعرها ومحاسنها، بل وسائر جسدها علی الأقوی</w:t>
      </w:r>
      <w:r>
        <w:rPr>
          <w:rFonts w:eastAsia="IRNazanin" w:cs="IRNazanin"/>
          <w:color w:val="111111"/>
          <w:sz w:val="28"/>
          <w:szCs w:val="28"/>
          <w:rtl w:val="true"/>
          <w:lang w:bidi="fa-IR"/>
        </w:rPr>
        <w:t>.</w:t>
      </w:r>
      <w:bookmarkStart w:id="572" w:name="pg6476_56980"/>
    </w:p>
    <w:p>
      <w:pPr>
        <w:pStyle w:val="BookText"/>
        <w:rPr/>
      </w:pPr>
      <w:bookmarkEnd w:id="5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سماع صوت الأجنبیّة ما لم یکن تلذّذ وریبة، وکذا یجوز لها إسماع صوتها، ولکن یحرم علیها المکالمة بکیفیّة مهیّجة؛ بترقیق القول وتحسین الصوت، فیطمع الذی فی قلبه مرض</w:t>
      </w:r>
      <w:r>
        <w:rPr>
          <w:rFonts w:eastAsia="IRNazanin" w:cs="IRNazanin"/>
          <w:color w:val="111111"/>
          <w:sz w:val="28"/>
          <w:szCs w:val="28"/>
          <w:rtl w:val="true"/>
          <w:lang w:bidi="fa-IR"/>
        </w:rPr>
        <w:t>.</w:t>
      </w:r>
    </w:p>
    <w:p>
      <w:pPr>
        <w:pStyle w:val="Heading2"/>
        <w:numPr>
          <w:ilvl w:val="1"/>
          <w:numId w:val="1"/>
        </w:numPr>
        <w:rPr/>
      </w:pPr>
      <w:bookmarkStart w:id="573" w:name="__RefHeading___Toc1265494_653776707"/>
      <w:bookmarkStart w:id="574" w:name="_Toc218"/>
      <w:bookmarkEnd w:id="573"/>
      <w:r>
        <w:rPr>
          <w:rtl w:val="true"/>
        </w:rPr>
        <w:t>فی عقد النکاح</w:t>
      </w:r>
      <w:bookmarkEnd w:id="574"/>
    </w:p>
    <w:p>
      <w:pPr>
        <w:pStyle w:val="BookText"/>
        <w:rPr/>
      </w:pPr>
      <w:r>
        <w:rPr>
          <w:rFonts w:ascii="IRNazanin" w:hAnsi="IRNazanin" w:eastAsia="IRNazanin"/>
          <w:color w:val="111111"/>
          <w:sz w:val="28"/>
          <w:sz w:val="28"/>
          <w:szCs w:val="28"/>
          <w:rtl w:val="true"/>
          <w:lang w:bidi="fa-IR"/>
        </w:rPr>
        <w:t>النکاح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ومنقطع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منهما یحتاج إلی عقد مشتمل علی إیجاب وقبول لفظیّین دالّین علی إنشاء المعنی المقصود، ولا تکفی المعاطاة فیه ولا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لزوماً إجراء صیغتهما باللفظ العربی إذا قدر علیه، وإلّا جاز إجراؤها بغیره لکن بعبارة تعدّ ترجمة له، ولا یجب علیه التوکیل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أن یکون الإیجاب من طرف الزوجة والقبول من طرف الزوج، والأحوط تقدیم الإیجاب علی القبول بمعنی شروع الزوجة بالعقد وإن کان الظاهر جواز 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الإیجاب فی النکاح الدائم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إتیان ما یجعله ظاهراً فی الدوام، ویجوز الاقتصار علی القبول من دون ذکر المتعلّقات، فإذا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أنکحتک نفسی علی المهر الفلانی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یتعدّی کلّ من الإنکاح والتزویج إلی مفعولین، والأولی أن یجعل الزوج مفعولاً أوّلاً، والزوجة ثانیاً، ویجوز العکس، ویشترکان فی أنّ کلّاً منهما یتعدّیان إلی المفعول الثانی بنفسه وبواسطة من،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أنکحت زیداً هنداً أو من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 هنداً زیداً ومن زید</w:t>
      </w:r>
      <w:r>
        <w:rPr>
          <w:rFonts w:eastAsia="IRNazanin" w:cs="IRNazanin"/>
          <w:color w:val="111111"/>
          <w:sz w:val="28"/>
          <w:szCs w:val="28"/>
          <w:rtl w:val="true"/>
          <w:lang w:bidi="fa-IR"/>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یکون مُجری العقد الزوجین بمباشرتهما، فبعد التقاول وتعیین المهر تقول الزوجة 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أنکحتک نفسی أو أنکحت نفسی لک أو منک علی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فیقول الزوج بلا 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یقول الزوج 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تزوّجتکِ</w:t>
      </w:r>
    </w:p>
    <w:p>
      <w:pPr>
        <w:pStyle w:val="BookText"/>
        <w:rPr/>
      </w:pPr>
      <w:r>
        <w:rPr>
          <w:rFonts w:ascii="IRNazanin" w:hAnsi="IRNazanin" w:eastAsia="IRNazanin"/>
          <w:color w:val="111111"/>
          <w:sz w:val="28"/>
          <w:sz w:val="28"/>
          <w:szCs w:val="28"/>
          <w:rtl w:val="true"/>
          <w:lang w:bidi="fa-IR"/>
        </w:rPr>
        <w:t>علی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فتقول الزوجة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نفسی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یکون وکیلیهما، فیقول وکیل الزوجة مخاطباً لوکیل الزوج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أنکحت موکّلتی موکّلک أو لموکّلک أو من موکّلک علی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 موکّلک موکّلتی أو لموکّلتی أو من موکّلتی علی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فیقول وکیل الزوج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النکاح لموکّلتی هکذا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یکون الوکیل عنهما، فیقول من ناحیة الزوجة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أنکحت موکّلتی موکّلی أو لموکّلی أو من موکّلی علی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ویقول من ناحیة الزوج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النکاح لموکّلی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وللعقد صور کثیرة ترکناها روماً للاختصار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العقد القصد إلی مضمونه، وهو متوقّف علی فهم معنی اللفظ ولو بنحو الإجمال لئلّا یکون لقلقة لسان، ولا یعتبر العلم بالقواعد العربیّة، ولا الإحاطة بخصوصیّات معنی اللفظ، فإذا علم الموجب أنّ کلمة أنکحت وضعت لإیقاع العلقة الخاصّة المعروفة والتاء للمتکلّم، فاستعملها قاصداً ذلک، وکان القابل قابلاً لهذا المعنی 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الإنشاء؛ بأن یکون قاصداً لإیقاع العلقة وإیجاد ما لم یکن، لا مخبراً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والموالاة بین الإیجاب والقبول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والتنجیز، فلو علّقه علی مجیء زید أو رضا أحد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وتعیین الزوجین بالاسم أو الوصف، ویعتبر فی العاقد الکمال والاختیار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تولّی شخص واحد طرفی العقد؛ بأن یکون موجباً وقابلاً وکالة عن الطرفین، أو أصالة من نفسه ووکالة من الآخر، والأولی عدم تولّی الزوج أصالة من طرفه ووکالة من الزوجة فی عقد الانقطاع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وکّلا وکیلاً، لا یجوز لهما المقاربة ما لم یحصل لهما الاطمئنان بوقوع العقد، وإذا أخبر الوکیل به کفی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اشتراط الخیار فی عقد النکاح؛ بأن یفسخ ذو الخیار متی شاء، ویجوز اشتراطه فی مهر العقد الدائم، فلو فسخ ذو الخیار سقط المهر</w:t>
      </w:r>
      <w:bookmarkStart w:id="575" w:name="pg6476_56982"/>
    </w:p>
    <w:p>
      <w:pPr>
        <w:pStyle w:val="BookText"/>
        <w:rPr/>
      </w:pPr>
      <w:bookmarkEnd w:id="575"/>
      <w:r>
        <w:rPr>
          <w:rFonts w:ascii="IRNazanin" w:hAnsi="IRNazanin" w:eastAsia="IRNazanin"/>
          <w:color w:val="111111"/>
          <w:sz w:val="28"/>
          <w:sz w:val="28"/>
          <w:szCs w:val="28"/>
          <w:rtl w:val="true"/>
          <w:lang w:bidi="fa-IR"/>
        </w:rPr>
        <w:t>وصار کالعقد بلا ذکر المهر، فیرجع إلی مهر المثل، وفی جواز اشتراطه فی مهر المتعة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تزویج امرأة تدّعی أنّها خلیّة من الزوج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احتمال صدقها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فحص؛ حتّی فیما کانت ذات بعل، فادّعت الطلاق، أو کان زوجها غائباً غیبة منقطعة، فادّعت زوجته موته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صحّة العقد اختیار الزوجین، فلو اُکرها أو أحدهما علی الزواج لم یصحّ، نعم لو لحقه الرضا بعد ذلک صحّ</w:t>
      </w:r>
      <w:r>
        <w:rPr>
          <w:rFonts w:eastAsia="IRNazanin" w:cs="IRNazanin"/>
          <w:color w:val="111111"/>
          <w:sz w:val="28"/>
          <w:szCs w:val="28"/>
          <w:rtl w:val="true"/>
          <w:lang w:bidi="fa-IR"/>
        </w:rPr>
        <w:t>.</w:t>
      </w:r>
    </w:p>
    <w:p>
      <w:pPr>
        <w:pStyle w:val="Heading2"/>
        <w:numPr>
          <w:ilvl w:val="1"/>
          <w:numId w:val="1"/>
        </w:numPr>
        <w:rPr/>
      </w:pPr>
      <w:bookmarkStart w:id="576" w:name="__RefHeading___Toc1265496_653776707"/>
      <w:bookmarkStart w:id="577" w:name="_Toc219"/>
      <w:bookmarkEnd w:id="576"/>
      <w:r>
        <w:rPr>
          <w:rtl w:val="true"/>
        </w:rPr>
        <w:t>فی أولیاء العقد</w:t>
      </w:r>
      <w:bookmarkEnd w:id="5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للأب والجدّ من طرفه ولایة علی الصغیر والصغیرة والمجنون المتّصل جنونه بصغره، وکذا المنفصل علی الظاهر، ولا ولایة لغیرهما من الأرحام، ولا للقیّم عنهما، ولا للحاکم إلّالضرورة بحیث ترتّب علی ترکه مفسدة، ولیس لهما ولایة علی البالغ الرشید ولا علی البالغة الرشیدة إذا کانت ثیّباً، وإن کانت بکراً ففیه أقوال أحوطها لزوم الاستئذان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منعاها من الزواج بالکفو مع میلها أو کانا غائبین بحیث لا یمکن الاستئذان مع حاجتها إلی التزویج، سقط اعتبار إذنهما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کلّاً منهما مستقلّ فی الولایة، ویشترط فی تزویجهما عدم المفسدة، والأحوط مراعاة المصلحة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العقد الصادر من غیر الوکیل والولی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المسمّی بالفضولی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مع إجازة من له العقد، ومنه العقد الصادر من الوکیل علی غیر الوجه المأذون فیه، ومن الولیّ علی خلاف المصلحة، ولیست الإجازة علی الفور، ولا أثر للإجازة بعد الردّ ولا للردّ بعد الإجازة، ولا یکفی الرضا القلبی فی صحّة العقد وخروجه عن الفضولیّة، نعم سکوت الزوجة یعدّ إجازة</w:t>
      </w:r>
      <w:r>
        <w:rPr>
          <w:rFonts w:eastAsia="IRNazanin" w:cs="IRNazanin"/>
          <w:color w:val="111111"/>
          <w:sz w:val="28"/>
          <w:szCs w:val="28"/>
          <w:rtl w:val="true"/>
          <w:lang w:bidi="fa-IR"/>
        </w:rPr>
        <w:t>.</w:t>
      </w:r>
      <w:bookmarkStart w:id="578" w:name="pg6476_56983"/>
    </w:p>
    <w:p>
      <w:pPr>
        <w:pStyle w:val="Heading2"/>
        <w:numPr>
          <w:ilvl w:val="1"/>
          <w:numId w:val="1"/>
        </w:numPr>
        <w:rPr/>
      </w:pPr>
      <w:bookmarkStart w:id="579" w:name="__RefHeading___Toc1265498_653776707"/>
      <w:bookmarkStart w:id="580" w:name="_Toc220"/>
      <w:bookmarkEnd w:id="578"/>
      <w:bookmarkEnd w:id="579"/>
      <w:r>
        <w:rPr>
          <w:rtl w:val="true"/>
        </w:rPr>
        <w:t>فی أسباب التحریم</w:t>
      </w:r>
      <w:bookmarkEnd w:id="580"/>
    </w:p>
    <w:p>
      <w:pPr>
        <w:pStyle w:val="Heading3"/>
        <w:numPr>
          <w:ilvl w:val="2"/>
          <w:numId w:val="1"/>
        </w:numPr>
        <w:rPr/>
      </w:pPr>
      <w:bookmarkStart w:id="581" w:name="__RefHeading___Toc1265500_653776707"/>
      <w:bookmarkStart w:id="582" w:name="_Toc221"/>
      <w:bookmarkEnd w:id="581"/>
      <w:r>
        <w:rPr>
          <w:rtl w:val="true"/>
        </w:rPr>
        <w:t>اشارة</w:t>
      </w:r>
      <w:bookmarkEnd w:id="582"/>
    </w:p>
    <w:p>
      <w:pPr>
        <w:pStyle w:val="BookText"/>
        <w:rPr/>
      </w:pPr>
      <w:r>
        <w:rPr>
          <w:rFonts w:ascii="IRNazanin" w:hAnsi="IRNazanin" w:eastAsia="IRNazanin"/>
          <w:color w:val="111111"/>
          <w:sz w:val="28"/>
          <w:sz w:val="28"/>
          <w:szCs w:val="28"/>
          <w:rtl w:val="true"/>
          <w:lang w:bidi="fa-IR"/>
        </w:rPr>
        <w:t>أی ما بسببه تحرم المرأة علی الرجل ولا یقع الزواج بینهما، وهی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 والرضاع، والمصاهرة، والکفر، وعدم الکفاءه، واستیفاء العدد، والاعتداد، والإحرام</w:t>
      </w:r>
      <w:r>
        <w:rPr>
          <w:rFonts w:eastAsia="IRNazanin" w:cs="IRNazanin"/>
          <w:color w:val="111111"/>
          <w:sz w:val="28"/>
          <w:szCs w:val="28"/>
          <w:rtl w:val="true"/>
          <w:lang w:bidi="fa-IR"/>
        </w:rPr>
        <w:t>.</w:t>
      </w:r>
    </w:p>
    <w:p>
      <w:pPr>
        <w:pStyle w:val="Heading3"/>
        <w:numPr>
          <w:ilvl w:val="2"/>
          <w:numId w:val="1"/>
        </w:numPr>
        <w:rPr/>
      </w:pPr>
      <w:bookmarkStart w:id="583" w:name="__RefHeading___Toc1265502_653776707"/>
      <w:bookmarkStart w:id="584" w:name="_Toc222"/>
      <w:bookmarkEnd w:id="583"/>
      <w:r>
        <w:rPr>
          <w:rtl w:val="true"/>
        </w:rPr>
        <w:t>فی النسب</w:t>
      </w:r>
      <w:bookmarkEnd w:id="584"/>
    </w:p>
    <w:p>
      <w:pPr>
        <w:pStyle w:val="BookText"/>
        <w:rPr/>
      </w:pPr>
      <w:r>
        <w:rPr>
          <w:rFonts w:ascii="IRNazanin" w:hAnsi="IRNazanin" w:eastAsia="IRNazanin"/>
          <w:color w:val="111111"/>
          <w:sz w:val="28"/>
          <w:sz w:val="28"/>
          <w:szCs w:val="28"/>
          <w:rtl w:val="true"/>
          <w:lang w:bidi="fa-IR"/>
        </w:rPr>
        <w:t>یحرم بالنسب سبعة أصناف من النساء علی سبعة أصناف من الرجال، فتحرم علی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 وإن علت؛ لأب أو لاُمّ، فتحرم المرأة علی أولادها وإن نزلوا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والبنت وإن نزلت، فتحرم المرأة علی أبیها وأبی أبیها وأبی اُمّها وإن علو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 لأب کانت أو لاُمّ أو لهما، فتحرم المرأة علی أخیها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وبنت الأخ، فتحرم المرأة علی عمّها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وبنت الاُخت، فتحرم المرأة علی خالها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والعمّة وإن علت، وهی اُخت أبیه أو أحد أجداده؛ لأب أو لاُمّ أو لهما، فتحرم المرأة علی ابن أخیها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والخالة وإن علت، وهی اُخت اُمّه أو جدّاته کذلک، فتحرم المرأة علی ابن اُختها کذلک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شرعیّ؛ کالحاصل بسبب شرعیّ کالنکاح ووطء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غیر شرعیّ؛ کالحاصل بالزنا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والأحکام المترتّبة علی 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التوارث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اختصّت بالأوّل، لکنّ الظاهر أنّ موضوع حرمة النکاح أعمّ،</w:t>
      </w:r>
      <w:bookmarkStart w:id="585" w:name="pg6476_56984"/>
    </w:p>
    <w:p>
      <w:pPr>
        <w:pStyle w:val="BookText"/>
        <w:rPr/>
      </w:pPr>
      <w:bookmarkEnd w:id="585"/>
      <w:r>
        <w:rPr>
          <w:rFonts w:ascii="IRNazanin" w:hAnsi="IRNazanin" w:eastAsia="IRNazanin"/>
          <w:color w:val="111111"/>
          <w:sz w:val="28"/>
          <w:sz w:val="28"/>
          <w:szCs w:val="28"/>
          <w:rtl w:val="true"/>
          <w:lang w:bidi="fa-IR"/>
        </w:rPr>
        <w:t>فلو زنی بامرأة فولدت منه ذکراً و اُنثی، حرم الزواج بینهما، وکذا بین کلّ منهما وبین أولاد الزانی والزانیة، والمراد بوطء الشبهة الوطء الحرام مع المعذوریّة شرعاً؛ کالعقد علی اُخته رضاعاً، أو اُخت الغلام الموطوء مع الغفلة</w:t>
      </w:r>
      <w:r>
        <w:rPr>
          <w:rFonts w:eastAsia="IRNazanin" w:cs="IRNazanin"/>
          <w:color w:val="111111"/>
          <w:sz w:val="28"/>
          <w:szCs w:val="28"/>
          <w:rtl w:val="true"/>
          <w:lang w:bidi="fa-IR"/>
        </w:rPr>
        <w:t>.</w:t>
      </w:r>
    </w:p>
    <w:p>
      <w:pPr>
        <w:pStyle w:val="Heading3"/>
        <w:numPr>
          <w:ilvl w:val="2"/>
          <w:numId w:val="1"/>
        </w:numPr>
        <w:rPr/>
      </w:pPr>
      <w:bookmarkStart w:id="586" w:name="__RefHeading___Toc1265504_653776707"/>
      <w:bookmarkStart w:id="587" w:name="_Toc223"/>
      <w:bookmarkEnd w:id="586"/>
      <w:r>
        <w:rPr>
          <w:rtl w:val="true"/>
        </w:rPr>
        <w:t>فی الرضاع</w:t>
      </w:r>
      <w:bookmarkEnd w:id="587"/>
    </w:p>
    <w:p>
      <w:pPr>
        <w:pStyle w:val="BookText"/>
        <w:rPr/>
      </w:pPr>
      <w:r>
        <w:rPr>
          <w:rFonts w:ascii="IRNazanin" w:hAnsi="IRNazanin" w:eastAsia="IRNazanin"/>
          <w:color w:val="111111"/>
          <w:sz w:val="28"/>
          <w:sz w:val="28"/>
          <w:szCs w:val="28"/>
          <w:rtl w:val="true"/>
          <w:lang w:bidi="fa-IR"/>
        </w:rPr>
        <w:t>انتشار الحرمة بالرضاع یتوقّف علی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اللبن حاصلاً من ولادة حاصلة عن وطء جائز، فلو دَرّ اللبن من دون نکاح، أو من دون ولادة، أو من ولادة عن الزنا، لم تنشر به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شرب اللبن بالامتصاص، فلو حلب فی ظرف ثمّ صبّ فی حلقه لم ینشر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یکون المرتضع فی أثناء الحولین، ولا یعتبر الحولان فی ولد المرضعة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الکمّیة، أی بلوغ الرضاع حدّاً معیّناً، ولا یکفی مسمّاه، وله تقدیرات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 والزمان والعدد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الأثر فهو أن یرتضع بمقدار ینبت اللحم ویشدّ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الزمان فهو أن یرتضع یوماً ولیلة مع الاتّصال؛ بأن یکون غذاؤه فی هذه المدّة منحصراً بلبن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العدد فهو أن یرتضع خمس عشرة رضعة 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الأثر استناده إلی اللبن، لا إلی غذاء ونحوه، وحصوله علی نحو مبان عرفاً لا بالدقّة العقلیّة، ولا یقدح تغذّیه فی الأثناء بغذاء أو لبن امرأة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التقدیر بالزمان أن یکون غذائه فی الیوم واللیلة منحصراً باللبن ولا یقدح شرب الماء والدواء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فی التقدیر بالعدد اُمور</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الرضعة فی کلّ عدد، بأن یروی الصبیّ ویصدر من قبل نفسه، ولا تحسب الرضعتان الناقصتان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توالی الرضعات، بأن لا یفصل بینها رضاع امرأة اُخری، ولا یقدح تخلّل المأکول والمشروب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کمال العدد من امرأة واحدة، فلو کان لرجل زوجتان، فارتضع الصبیّ بعض العدد من إحداهما، وبعضه من الاُخری، لم ینشر الحرمة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الرضاع شرطٌ آخر مختصّ بتحقّق الاُخوّة بین المرتضعین، وهو اتّحاد الفحل الذی ارتضع الصبیّان من لبنه، فلو ارتضعت صبیّة من امرأة زید، فطلّقها زید، فتزوّجها عمرو، فارتضع صبیّ منها من لبن عمرو، لم تحرم الصبیّة علی ذلک الصبیّ، بخلاف ما إذا کان الفحل واحداً، وله زوجتان فارتضع صبیّة من إحداهما، وصبیّ من اُخری، فتحصل الاُخوّة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تحقّق الرضاع الجامع للشرائط، فکلّ عنوان من العناوین السبعة النَسَبیّة إذا تحقّق مثله من الرضاع یکون محرّماً، فالمرضعة اُمّ للمرتضع، وصاحب اللبن أبٌ له، وآبائهما أجداد وجدّات، وأولادهما إخوة وأخوات، وإخوة وأخوات صاحب اللبن أعمام وعمّات، وإخوة وأخوات المرضعة أخوال وخالات، وأولاد المرتضع أحفاد لهما وهکذا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 والبنت الرضاعیّتین لزوجتک بحکم النسبیّتین فتحرمان علیک، وحلیلة ابنک الرضاعی کحلیلة النسبی، وحلیلة أبیک الرضاعی کزوجة أبیک النسبی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أن ینکح أبو المرتضع فی أولاد صاحب اللبن نسباً، بل ورضاعاً، ولا فی أولاد المرضعة نسباً لا رضاعاً، وأمّا إخوة المرتضع نسباً، فیجوز نکاحهم فی أولاد صاحب اللبن والمرضعة، ویتفرّع علی المسألة أنّه لو أرضعت اُمّ زوجتک أو ضرّتها ولدک حرمت علیک زوجتک، 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w:t>
      </w:r>
      <w:bookmarkStart w:id="588" w:name="pg6476_56986"/>
    </w:p>
    <w:p>
      <w:pPr>
        <w:pStyle w:val="BookText"/>
        <w:rPr/>
      </w:pPr>
      <w:bookmarkEnd w:id="588"/>
      <w:r>
        <w:rPr>
          <w:rFonts w:ascii="Amiri" w:hAnsi="Amiri" w:eastAsia="Amiri" w:cs="Amiri"/>
          <w:color w:val="111111"/>
          <w:sz w:val="28"/>
          <w:sz w:val="28"/>
          <w:szCs w:val="28"/>
          <w:rtl w:val="true"/>
          <w:lang w:bidi="ar-SA"/>
        </w:rPr>
        <w:t>أرضع الولد جدّته من طرف الاُمّ بطل نکاح الاُمّ، دون جدّته من طرف الأب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أرضعت امرأة زید صبیّاً من أحد وصبیّة من آخر، فالصبیّة وإن حرمت علی الصبیّ للاُخوّة الرضاعیّة لکن تحلّ أخوات کلّ منهما لإخوة الآخر، والرضاع اللاحق محرّم کالسابق، فلو کانت له زوجة صغیرة فأرضعتها الکبیرة، حرمتا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أراد الأخ مَحرمیّة زوجة أخیه لحلّیّة النظر، فلیتزوّج بصغیرة ثمّ لیرضعها زوجة أخیه رضاعاً کاملاً لتکون اُمّاً لزوجته ومن محارمه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شکّ فی وقوع الرضاع أو فی حصول بعض شروطه بنی علی العدم</w:t>
      </w:r>
      <w:r>
        <w:rPr>
          <w:rFonts w:eastAsia="IRNazanin" w:cs="IRNazanin"/>
          <w:color w:val="111111"/>
          <w:sz w:val="28"/>
          <w:szCs w:val="28"/>
          <w:rtl w:val="true"/>
          <w:lang w:bidi="fa-IR"/>
        </w:rPr>
        <w:t>.</w:t>
      </w:r>
    </w:p>
    <w:p>
      <w:pPr>
        <w:pStyle w:val="Heading3"/>
        <w:numPr>
          <w:ilvl w:val="2"/>
          <w:numId w:val="1"/>
        </w:numPr>
        <w:rPr/>
      </w:pPr>
      <w:bookmarkStart w:id="589" w:name="__RefHeading___Toc1265506_653776707"/>
      <w:bookmarkStart w:id="590" w:name="_Toc224"/>
      <w:bookmarkEnd w:id="589"/>
      <w:r>
        <w:rPr>
          <w:rtl w:val="true"/>
        </w:rPr>
        <w:t>فی المصاهرة</w:t>
      </w:r>
      <w:bookmarkEnd w:id="590"/>
    </w:p>
    <w:p>
      <w:pPr>
        <w:pStyle w:val="BookText"/>
        <w:rPr/>
      </w:pPr>
      <w:r>
        <w:rPr>
          <w:rFonts w:ascii="IRNazanin" w:hAnsi="IRNazanin" w:eastAsia="IRNazanin"/>
          <w:color w:val="111111"/>
          <w:sz w:val="28"/>
          <w:sz w:val="28"/>
          <w:szCs w:val="28"/>
          <w:rtl w:val="true"/>
          <w:lang w:bidi="fa-IR"/>
        </w:rPr>
        <w:t>المصاهرة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أحد الزوجین مع أقرباء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موجبة لحرمة النکاح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تحرم معقودة الأب علی ابنه وبالعکس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عقداً دائمیّاً أو منقطعاً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الدخول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عقد علی امرأة حرمت علیه اُمّها وإن علت؛ فی الدائم والمنقطع؛ دخل بها أو لا، لکنّ الأحوط فی العقد انقطاعاً علی الصغیرة کونها بالغة ستّ سنین فما فوق، أو جعل مدّة العقد بهذا المقدار</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عقد علی امرأة حرمت علیه بنتها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الربیبة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نزلت إذا دخل بالاُمّ ولو دبراً، وإن لم یدخل لم تحرم البنت، فلو طلّقها جاز تزویج البنت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الربیبة بین الموجودة قبل العقد علی الاُمّ أو المتولّدة بعده، کما إذا طلّق زوجته فتزوّجت من آخر وأتت ببنت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إشکال فی ترتّب الحرمات الأربع علی النکاح الصحیح، والأحوط ترتّبها علی الزنا ووطء الشبهة أیضاً، فلو زنی الأب بامرأة حرمت‌ابنه، ولو زنی الابن حرمت علی أبیه، وحرمت علی الزانی اُمّ المزنیّ بها وبنتها، نعم الزنا الطارئ علی العقد لا یوجب الحرمة، فلو زنی الأب بامرأة الابن لم تحرم علی ابنه، أو زنی الابن بامرأة الأب لم تحرم علی أبیه، ولو تزوّج امرأة ثمّ زنی باُمّها أو بنتها لم تحرم علیه زوجته، ولا فرق فی الزنا بین القبل والدبر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نکاح بنت أخ الزوجة علی عمّتها، ولا بنت اُختها علی خالتها إلّابإذنهما؛ فی العقد الدائم والمنقطع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الجمع بین الاُختین؛ نسبیّتین أو رضاعیّتین، دواماً وانقطاعاً، ولو فارق إحدی الاُختین بطلاق رجعی أو انقضاء المدّة أو بذلها، لم یجز نکاح الاُخری إلّابعد عدّة الاُولی، ولو فارقها بغیر ما ذکر جاز نکاح الاُخری فی 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زنت امرأة ذات بعل لم تحرم علی زوجها، ولا یجب علیه طلاقها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زنی بذات بعل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دواماً أو متعة، دخل بها زوجها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علی الزانی أبداً؛ حتّی بعد طلاقها أو موت زوجها، وکذا لو زنی بامرأة فی العدّة الرجعیّة دون البائنة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لاط بغلام فأوقبه ولو ببعض الحشفة، حرمت علیه أبداً اُمّ الموطوء وبنته واُخته؛ من غیر فرق بین کونهما صغیرین أو کبیرین أو مختلفین علی تردّد فی فرض کون الواطئ صغیراً، ولا تحرم علی المفعول اُمّ الفاعل وبنته واُخته، والحکم مخصوص بما قبل العقد، فلو تزوّج امرأة ثمّ لاط بأخیها لم تحرم علیه زوجته، ولو شکّ أحد فی حصول الإیقاب بنی علی عدمه</w:t>
      </w:r>
      <w:r>
        <w:rPr>
          <w:rFonts w:eastAsia="IRNazanin" w:cs="IRNazanin"/>
          <w:color w:val="111111"/>
          <w:sz w:val="28"/>
          <w:szCs w:val="28"/>
          <w:rtl w:val="true"/>
          <w:lang w:bidi="fa-IR"/>
        </w:rPr>
        <w:t>.</w:t>
      </w:r>
      <w:bookmarkStart w:id="591" w:name="pg6476_56988"/>
    </w:p>
    <w:p>
      <w:pPr>
        <w:pStyle w:val="Heading2"/>
        <w:numPr>
          <w:ilvl w:val="1"/>
          <w:numId w:val="1"/>
        </w:numPr>
        <w:rPr/>
      </w:pPr>
      <w:bookmarkStart w:id="592" w:name="__RefHeading___Toc1265508_653776707"/>
      <w:bookmarkStart w:id="593" w:name="_Toc225"/>
      <w:bookmarkEnd w:id="591"/>
      <w:bookmarkEnd w:id="592"/>
      <w:r>
        <w:rPr>
          <w:rtl w:val="true"/>
        </w:rPr>
        <w:t>فی النکاح فی العدّة</w:t>
      </w:r>
      <w:bookmarkEnd w:id="5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نکاح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دواماً وانقطاعاً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عدّة الغیر؛ أیّ عدّة کانت، فإن تزوّجها؛ فإن کانا عالمین بالموضوع والحکم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علما بأنّها فی العدّة وأنّ الزواج فی العدّة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أحدهما عالماً بهما، بطل النکاح وحرمت علیه أبداً؛ دخل بها أم لا، وکذا إن جهلا بهما أو بأحدهما ودخل بها، ومع الجهل وعدم الدخول یبطل العقد، ولا تحرم أبداً، فلهما استئناف العقد بعد العدّة، ولا فرق فیما ذکر بین إجراء العقد بنفسه أو بوکیله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تزویج المعتدّة فی عدّة نفسه، فلو طلّق زوجته بائناً أو وهب مدّتها، جاز تجدید العقد علیهما فی الحال إلّافی الطلاق الثالث، وفی المعتدّة رجعیّة، فلو وهب مدّة المنقطعة وأراد النکاح الدائم جاز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طلّق الدائمة رجعیّاً وأراد الانقطاع لم یجز إلّابعد العدّة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شکّ فی أنّها معتدّة أم لا حکم بالعدم، ولا یجب الفحص، وکذا لو أخبرت بانقضاء عدّتها تصدّق ویجوز التزویج، ولو تزوّج فی العدّة وشکّ فی الدخول وعدمه، أو أنّ أحدهما کان عالماً بالحکم أو الموضوع أم لا، بنی علی عدم ذلک وعدم الحرمة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التزویج بذات البعل یوجب الحرمة الأبدیّة، فلو تزوّجها مع العلم بأنّها ذات بعل، حرمت علیه أبداً؛ دخل بها أم لا، ولو تزوّجها مع الجهل لم تحرم إلّامع الدخول</w:t>
      </w:r>
      <w:r>
        <w:rPr>
          <w:rFonts w:eastAsia="IRNazanin" w:cs="IRNazanin"/>
          <w:color w:val="111111"/>
          <w:sz w:val="28"/>
          <w:szCs w:val="28"/>
          <w:rtl w:val="true"/>
          <w:lang w:bidi="fa-IR"/>
        </w:rPr>
        <w:t>.</w:t>
      </w:r>
      <w:bookmarkStart w:id="594" w:name="pg6476_56989"/>
    </w:p>
    <w:p>
      <w:pPr>
        <w:pStyle w:val="Heading2"/>
        <w:numPr>
          <w:ilvl w:val="1"/>
          <w:numId w:val="1"/>
        </w:numPr>
        <w:rPr/>
      </w:pPr>
      <w:bookmarkStart w:id="595" w:name="__RefHeading___Toc1265510_653776707"/>
      <w:bookmarkStart w:id="596" w:name="_Toc226"/>
      <w:bookmarkEnd w:id="594"/>
      <w:bookmarkEnd w:id="595"/>
      <w:r>
        <w:rPr>
          <w:rtl w:val="true"/>
        </w:rPr>
        <w:t>فی الکفر</w:t>
      </w:r>
      <w:bookmarkEnd w:id="596"/>
    </w:p>
    <w:p>
      <w:pPr>
        <w:pStyle w:val="BookText"/>
        <w:rPr/>
      </w:pPr>
      <w:r>
        <w:rPr>
          <w:rFonts w:ascii="IRNazanin" w:hAnsi="IRNazanin" w:eastAsia="IRNazanin"/>
          <w:color w:val="111111"/>
          <w:sz w:val="28"/>
          <w:sz w:val="28"/>
          <w:szCs w:val="28"/>
          <w:rtl w:val="true"/>
          <w:lang w:bidi="fa-IR"/>
        </w:rPr>
        <w:t>لا یجوز للمسلمة أن تنکح الکافر دواماً وانقطاعاً؛ کتابیّاً کان الکافر أو غیر کتابیّ، ولا یجوز للمسلم تزویج غیر الکتابیّة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الکتابیّة من الیهودیّة والنصرانیّة؛ وکذا المجوسیّة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تردّد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فالأقوی الجواز فی المنقطع، وکذا فی الدائم، وإن کان الأحوط خلافه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أسلم زوج الکتابیّة بقیا علی نکاحهما الأوّل، ولو أسلمت زوجة الکتابی، فإن کان قبل الدخول انفسخ العقد، وإن کان بعده وقف علی انقضاء العدّة؛ فإن أسلم قبل انقضائها فهی امرأته، وإلّا بانت منه من حین إسلامها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ارتدّ أحد الزوجین قبل الدخول، وقع الانفساخ فی الحال؛ کان الارتداد عن فطرة أو ملّة، وأمّا بعد الدخول، فإن ارتدّ الزوج فطرة انفسخ فی الحال، وإن ارتدّ ملّة أو ارتدّت الزوجة مطلقاً وقف علی انقضاء العدّة، فإن رجع أو رجعت قبله کانت زوجته وإلّا بانت منه، والعدّة فی ارتداد الزوج عن فطرة کالوفاة، وفی غیره کالطلاق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للمؤمن والمؤمنة المناکحة مع النُصّاب والغُلاة؛ فإنّهما بحکم الکفّار، ویجوز للمؤمن نکاح المخالفة، وللمخالف نکاح المؤمنة، والأحوط ترک الأخیر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تزویج العربیّة بالعجمی وبالعکس، وذوات البیوت الشریفة بأرباب الصنائع الدنیّة کالکنّاس والحمّال؛ فإنّ المسلم کفو المسلم، والمؤمنون بعضهم أکفاء بعض</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ممّا یوجب الحرمة الأبدیّة التزویج فی حال الإحرام، ومنه اللعان بالشروط المذکورة فی بابه</w:t>
      </w:r>
      <w:r>
        <w:rPr>
          <w:rFonts w:eastAsia="IRNazanin" w:cs="IRNazanin"/>
          <w:color w:val="111111"/>
          <w:sz w:val="28"/>
          <w:szCs w:val="28"/>
          <w:rtl w:val="true"/>
          <w:lang w:bidi="fa-IR"/>
        </w:rPr>
        <w:t>.</w:t>
      </w:r>
      <w:bookmarkStart w:id="597" w:name="pg6476_56990"/>
    </w:p>
    <w:p>
      <w:pPr>
        <w:pStyle w:val="Heading2"/>
        <w:numPr>
          <w:ilvl w:val="1"/>
          <w:numId w:val="1"/>
        </w:numPr>
        <w:rPr/>
      </w:pPr>
      <w:bookmarkStart w:id="598" w:name="__RefHeading___Toc1265512_653776707"/>
      <w:bookmarkStart w:id="599" w:name="_Toc227"/>
      <w:bookmarkEnd w:id="597"/>
      <w:bookmarkEnd w:id="598"/>
      <w:r>
        <w:rPr>
          <w:rtl w:val="true"/>
        </w:rPr>
        <w:t>فی النکاح المنقطع</w:t>
      </w:r>
      <w:bookmarkEnd w:id="599"/>
    </w:p>
    <w:p>
      <w:pPr>
        <w:pStyle w:val="BookText"/>
        <w:rPr/>
      </w:pPr>
      <w:r>
        <w:rPr>
          <w:rFonts w:ascii="IRNazanin" w:hAnsi="IRNazanin" w:eastAsia="IRNazanin"/>
          <w:color w:val="111111"/>
          <w:sz w:val="28"/>
          <w:sz w:val="28"/>
          <w:szCs w:val="28"/>
          <w:rtl w:val="true"/>
          <w:lang w:bidi="fa-IR"/>
        </w:rPr>
        <w:t>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المتعة والنکاح المؤجّل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النکاح المنقطع کالدائم فی الاحتیاج إلی إیجاب وقبول لفظیّین، وعدم کفایة المعاطاة، وغیر ذلک من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ولفظ الإیجاب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أنحکت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والقبول کلّ لفظ دلّ علی إنشاء الرضا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بدأ بالقبول،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تزوّجتک فی المدّة المعلومة علی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نفسی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یصحّ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هذا النکاح ذکر المهر، فلو أخلّ به بطل، ویعتبر فیه أن یکون مالاً کلیّاً أو خارجیّاً أو منفعة أو عملاً أو حقّاً، وأن یکون معلوماً بالکیل أو الوزن ونحوهما، ویتقدّر بالمراضاة قلّ أو کثر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تملک المتمتّعة المهر بالعقد، واستقراره بالدخول ووفائها بالتمکین تمام المدّة، فلو وهبها فإن کان قبل الدخول لزمه نصف المهر، وإن کان بعده لزمه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یقسّط علی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یهب المدّة، ولکنّها لم تفِ بها ولم تمکّنه من نفسها، کان له أن یضع من المهر بنسبتها، إن نصفاً فنصف، وإن ثلثاً فثلث، ما عدا أیّام حیضها، وفی إلحاق سائر الأعذار به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انقضت المدّة ولم یدخل بها مع تمکینها، فعلیه تمام المهر</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یشترط فی النکاح المنقطع ذکر الأجل، فلو لم یذکره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متعمّداً أو نسیاناً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متعة وانعقد دائماً، وتقدیر الأجل إلیهما طال أو قصر، ولابدّ من تعیینه بالزمان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یصحّ تجدید عقدها قبل انقضاء الأجل أو هبته، ومن أراد الازدیاد فلیهب الأجل ثمّ لیعقد بمهر جدید وأجل جدید</w:t>
      </w:r>
      <w:r>
        <w:rPr>
          <w:rFonts w:eastAsia="IRNazanin" w:cs="IRNazanin"/>
          <w:color w:val="111111"/>
          <w:sz w:val="28"/>
          <w:szCs w:val="28"/>
          <w:rtl w:val="true"/>
          <w:lang w:bidi="fa-IR"/>
        </w:rPr>
        <w:t>.</w:t>
      </w:r>
      <w:bookmarkStart w:id="600" w:name="pg6476_56991"/>
    </w:p>
    <w:p>
      <w:pPr>
        <w:pStyle w:val="BookText"/>
        <w:rPr/>
      </w:pPr>
      <w:bookmarkEnd w:id="6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أن یشترط الإتیان لیلاً أو نهاراً أو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یقع علیها طلاق، وإنّما تبین بانقضاء المدّة أو هبتها، ولا رجوع له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توارث فی هذا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انقضت المدّة أو وهبها قبل الدخول فلا عدّة علیها، وبعد الدخول إن لم تکن یائسة فعلیها العدّة؛ حیضتان، وإن لم تحض لعارض فخمسة وأربعون یوماً، ویأتی </w:t>
      </w:r>
      <w:r>
        <w:rPr>
          <w:rStyle w:val="FootnoteAnchor"/>
          <w:rtl w:val="true"/>
        </w:rPr>
        <w:footnoteReference w:id="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فی الصفحة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مسألة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باب العدّة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أن تکون المتمتَّع بها مؤمنة عفیفة، والسؤال عن حالها؛ وأنّها ذات بعل أو ذات عدّة، ولیس شرطاً فی صحّة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التمتّع بالزانیة علی کراهیّة</w:t>
      </w:r>
      <w:r>
        <w:rPr>
          <w:rFonts w:eastAsia="IRNazanin" w:cs="IRNazanin"/>
          <w:color w:val="111111"/>
          <w:sz w:val="28"/>
          <w:szCs w:val="28"/>
          <w:rtl w:val="true"/>
          <w:lang w:bidi="fa-IR"/>
        </w:rPr>
        <w:t>.</w:t>
      </w:r>
    </w:p>
    <w:p>
      <w:pPr>
        <w:pStyle w:val="Heading2"/>
        <w:numPr>
          <w:ilvl w:val="1"/>
          <w:numId w:val="1"/>
        </w:numPr>
        <w:rPr/>
      </w:pPr>
      <w:bookmarkStart w:id="601" w:name="__RefHeading___Toc1265514_653776707"/>
      <w:bookmarkStart w:id="602" w:name="_Toc228"/>
      <w:bookmarkEnd w:id="601"/>
      <w:r>
        <w:rPr>
          <w:rtl w:val="true"/>
        </w:rPr>
        <w:t>فی العیوب</w:t>
      </w:r>
      <w:bookmarkEnd w:id="602"/>
    </w:p>
    <w:p>
      <w:pPr>
        <w:pStyle w:val="BookText"/>
        <w:rPr/>
      </w:pPr>
      <w:r>
        <w:rPr>
          <w:rFonts w:ascii="IRNazanin" w:hAnsi="IRNazanin" w:eastAsia="IRNazanin"/>
          <w:color w:val="111111"/>
          <w:sz w:val="28"/>
          <w:sz w:val="28"/>
          <w:szCs w:val="28"/>
          <w:rtl w:val="true"/>
          <w:lang w:bidi="fa-IR"/>
        </w:rPr>
        <w:t>وهی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ومختصّ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الجنون، فلکلّ منهما الفسخ بجنون صاحبه، فالمرأة تفسخ بجنون الرجل؛ سواء کان قبل العقد من دون علمها أو عرض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والرجل یفسخ إذا کان جنونها قبل العقد دون الطارئ بعده، ولا فرق بین العقد الدائم والمنقطع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المختصّ بالرجل فثلاثة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الخَصاء ، وهو سلّ الخصیتین أو رضّهما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والجَبّ ، وهو قطع الذکر، فتفسخ المرأة بهما إذا کانا قبل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والعَنَن ، وهو عجز الآلة عن الانتشار؛ وعجزه عن الوطء، فتفسخ المرأة به مطلقاً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والمختصّ بالمرأة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البرص والجذام والإفضاء والقَرَن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ینبت فی</w:t>
      </w:r>
      <w:bookmarkStart w:id="603" w:name="pg6476_56992"/>
    </w:p>
    <w:p>
      <w:pPr>
        <w:pStyle w:val="BookText"/>
        <w:rPr/>
      </w:pPr>
      <w:bookmarkEnd w:id="603"/>
      <w:r>
        <w:rPr>
          <w:rFonts w:ascii="IRNazanin" w:hAnsi="IRNazanin" w:eastAsia="IRNazanin"/>
          <w:color w:val="111111"/>
          <w:sz w:val="28"/>
          <w:sz w:val="28"/>
          <w:szCs w:val="28"/>
          <w:rtl w:val="true"/>
          <w:lang w:bidi="fa-IR"/>
        </w:rPr>
        <w:t xml:space="preserve">فم الرحم یمنع عن الوطء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والعرج البیّن والعمی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ویفسخ الرجل بها إذا تبیّن وجودها قبل العقد، فإن فسخ قبل الدخول فلا شیء علیه، وإن فسخ بعده فعلیه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دلّست نفسُها علیه لم تستحقّ المهر، وإذا دلّسها غیرها رجع الزوج بالمهر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العقم من العیوب المجوّزة للخیار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والخیار فی کلّ من الطرفین فوریّ إلّامع الجهل بالخیار أو بالفوریّة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الفسخ بالعیب لیس بطلاق، فلا یعتبر فیه شرائطه من الخلوّ عن الحیض، وحضور العدلین، والاحتیاج إلی المحلّل، ولیس فیه تنصیف المهر، فلو فسخ أو فسخت قبل الدخول، فلا مهر إلّافی العنن؛ فإنّ فیه نصف المهر، ولو فسخاه بعده فعلیه تمام المهر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دلّست المرأة نفسُها أو دلّسها غیرها علی الزوج فی غیر تلک العیوب، أو فی صفة کمال من الشرف والحسب والبکارة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بذکر ذلک فی العقد شرطاً؛ کأن یقول الوکیل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أنکحتک موکّلتی بشرط عدم عیب فیها أو کونها باکرة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وإمّا وصفاً؛ کأن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أنکحتک المرأة الصحیحة أو الباکرة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وإمّا بإیقاع العقد مبنیّاً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للزوج الخیار، فإن فسخ قبل الدخول فلا شیء له، وإن فسخ بعده رجع بالمهر علیها أو علی المدلّس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یتحقّق تدلیس بأحد الأنحاء الثلاثة، فلیس علیه الفسخ ویستقرّ علیه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 أن ینقص من المهر بنسبة تفاوت مهر البکر والثیّب</w:t>
      </w:r>
      <w:r>
        <w:rPr>
          <w:rFonts w:eastAsia="IRNazanin" w:cs="IRNazanin"/>
          <w:color w:val="111111"/>
          <w:sz w:val="28"/>
          <w:szCs w:val="28"/>
          <w:rtl w:val="true"/>
          <w:lang w:bidi="fa-IR"/>
        </w:rPr>
        <w:t>.</w:t>
      </w:r>
    </w:p>
    <w:p>
      <w:pPr>
        <w:pStyle w:val="Heading2"/>
        <w:numPr>
          <w:ilvl w:val="1"/>
          <w:numId w:val="1"/>
        </w:numPr>
        <w:rPr/>
      </w:pPr>
      <w:bookmarkStart w:id="604" w:name="__RefHeading___Toc1265516_653776707"/>
      <w:bookmarkStart w:id="605" w:name="_Toc229"/>
      <w:bookmarkEnd w:id="604"/>
      <w:r>
        <w:rPr>
          <w:rtl w:val="true"/>
        </w:rPr>
        <w:t>فی المهر</w:t>
      </w:r>
      <w:bookmarkEnd w:id="605"/>
    </w:p>
    <w:p>
      <w:pPr>
        <w:pStyle w:val="Heading3"/>
        <w:numPr>
          <w:ilvl w:val="2"/>
          <w:numId w:val="1"/>
        </w:numPr>
        <w:rPr/>
      </w:pPr>
      <w:bookmarkStart w:id="606" w:name="__RefHeading___Toc1265518_653776707"/>
      <w:bookmarkStart w:id="607" w:name="_Toc230"/>
      <w:bookmarkEnd w:id="606"/>
      <w:r>
        <w:rPr>
          <w:rtl w:val="true"/>
        </w:rPr>
        <w:t>اشارة</w:t>
      </w:r>
      <w:bookmarkEnd w:id="607"/>
    </w:p>
    <w:p>
      <w:pPr>
        <w:pStyle w:val="BookText"/>
        <w:rPr/>
      </w:pPr>
      <w:r>
        <w:rPr>
          <w:rFonts w:ascii="IRNazanin" w:hAnsi="IRNazanin" w:eastAsia="IRNazanin"/>
          <w:color w:val="111111"/>
          <w:sz w:val="28"/>
          <w:sz w:val="28"/>
          <w:szCs w:val="28"/>
          <w:rtl w:val="true"/>
          <w:lang w:bidi="fa-IR"/>
        </w:rPr>
        <w:t>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الصداق</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ما یملکه المسلم یصحّ جعله مهراً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کان أو دیناً أو</w:t>
      </w:r>
    </w:p>
    <w:p>
      <w:pPr>
        <w:pStyle w:val="BookText"/>
        <w:rPr/>
      </w:pPr>
      <w:r>
        <w:rPr>
          <w:rFonts w:ascii="IRNazanin" w:hAnsi="IRNazanin" w:eastAsia="IRNazanin"/>
          <w:color w:val="111111"/>
          <w:sz w:val="28"/>
          <w:sz w:val="28"/>
          <w:szCs w:val="28"/>
          <w:rtl w:val="true"/>
          <w:lang w:bidi="fa-IR"/>
        </w:rPr>
        <w:t xml:space="preserve">منفعة أو عملاً کتعلیم صنعة أو قراءة أو حقّاً قابلاً للنقل کحقّ التحجیر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یتقدّر بقدر، بل ما تراضیا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فیه التعیین ولو إجمالاً کمشاهدة قطعة من الثوب أو الأرض، ولیس ذکره شرطاً فی العقد، فلو عقدا بلا مهر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دخل بها استقرّ فی ذمّته مهر المثل؛ وهو مقدار مهر أمثالها من حیث السنّ والأدب والجمال ونحوها، وإن فارقها قبل الدخول وجب أن یعطیها شیئاً بحسب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الغنی والفقر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درهم أو ثوب أو مرکوب، وفی حکمه ما لو کان المهر غیر قابل للتملّک کآلات اللهو والعین المغصوبة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أخذ أب البنت أو اُمّها من الزوج شیئاً، فإن أعطاه بطیب نفسه وإن کان لأجل جلب خاطرهما أو لإنّ رضاها منوط برضاهما، حلّ لهما أخذه، لکن للزوج استرداده ما دام باقیاً عندهما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أعطاه من جهة استخلاص البنت من أیدیهما مع رضاها بالتزویج، کان أخذه حراماً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أن یجعل المهر کلّه حالّاً أو مؤجّلاً، وأن یجعل بعضه حالّاً، وبعضه مؤجّلاً، ولها مطالبة الحالّ فی کلّ حال مع قدرة الزوج ویساره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أن یذکر المهر فی العقد بنحو الإجمال، ویفوّض تقدیره إلی أحد الزوجین، وحینئذٍ لو حوّل الأمر إلی الزوجة، فلیس لها الحکم بما زاد علی مهر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تملک المرأة الصداق بنفس العقد وتستقرّ الملکیّة بالدخول، فإن طلّقها قبله سقط عنه نصفه إن کان دیناً، وإن کان عیناً صارت مشترکة بینهما، وإن أتلفتها أو نقلتها عن ملکها استعاد بدل النصف مثلاً أو قیمة، ولو مات أحدهما قبل الدخول فالمشهور لزوم تمام المهر، لکنّ الأقوی التنصیف أیضاً، ولو أبرأته من المهر فطلّقها قبل الدخول رجع بنصفه علیها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زوّج ولده الصغیر، فإن کان للولد مال فالمهر علیه، وإلّا</w:t>
      </w:r>
      <w:bookmarkStart w:id="608" w:name="pg6476_56994"/>
    </w:p>
    <w:p>
      <w:pPr>
        <w:pStyle w:val="BookText"/>
        <w:rPr/>
      </w:pPr>
      <w:bookmarkEnd w:id="608"/>
      <w:r>
        <w:rPr>
          <w:rFonts w:ascii="IRNazanin" w:hAnsi="IRNazanin" w:eastAsia="IRNazanin"/>
          <w:color w:val="111111"/>
          <w:sz w:val="28"/>
          <w:sz w:val="28"/>
          <w:szCs w:val="28"/>
          <w:rtl w:val="true"/>
          <w:lang w:bidi="fa-IR"/>
        </w:rPr>
        <w:t>فعلی الوالد، فلو مات اخرج من أصل الترکة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أن یشترط فی ضمن عقد النکاح کلّ شرط سائغ، ویجب علی المشروط علیه الوفاء به، لکن تخلّفه لا یوجب الخیار فی النکاح، بخلاف سائر العقود إلّافیما ذکرنا من اشتراط عدم عیب أو صفة کمال فی الرجال أو المرأة، فلو شرطت علیه أن لا یفتضّها، أو لا یخرجها من بلدها، أو یعطی نفقتها بطرز مخصوص، أو تکون وکیلاً عنه فی طلاقها مطلقاً أو مقیّداً بوقت ونحو ذلک، لزم العمل، ولو شرطت أن تخرج من بیتها متی شاءت وإلی أین شاءت، أو لا یکون له حقّ التزویج، بطل الشرط دون العقد والمهر</w:t>
      </w:r>
      <w:r>
        <w:rPr>
          <w:rFonts w:eastAsia="IRNazanin" w:cs="IRNazanin"/>
          <w:color w:val="111111"/>
          <w:sz w:val="28"/>
          <w:szCs w:val="28"/>
          <w:rtl w:val="true"/>
          <w:lang w:bidi="fa-IR"/>
        </w:rPr>
        <w:t>.</w:t>
      </w:r>
    </w:p>
    <w:p>
      <w:pPr>
        <w:pStyle w:val="Heading3"/>
        <w:numPr>
          <w:ilvl w:val="2"/>
          <w:numId w:val="1"/>
        </w:numPr>
        <w:rPr/>
      </w:pPr>
      <w:bookmarkStart w:id="609" w:name="__RefHeading___Toc1265520_653776707"/>
      <w:bookmarkStart w:id="610" w:name="_Toc231"/>
      <w:bookmarkEnd w:id="609"/>
      <w:r>
        <w:rPr>
          <w:rtl w:val="true"/>
        </w:rPr>
        <w:t>فی القَسْم والنشوز والشقاق</w:t>
      </w:r>
      <w:bookmarkEnd w:id="610"/>
    </w:p>
    <w:p>
      <w:pPr>
        <w:pStyle w:val="BookText"/>
        <w:rPr/>
      </w:pPr>
      <w:r>
        <w:rPr>
          <w:rFonts w:ascii="IRNazanin" w:hAnsi="IRNazanin" w:eastAsia="IRNazanin"/>
          <w:color w:val="111111"/>
          <w:sz w:val="28"/>
          <w:sz w:val="28"/>
          <w:szCs w:val="28"/>
          <w:rtl w:val="true"/>
          <w:lang w:bidi="fa-IR"/>
        </w:rPr>
        <w:t>لکلّ واحد من الزوجین فی النکاح الدائم حقّ علی صاحبه یجب القیام به؛ وإن کان حقّ الزوج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حقّه علیها أن تطیعه فی أمر الاستمتاع ولا تخرج من بیتها إلّابإذنه، ومن حقّها علیه أن ینفق علیها ولا یظلمها حقّها، والتفصیل فی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کانت له زوجة، فاللازم أن لا یهجرها ولا یذرها کالمعلّقة؛ لا هی ذات بعل ولا مطلّقة، ولها علیه وجوباً حقّ المواقعة فی کلّ أربعة أشهر مرّة، واستحباباً حقّ المضاجعة فی کلّ أربع لیال</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نشوز الزوجة عبارة عن خروجها عن طاعة الزوج الواجبة؛ کعدم التمکین، والخروج عن بیتها بلا إذن ونحوهما، لا ترک الکنس والطبخ وغسل الظروف، وحینئذٍ فلو ظهرت أمارات النشوز من قولها وفعلها یعظها، فإن لم تسمع هجرها فی المضجع، فإن أصرّت ووقع منها النشوز ضربها بما لم یکن مدمیاً ولا شدیداً، بمقدار یؤمل معه رجوعها، ولا تجوز الزیادة علیه مع حصول الغرض،</w:t>
      </w:r>
      <w:bookmarkStart w:id="611" w:name="pg6476_56995"/>
    </w:p>
    <w:p>
      <w:pPr>
        <w:pStyle w:val="BookText"/>
        <w:rPr/>
      </w:pPr>
      <w:bookmarkEnd w:id="611"/>
      <w:r>
        <w:rPr>
          <w:rFonts w:ascii="IRNazanin" w:hAnsi="IRNazanin" w:eastAsia="IRNazanin"/>
          <w:color w:val="111111"/>
          <w:sz w:val="28"/>
          <w:sz w:val="28"/>
          <w:szCs w:val="28"/>
          <w:rtl w:val="true"/>
          <w:lang w:bidi="fa-IR"/>
        </w:rPr>
        <w:t>واللازم أن یکون ذلک بقصد الإصلاح لا التشفّی والانتقام، ولو حصل بالضرب جنایة وجب الغرم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نشوز الزوج تعدّیه علیها، وعدم القیام بحقوقها الواجبة؛ کعدم الإنفاق والإکساء، وترک المواقعة، فإذا ظهر منه ذلک من قوله وفعله، طالبته ووعظته، فإن لم تؤثّر رفعت أمرها إلی الحاکم فیأمره وینهاه، فإن لم ینفع عزّره بما یراه، وللحاکم أن ینفق من ماله علیها ولو ببیع العقار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ترک الزوج بعض حقوقها غیر الواجبة، فبذلت له مالاً، أو بعض حقوقها الواجبة استمالة له صحّ وحلّ له ذلک، وأمّا لو ترک بعض حقوقها الواجبة، أو آذاها بضرب وشتم، فبذلت مالاً أو ترکت حقّاً لیمسک عنها، أو یخلعها، حرم علیه ما بذلت</w:t>
      </w:r>
      <w:r>
        <w:rPr>
          <w:rFonts w:eastAsia="IRNazanin" w:cs="IRNazanin"/>
          <w:color w:val="111111"/>
          <w:sz w:val="28"/>
          <w:szCs w:val="28"/>
          <w:rtl w:val="true"/>
          <w:lang w:bidi="fa-IR"/>
        </w:rPr>
        <w:t>.</w:t>
      </w:r>
    </w:p>
    <w:p>
      <w:pPr>
        <w:pStyle w:val="Heading2"/>
        <w:numPr>
          <w:ilvl w:val="1"/>
          <w:numId w:val="1"/>
        </w:numPr>
        <w:rPr/>
      </w:pPr>
      <w:bookmarkStart w:id="612" w:name="__RefHeading___Toc1265522_653776707"/>
      <w:bookmarkStart w:id="613" w:name="_Toc232"/>
      <w:bookmarkEnd w:id="612"/>
      <w:r>
        <w:rPr>
          <w:rtl w:val="true"/>
        </w:rPr>
        <w:t>فی أحکام الولادة</w:t>
      </w:r>
      <w:bookmarkEnd w:id="6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یلحق ما ولدته المرأة بزوجها بشروط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مع الإنزال، أو دخول منیّه فی رحمها بأیّ وجه کان، ومضیّ ستّة أشهر أو أکثر من حین الوطء، وعدم تجاوز أقصی الحمل وهی تسعة أشهر، فإن لم یدخل بها، أو جاءت بولد کامل لدون ستّة أشهر، أو لأکثر من أقصی الحمل، لم یلحق به، ویجب نفیه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تحقّق الشرائط لا یجوز له نفیه وإن وطئها واطئ فجوراً، فضلاً عمّا لو اتّهمها به، ولا یجوز نفیه بالعزل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استقلال النساء فی شؤون المرأة حین وضعها دون الرجال، إلّامع الضرورة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ویجب ختان الذکور، وإن تأخّر إلی ما بعد البلوغ یجب علیه أن یختن نفسه؛ حتّی أنّ الکافر إذا أسلم یجب ذلک علیه وإن طعن فی السنّ، وهل یجب علی</w:t>
      </w:r>
    </w:p>
    <w:p>
      <w:pPr>
        <w:pStyle w:val="BookText"/>
        <w:rPr/>
      </w:pPr>
      <w:r>
        <w:rPr>
          <w:rFonts w:ascii="IRNazanin" w:hAnsi="IRNazanin" w:eastAsia="IRNazanin"/>
          <w:color w:val="111111"/>
          <w:sz w:val="28"/>
          <w:sz w:val="28"/>
          <w:szCs w:val="28"/>
          <w:rtl w:val="true"/>
          <w:lang w:bidi="fa-IR"/>
        </w:rPr>
        <w:t>الولیّ أن یختن الصبیّ قبل بلوغه، ویعصی إن أخّره أم لا؟ المشهور العدم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الختان واجب لنفسه، وشرط لصحّة طوافه فی حجّ أو عمرة واجبین أو مندوبین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فیه قطع الغلاف بحیث یظهر تمام الحشفة، ولا یعتبر الإسلام فی الختّان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یجب علی الاُمّ إرضاع ولدها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مجّاناً ولا بالاُجرة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الانحصار بها، ومع الانحصار أیضاً لا یجب مجّاناً، بل لها مطالبة الاُجرة من ماله إن کان له مال، وإلّا فمن مال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یکن لهما مال وجبت نفقته علی الاُمّ من الإرضاع وغیره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 أحقّ بإرضاع ولدها من غیرها إذا لم تطلب فوق ما یطلب غیرها، ولو طلبت الأزید، فللأب تسلیمه إلی غیرها، ولا یسقط بذلک حقّ الحضانة الثابت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الرضاع حولان کاملان، ویجوز أن ینقص عنه ثلاثة شهور، فیفطم علی أحد وعشرین شهراً، ولا یجوز النقص عنه من غیر ضرورة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 أحقّ بحضانة الولد وتربیته مدّة الرضاع ولو أرضعته غیرها، فلا یجوز للأب أخذه منها، وبعد ذلک فالأب أحقّ بالذکر والاُمّ بالاُنثی إلی سبع سنین ثمّ یکون الأب أحقّ بها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فارقت الأب بطلاق وغیره لا یسقط حقّها ما لم تتزوّج، فإن تزوّجت سقط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مات الأب قبل انتقال الحضانة إلیه أو بعده، کانت الاُمّ أحقّ بولدها ذکراً أم اُنثی من جمیع الأقارب؛ حتّی الجدّ والعمّ والأخ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ماتت الاُمّ فالأب أحقّ، ولو ماتا فأب الأب، ولو لم یکن فأقارب الولد علی ترتیب الإرث وتنتهی الحضانة ببلوغ الولد رشیداً، وحینئذٍ فلیس لأحد حقّ الحضانة علیه حتّی الأبوین</w:t>
      </w:r>
      <w:r>
        <w:rPr>
          <w:rFonts w:eastAsia="IRNazanin" w:cs="IRNazanin"/>
          <w:color w:val="111111"/>
          <w:sz w:val="28"/>
          <w:szCs w:val="28"/>
          <w:rtl w:val="true"/>
          <w:lang w:bidi="fa-IR"/>
        </w:rPr>
        <w:t>.</w:t>
      </w:r>
      <w:bookmarkStart w:id="614" w:name="pg6476_56997"/>
    </w:p>
    <w:p>
      <w:pPr>
        <w:pStyle w:val="Heading2"/>
        <w:numPr>
          <w:ilvl w:val="1"/>
          <w:numId w:val="1"/>
        </w:numPr>
        <w:rPr/>
      </w:pPr>
      <w:bookmarkStart w:id="615" w:name="__RefHeading___Toc1265524_653776707"/>
      <w:bookmarkStart w:id="616" w:name="_Toc233"/>
      <w:bookmarkEnd w:id="614"/>
      <w:bookmarkEnd w:id="615"/>
      <w:r>
        <w:rPr>
          <w:rtl w:val="true"/>
        </w:rPr>
        <w:t>فی النفقات</w:t>
      </w:r>
      <w:bookmarkEnd w:id="616"/>
    </w:p>
    <w:p>
      <w:pPr>
        <w:pStyle w:val="Heading3"/>
        <w:numPr>
          <w:ilvl w:val="2"/>
          <w:numId w:val="1"/>
        </w:numPr>
        <w:rPr/>
      </w:pPr>
      <w:bookmarkStart w:id="617" w:name="__RefHeading___Toc1265526_653776707"/>
      <w:bookmarkStart w:id="618" w:name="_Toc234"/>
      <w:bookmarkEnd w:id="617"/>
      <w:r>
        <w:rPr>
          <w:rtl w:val="true"/>
        </w:rPr>
        <w:t>اشارة</w:t>
      </w:r>
      <w:bookmarkEnd w:id="618"/>
    </w:p>
    <w:p>
      <w:pPr>
        <w:pStyle w:val="BookText"/>
        <w:rPr/>
      </w:pPr>
      <w:r>
        <w:rPr>
          <w:rFonts w:ascii="IRNazanin" w:hAnsi="IRNazanin" w:eastAsia="IRNazanin"/>
          <w:color w:val="111111"/>
          <w:sz w:val="28"/>
          <w:sz w:val="28"/>
          <w:szCs w:val="28"/>
          <w:rtl w:val="true"/>
          <w:lang w:bidi="fa-IR"/>
        </w:rPr>
        <w:t>تجب النفقة بسببین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الزوجیّة والقرابة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تجب نفقة الزوجة علی الزوج بشرط أن تکون دائمة، وغیر ناشزة، وقابلة للاستمتاع، فلا نفقة للمنقطعة والناشزة والصغیرة غیر القابلة للاستمتاع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من النشوز امتناعها عن التمکین لعذر شرعیّ؛ من حیض أو مرض أو سفر حجّ واجب، فلا تسقط نفقتها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تثبت النفقة للمعتدّة الرجعیّة وللبائنة مع کونها حاملاً حتّی تضع حملها، ولیس لغیرهما من المعتدّات نفقة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تقدیر للنفقة شرعاً، بل الضابط القیام بما تحتاج إلیه؛ من طعام وإدام، وکسوة وفراش وإسکان، وآلات الأغذیة والتنظیف، وما تعوّدت به ممّا تتضرّر بترکه، ولوازم العیش فی الصیف والشتاء، واُجرة الاغتسال والاستحمام، والأدویة المتعارفة للأمراض العادیّة، دون العارض من باب الاتّفاق المحتاج إلی بذل مال خطیر، کلّ ذلک علی نحو المتعارف لأمثالها فی بلد تسکن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تملک الزوجة علی الزوج نفقة کلّ یوم ممّا یصرف ولا یبقی عینه فی صبیحته، فلها المطالبة بها عند الصباح، فلو منعها حتّی انقضی الیوم صارت دیناً علی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لها مطالبة نفقة الأیّام الآتیة، ولو دفع إلیها نفقة أیّام أو شهور فلم تحتجّ إلی صرفها أو قتّرت علی نفسها، کانت الزیادة ملکاً لها، ولیس للزوج استردادها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کیفیّة الإنفاق بالطعام والإدام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بمؤاکلتها معه فی بیته علی العادة، وإمّا بتسلیم النفقة لها، والأمر فی ذلک إلیها، فلها الامتناع عن النحو الأوّل واختیار الثانی، ویجوز له دفع عین النفقة، وأمّا القیمة فهی موقوفة علی تراضی</w:t>
      </w:r>
      <w:bookmarkStart w:id="619" w:name="pg6476_56998"/>
    </w:p>
    <w:p>
      <w:pPr>
        <w:pStyle w:val="BookText"/>
        <w:rPr/>
      </w:pPr>
      <w:bookmarkEnd w:id="619"/>
      <w:r>
        <w:rPr>
          <w:rFonts w:ascii="IRNazanin" w:hAnsi="IRNazanin" w:eastAsia="IRNazanin"/>
          <w:color w:val="111111"/>
          <w:sz w:val="28"/>
          <w:sz w:val="28"/>
          <w:szCs w:val="28"/>
          <w:rtl w:val="true"/>
          <w:lang w:bidi="fa-IR"/>
        </w:rPr>
        <w:t>الطرفین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تستحقّ من الکسوة أن یکسوها الزوج ممّا بیده ولا تستحقّ التملیک، ومثلها الفراش واللحاف والظروف وغیرها، فإنّها باقیة علی ملک الزوج وله استردادها إذا زال استحقاقها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یشترط فی استحقاق الزوجة للنفقة فقرها، فلها علیه الإنفاق ولو کانت من أغنی الناس، وإن لم یکن له مال یفی بنفقة الزوجة وسائر أقاربه، فهی مقدمة علی الأقارب، فإن فضل فهو لهم</w:t>
      </w:r>
      <w:r>
        <w:rPr>
          <w:rFonts w:eastAsia="IRNazanin" w:cs="IRNazanin"/>
          <w:color w:val="111111"/>
          <w:sz w:val="28"/>
          <w:szCs w:val="28"/>
          <w:rtl w:val="true"/>
          <w:lang w:bidi="fa-IR"/>
        </w:rPr>
        <w:t>.</w:t>
      </w:r>
    </w:p>
    <w:p>
      <w:pPr>
        <w:pStyle w:val="Heading3"/>
        <w:numPr>
          <w:ilvl w:val="2"/>
          <w:numId w:val="1"/>
        </w:numPr>
        <w:rPr/>
      </w:pPr>
      <w:bookmarkStart w:id="620" w:name="__RefHeading___Toc1265528_653776707"/>
      <w:bookmarkStart w:id="621" w:name="_Toc235"/>
      <w:bookmarkEnd w:id="620"/>
      <w:r>
        <w:rPr>
          <w:rtl w:val="true"/>
        </w:rPr>
        <w:t>فی نفقة الأقارب</w:t>
      </w:r>
      <w:bookmarkEnd w:id="6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الإنفاق علی الأبوین وآبائهما وإن علو، وعلی الأولاد وأولادهم وإن نزلوا، صغیراً أو کبیراً وإن کانوا کفّاراً، ولا یجب علی غیر العمودین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فقرهم وعدم قدرتهم علی الاکتساب، فمن ترک الکسب طلباً للراحة لا یجب إنفاقه، ولو ترکه لکثرة مشقّته؛ أو لعدم مناسبته بحاله؛ أو لاشتغاله بأمر دنیویّ ودینیّ أهمّ، وجب الإنفاق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لم یکن عنده ما ینفقه علی زوجته أو قریبه، وجب علیه تحصیله بالاکتساب اللائق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تقدیر فی نفقة الأقارب، بل الواجب قدر الکفایة من الطعام والکسوة والمسکن؛ مع ملاحظة الحال والزمان والمکان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منها تزویج الوالد والابن والبنت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یقضی نفقتهم لو فاتت فی وقتها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عصیاناً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الزوجة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امتنع من وجبت علیه النفقة أجبره الحاکم، ومع عدم إمکان الإجبار جاز للزوجة التقاصّ من ماله بمقدار نفقتها، دون غیرها إلّابإذن الحاکم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تجب نفقة الحیوان المملوک حتّی النحل علی مالکه، والواجب القیام بما یحتاج إلیه فی حیاته، ولو امتنع من ذلک أجبره الحاکم علی بیعه والإنفاق علیه، وذبحه إن کان ممّا یؤکل</w:t>
      </w:r>
      <w:r>
        <w:rPr>
          <w:rFonts w:eastAsia="IRNazanin" w:cs="IRNazanin"/>
          <w:color w:val="111111"/>
          <w:sz w:val="28"/>
          <w:szCs w:val="28"/>
          <w:rtl w:val="true"/>
          <w:lang w:bidi="fa-IR"/>
        </w:rPr>
        <w:t>.</w:t>
      </w:r>
      <w:bookmarkStart w:id="622" w:name="pg6476_57000"/>
    </w:p>
    <w:p>
      <w:pPr>
        <w:pStyle w:val="Heading2"/>
        <w:numPr>
          <w:ilvl w:val="1"/>
          <w:numId w:val="1"/>
        </w:numPr>
        <w:rPr/>
      </w:pPr>
      <w:bookmarkStart w:id="623" w:name="__RefHeading___Toc1265530_653776707"/>
      <w:bookmarkStart w:id="624" w:name="_Toc236"/>
      <w:bookmarkEnd w:id="622"/>
      <w:bookmarkEnd w:id="623"/>
      <w:r>
        <w:rPr>
          <w:rtl w:val="true"/>
        </w:rPr>
        <w:t>کتاب الطلاق</w:t>
      </w:r>
      <w:bookmarkEnd w:id="624"/>
    </w:p>
    <w:p>
      <w:pPr>
        <w:pStyle w:val="Heading3"/>
        <w:numPr>
          <w:ilvl w:val="2"/>
          <w:numId w:val="1"/>
        </w:numPr>
        <w:rPr/>
      </w:pPr>
      <w:bookmarkStart w:id="625" w:name="__RefHeading___Toc1265532_653776707"/>
      <w:bookmarkStart w:id="626" w:name="_Toc237"/>
      <w:bookmarkEnd w:id="625"/>
      <w:r>
        <w:rPr>
          <w:rtl w:val="true"/>
        </w:rPr>
        <w:t>کتاب الطلاق</w:t>
      </w:r>
      <w:bookmarkEnd w:id="626"/>
    </w:p>
    <w:p>
      <w:pPr>
        <w:pStyle w:val="Heading4"/>
        <w:numPr>
          <w:ilvl w:val="3"/>
          <w:numId w:val="1"/>
        </w:numPr>
        <w:rPr/>
      </w:pPr>
      <w:bookmarkStart w:id="627" w:name="__RefHeading___Toc1265534_653776707"/>
      <w:bookmarkStart w:id="628" w:name="_Toc238"/>
      <w:bookmarkEnd w:id="627"/>
      <w:r>
        <w:rPr>
          <w:rtl w:val="true"/>
        </w:rPr>
        <w:t>اشارة</w:t>
      </w:r>
      <w:bookmarkEnd w:id="628"/>
    </w:p>
    <w:p>
      <w:pPr>
        <w:pStyle w:val="BookText"/>
        <w:rPr/>
      </w:pPr>
      <w:r>
        <w:rPr>
          <w:rFonts w:ascii="IRNazanin" w:hAnsi="IRNazanin" w:eastAsia="IRNazanin"/>
          <w:color w:val="111111"/>
          <w:sz w:val="28"/>
          <w:sz w:val="28"/>
          <w:szCs w:val="28"/>
          <w:rtl w:val="true"/>
          <w:lang w:bidi="fa-IR"/>
        </w:rPr>
        <w:t>وله شروط وأقسام ولواحق وأحکام</w:t>
      </w:r>
      <w:r>
        <w:rPr>
          <w:rFonts w:eastAsia="IRNazanin" w:cs="IRNazanin"/>
          <w:color w:val="111111"/>
          <w:sz w:val="28"/>
          <w:szCs w:val="28"/>
          <w:rtl w:val="true"/>
          <w:lang w:bidi="fa-IR"/>
        </w:rPr>
        <w:t>:</w:t>
      </w:r>
    </w:p>
    <w:p>
      <w:pPr>
        <w:pStyle w:val="Heading4"/>
        <w:numPr>
          <w:ilvl w:val="3"/>
          <w:numId w:val="1"/>
        </w:numPr>
        <w:rPr/>
      </w:pPr>
      <w:bookmarkStart w:id="629" w:name="__RefHeading___Toc1265536_653776707"/>
      <w:bookmarkStart w:id="630" w:name="_Toc239"/>
      <w:bookmarkEnd w:id="629"/>
      <w:r>
        <w:rPr>
          <w:rtl w:val="true"/>
        </w:rPr>
        <w:t>فی شروطه</w:t>
      </w:r>
      <w:bookmarkEnd w:id="6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یصحّ طلاق غیر الملکّف، ولا یصحّ لأبیه وجدّه؛ فضلاً عن الوصیّ والحاکم أن یطلّق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بلغ فاسد العقل، أو عرضه الجنون بعد البلوغ، طلّق عنه ولیّه مع المصلحة، وإن لم یکن له ولیّ طلّق عنه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یصحّ طلاق المکره وهو الذی حمله الغیر علی إیجاد عمل؛ بحیث یخاف من مخالفته الضرر، ولیس منه من طلّق زوجته خوفاً من شرّ بعض متعلّقیها بلا إلزام منه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طلّق مکرهاً ثمّ تعقّبه الرضا، لم یفد فی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یعتبر فی صحّته اطلاع الزوجة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زوجة دائمة، وأن تکون طاهرة من الحیض والنفاس، وأن لا تکون فی طهر واقعها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کانت غیر مدخول بها، أو کانت حاملاً، أو کان زوجها غائباً أو نحو الغائب ممّا یوجب تعسّر استعلام حالها، صحّ طلاقها ولو وقع حال الحیض، وکذا یجوز الطلاق فی طهر المواقعة فی الیائسة والحامل والمسترابة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التی لا تری الحیض لعارض وهی فی سنّ من تحیض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یشترط فی الأخیر مضیّ ثلاثة أشهر من زمان المواقعة</w:t>
      </w:r>
      <w:r>
        <w:rPr>
          <w:rFonts w:eastAsia="IRNazanin" w:cs="IRNazanin"/>
          <w:color w:val="111111"/>
          <w:sz w:val="28"/>
          <w:szCs w:val="28"/>
          <w:rtl w:val="true"/>
          <w:lang w:bidi="fa-IR"/>
        </w:rPr>
        <w:t>.</w:t>
      </w:r>
      <w:bookmarkStart w:id="631" w:name="pg6476_57001"/>
    </w:p>
    <w:p>
      <w:pPr>
        <w:pStyle w:val="BookText"/>
        <w:rPr/>
      </w:pPr>
      <w:bookmarkEnd w:id="6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یقع الطلاق إلّابصیغة طالق،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أو فلانة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یقع بما یرادفها من سائر اللغات إلّا مع العجز، ولا بالکتابة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للزوج أن یوکّل غیره فی طلاقها، أو یوکّل نفسها فی طلاقها مطلقاً، أو مقیّداً بعدم الإنفاق أو بالسفر مدّة طویلة ونحو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کرّر صیغة الطلاق ثلاثاً،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طالق هی طالق هی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تخلّل رجعة فی البین، تقع واحدة ولغت الاُخریان، ومثله 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طالق ثلاثاً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طلّق السنّیّ زوجته بما هو باطل عندنا کالطلاق المعلّق وفی طهر المواقعة وبغیر شاهد، جاز لنا ترتیب آثار الصحّة علیه، وتزویجها بعد العدّة، ومثله غیره من موارد الاختلاف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صحّة الطلاق الإشهاد؛ أی إیقاعه بحضور عدلین ذکرین یسمعان الإنشاء، والمراد بالعدل هنا ما هو المراد به فی سائر الموارد، ولو کان الشاهدان عدلین فی نظر المطلّق فاسقین فی نظر الزوج أو غیره ممّن یرید تزویج المطلّقة اُشکل الصحّة</w:t>
      </w:r>
      <w:r>
        <w:rPr>
          <w:rFonts w:eastAsia="IRNazanin" w:cs="IRNazanin"/>
          <w:color w:val="111111"/>
          <w:sz w:val="28"/>
          <w:szCs w:val="28"/>
          <w:rtl w:val="true"/>
          <w:lang w:bidi="fa-IR"/>
        </w:rPr>
        <w:t>.</w:t>
      </w:r>
    </w:p>
    <w:p>
      <w:pPr>
        <w:pStyle w:val="Heading4"/>
        <w:numPr>
          <w:ilvl w:val="3"/>
          <w:numId w:val="1"/>
        </w:numPr>
        <w:rPr/>
      </w:pPr>
      <w:bookmarkStart w:id="632" w:name="__RefHeading___Toc1265538_653776707"/>
      <w:bookmarkStart w:id="633" w:name="_Toc240"/>
      <w:bookmarkEnd w:id="632"/>
      <w:r>
        <w:rPr>
          <w:rtl w:val="true"/>
        </w:rPr>
        <w:t>فی أقسام الطلاق</w:t>
      </w:r>
      <w:bookmarkEnd w:id="633"/>
    </w:p>
    <w:p>
      <w:pPr>
        <w:pStyle w:val="BookText"/>
        <w:rPr/>
      </w:pPr>
      <w:r>
        <w:rPr>
          <w:rFonts w:ascii="IRNazanin" w:hAnsi="IRNazanin" w:eastAsia="IRNazanin"/>
          <w:color w:val="111111"/>
          <w:sz w:val="28"/>
          <w:sz w:val="28"/>
          <w:szCs w:val="28"/>
          <w:rtl w:val="true"/>
          <w:lang w:bidi="fa-IR"/>
        </w:rPr>
        <w:t>الطلاق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بائن ورَجعیّ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لیس للزوج الرجوع إلیها بعده؛ سواء کانت لها عدّة أم لا، وهو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قبل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الیائسة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الأقسام لیس فیها عدّة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الخلع والمباراة مع عدم رجوع الزوجة فیما بذلت،</w:t>
      </w:r>
      <w:bookmarkStart w:id="634" w:name="pg6476_57002"/>
    </w:p>
    <w:p>
      <w:pPr>
        <w:pStyle w:val="BookText"/>
        <w:rPr/>
      </w:pPr>
      <w:bookmarkEnd w:id="634"/>
      <w:r>
        <w:rPr>
          <w:rFonts w:ascii="IRNazanin" w:hAnsi="IRNazanin" w:eastAsia="IRNazanin"/>
          <w:color w:val="111111"/>
          <w:sz w:val="28"/>
          <w:sz w:val="28"/>
          <w:szCs w:val="28"/>
          <w:rtl w:val="true"/>
          <w:lang w:bidi="fa-IR"/>
        </w:rPr>
        <w:t>وإلّا کانت له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طلّقها ثلاثاً مع تخلّل رجعتین؛ سواء ترکها فی کلّ طلاق حتّی انقضت عدّتها ثمّ تزوّجها؛ أو طلّقها ثمّ راجعها ثمّ طلّقها ثمّ راجعها ثمّ طلّقها فی مجلس واحد حرمت علیه بعد الثالث، ولا تحلّ له حتّی تنکح زوجاً غیره، ثمّ تفارقه وتنقضی عدّتها، وتحرم علیه أبداً بعد وقوع تسع طلقات مع شروط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الزوج المحلّل البلوغ، وأن یطأها قبلاً، وأن یکون العقد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طلّقها ثلاثاً فمضت مدّة، فادّعت أنّها تزوّجت بالمحلّل ومضت عدّتها، صُدّقت، وجاز للأوّل تزویجها</w:t>
      </w:r>
      <w:r>
        <w:rPr>
          <w:rFonts w:eastAsia="IRNazanin" w:cs="IRNazanin"/>
          <w:color w:val="111111"/>
          <w:sz w:val="28"/>
          <w:szCs w:val="28"/>
          <w:rtl w:val="true"/>
          <w:lang w:bidi="fa-IR"/>
        </w:rPr>
        <w:t>.</w:t>
      </w:r>
    </w:p>
    <w:p>
      <w:pPr>
        <w:pStyle w:val="Heading3"/>
        <w:numPr>
          <w:ilvl w:val="2"/>
          <w:numId w:val="1"/>
        </w:numPr>
        <w:rPr/>
      </w:pPr>
      <w:bookmarkStart w:id="635" w:name="__RefHeading___Toc1265540_653776707"/>
      <w:bookmarkStart w:id="636" w:name="_Toc241"/>
      <w:bookmarkEnd w:id="635"/>
      <w:r>
        <w:rPr>
          <w:rtl w:val="true"/>
        </w:rPr>
        <w:t>فی العدّة</w:t>
      </w:r>
      <w:bookmarkEnd w:id="636"/>
    </w:p>
    <w:p>
      <w:pPr>
        <w:pStyle w:val="Heading4"/>
        <w:numPr>
          <w:ilvl w:val="3"/>
          <w:numId w:val="1"/>
        </w:numPr>
        <w:rPr/>
      </w:pPr>
      <w:bookmarkStart w:id="637" w:name="__RefHeading___Toc1265542_653776707"/>
      <w:bookmarkStart w:id="638" w:name="_Toc242"/>
      <w:bookmarkEnd w:id="637"/>
      <w:r>
        <w:rPr>
          <w:rtl w:val="true"/>
        </w:rPr>
        <w:t>اشارة</w:t>
      </w:r>
      <w:bookmarkEnd w:id="638"/>
    </w:p>
    <w:p>
      <w:pPr>
        <w:pStyle w:val="BookText"/>
        <w:rPr/>
      </w:pPr>
      <w:r>
        <w:rPr>
          <w:rFonts w:ascii="IRNazanin" w:hAnsi="IRNazanin" w:eastAsia="IRNazanin"/>
          <w:color w:val="111111"/>
          <w:sz w:val="28"/>
          <w:sz w:val="28"/>
          <w:szCs w:val="28"/>
          <w:rtl w:val="true"/>
          <w:lang w:bidi="fa-IR"/>
        </w:rPr>
        <w:t>إنّما یجب الاعتداد باُمور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الفراق بطلاق أو فسخ فی الدائم، وانقضاء المدّة أو بذلها فی المتعة، وموت الزوج، ووطء الشبهة</w:t>
      </w:r>
      <w:r>
        <w:rPr>
          <w:rFonts w:eastAsia="IRNazanin" w:cs="IRNazanin"/>
          <w:color w:val="111111"/>
          <w:sz w:val="28"/>
          <w:szCs w:val="28"/>
          <w:rtl w:val="true"/>
          <w:lang w:bidi="fa-IR"/>
        </w:rPr>
        <w:t>.</w:t>
      </w:r>
    </w:p>
    <w:p>
      <w:pPr>
        <w:pStyle w:val="Heading4"/>
        <w:numPr>
          <w:ilvl w:val="3"/>
          <w:numId w:val="1"/>
        </w:numPr>
        <w:rPr/>
      </w:pPr>
      <w:bookmarkStart w:id="639" w:name="__RefHeading___Toc1265544_653776707"/>
      <w:bookmarkStart w:id="640" w:name="_Toc243"/>
      <w:bookmarkEnd w:id="639"/>
      <w:r>
        <w:rPr>
          <w:rtl w:val="true"/>
        </w:rPr>
        <w:t>فی عدّة الفراق</w:t>
      </w:r>
      <w:r>
        <w:rPr>
          <w:rtl w:val="true"/>
        </w:rPr>
        <w:t>:</w:t>
      </w:r>
      <w:bookmarkEnd w:id="6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عدّة علی من لم یدخل بها، ولا علی الصغیرة، ولا علی الیائسة وإن دخل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والیأس بلوغ ستّین سنة فی القرشیّة وخمسین فی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المطلّقة إن کانت حاملاً فانقضاء عدّتها بوضع الحمل ولو بعد الطلاق بلحظة؛ وإن کان الحمل مضغة أو علقة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طلّقت غیر الحامل، فإن کانت مستقیمة الحیض؛ بأن تحیض فی کلّ شهر أو شهرین مرّة، کانت عدّتها ثلاثة قُروء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لا تحیض لعارض</w:t>
      </w:r>
      <w:bookmarkStart w:id="641" w:name="pg6476_57003"/>
    </w:p>
    <w:p>
      <w:pPr>
        <w:pStyle w:val="BookText"/>
        <w:rPr/>
      </w:pPr>
      <w:bookmarkEnd w:id="641"/>
      <w:r>
        <w:rPr>
          <w:rFonts w:ascii="IRNazanin" w:hAnsi="IRNazanin" w:eastAsia="IRNazanin"/>
          <w:color w:val="111111"/>
          <w:sz w:val="28"/>
          <w:sz w:val="28"/>
          <w:szCs w:val="28"/>
          <w:rtl w:val="true"/>
          <w:lang w:bidi="fa-IR"/>
        </w:rPr>
        <w:t xml:space="preserve">من مرض أو رضاع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ومثلها من کان الفصل بین حیضتیها ثلاثة أشهر أو 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عدّتها ثلاثة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والقُرء هنا الطّهر، ویکفی فی الطهر الأوّل مسمّاه، فلو طلّقها وقد بقیت منه لحظة یحسب طهراً، وتنقضی عدّتها برؤیة الدم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المتعة فی الحامل وضع حملها، وفی الحائل إذا کانت تحیض قُرءان أی حیضتان، فإذا بذل مدّتها فی آخر 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تنقضی عدّتها بتمام الحیض الثانی، وإن کانت لا تحیض لعذر فخمسة وأربعون یوماً</w:t>
      </w:r>
      <w:r>
        <w:rPr>
          <w:rFonts w:eastAsia="IRNazanin" w:cs="IRNazanin"/>
          <w:color w:val="111111"/>
          <w:sz w:val="28"/>
          <w:szCs w:val="28"/>
          <w:rtl w:val="true"/>
          <w:lang w:bidi="fa-IR"/>
        </w:rPr>
        <w:t>.</w:t>
      </w:r>
    </w:p>
    <w:p>
      <w:pPr>
        <w:pStyle w:val="Heading4"/>
        <w:numPr>
          <w:ilvl w:val="3"/>
          <w:numId w:val="1"/>
        </w:numPr>
        <w:rPr/>
      </w:pPr>
      <w:bookmarkStart w:id="642" w:name="__RefHeading___Toc1265546_653776707"/>
      <w:bookmarkStart w:id="643" w:name="_Toc244"/>
      <w:bookmarkEnd w:id="642"/>
      <w:r>
        <w:rPr>
          <w:rtl w:val="true"/>
        </w:rPr>
        <w:t>فی عدّة الوفاة والشّبهة</w:t>
      </w:r>
      <w:bookmarkEnd w:id="6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المتوفّی عنها زوجها أربعة أشهر وعشرة أیّام إذا کانت حائلاً؛ حتّی الصغیرة وغیر المدخول بها والیائسة والمتعة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حاملاً فأبعد الأجلین من وضع الحمل والمدّة المزبورة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مات الزوج فی أثناء العدّة، فإن کان رجعیّاً بطلت عدّة الطلاق، واعتدّت من حین موته عدّة الوفاة، ولو کانت حاملاً اعتدّت بأبعد الأجلین من وضع الحمل وعدّة الوفاة، وإن کان بائناً اقتصرت علی عدّة الطلاق، ولا تؤثّر الوفاة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المرأة فی وفاة زوجها الحِداد ما دامت فی العدّة؛ دائمة أو منقطعة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کلّ زینة فی البدن واللباس تتزیّن للزوج، وفی الأعیاد والأعراس بحسب حال الزمان والمکان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بتنظیف البدن واللباس، ودخول الحمّام، والسکنی فی المسکن المزیّن، وتزیین الأولاد، وهذا تکلیف مستقلّ لا دخل له فی العدّة، ولا قضاء له لو ترکته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لها الخروج من بیتها فی أیّام العدّة لقضاء حوائجها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الطلاق والفسخ من حین وقوعهما، وعدّة الوفاة فی موت الغائب والمحبوس ونحوه من حین بلوغ الخبر ولو بعد سنین</w:t>
      </w:r>
      <w:r>
        <w:rPr>
          <w:rFonts w:eastAsia="IRNazanin" w:cs="IRNazanin"/>
          <w:color w:val="111111"/>
          <w:sz w:val="28"/>
          <w:szCs w:val="28"/>
          <w:rtl w:val="true"/>
          <w:lang w:bidi="fa-IR"/>
        </w:rPr>
        <w:t>.</w:t>
      </w:r>
      <w:bookmarkStart w:id="644" w:name="pg6476_57004"/>
    </w:p>
    <w:p>
      <w:pPr>
        <w:pStyle w:val="BookText"/>
        <w:rPr/>
      </w:pPr>
      <w:bookmarkEnd w:id="6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فقد الرجل مدّة طویلة، ولم یظهر منه أثر، ولم یعلم موته وحیاته، فإن لم یکن من ینفق علیها ولم تصبر وأرادت الزواج رفعت أمرها إلی الحاکم، فیؤجّلها أربع سنین، ویتفحّص عنه، فإن لم یتبیّن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للغائب من یتولّی أمره بتوکیله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الحاکم بطلاقها، وإلّا طلّقها الحاکم، ثمّ تعتدّ عدّة الوفاة وتتزوّج إن شاءت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والفحص أمر عرفیّ یتحقّق بالکتابة والتلغراف والإخبار فی الجرائد والنشریات وبعث الأفراد إلی مظانّ وجوده، ویجوز أن یتکفّله الحاکم والمرأة وغیرهما، ومقداره أربع أعوام بنحو یصدق عرفاً أنّه متفحّص، ولو حصل الیأس عنه من أوّل الأمر أو فی الأثناء، سقط الفحص وجاز 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والطلاق رجعیّ وعدّته عدّة الطلاق وإن کان بمقدار عدّة الوفاة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حصل لزوجة الغائب العلم بموته من قرائن وأمارات، جاز لها أن تتزوّج بعد العدّة من دون حاجة إلی مراجعة الحاکم، وفی اکتفاء المتزوّج بقولها إشکال، فالأحوط أن تتزوّج بمن لا یعلم بالحال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تثبت العدّة فی وطء الشبهة، والمراد به وطء الأجنبیّة بشبهة الحلّیّة؛ إمّا بالشبهة فی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نسی الوکیل إجراء العقد أو تبیّن بطلان نکاحها أو طلاقها عن زوجها الأوّل ونحو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شبهة فی الحکم، کما إذا عقد علی اُخت الموطوء معتقداً صحّته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عدّة علی المزنیّ بها؛ حتّی إذا حملت منه، وأمّا الموطوءة شبهة فعلیها العدّة من حین الوطء کعدّة الطلاق بالقروء والشهور، ووضع الحمل لو حملت عن هذا الوطء</w:t>
      </w:r>
      <w:r>
        <w:rPr>
          <w:rFonts w:eastAsia="IRNazanin" w:cs="IRNazanin"/>
          <w:color w:val="111111"/>
          <w:sz w:val="28"/>
          <w:szCs w:val="28"/>
          <w:rtl w:val="true"/>
          <w:lang w:bidi="fa-IR"/>
        </w:rPr>
        <w:t>.</w:t>
      </w:r>
    </w:p>
    <w:p>
      <w:pPr>
        <w:pStyle w:val="Heading4"/>
        <w:numPr>
          <w:ilvl w:val="3"/>
          <w:numId w:val="1"/>
        </w:numPr>
        <w:rPr/>
      </w:pPr>
      <w:bookmarkStart w:id="645" w:name="__RefHeading___Toc1265548_653776707"/>
      <w:bookmarkStart w:id="646" w:name="_Toc245"/>
      <w:bookmarkEnd w:id="645"/>
      <w:r>
        <w:rPr>
          <w:rtl w:val="true"/>
        </w:rPr>
        <w:t>تنبیه</w:t>
      </w:r>
      <w:bookmarkEnd w:id="646"/>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الموجب للعدّة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 والطلاق، والفسخ بالعیوب، والانفساخ بمثل الارتداد والرضاع، والوطء بالشبهة، وانقضاء المدّة أو هبتها فی</w:t>
      </w:r>
      <w:bookmarkStart w:id="647" w:name="pg6476_57005"/>
    </w:p>
    <w:p>
      <w:pPr>
        <w:pStyle w:val="BookText"/>
        <w:rPr/>
      </w:pPr>
      <w:bookmarkEnd w:id="647"/>
      <w:r>
        <w:rPr>
          <w:rFonts w:ascii="IRNazanin" w:hAnsi="IRNazanin" w:eastAsia="IRNazanin"/>
          <w:color w:val="111111"/>
          <w:sz w:val="28"/>
          <w:sz w:val="28"/>
          <w:szCs w:val="28"/>
          <w:rtl w:val="true"/>
          <w:lang w:bidi="fa-IR"/>
        </w:rPr>
        <w:t>المتعة، ویشترط فی الجمیع کونها مدخولاً بها إلّاالأوّل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طلّقها رجعیّاً بعد الدخول، ثمّ رجع، ثمّ طلّقها قبل الدخول، لا یجری علیه حکم الطلاق قبل الدخول، وکذا لو وهب مدّتها بعد الدخول، ثمّ عقد علیها، ثمّ وهب المدّة قبل الدخول، فاللازم علیها الاعتداد فی الصورتین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المعتدّة رجعیّة بحکم الزوجة فی جمیع الأحکام؛ من النفقة والسکنی، والتوارث، وعدم نکاح الاُخت، وکون کفنها وفطرتها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البائنة فلا یترتّب علیها آثار الزوجیّة إلّاالنفقة فی المطلّقة الحامل حتّی تضع حملها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طلّقها مریضاً ومات بذلک المرض ترثه المطلّقة إلی سنة؛ بشرط أن لا تتزوّج بغیره بعد عدّتها؛ وأن لا یکون الطلاق بالتماس منها کالخلع والمباراة</w:t>
      </w:r>
      <w:r>
        <w:rPr>
          <w:rFonts w:eastAsia="IRNazanin" w:cs="IRNazanin"/>
          <w:color w:val="111111"/>
          <w:sz w:val="28"/>
          <w:szCs w:val="28"/>
          <w:rtl w:val="true"/>
          <w:lang w:bidi="fa-IR"/>
        </w:rPr>
        <w:t>.</w:t>
      </w:r>
    </w:p>
    <w:p>
      <w:pPr>
        <w:pStyle w:val="Heading4"/>
        <w:numPr>
          <w:ilvl w:val="3"/>
          <w:numId w:val="1"/>
        </w:numPr>
        <w:rPr/>
      </w:pPr>
      <w:bookmarkStart w:id="648" w:name="__RefHeading___Toc1265550_653776707"/>
      <w:bookmarkStart w:id="649" w:name="_Toc246"/>
      <w:bookmarkEnd w:id="648"/>
      <w:r>
        <w:rPr>
          <w:rtl w:val="true"/>
        </w:rPr>
        <w:t>فی الرجعة</w:t>
      </w:r>
      <w:bookmarkEnd w:id="649"/>
    </w:p>
    <w:p>
      <w:pPr>
        <w:pStyle w:val="BookText"/>
        <w:rPr/>
      </w:pPr>
      <w:r>
        <w:rPr>
          <w:rFonts w:ascii="IRNazanin" w:hAnsi="IRNazanin" w:eastAsia="IRNazanin"/>
          <w:color w:val="111111"/>
          <w:sz w:val="28"/>
          <w:sz w:val="28"/>
          <w:szCs w:val="28"/>
          <w:rtl w:val="true"/>
          <w:lang w:bidi="fa-IR"/>
        </w:rPr>
        <w:t>وهی ردّ المطلّقة إلی نکاحها السابق، ولا تکون إلّافی الطلاق الرجعیّ، وتحصل بکلّ قول دلّ علی إنشاء الرجوع،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 فی نکاحها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وتقع بکلّ لغة أفاد المقصود، وبفعل ما لا یحلّ إلّاللزوج، کالتقبیل والوطء إذا لم یکن غافلاً أو ساهیاً، ولا یعتبر اطّلاع الزوجة علیها</w:t>
      </w:r>
      <w:r>
        <w:rPr>
          <w:rFonts w:eastAsia="IRNazanin" w:cs="IRNazanin"/>
          <w:color w:val="111111"/>
          <w:sz w:val="28"/>
          <w:szCs w:val="28"/>
          <w:rtl w:val="true"/>
          <w:lang w:bidi="fa-IR"/>
        </w:rPr>
        <w:t>.</w:t>
      </w:r>
    </w:p>
    <w:p>
      <w:pPr>
        <w:pStyle w:val="Heading4"/>
        <w:numPr>
          <w:ilvl w:val="3"/>
          <w:numId w:val="1"/>
        </w:numPr>
        <w:rPr/>
      </w:pPr>
      <w:bookmarkStart w:id="650" w:name="__RefHeading___Toc1265552_653776707"/>
      <w:bookmarkStart w:id="651" w:name="_Toc247"/>
      <w:bookmarkEnd w:id="650"/>
      <w:r>
        <w:rPr>
          <w:rtl w:val="true"/>
        </w:rPr>
        <w:t>فی الخلع والمبارات</w:t>
      </w:r>
      <w:bookmarkEnd w:id="65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الطلاق بفدیة من الزوجة الکارهة لزوجها، ویشترط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شرائط الطلاق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کراهیّة الزوجة لزوجها خاصّة، فلو کانت من الزوج أو من کلیهما لم یکن خلعاً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ویقع بکلّ من لفظی الخلع والطلاق، فیجوز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خلعتکِ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مختلعة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ویجوز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w:t>
      </w:r>
    </w:p>
    <w:p>
      <w:pPr>
        <w:pStyle w:val="BookText"/>
        <w:rPr/>
      </w:pPr>
      <w:r>
        <w:rPr>
          <w:rFonts w:ascii="IRNazanin" w:hAnsi="IRNazanin" w:eastAsia="IRNazanin"/>
          <w:color w:val="111111"/>
          <w:sz w:val="28"/>
          <w:sz w:val="28"/>
          <w:szCs w:val="28"/>
          <w:rtl w:val="true"/>
          <w:lang w:bidi="fa-IR"/>
        </w:rPr>
        <w:t>طالق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والأولی الجمع بینهما، کأن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خلعتکِ علی کذا فأنتِ طالق طلقة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الخلع إیقاع یشبه العقود فی الاحتیاج إلی الطرفین والإنشاءین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بذل شیء من طرف الزوجة لیطلّقها الزوج، وإنشاء الطلاق من طرفه بما بذلت، ویقع علی 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یقدّم إنشاء البذل من طرفها، وإنشاء الطلاق من طرفه بما بذلت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العکس، والأوّل أولی، ویعتبر عدم الفصل بین الإنشائین، ویجوز التوکیل فی صیغته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وقع الخلع من الوکیلین أو الوکیل من الطرفین، یقول وکیل الزوجة مخاطباً لوکیل الزوج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قِبَل موکّلتی فلانة بذلت لموکّلک ما علیه من المهر أو المبلغ الفلانی لیخلعها ویطلّقها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فیقول وکیل الزوج فوراً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زوجة موکّلی طالق علی ما بذلتْ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خلعتها علی ما بذلتْ فهی طالق</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الخلع بذل الفداء عوضاً عن الطلاق، ویجوز الفداء بکلّ ما تراضیا علیه؛ من عین أو دین أو منفعة وإن زاد علی المسمّی، ویکفی التعیین الإجمالی؛ کأن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بذلت ما فی ذمّتک من المهر أو ما فی هذا الصندوق من المال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جعلت الفداء مال الغیر، أو وقع الفصل بین إنشاء البذل والطلاق، أو لم تکن کارهة وإن بذلت عوضاً، بطل الخلع ویصحّ الطلاق إن أتی بلفظه، فإن کان مورده رجعیّاً کان رجعیّاً، وإلّا کان بائناً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فی الخلع کون کراهتها شدیدة؛ بحیث یخاف من حالها الخروج من الطاعة والدخول فی المعصیة، ولا فرق فیها بین أن تکون ناشئة من خصوصیّات الزوج کقبح منظره وخُلقه، أو من عوارض اُخر کوجود الضرّة</w:t>
      </w:r>
    </w:p>
    <w:p>
      <w:pPr>
        <w:pStyle w:val="BookText"/>
        <w:rPr/>
      </w:pP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کانت من إیذائه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بالضرب والشتم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فبذلت شیئاً لیطلّقها، لم یتحقّق الخلع، وحرم علیه ما أخذه، ویصحّ الطلاق رجعیّاً بالشرط المتقدّم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الخلع بائن لا رجوع فیه ما لم ترجع المرأة فیما بذلت، ولها الرجوع ما دامت فی العدّة، فإن رجعت کان له الرجوع أیضاً، والظاهر أنّ جواز رجوعها مشروط بإمکان رجوعه، فلا یصحّ رجوع المطلّقة ثلاثاً أو الیائسة أو غیر المدخول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المباراة قسم من الطلاق، فیعتبر فیها ما یعتبر فی الطلاق، وما یعتبر فی الخلع من الفدیة والکراهة، وتفارق الخلع باُمور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الکراهة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 الفداء بأکثر من مهرها، بل الأحوط کونه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بارئتکِ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وقوع الخلع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مختلِعة</w:t>
      </w:r>
      <w:r>
        <w:rPr>
          <w:rFonts w:eastAsia="IRNazanin" w:cs="IRNazanin"/>
          <w:color w:val="111111"/>
          <w:sz w:val="28"/>
          <w:szCs w:val="28"/>
          <w:rtl w:val="true"/>
          <w:lang w:bidi="fa-IR"/>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تقع المباراة بلفظ الطلاق؛ فیقول وکیل الزوجة مخاطباً لوکیل الزوج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موکّلتی بذلت لموکّلک ما علیه من المهر أو بعض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فیقول وکیل الزوج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زوجة موکّلتی علی ما بذلتْ طالق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وهذه أیضاً طلاق بائن بالذات، إلّاأن ترجع هی فیرجع هو</w:t>
      </w:r>
      <w:r>
        <w:rPr>
          <w:rFonts w:eastAsia="IRNazanin" w:cs="IRNazanin"/>
          <w:color w:val="111111"/>
          <w:sz w:val="28"/>
          <w:szCs w:val="28"/>
          <w:rtl w:val="true"/>
          <w:lang w:bidi="fa-IR"/>
        </w:rPr>
        <w:t>.</w:t>
      </w:r>
      <w:bookmarkStart w:id="652" w:name="pg6476_57008"/>
    </w:p>
    <w:p>
      <w:pPr>
        <w:pStyle w:val="Heading2"/>
        <w:numPr>
          <w:ilvl w:val="1"/>
          <w:numId w:val="1"/>
        </w:numPr>
        <w:rPr/>
      </w:pPr>
      <w:bookmarkStart w:id="653" w:name="__RefHeading___Toc1265554_653776707"/>
      <w:bookmarkStart w:id="654" w:name="_Toc248"/>
      <w:bookmarkEnd w:id="652"/>
      <w:bookmarkEnd w:id="653"/>
      <w:r>
        <w:rPr>
          <w:rtl w:val="true"/>
        </w:rPr>
        <w:t>کتاب المواریث</w:t>
      </w:r>
      <w:bookmarkEnd w:id="654"/>
    </w:p>
    <w:p>
      <w:pPr>
        <w:pStyle w:val="Heading3"/>
        <w:numPr>
          <w:ilvl w:val="2"/>
          <w:numId w:val="1"/>
        </w:numPr>
        <w:rPr/>
      </w:pPr>
      <w:bookmarkStart w:id="655" w:name="__RefHeading___Toc1265556_653776707"/>
      <w:bookmarkStart w:id="656" w:name="_Toc249"/>
      <w:bookmarkEnd w:id="655"/>
      <w:r>
        <w:rPr>
          <w:rtl w:val="true"/>
        </w:rPr>
        <w:t>اشارة</w:t>
      </w:r>
      <w:bookmarkEnd w:id="656"/>
    </w:p>
    <w:p>
      <w:pPr>
        <w:pStyle w:val="BookText"/>
        <w:rPr/>
      </w:pPr>
      <w:r>
        <w:rPr>
          <w:rFonts w:ascii="IRNazanin" w:hAnsi="IRNazanin" w:eastAsia="IRNazanin"/>
          <w:color w:val="111111"/>
          <w:sz w:val="28"/>
          <w:sz w:val="28"/>
          <w:szCs w:val="28"/>
          <w:rtl w:val="true"/>
          <w:lang w:bidi="fa-IR"/>
        </w:rPr>
        <w:t>وفیه مقدّمات ومقصدان وخاتمة، أمّا المقدّمات فاُمور</w:t>
      </w:r>
      <w:r>
        <w:rPr>
          <w:rFonts w:eastAsia="IRNazanin" w:cs="IRNazanin"/>
          <w:color w:val="111111"/>
          <w:sz w:val="28"/>
          <w:szCs w:val="28"/>
          <w:rtl w:val="true"/>
          <w:lang w:bidi="fa-IR"/>
        </w:rPr>
        <w:t>:</w:t>
      </w:r>
    </w:p>
    <w:p>
      <w:pPr>
        <w:pStyle w:val="Heading3"/>
        <w:numPr>
          <w:ilvl w:val="2"/>
          <w:numId w:val="1"/>
        </w:numPr>
        <w:rPr/>
      </w:pPr>
      <w:bookmarkStart w:id="657" w:name="__RefHeading___Toc1265558_653776707"/>
      <w:bookmarkStart w:id="658" w:name="_Toc250"/>
      <w:bookmarkEnd w:id="657"/>
      <w:r>
        <w:rPr>
          <w:rtl w:val="true"/>
        </w:rPr>
        <w:t>الأوّل</w:t>
      </w:r>
      <w:r>
        <w:rPr>
          <w:rtl w:val="true"/>
        </w:rPr>
        <w:t xml:space="preserve">: </w:t>
      </w:r>
      <w:r>
        <w:rPr>
          <w:rtl w:val="true"/>
        </w:rPr>
        <w:t>فی موجبات الإرث</w:t>
      </w:r>
      <w:bookmarkEnd w:id="658"/>
    </w:p>
    <w:p>
      <w:pPr>
        <w:pStyle w:val="BookText"/>
        <w:rPr/>
      </w:pPr>
      <w:r>
        <w:rPr>
          <w:rFonts w:ascii="IRNazanin" w:hAnsi="IRNazanin" w:eastAsia="IRNazanin"/>
          <w:color w:val="111111"/>
          <w:sz w:val="28"/>
          <w:sz w:val="28"/>
          <w:szCs w:val="28"/>
          <w:rtl w:val="true"/>
          <w:lang w:bidi="fa-IR"/>
        </w:rPr>
        <w:t>وهی نسب وسبب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ثلاث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الأبوان والأولاد وإن نزلوا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الأجداد والجدّات وإن علوا، والإخوة والأخوات وأولادهم وإن نزلوا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الأعمام والعمّات والأخوال والخالات وإن وأولادهم وإن نزلوا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والثانی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الزوجیّة وولاء الإمامة</w:t>
      </w:r>
      <w:r>
        <w:rPr>
          <w:rFonts w:eastAsia="IRNazanin" w:cs="IRNazanin"/>
          <w:color w:val="111111"/>
          <w:sz w:val="28"/>
          <w:szCs w:val="28"/>
          <w:rtl w:val="true"/>
          <w:lang w:bidi="fa-IR"/>
        </w:rPr>
        <w:t>.</w:t>
      </w:r>
    </w:p>
    <w:p>
      <w:pPr>
        <w:pStyle w:val="Heading3"/>
        <w:numPr>
          <w:ilvl w:val="2"/>
          <w:numId w:val="1"/>
        </w:numPr>
        <w:rPr/>
      </w:pPr>
      <w:bookmarkStart w:id="659" w:name="__RefHeading___Toc1265560_653776707"/>
      <w:bookmarkStart w:id="660" w:name="_Toc251"/>
      <w:bookmarkEnd w:id="659"/>
      <w:r>
        <w:rPr>
          <w:rtl w:val="true"/>
        </w:rPr>
        <w:t>الأمر الثانی</w:t>
      </w:r>
      <w:r>
        <w:rPr>
          <w:rtl w:val="true"/>
        </w:rPr>
        <w:t xml:space="preserve">: </w:t>
      </w:r>
      <w:r>
        <w:rPr>
          <w:rtl w:val="true"/>
        </w:rPr>
        <w:t>فی موانع الإرث</w:t>
      </w:r>
      <w:bookmarkEnd w:id="660"/>
    </w:p>
    <w:p>
      <w:pPr>
        <w:pStyle w:val="Heading4"/>
        <w:numPr>
          <w:ilvl w:val="3"/>
          <w:numId w:val="1"/>
        </w:numPr>
        <w:rPr/>
      </w:pPr>
      <w:bookmarkStart w:id="661" w:name="__RefHeading___Toc1265562_653776707"/>
      <w:bookmarkStart w:id="662" w:name="_Toc252"/>
      <w:bookmarkEnd w:id="661"/>
      <w:r>
        <w:rPr>
          <w:rtl w:val="true"/>
        </w:rPr>
        <w:t>اشارة</w:t>
      </w:r>
      <w:bookmarkEnd w:id="662"/>
    </w:p>
    <w:p>
      <w:pPr>
        <w:pStyle w:val="BookText"/>
        <w:rPr/>
      </w:pPr>
      <w:r>
        <w:rPr>
          <w:rFonts w:ascii="IRNazanin" w:hAnsi="IRNazanin" w:eastAsia="IRNazanin"/>
          <w:color w:val="111111"/>
          <w:sz w:val="28"/>
          <w:sz w:val="28"/>
          <w:szCs w:val="28"/>
          <w:rtl w:val="true"/>
          <w:lang w:bidi="fa-IR"/>
        </w:rPr>
        <w:t>وهی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یمنع عن أصله، ویسمّی حَجْب الحرمان، ومنها ما یمنع عن بعضه، ویسمّی حَجْب النقصان، فما یمنع عن أصله اُمور</w:t>
      </w:r>
      <w:r>
        <w:rPr>
          <w:rFonts w:eastAsia="IRNazanin" w:cs="IRNazanin"/>
          <w:color w:val="111111"/>
          <w:sz w:val="28"/>
          <w:szCs w:val="28"/>
          <w:rtl w:val="true"/>
          <w:lang w:bidi="fa-IR"/>
        </w:rPr>
        <w:t>:</w:t>
      </w:r>
    </w:p>
    <w:p>
      <w:pPr>
        <w:pStyle w:val="Heading4"/>
        <w:numPr>
          <w:ilvl w:val="3"/>
          <w:numId w:val="1"/>
        </w:numPr>
        <w:rPr/>
      </w:pPr>
      <w:bookmarkStart w:id="663" w:name="__RefHeading___Toc1265564_653776707"/>
      <w:bookmarkStart w:id="664" w:name="_Toc253"/>
      <w:bookmarkEnd w:id="663"/>
      <w:r>
        <w:rPr>
          <w:rtl w:val="true"/>
        </w:rPr>
        <w:t>الأوّل</w:t>
      </w:r>
      <w:r>
        <w:rPr>
          <w:rtl w:val="true"/>
        </w:rPr>
        <w:t xml:space="preserve">: </w:t>
      </w:r>
      <w:r>
        <w:rPr>
          <w:rtl w:val="true"/>
        </w:rPr>
        <w:t>الکفر</w:t>
      </w:r>
      <w:bookmarkEnd w:id="664"/>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یرث الکافر أصلیّاً أو مرتدّاً من المسلم، ویرث المسلم من الکافر، فلو</w:t>
      </w:r>
    </w:p>
    <w:p>
      <w:pPr>
        <w:pStyle w:val="BookText"/>
        <w:rPr/>
      </w:pPr>
      <w:r>
        <w:rPr>
          <w:rFonts w:ascii="IRNazanin" w:hAnsi="IRNazanin" w:eastAsia="IRNazanin"/>
          <w:color w:val="111111"/>
          <w:sz w:val="28"/>
          <w:sz w:val="28"/>
          <w:szCs w:val="28"/>
          <w:rtl w:val="true"/>
          <w:lang w:bidi="fa-IR"/>
        </w:rPr>
        <w:t>مات المسلم ولم یکن له وارث مسلم ورثه الإمام علیه السلام، ولو مات الکافر، فإن کان فی ورّاثه مسلم ورثه دون الکافر، وإن لم یکن مسلم، فإن کان کفره أصلیّاً ورثه الکافر، وإن کان مرتدّاً ورثه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مات المسلم وکان وارثه منحصراً فی الزوج والإمام علیه السلام، ورثه الزوج، وإن کان منحصراً فی الزوجة والإمام، کان ربع ماله للزوجة والباقی للإمام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المراد بالمسلم أعمّ منه حقیقة أو حکماً، فکلّ طفل کان أحد أبویه مسلماً حال انعقاد نطفته، فهو مسلم حکماً وتبعاً، وإن ارتدّ بعد ذلک المتبوع، فلا یتبعه الطفل فی الارتداد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طفل کان أبواه معاً کافرین عند انعقاد نطفته، فهو بحکم الکافر، وإن أسلم بعد ذلک أحدهما تبعه الطفل فی الإسلام، فلو مات کافر عن أولاد کفّار وله ابن أخ مسلم حکماً، ورثه ابن الأخ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المسلمون یتوارثون وإن اختلفوا فی المذاهب وأُصول العقائد کالسنّی والشیعی، فیرث المحقّ عن المبطل، وبالعکس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الفِرق المحکومون بالکفر منهم کالغلاة والنواصب والخوارج لا یرثون المسلم ویرثهم المسلمون، والکفّار أیضاً یتوارثون علی اختلاف فِرقهم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خرج عن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 وملّیّ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أحد أبویه مسلماً حال انعقاد نطفته، ثمّ أظهر الإسلام بعد بلوغه ثمّ خرج عنه؛ کمسلم بالأصل ارتدّ بعد مدّة من بلوغه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أبواه کافرین حین انعقاد نطفته، ثمّ أظهر الکفر بعد البلوغ، ثمّ أسلم ثمّ عاد إلی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کنصرانیّ بالأصل أسلم ثمّ عاد إلی النصرانیّة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رجلاً تبین منه زوجته، وینفسخ نکاحها بغیر طلاق، وتعتدّ</w:t>
      </w:r>
      <w:bookmarkStart w:id="665" w:name="pg6476_57010"/>
    </w:p>
    <w:p>
      <w:pPr>
        <w:pStyle w:val="BookText"/>
        <w:rPr/>
      </w:pPr>
      <w:bookmarkEnd w:id="665"/>
      <w:r>
        <w:rPr>
          <w:rFonts w:ascii="IRNazanin" w:hAnsi="IRNazanin" w:eastAsia="IRNazanin"/>
          <w:color w:val="111111"/>
          <w:sz w:val="28"/>
          <w:sz w:val="28"/>
          <w:szCs w:val="28"/>
          <w:rtl w:val="true"/>
          <w:lang w:bidi="fa-IR"/>
        </w:rPr>
        <w:t>عدّة الوفاة ثمّ تتزوّج إن أرادت، وتقسّم أمواله التی کانت له حین ارتداده بعد أداء دیونه کالمیّت، ولا تفید توبته فی رجوع ماله وزوجته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باطناً وظاهراً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بعض الأحکام؛ فیطهر بدنه، وتصحّ عباداته، ویرث عن المسلم، ویجوز له التزویج بالمسلمة وتجدید العقد علی زوجته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امرأة بقیت أموالها علی ملکها، وتبین من زوجها المسلم فعلاً، فإن تابت قبل انقضاء 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عدّة الطلاق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بقیت الزوجیّة، وإلّا بانت من حین الارتداد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کان أو امرأة، فلا تنتقل أمواله إلی غیره، ویتوقّف انفساخ النکاح إلی انقضاء العدّة، فإن رجع، وإلّا بان الانفساخ من حین الارتداد</w:t>
      </w:r>
      <w:r>
        <w:rPr>
          <w:rFonts w:eastAsia="IRNazanin" w:cs="IRNazanin"/>
          <w:color w:val="111111"/>
          <w:sz w:val="28"/>
          <w:szCs w:val="28"/>
          <w:rtl w:val="true"/>
          <w:lang w:bidi="fa-IR"/>
        </w:rPr>
        <w:t>.</w:t>
      </w:r>
    </w:p>
    <w:p>
      <w:pPr>
        <w:pStyle w:val="Heading4"/>
        <w:numPr>
          <w:ilvl w:val="3"/>
          <w:numId w:val="1"/>
        </w:numPr>
        <w:rPr/>
      </w:pPr>
      <w:bookmarkStart w:id="666" w:name="__RefHeading___Toc1265566_653776707"/>
      <w:bookmarkStart w:id="667" w:name="_Toc254"/>
      <w:bookmarkEnd w:id="666"/>
      <w:r>
        <w:rPr>
          <w:rtl w:val="true"/>
        </w:rPr>
        <w:t>الثانی</w:t>
      </w:r>
      <w:r>
        <w:rPr>
          <w:rtl w:val="true"/>
        </w:rPr>
        <w:t xml:space="preserve">: </w:t>
      </w:r>
      <w:r>
        <w:rPr>
          <w:rtl w:val="true"/>
        </w:rPr>
        <w:t>القتل</w:t>
      </w:r>
      <w:bookmarkEnd w:id="6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یرث القاتل من المقتول لو کان القتل عمداً وظلماً، ویرثه إن قتله بحقّ أو خطأً محضاً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شبه العمد، ففی کونه کالعمد أو کالخطأ المحض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بعض التسبیبات التی لا یستند معها القتل إلی المسبِّب کحفر البئر فی الطریق وإلقاء المزالق فیها؛ وإن أوجب الضمان والدیة، لکنّه غیر مانع عن الإرث، فلو حفر بئراً فی الطریق ووقع فیه أبوه فمات ورث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مانعیّة القتل بین کون القاتل واحداً أو متعدّداً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أنّ القاتل ممنوع عن الإرث، کذلک لا یکون حاجباً، فلو قتل أباه ولم یکن للمقتول غیر الأخ والولد القاتل، ورثه الأخ ولا یمنعه الابن عن الإرث</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الدیة فی حکم مال المقتول یقضی منها دیونه ووصایاه، ثمّ یقسّم الباقی؛ سواء فی ذلک دیة العمد وشبهه والخطأ المحض، ویرثها جمیع الورثة حتّی الزوجان، ولا یرث القاتل من دیة الخطأ المحض</w:t>
      </w:r>
      <w:r>
        <w:rPr>
          <w:rFonts w:eastAsia="IRNazanin" w:cs="IRNazanin"/>
          <w:color w:val="111111"/>
          <w:sz w:val="28"/>
          <w:szCs w:val="28"/>
          <w:rtl w:val="true"/>
          <w:lang w:bidi="fa-IR"/>
        </w:rPr>
        <w:t>.</w:t>
      </w:r>
      <w:bookmarkStart w:id="668" w:name="pg6476_57011"/>
    </w:p>
    <w:p>
      <w:pPr>
        <w:pStyle w:val="Heading4"/>
        <w:numPr>
          <w:ilvl w:val="3"/>
          <w:numId w:val="1"/>
        </w:numPr>
        <w:rPr/>
      </w:pPr>
      <w:bookmarkStart w:id="669" w:name="__RefHeading___Toc1265568_653776707"/>
      <w:bookmarkStart w:id="670" w:name="_Toc255"/>
      <w:bookmarkEnd w:id="668"/>
      <w:bookmarkEnd w:id="669"/>
      <w:r>
        <w:rPr>
          <w:rtl w:val="true"/>
        </w:rPr>
        <w:t>الثالث</w:t>
      </w:r>
      <w:r>
        <w:rPr>
          <w:rtl w:val="true"/>
        </w:rPr>
        <w:t xml:space="preserve">: </w:t>
      </w:r>
      <w:r>
        <w:rPr>
          <w:rtl w:val="true"/>
        </w:rPr>
        <w:t>التولّد من الزنا</w:t>
      </w:r>
      <w:bookmarkEnd w:id="6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کان الزنا من الطرفین فلا توارث بین الطفل وبینهما، ولا بینه وبین أرحامهما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کان الفعل من أحدهما 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توارث بین الطفل والزانی منهما، ولا مانع من التوارث بین ولد الزنا وأقربائه من غیر الزنا کولده وزوجته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والمتولّد من الشبهة کالمتولّد من الحلال فی جمیع الآثار، ومثله المتولّد من الحرام غیر الزنا کالوطء حال الحیض وفی یوم الصیام، ونکاح الملل غیر الإسلام ونکاح مذاهب المسلمین لا یمنع من التوارث؛ لو وقع علی وفق مذهبهم وإن کان باطلاً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p>
    <w:p>
      <w:pPr>
        <w:pStyle w:val="BookText"/>
        <w:rPr/>
      </w:pPr>
      <w:r>
        <w:rPr>
          <w:rFonts w:ascii="IRNazanin" w:hAnsi="IRNazanin" w:eastAsia="IRNazanin"/>
          <w:color w:val="111111"/>
          <w:sz w:val="28"/>
          <w:sz w:val="28"/>
          <w:szCs w:val="28"/>
          <w:rtl w:val="true"/>
          <w:lang w:bidi="fa-IR"/>
        </w:rPr>
        <w:t>الحمل لا یرث ما دام حملاً، بل مشروط بانفصاله حیّاً وإن مات من ساعته، وحینئذٍ لو انحصر ولد المیّت فی الحمل وله إخوة، یحجب الإخوة عن الإرث حتّی یتبیّن الحال؛ فإن سقط الحمل حیّاً ورث، وإن سقط میّتاً ورثوا، فهذا نوع من الحجب، کما أنّ وجود کلّ طبقة متقدّمة مانع عن المتأخّرة، کالإخوة بالنسبة إلی الأعمام، وکلّ درجة متقدّمة مانع عن الدرجة بعدها کالأولاد بالنسبة إلی الأحفاد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یمنع عن بعض الإرث وهو حجب النقصان، فاُمور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خطأً محضاً فإنّه یمنع القاتل عن الدیة التی تؤدّیها العاقلة، وأمّا القتل شبه عمد فقد مرّ الإشکال فی أنّه مانع بالکلّیة أو عن خصوص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أکبر الأولاد الذکور، فإنّه یحجب باقی الورثة عن الحبوة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مطلقاً، فإنّه یمنع الزوجین عن نصیبهما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الوارث مطلقاً غیر الإمام، فإنّه یمنع الزوج عمّا زاد عن النصف</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الترکة عن السهام، فإنّه یحجب البنت أو الاُخت عن فریضتهما، فلو کان للمیّت بنت واحدة وأبوان وزوج، یردّ النقص علی البنت</w:t>
      </w:r>
      <w:r>
        <w:rPr>
          <w:rFonts w:eastAsia="IRNazanin" w:cs="IRNazanin"/>
          <w:color w:val="111111"/>
          <w:sz w:val="28"/>
          <w:szCs w:val="28"/>
          <w:rtl w:val="true"/>
          <w:lang w:bidi="fa-IR"/>
        </w:rPr>
        <w:t>.</w:t>
      </w:r>
      <w:bookmarkStart w:id="671" w:name="pg6476_57012"/>
    </w:p>
    <w:p>
      <w:pPr>
        <w:pStyle w:val="BookText"/>
        <w:rPr/>
      </w:pPr>
      <w:bookmarkEnd w:id="671"/>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 من الأبوین أو الأب، فإنّها تمنع الإخوة من الاُمّ عمّا زاد عن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وإن نزل، فإنّه یمنع الأبوین عمّا زاد علی السدس فریضة لا 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الإخوة والأخوات، فإنّهم یمنعون الاُمّ من الزیادة علی السدس فریضة</w:t>
      </w:r>
      <w:r>
        <w:rPr>
          <w:rFonts w:eastAsia="IRNazanin" w:cs="IRNazanin"/>
          <w:color w:val="111111"/>
          <w:sz w:val="28"/>
          <w:szCs w:val="28"/>
          <w:rtl w:val="true"/>
          <w:lang w:bidi="fa-IR"/>
        </w:rPr>
        <w:t>.</w:t>
      </w:r>
    </w:p>
    <w:p>
      <w:pPr>
        <w:pStyle w:val="Heading3"/>
        <w:numPr>
          <w:ilvl w:val="2"/>
          <w:numId w:val="1"/>
        </w:numPr>
        <w:rPr/>
      </w:pPr>
      <w:bookmarkStart w:id="672" w:name="__RefHeading___Toc1265570_653776707"/>
      <w:bookmarkStart w:id="673" w:name="_Toc256"/>
      <w:bookmarkEnd w:id="672"/>
      <w:r>
        <w:rPr>
          <w:rtl w:val="true"/>
        </w:rPr>
        <w:t>الأمر الثالث</w:t>
      </w:r>
      <w:r>
        <w:rPr>
          <w:rtl w:val="true"/>
        </w:rPr>
        <w:t xml:space="preserve">: </w:t>
      </w:r>
      <w:r>
        <w:rPr>
          <w:rtl w:val="true"/>
        </w:rPr>
        <w:t>فی السهام</w:t>
      </w:r>
      <w:bookmarkEnd w:id="673"/>
    </w:p>
    <w:p>
      <w:pPr>
        <w:pStyle w:val="Heading4"/>
        <w:numPr>
          <w:ilvl w:val="3"/>
          <w:numId w:val="1"/>
        </w:numPr>
        <w:rPr/>
      </w:pPr>
      <w:bookmarkStart w:id="674" w:name="__RefHeading___Toc1265572_653776707"/>
      <w:bookmarkStart w:id="675" w:name="_Toc257"/>
      <w:bookmarkEnd w:id="674"/>
      <w:r>
        <w:rPr>
          <w:rtl w:val="true"/>
        </w:rPr>
        <w:t>اشارة</w:t>
      </w:r>
      <w:bookmarkEnd w:id="675"/>
    </w:p>
    <w:p>
      <w:pPr>
        <w:pStyle w:val="BookText"/>
        <w:rPr/>
      </w:pPr>
      <w:r>
        <w:rPr>
          <w:rFonts w:ascii="IRNazanin" w:hAnsi="IRNazanin" w:eastAsia="IRNazanin"/>
          <w:color w:val="111111"/>
          <w:sz w:val="28"/>
          <w:sz w:val="28"/>
          <w:szCs w:val="28"/>
          <w:rtl w:val="true"/>
          <w:lang w:bidi="fa-IR"/>
        </w:rPr>
        <w:t>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یرث بالفرض أو بالقرابة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السهم المقدّر والکسر المعیّن الذی سمّاه اللّه تعالی فی کتابه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والفروض ستّة وأربابها ثلاثة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النصف، وهو للبنت الواحدة إذا لم یکن معها ولد، وللاُخت الواحدة للأبوین أو للأب إذا لم یکن معها أخ کذلک، وللزوج إن لم یکن للزوجة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الربع، وهو للزوج إن کان للزوجة ولد، وللزوجة إن لم یکن للزوج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الثمن، وهو للزوجة إن کان للزوج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الثلث، وهو للاُمّ بشرط أن لا یکون للمیّت ولد، ولا إخوة متعدّدة، وللأخ والاُخت من الاُمّ مع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الثلثان، وهو للبنتین فصاعداً مع عدم الابن للمیّت، وللاُختین فصاعداً للأبوین مع عدم الأخ للأبوین، أو الاُختین لأب مع عدم الأخ لأب</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السدس، وهو للأب مع وجود الولد مطلقاً، وللاُمّ مع وجود الحاجب کما مرّ، وللأخ أو الاُخت للاُمّ مع عدم 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ونصفه، ونصف</w:t>
      </w:r>
      <w:bookmarkStart w:id="676" w:name="pg6476_57013"/>
    </w:p>
    <w:p>
      <w:pPr>
        <w:pStyle w:val="BookText"/>
        <w:rPr/>
      </w:pPr>
      <w:bookmarkEnd w:id="676"/>
      <w:r>
        <w:rPr>
          <w:rFonts w:ascii="IRNazanin" w:hAnsi="IRNazanin" w:eastAsia="IRNazanin"/>
          <w:color w:val="111111"/>
          <w:sz w:val="28"/>
          <w:sz w:val="28"/>
          <w:szCs w:val="28"/>
          <w:rtl w:val="true"/>
          <w:lang w:bidi="fa-IR"/>
        </w:rPr>
        <w:t>نصفه، وثلثان ونصفهما ونصف نصفهما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 ما ذکر من أصناف ذوی الفروض یرثون بالقرابة؛ بمعنی أنّه لم یعیّن لهم فرض مقدّر فی کتاب اللّه وإن ذکروا بنحو العموم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الوارث علی أقسام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بالفرض فقط، ووارث بالقرابة فقط، ووارث بالفرض فی حال وبالقرابة فی حال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کالزوجین، فإرثهما بالفرض مطلقاً إلّافی صورة انحصار الوارث بالإمام والزوج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کأهل الطبقة الثالثة من الأعمال والأخوال وغیرهم، وکالابن من الطبقة الاُولی، والأخ للأبوین أو للأب من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کغالب الورّاث؛ من الأب والاُمّ والبنات والأخوات کما سیجیء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اجتمع جدّ أو جدّة من قبل الاُمّ أو کلاهما مع المنتسبین من قبل الأب، کالأجداد من قبله، والإخوة والأخوات من قبل الأبوین أو الأب، یکون حقّه ثلث مجموع الترکة، ویرد النقص علی ذوی الفروض</w:t>
      </w:r>
      <w:r>
        <w:rPr>
          <w:rFonts w:eastAsia="IRNazanin" w:cs="IRNazanin"/>
          <w:color w:val="111111"/>
          <w:sz w:val="28"/>
          <w:szCs w:val="28"/>
          <w:rtl w:val="true"/>
          <w:lang w:bidi="fa-IR"/>
        </w:rPr>
        <w:t>.</w:t>
      </w:r>
    </w:p>
    <w:p>
      <w:pPr>
        <w:pStyle w:val="Heading4"/>
        <w:numPr>
          <w:ilvl w:val="3"/>
          <w:numId w:val="1"/>
        </w:numPr>
        <w:rPr/>
      </w:pPr>
      <w:bookmarkStart w:id="677" w:name="__RefHeading___Toc1265574_653776707"/>
      <w:bookmarkStart w:id="678" w:name="_Toc258"/>
      <w:bookmarkEnd w:id="677"/>
      <w:r>
        <w:rPr>
          <w:rtl w:val="true"/>
        </w:rPr>
        <w:t>التعصیب والعول باطلان</w:t>
      </w:r>
      <w:bookmarkEnd w:id="6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ورثة المیّت یرثون بالفرض فللمسألة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کانت الترکة بقدر السهام المفروضة بلا زیادة ونقصان، کما فی الأبوین والبنات، فالثلثان للبنات، والثلث للأبوین؛ لکلّ واحد منهما السدس</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کانت الترکة أزید من السهام، کما فی البنت الواحدة والاُمّ، فإنّ للبنت النصف، وللاُمّ السدس، فیبقی ثلث الترکة، فعلی مذهبنا یردّ الفاضل علیهما</w:t>
      </w:r>
      <w:bookmarkStart w:id="679" w:name="pg6476_57014"/>
    </w:p>
    <w:p>
      <w:pPr>
        <w:pStyle w:val="BookText"/>
        <w:rPr/>
      </w:pPr>
      <w:bookmarkEnd w:id="679"/>
      <w:r>
        <w:rPr>
          <w:rFonts w:ascii="IRNazanin" w:hAnsi="IRNazanin" w:eastAsia="IRNazanin"/>
          <w:color w:val="111111"/>
          <w:sz w:val="28"/>
          <w:sz w:val="28"/>
          <w:szCs w:val="28"/>
          <w:rtl w:val="true"/>
          <w:lang w:bidi="fa-IR"/>
        </w:rPr>
        <w:t>أرباعاً، وعلی مذهب أهل التسنّن یردّ إلی العصبة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کلّ ذکر ینتسب إلی المیّت بلا واسطة أو بواسطة الذکور، فیردّون الفاضل فی المثال إلی الإخوة من الأبوین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ویسمّونه تعصیباً؛ أی إعطاء ما زاد عن الفروض إلی العصبة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کانت الترکة أقلّ من السهام؛ کما فی بنت وزوج وأبوین، فعلی مذهبنا یرد النقص علی البنت، فیردّ الربع إلی الزوج، والثلث إلی الأبوین، فیبقی الثلث ونصف السدس للبنت وقد کان نصیبها النصف، وعلی مذهب أهل السنّة یرد النقص علی الجمیع بالنسبة، ویسمّونه عولاً أی نقصاً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تردّ الزیادة علی عدّة من أرباب الفروض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الزوجة، فتعطی فرضها ویردّ الباقی علی غیرها من الطبقات، وکذا الزوج مع غیر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الاُمّ مع الأب إذا کان حاجب، فیردّ الزائد عن السدس إلی الأب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اجتمع الوارث بالفرض مع الوارث بالقرابة، یعطی فرض الوارث بالفرض، والباقی للوارث بالقرابة، فلو اجتمع الأبوان مع الأولاد یعطی الأبوان السدسین ویکون الباقی للأولاد بالقرابة</w:t>
      </w:r>
      <w:r>
        <w:rPr>
          <w:rFonts w:eastAsia="IRNazanin" w:cs="IRNazanin"/>
          <w:color w:val="111111"/>
          <w:sz w:val="28"/>
          <w:szCs w:val="28"/>
          <w:rtl w:val="true"/>
          <w:lang w:bidi="fa-IR"/>
        </w:rPr>
        <w:t>.</w:t>
      </w:r>
    </w:p>
    <w:p>
      <w:pPr>
        <w:pStyle w:val="Heading3"/>
        <w:numPr>
          <w:ilvl w:val="2"/>
          <w:numId w:val="1"/>
        </w:numPr>
        <w:rPr/>
      </w:pPr>
      <w:bookmarkStart w:id="680" w:name="__RefHeading___Toc1265576_653776707"/>
      <w:bookmarkStart w:id="681" w:name="_Toc259"/>
      <w:bookmarkEnd w:id="680"/>
      <w:r>
        <w:rPr>
          <w:rtl w:val="true"/>
        </w:rPr>
        <w:t>المقصد الأوّل</w:t>
      </w:r>
      <w:r>
        <w:rPr>
          <w:rtl w:val="true"/>
        </w:rPr>
        <w:t xml:space="preserve">: </w:t>
      </w:r>
      <w:r>
        <w:rPr>
          <w:rtl w:val="true"/>
        </w:rPr>
        <w:t>فی میراث الأنساب</w:t>
      </w:r>
      <w:bookmarkEnd w:id="681"/>
    </w:p>
    <w:p>
      <w:pPr>
        <w:pStyle w:val="Heading4"/>
        <w:numPr>
          <w:ilvl w:val="3"/>
          <w:numId w:val="1"/>
        </w:numPr>
        <w:rPr/>
      </w:pPr>
      <w:bookmarkStart w:id="682" w:name="__RefHeading___Toc1265578_653776707"/>
      <w:bookmarkStart w:id="683" w:name="_Toc260"/>
      <w:bookmarkEnd w:id="682"/>
      <w:r>
        <w:rPr>
          <w:rtl w:val="true"/>
        </w:rPr>
        <w:t>اشارة</w:t>
      </w:r>
      <w:bookmarkEnd w:id="683"/>
    </w:p>
    <w:p>
      <w:pPr>
        <w:pStyle w:val="BookText"/>
        <w:rPr/>
      </w:pPr>
      <w:r>
        <w:rPr>
          <w:rFonts w:ascii="IRNazanin" w:hAnsi="IRNazanin" w:eastAsia="IRNazanin"/>
          <w:color w:val="111111"/>
          <w:sz w:val="28"/>
          <w:sz w:val="28"/>
          <w:szCs w:val="28"/>
          <w:rtl w:val="true"/>
          <w:lang w:bidi="fa-IR"/>
        </w:rPr>
        <w:t>وهم ثلاث مراتب</w:t>
      </w:r>
      <w:r>
        <w:rPr>
          <w:rFonts w:eastAsia="IRNazanin" w:cs="IRNazanin"/>
          <w:color w:val="111111"/>
          <w:sz w:val="28"/>
          <w:szCs w:val="28"/>
          <w:rtl w:val="true"/>
          <w:lang w:bidi="fa-IR"/>
        </w:rPr>
        <w:t>:</w:t>
      </w:r>
    </w:p>
    <w:p>
      <w:pPr>
        <w:pStyle w:val="Heading4"/>
        <w:numPr>
          <w:ilvl w:val="3"/>
          <w:numId w:val="1"/>
        </w:numPr>
        <w:rPr/>
      </w:pPr>
      <w:bookmarkStart w:id="684" w:name="__RefHeading___Toc1265580_653776707"/>
      <w:bookmarkStart w:id="685" w:name="_Toc261"/>
      <w:bookmarkEnd w:id="684"/>
      <w:r>
        <w:rPr>
          <w:rtl w:val="true"/>
        </w:rPr>
        <w:t>الاُولی</w:t>
      </w:r>
      <w:r>
        <w:rPr>
          <w:rtl w:val="true"/>
        </w:rPr>
        <w:t>:</w:t>
      </w:r>
      <w:bookmarkEnd w:id="685"/>
    </w:p>
    <w:p>
      <w:pPr>
        <w:pStyle w:val="Heading5"/>
        <w:numPr>
          <w:ilvl w:val="4"/>
          <w:numId w:val="1"/>
        </w:numPr>
        <w:rPr/>
      </w:pPr>
      <w:bookmarkStart w:id="686" w:name="__RefHeading___Toc1265582_653776707"/>
      <w:bookmarkStart w:id="687" w:name="_Toc262"/>
      <w:bookmarkEnd w:id="686"/>
      <w:r>
        <w:rPr>
          <w:rtl w:val="true"/>
        </w:rPr>
        <w:t>اشارة</w:t>
      </w:r>
      <w:bookmarkEnd w:id="687"/>
    </w:p>
    <w:p>
      <w:pPr>
        <w:pStyle w:val="BookText"/>
        <w:rPr/>
      </w:pPr>
      <w:r>
        <w:rPr>
          <w:rFonts w:ascii="Amiri" w:hAnsi="Amiri" w:eastAsia="Amiri" w:cs="Amiri"/>
          <w:color w:val="111111"/>
          <w:sz w:val="28"/>
          <w:sz w:val="28"/>
          <w:szCs w:val="28"/>
          <w:rtl w:val="true"/>
          <w:lang w:bidi="ar-SA"/>
        </w:rPr>
        <w:t>الأبوان بلا واسطة، والأولاد وإن نزلوا الأقرب فالأقرب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انفرد الأب فالمال له قرابة، أو الاُمّ فلها الثلث فرضاً والباقی ردّاً، ولو اجتمعا فللاُمّ الثلث فرضاً إن لم یکن حاجب وإلّا فالسدس، والباقی للأب</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انفرد الابن فالمال له قرابة، ولو کان أکثر فهم سواء، ولو انفردت البنت فلها النصف فرضاً والباقی ردّاً، ولو کانت بنتان فصاعداً فلهنّ الثلثان</w:t>
      </w:r>
    </w:p>
    <w:p>
      <w:pPr>
        <w:pStyle w:val="BookText"/>
        <w:rPr/>
      </w:pPr>
      <w:r>
        <w:rPr>
          <w:rFonts w:ascii="Amiri" w:hAnsi="Amiri" w:eastAsia="Amiri" w:cs="Amiri"/>
          <w:color w:val="111111"/>
          <w:sz w:val="28"/>
          <w:sz w:val="28"/>
          <w:szCs w:val="28"/>
          <w:rtl w:val="true"/>
          <w:lang w:bidi="ar-SA"/>
        </w:rPr>
        <w:t xml:space="preserve">فرضاً والباقی ردّاً، ولو اجتمع الذکور والإناث فالمال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لِلذَّکَرِ مِثْلُ حَظِّ اَلْأُنْثَیَیْنِ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اجتمع الأولاد مع أحد الأبوین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الولد بنتاً واحدة فلها النصف فرضاً، ولأحد الأبوین السدس فرضاً، والباقی یردّ علیهما أرباعاً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بنتین فصاعداً یردّ علی البنات الثلثان فرضاً، وعلی أحد الأبوین السدس فرضاً، والباقی یقسّم بینهم أخماساً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ذکراً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أکان واحداً أم متعدّداً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فلأحد الأبوین السدس فرضاً، والباقی للولد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اجتمع الأولاد مع الأبوین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الولد بنتاً واحدة ولم یکن للاُمّ حاجب، فالنصف للبنت فرضاً والثلث للأبوین فرضاً، والسدس الباقی یقسّم بینهم أخماساً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للاُمّ حاجب فالسدس لها، والباقی یقسّم بین البنت والأب أرباعاً فرضاً 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اُنثی متعدّدة، أو ذکراً مطلقاً، أو إناثاً وذکراناً، فالسدسان للأبوین فرضاً، والبقیّة للأولاد تقسّم بینهم للذّکر ضعف الاُنثی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اجتمع أحد الأبوین وأحد الزوجین، فلأحد الزوجین نصیبه الأعلی والباقی لأحد الأبوین؛ للأب قرابة وللاُمّ فرضاً وردّاً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اجتمع الأبوان وأحد الزوجین فلأحد الزوجین نصیبه الأعلی وللاُمّ الثلث مع عدم الحاجب، والسدس معه فرضاً والباقی للأب قرابة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اجتمع الأولاد مع أحد الزوجین، فلأحدهما نصیبه الأدنی والباقی للأولاد للذّکر ضعف الاُنثی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اجتمع أحد الأبوین والأولاد وأحد الزوجین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الولد بنتاً واحدة فلأحد الزوجین نصیبه الأدنی، والباقی یقسّم بین الباقین أرباعاً، ربع لأحد الأبوین والباقی للبنت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بنتین فصاعداً فإن کان أحد الزوجین هی</w:t>
      </w:r>
      <w:bookmarkStart w:id="688" w:name="pg6476_57016"/>
    </w:p>
    <w:p>
      <w:pPr>
        <w:pStyle w:val="BookText"/>
        <w:rPr/>
      </w:pPr>
      <w:bookmarkEnd w:id="688"/>
      <w:r>
        <w:rPr>
          <w:rFonts w:ascii="IRNazanin" w:hAnsi="IRNazanin" w:eastAsia="IRNazanin"/>
          <w:color w:val="111111"/>
          <w:sz w:val="28"/>
          <w:sz w:val="28"/>
          <w:szCs w:val="28"/>
          <w:rtl w:val="true"/>
          <w:lang w:bidi="fa-IR"/>
        </w:rPr>
        <w:t>الزوجة، فلها نصیبها الأدنی، والباقی یقسّم بین الباقین أخماساً، وإن کان هو الزوج فله نصیبه الأدنی، ولأحد الأبوین السدس، والبقیّة للبنتین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ذکراً واحداً أو متعدّداً أو ذکوراً وإناثاً فلأحدهما نصیبه الأدنی، والسدس لأحد الأبوین، والباقی یقسّم بینهم للذّکر ضعف الاُنثی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اجتمع الأبوان والأولاد وأحد الزوجین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الولد بنتاً واحدة فللزوج نصیبه الأدنی وللأبوین السدسان، والباقی للبنت، فیرد النقص علیها، وللزوجة نصیبها الأدنی وتقسّم البقیّة بین الباقین أخماساً إن لم یکن للاُمّ حاجب، وإلّا فلها السدس، والباقی یقسّم بین الأب والبنت أرباعاً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الولد بنتین فصاعداً أو ذکراً واحداً أو متعدّداً أو ذکوراً وإناثاً، فلأحد الزوجین نصیبه الأدنی، والسدسان للأبوین، والباقی للأولاد</w:t>
      </w:r>
      <w:r>
        <w:rPr>
          <w:rFonts w:eastAsia="IRNazanin" w:cs="IRNazanin"/>
          <w:color w:val="111111"/>
          <w:sz w:val="28"/>
          <w:szCs w:val="28"/>
          <w:rtl w:val="true"/>
          <w:lang w:bidi="fa-IR"/>
        </w:rPr>
        <w:t>.</w:t>
      </w:r>
    </w:p>
    <w:p>
      <w:pPr>
        <w:pStyle w:val="Heading5"/>
        <w:numPr>
          <w:ilvl w:val="4"/>
          <w:numId w:val="1"/>
        </w:numPr>
        <w:rPr/>
      </w:pPr>
      <w:bookmarkStart w:id="689" w:name="__RefHeading___Toc1265584_653776707"/>
      <w:bookmarkStart w:id="690" w:name="_Toc263"/>
      <w:bookmarkEnd w:id="689"/>
      <w:r>
        <w:rPr>
          <w:rtl w:val="true"/>
        </w:rPr>
        <w:t>وهنا اُمور</w:t>
      </w:r>
      <w:r>
        <w:rPr>
          <w:rtl w:val="true"/>
        </w:rPr>
        <w:t>:</w:t>
      </w:r>
      <w:bookmarkEnd w:id="69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الأولاد وإن نزلوا، یقومون مقام الأولاد فی مقاسمة الأبوین وحجبهم من أعلی السهمین إلی أدناهما، ومنع من عداهم من الأقارب، ویتقدّم کلّ بطن علی البطن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یرث کلّ منهم نصیب من یتقرّب به، فیرث ولد البنت نصیب 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ذکراً کان أم اُنثی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فیرث النصف لو کان واحداً ویردّ علیه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ویرث ولد الابن نصیب أبیه، فإن انفرد فله المال، وإن کان معه ذو فریضة فله ما فضل من حصص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اجتمع أولاد الابن وأولاد البنت، فلأولاد الابن الثلثان نصیب أبیهم، ولأولاد البنت الثلث نصیب اُمّهم، ومع وجود أحد الزوجین فله نصیبه الأدنی والباقی لهم کما ذکر</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البنت کأولاد الابن مع الاختلاف یکون للذکر ضعف الاُنثی</w:t>
      </w:r>
      <w:r>
        <w:rPr>
          <w:rFonts w:eastAsia="IRNazanin" w:cs="IRNazanin"/>
          <w:color w:val="111111"/>
          <w:sz w:val="28"/>
          <w:szCs w:val="28"/>
          <w:rtl w:val="true"/>
          <w:lang w:bidi="fa-IR"/>
        </w:rPr>
        <w:t>.</w:t>
      </w:r>
      <w:bookmarkStart w:id="691" w:name="pg6476_57017"/>
    </w:p>
    <w:p>
      <w:pPr>
        <w:pStyle w:val="BookText"/>
        <w:rPr/>
      </w:pPr>
      <w:bookmarkEnd w:id="691"/>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یُحبی الولد الأکبر من ترکة أبیه بثیاب بدنه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مستعملة أو مخیطة غیر مستعملة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وخاتمه وسیفه ومصحفه متعدّدة کانت أو غیر متعدّدة</w:t>
      </w:r>
      <w:r>
        <w:rPr>
          <w:rFonts w:eastAsia="IRNazanin" w:cs="IRNazanin"/>
          <w:color w:val="111111"/>
          <w:sz w:val="28"/>
          <w:szCs w:val="28"/>
          <w:rtl w:val="true"/>
          <w:lang w:bidi="fa-IR"/>
        </w:rPr>
        <w:t>.</w:t>
      </w:r>
    </w:p>
    <w:p>
      <w:pPr>
        <w:pStyle w:val="Heading4"/>
        <w:numPr>
          <w:ilvl w:val="3"/>
          <w:numId w:val="1"/>
        </w:numPr>
        <w:rPr/>
      </w:pPr>
      <w:bookmarkStart w:id="692" w:name="__RefHeading___Toc1265586_653776707"/>
      <w:bookmarkStart w:id="693" w:name="_Toc264"/>
      <w:bookmarkEnd w:id="692"/>
      <w:r>
        <w:rPr>
          <w:rtl w:val="true"/>
        </w:rPr>
        <w:t>المرتبة الثانیة</w:t>
      </w:r>
      <w:bookmarkEnd w:id="693"/>
    </w:p>
    <w:p>
      <w:pPr>
        <w:pStyle w:val="Heading5"/>
        <w:numPr>
          <w:ilvl w:val="4"/>
          <w:numId w:val="1"/>
        </w:numPr>
        <w:rPr/>
      </w:pPr>
      <w:bookmarkStart w:id="694" w:name="__RefHeading___Toc1265588_653776707"/>
      <w:bookmarkStart w:id="695" w:name="_Toc265"/>
      <w:bookmarkEnd w:id="694"/>
      <w:r>
        <w:rPr>
          <w:rtl w:val="true"/>
        </w:rPr>
        <w:t>اشارة</w:t>
      </w:r>
      <w:bookmarkEnd w:id="695"/>
    </w:p>
    <w:p>
      <w:pPr>
        <w:pStyle w:val="BookText"/>
        <w:rPr/>
      </w:pPr>
      <w:r>
        <w:rPr>
          <w:rFonts w:ascii="IRNazanin" w:hAnsi="IRNazanin" w:eastAsia="IRNazanin"/>
          <w:color w:val="111111"/>
          <w:sz w:val="28"/>
          <w:sz w:val="28"/>
          <w:szCs w:val="28"/>
          <w:rtl w:val="true"/>
          <w:lang w:bidi="fa-IR"/>
        </w:rPr>
        <w:t xml:space="preserve">الإخوة وأولادهم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المسمّون بالکلالة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والأجداد مطلقاً، ولا یرث واحد منهم مع وجود واحد من الطبقة السابقة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انفرد الأخ للأب والاُمّ فالمال له قرابة، ولو کانوا متعدّدین فالمال بینهم بالسویّة، ومع وجود الإناث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فَلِلذَّکَرِ مِثْلُ حَظِّ اَلْأُنْثَیَیْنِ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انفردت الاُخت للأب والاُمّ کان لها النصف فرضاً، والباقی یردّ علیها قرابة، ولو تعدّدن کان لهنّ الثلثان فرضاً والباقی ردّاً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یقوم کلالة الأب مقام کلالة الأب والاُمّ مع عدمهم، فیکون حکمهم فی حال الانفراد والتعدّد حکم کلالتهما، فللأخ الواحد المال، والمتعدّدون یقسّمون للذکر ضعف الاُنثی، وللاُخت الواحدة النصف، ولو تعدّدن فلهنّ الثلثان فرضاً والباقی ردّاً، ولا یرث کلالة الأب فقط مع أحد من الإخوة للأبوین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انفرد الواحد من ولد الاُمّ خاصّة، کان له السدس فرضاً والباقی قرابة ذکراً کان أو 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اثنین فصاعداً فلهم الثلث فرضاً والباقی قرابة، ویقسّم بینهم بالسویّة للذّکر مثل الاُنثی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الإخوة متفرّقین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فبعضهم للاُمّ وبعضهم للأب والاُمّ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لمن یتقرّب بالاُمّ السدس مع وحدته، والثلث مع التعدّد فرضاً، والبقیّة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أسداس أو الثلثان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للمتقرّب بالأبوین، ومع عدمه یقوم اُخوة الأب فقط مقامه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انفرد الجدّ أو الجدّة فالمال له؛ للأب کان أو للاُمّ، ولو اجتمع</w:t>
      </w:r>
      <w:bookmarkStart w:id="696" w:name="pg6476_57018"/>
    </w:p>
    <w:p>
      <w:pPr>
        <w:pStyle w:val="BookText"/>
        <w:rPr/>
      </w:pPr>
      <w:bookmarkEnd w:id="696"/>
      <w:r>
        <w:rPr>
          <w:rFonts w:ascii="Amiri" w:hAnsi="Amiri" w:eastAsia="Amiri" w:cs="Amiri"/>
          <w:color w:val="111111"/>
          <w:sz w:val="28"/>
          <w:sz w:val="28"/>
          <w:szCs w:val="28"/>
          <w:rtl w:val="true"/>
          <w:lang w:bidi="ar-SA"/>
        </w:rPr>
        <w:t xml:space="preserve">الجدّ أو الجدّة أو کلاهما للأب مع الجدّ أو الجدّة أو کلیهما للاُمّ، فللمتقرّب بالاُمّ الثلث بالسویّة وللمتقرّب بالأب الثلثان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لِلذَّکَرِ مِثْلُ حَظِّ اَلْأُنْثَیَیْنِ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اجتمع جدّ أو جدّة أو کلاهما من قبل الأب مع الإخوة من قبل الأب والاُمّ أو مع الإخوة من قبل الأب فقط، فالجدّ بمنزلة الأخ والجدّة بمنزلة الاُخت، ویقسّم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لِلذَّکَرِ مِثْلُ حَظِّ اَلْأُنْثَیَیْنِ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اجتمع جدّ أو جدّة أو کلاهما من قبل الاُمّ مع الإخوة من قبل الاُمّ، کان الجدّ کالأخ منها والجدّ کالاُخت، ویقسّم بینهم بالسویّة إلّاما مضی فی 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الأمر الثالث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اجتمع الجدودة من الأب والجدودة من الاُمّ مع الإخوة من قبل الأبوین أو الأب والإخوة من الاُمّ، فالثلث للمتقرّب بالاُمّ بالسویّة، والثلثان للمتقرّب بالأب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لِلذَّکَرِ مِثْلُ حَظِّ اَلْأُنْثَیَیْنِ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اجتمع أحد الزوجین مع الإخوة من قبل الأبوین أو الأب، أو مع الجدودة من قبل الأب، فلأحد الزوجین نصیبه الأعلی، والباقی للباقین یقسّمون بالاختلاف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اجتمع أحدهما مع الجدودة من قبل الاُمّ أو الإخوة من قبلها، فله نصیبه الأعلی، والباقی للباقین یقسّمون بالسویّة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اجتمع أحدهما مع الجدودة والإخوة من الأب؛ والجدودة والإخوة من الاُمّ، فلأحدهما نصیبه الأعلی، وللمتقرّب بالاُمّ السّدس إن کان أخاً أو اُختاً، والثلث إن کان جدّاً أو جدّة أو إخوة أو مشترکین، یقسّمون بالسویّة، والباقی للمتقرّب بالأب للذّکر ضعف الاُنثی</w:t>
      </w:r>
      <w:r>
        <w:rPr>
          <w:rFonts w:eastAsia="IRNazanin" w:cs="IRNazanin"/>
          <w:color w:val="111111"/>
          <w:sz w:val="28"/>
          <w:szCs w:val="28"/>
          <w:rtl w:val="true"/>
          <w:lang w:bidi="fa-IR"/>
        </w:rPr>
        <w:t>.</w:t>
      </w:r>
    </w:p>
    <w:p>
      <w:pPr>
        <w:pStyle w:val="Heading5"/>
        <w:numPr>
          <w:ilvl w:val="4"/>
          <w:numId w:val="1"/>
        </w:numPr>
        <w:rPr/>
      </w:pPr>
      <w:bookmarkStart w:id="697" w:name="__RefHeading___Toc1265590_653776707"/>
      <w:bookmarkStart w:id="698" w:name="_Toc266"/>
      <w:bookmarkEnd w:id="697"/>
      <w:r>
        <w:rPr>
          <w:rtl w:val="true"/>
        </w:rPr>
        <w:t>وهنا اُمور</w:t>
      </w:r>
      <w:r>
        <w:rPr>
          <w:rtl w:val="true"/>
        </w:rPr>
        <w:t>:</w:t>
      </w:r>
      <w:bookmarkEnd w:id="698"/>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 الإخوة بحکم أولاد الأولاد؛ فی أنّه مع وجود أحد من الإخوة من الأب أو الاُمّ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اُنثی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یرث أولاد الإخوة وإن کانوا من الأب والاُمّ</w:t>
      </w:r>
      <w:r>
        <w:rPr>
          <w:rFonts w:eastAsia="IRNazanin" w:cs="IRNazanin"/>
          <w:color w:val="111111"/>
          <w:sz w:val="28"/>
          <w:szCs w:val="28"/>
          <w:rtl w:val="true"/>
          <w:lang w:bidi="fa-IR"/>
        </w:rPr>
        <w:t>.</w:t>
      </w:r>
      <w:bookmarkStart w:id="699" w:name="pg6476_57019"/>
    </w:p>
    <w:p>
      <w:pPr>
        <w:pStyle w:val="BookText"/>
        <w:rPr/>
      </w:pPr>
      <w:bookmarkEnd w:id="699"/>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 أولاد الإخوة إرث من یتقرّبون به، فلو خلّف أحد الإخوة من الاُمّ وارثاً فالمال له فرضاً وردّاً مع الوحدة، ومع التعدّد یقسّم بینهم 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من أحد الإخوة من الأب فله المال مع الانفراد، ومع التعدّد یقسّم بینهم للذکر ضعف الاُنثی، ولو کان الأولاد من الإخوة المتعدّدة من الاُمّ، فلا بدّ من فرض حیاة اوسائط والتقسیم بینهم بالسویّة، ثمّ یقسّم قسمة کلٍّ بین أولادهم 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الأولاد من الاُختین أو الزیادة للأبوین أو للأب، فکالفرض السابق لکن للذکر ضعف الاُنثی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الأولاد من الذکور والإناث من الأبوین أو الأب، فیفرض الوسائط أحیاء ویقسّم بینهم بالاختلاف، ویقسّم حصّة کلّ منهم بین أولادهم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یرث أولاد الإخوة من الأب فقط مع وجود أولاد الإخوة من الأبوین، وهکذا فی کلّ درجة 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یرث الجدودة مع الواسطة مع وجود الجدودة بلا واسطة، فکلّ طبقة قریبة تمنع البعیدة، وکذلک حکم أولاد الإخوة، لکن الأقرب من کلّ صنف مقدّم علی الأبعد من ذلک الصنف دون الصنف الآخر، فحینئذٍ یرث جدّ الجدّ وإن علا مع إخوة المیّت، ویرث أولاد الأولاد وإن نزل مع الجدّ بلا واسطة</w:t>
      </w:r>
      <w:r>
        <w:rPr>
          <w:rFonts w:eastAsia="IRNazanin" w:cs="IRNazanin"/>
          <w:color w:val="111111"/>
          <w:sz w:val="28"/>
          <w:szCs w:val="28"/>
          <w:rtl w:val="true"/>
          <w:lang w:bidi="fa-IR"/>
        </w:rPr>
        <w:t>.</w:t>
      </w:r>
    </w:p>
    <w:p>
      <w:pPr>
        <w:pStyle w:val="Heading4"/>
        <w:numPr>
          <w:ilvl w:val="3"/>
          <w:numId w:val="1"/>
        </w:numPr>
        <w:rPr/>
      </w:pPr>
      <w:bookmarkStart w:id="700" w:name="__RefHeading___Toc1265592_653776707"/>
      <w:bookmarkStart w:id="701" w:name="_Toc267"/>
      <w:bookmarkEnd w:id="700"/>
      <w:r>
        <w:rPr>
          <w:rtl w:val="true"/>
        </w:rPr>
        <w:t>المرتبة الثالثة</w:t>
      </w:r>
      <w:bookmarkEnd w:id="701"/>
    </w:p>
    <w:p>
      <w:pPr>
        <w:pStyle w:val="Heading5"/>
        <w:numPr>
          <w:ilvl w:val="4"/>
          <w:numId w:val="1"/>
        </w:numPr>
        <w:rPr/>
      </w:pPr>
      <w:bookmarkStart w:id="702" w:name="__RefHeading___Toc1265594_653776707"/>
      <w:bookmarkStart w:id="703" w:name="_Toc268"/>
      <w:bookmarkEnd w:id="702"/>
      <w:r>
        <w:rPr>
          <w:rtl w:val="true"/>
        </w:rPr>
        <w:t>اشارة</w:t>
      </w:r>
      <w:bookmarkEnd w:id="703"/>
    </w:p>
    <w:p>
      <w:pPr>
        <w:pStyle w:val="BookText"/>
        <w:rPr/>
      </w:pPr>
      <w:r>
        <w:rPr>
          <w:rFonts w:ascii="IRNazanin" w:hAnsi="IRNazanin" w:eastAsia="IRNazanin"/>
          <w:color w:val="111111"/>
          <w:sz w:val="28"/>
          <w:sz w:val="28"/>
          <w:szCs w:val="28"/>
          <w:rtl w:val="true"/>
          <w:lang w:bidi="fa-IR"/>
        </w:rPr>
        <w:t>الأعمام والأخوال، ولا یرث أحد منهم مع وجود واحد من الطبقة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الوارث منحصراً بالعمومة من قبل الأب والاُمّ أو الأب فالترکة لهم للذّکر حظّ الاُنثیین، ولو کان منحصراً بالعمومة من قبل الاُمّ فالترکة لهم، وفی کون التقسیم بالاختلاف أو بالسویّة إشکال یلزم التصالح</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اجتمع العمومة من قبل الأبوین أو الأب مع العمومة من الاُمّ،</w:t>
      </w:r>
    </w:p>
    <w:p>
      <w:pPr>
        <w:pStyle w:val="BookText"/>
        <w:rPr/>
      </w:pPr>
      <w:r>
        <w:rPr>
          <w:rFonts w:ascii="IRNazanin" w:hAnsi="IRNazanin" w:eastAsia="IRNazanin"/>
          <w:color w:val="111111"/>
          <w:sz w:val="28"/>
          <w:sz w:val="28"/>
          <w:szCs w:val="28"/>
          <w:rtl w:val="true"/>
          <w:lang w:bidi="fa-IR"/>
        </w:rPr>
        <w:t>فالسدس لعمومة الاُمّ مع الانفراد، والثلث لهم مع التعدّد یقسّم بینهم بالتراضی، والباقی لعمومة الأبوین یقسّم بالتفاوت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الوارث منحصراً بالخؤولة من قبل الأبوین أو الأب فالترکة لهم، ویقسّم بینهم بالسویّة وکذا خؤولة الاُمّ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اجتمع خؤولة الأبوین أو الأب فقط مع خؤولة الاُمّ، فالسدس لخؤولة الاُمّ مع الانفراد، والثلث لهم مع التعدّد یقسّم بینهم بالسویّة، والباقی لخؤولة الأبوین أو الأب یقسّمون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اجتمع العمومة من قبل الأبوین أو الأب أو الاُمّ فقط مع الخؤولة من قبل الأبوین أو الأب أو الاُمّ فقط، فالثلث للخؤولة، وکذا لو کان واحداً ذکراً کان أم اُنثی، ویقسّمون بالسویّة، والثلثان للعمومة، وکذا لو کان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ذکراً أو اُنثی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یقسّمون بالتفاضل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اجتمع الأصناف الأربعة فالثلث للخؤولة، وسدس هذا الثلث مع الاتّحاد وثلثه مع التعدّد للخؤولة من قبل الاُمّ بالسویّة، والباقی من هذا الثلث للخؤولة من قبل الأبوین أو الأب بالسویّة، وأمّا الثلثان فالسدس منهما مع الاتّحاد، والثلث مع التعدّد لعمومة الاُمّ یقسّمون بالتراضی، والباقی منهما للعمومة من قبل الأبوین أو الأب یقسّمون بالتفاضل</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اجتمع أحد الزوجین مع العمومة فله نصیبه الأعلی، والباقی یقسّم بین العمومة کما مرّ، وکذا لو اجتمع مع الخؤولة، ولو اجتمع مع العمومة والخؤولة فله نصیبه الأعلی، والثلث من مجموع الترکة للخؤولة، وکذا لو کان واحداً، ومع التعدّد یقسّمون بینهم کما مرّ، والباقی للعمومة ومع التعدّد یقسّمون کما مرّ</w:t>
      </w:r>
      <w:r>
        <w:rPr>
          <w:rFonts w:eastAsia="IRNazanin" w:cs="IRNazanin"/>
          <w:color w:val="111111"/>
          <w:sz w:val="28"/>
          <w:szCs w:val="28"/>
          <w:rtl w:val="true"/>
          <w:lang w:bidi="fa-IR"/>
        </w:rPr>
        <w:t>.</w:t>
      </w:r>
      <w:bookmarkStart w:id="704" w:name="pg6476_57021"/>
    </w:p>
    <w:p>
      <w:pPr>
        <w:pStyle w:val="Heading5"/>
        <w:numPr>
          <w:ilvl w:val="4"/>
          <w:numId w:val="1"/>
        </w:numPr>
        <w:rPr/>
      </w:pPr>
      <w:bookmarkStart w:id="705" w:name="__RefHeading___Toc1265596_653776707"/>
      <w:bookmarkStart w:id="706" w:name="_Toc269"/>
      <w:bookmarkEnd w:id="704"/>
      <w:bookmarkEnd w:id="705"/>
      <w:r>
        <w:rPr>
          <w:rtl w:val="true"/>
        </w:rPr>
        <w:t>وهنا اُمور</w:t>
      </w:r>
      <w:r>
        <w:rPr>
          <w:rtl w:val="true"/>
        </w:rPr>
        <w:t>:</w:t>
      </w:r>
      <w:bookmarkEnd w:id="70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یرث أحد من أولاد العمومة والخؤولة مع وجود واحد من الأعمام والأخوال، فمع وجود خالة من الأب لا یرث أولاد العمّ الأبوینی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إلّافی مورد، وهو ما إذا کان للمیّت عمّ من قبل الأب وابن عمّ من الأبوین، فیقدّم الثانی؛ بشرط أن لا یکون معهما أحد من العمومة والخؤولة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وجود أحد الزوجین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الأعمام والأخوال یقومون مقامهم وهکذا وإن نزلوا، وکلّ طبقة مقدّم علی الطبقة اللاحقة، ویرث أولاد العمومة والخؤولة نصیب من یتقرّبون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وجود أولاد العمومة من الأبوین لا یرث أولادهم من الأب، وکذا فی أولاد الخؤولة، لکن مع أولاد العمّ الأبوینی یرث أولاد الخال الأبی، کما أنّ مع وجود أولاد الخال الأبوینی یرث أولاد العمّ الأبی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الأولاد من العمومة المتعدّدة والخؤولة کذلک، لابدّ فی کیفیّة التقسیم من فرض حیاة الوسائط؛ والتقسیم بالسویّة فی المنتسبین بالاُمّ، وبالتفاضل فی المنتسبین بالأب، فإذا کان للمیّت أولاد من عمّة الأبوینی ومن عمّة الأمّی وأولاد من خالة الأبوینی ومن خالة الاُمّی، فثلث الترکة لأولاد الخؤولة والسدس والثلث من ذلک الثلث لأولاد الخال الاُمّی، والباقی من السدس أو الثلث لأولاد الخال الأبوینی، وکلّهم یقسّمون بالسویّة، والثلثان للعمومة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السدس أو الثلث منهما لأولاد العمّ الاُمّی یقسّمون بالتراضی، والباقی منهما لأولاد العمّ الأبوینی یقسّمون بالتفاضل</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لوارث موجبان للإرث أو الزیادة، یرث بجمیعها لو لم یکن أحدهما مانعاً عن الآخر، فلو کان الوارث أخاً لاُمّ وابن عمّ ورث بالاُخوّة، ولو کان زوجاً وابن عمّ ورث بهما</w:t>
      </w:r>
      <w:r>
        <w:rPr>
          <w:rFonts w:eastAsia="IRNazanin" w:cs="IRNazanin"/>
          <w:color w:val="111111"/>
          <w:sz w:val="28"/>
          <w:szCs w:val="28"/>
          <w:rtl w:val="true"/>
          <w:lang w:bidi="fa-IR"/>
        </w:rPr>
        <w:t>.</w:t>
      </w:r>
      <w:bookmarkStart w:id="707" w:name="pg6476_57022"/>
    </w:p>
    <w:p>
      <w:pPr>
        <w:pStyle w:val="Heading3"/>
        <w:numPr>
          <w:ilvl w:val="2"/>
          <w:numId w:val="1"/>
        </w:numPr>
        <w:rPr/>
      </w:pPr>
      <w:bookmarkStart w:id="708" w:name="__RefHeading___Toc1265598_653776707"/>
      <w:bookmarkStart w:id="709" w:name="_Toc270"/>
      <w:bookmarkEnd w:id="707"/>
      <w:bookmarkEnd w:id="708"/>
      <w:r>
        <w:rPr>
          <w:rtl w:val="true"/>
        </w:rPr>
        <w:t>المقصد الثانی</w:t>
      </w:r>
      <w:r>
        <w:rPr>
          <w:rtl w:val="true"/>
        </w:rPr>
        <w:t xml:space="preserve">: </w:t>
      </w:r>
      <w:r>
        <w:rPr>
          <w:rtl w:val="true"/>
        </w:rPr>
        <w:t>فی المیراث بالزوجیّة</w:t>
      </w:r>
      <w:bookmarkEnd w:id="7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مرّ </w:t>
      </w:r>
      <w:r>
        <w:rPr>
          <w:rStyle w:val="FootnoteAnchor"/>
          <w:rtl w:val="true"/>
        </w:rPr>
        <w:footnoteReference w:id="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الصفحة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الأمر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فرض الزوج نصف تارة، وربع اُخری، وجمیع المال إذا لم یکن وارث غیر الإمام، وفرض الزوجة الربع أو الثمن، ولا ینقص نصیبهما مع اجتماعهما بأیّ طبقة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فی الزوجة دوام العقد، والمطلّقة رجعیّة بحکمها، وکذا المطلّقة حال المرض إلی سنة کما 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ولو تزوّج المریض فمات فی مرضه ولم یدخل بها، بطل العقد ولا مهر لها ولا میراث، ولا یجری الحکم فی المریضة إذا تزوّجت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تعددّت الزوجات فالربع والثمن یقسّم بینهنّ بالسویّة، ولا فرق فی الولد المانع عن نصیبها الأعلی بین کونه منها أو من غیرها، ولو من منقطعة، بلا واسطة أو معها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یرث الزوج من جمیع ترکة الزوجة بلا استثناء، وترث الزوجة من المنقولات، ولا ترث من الأراضی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 وقیمة مشغولة بالزرع والشجر والبناء أو غیر مشغولة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وترث القیمة خاصّة من آلات البناء کالجذوع والخشب والطوب، وکذا قیمة الشجر والنخل، ولا فرق فی أقسام البناء بین الرحی والحمام والدکّان وغیرها، ولو زادت الأشجار بعد الموت لا ترث من الزیادة، والمراد القیمة حال الدفع لا حال الموت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 التقویم أن تقوّم الآلات والشجر باقیة فی الأرض مجّاناً إلی أن تفنی؛ وتعطی حصّتها منها، ولو خرب البناء وقطعت الأشجار قبل موته، ترث من قیمة الأعیان المنفصلة والأشجار المقطوعة، ومن المنقول الثمر والبذر</w:t>
      </w:r>
      <w:bookmarkStart w:id="710" w:name="pg6476_57023"/>
    </w:p>
    <w:p>
      <w:pPr>
        <w:pStyle w:val="BookText"/>
        <w:rPr/>
      </w:pPr>
      <w:bookmarkEnd w:id="710"/>
      <w:r>
        <w:rPr>
          <w:rFonts w:ascii="IRNazanin" w:hAnsi="IRNazanin" w:eastAsia="IRNazanin"/>
          <w:color w:val="111111"/>
          <w:sz w:val="28"/>
          <w:sz w:val="28"/>
          <w:szCs w:val="28"/>
          <w:rtl w:val="true"/>
          <w:lang w:bidi="fa-IR"/>
        </w:rPr>
        <w:t>المزروع والقِدر المثبت ونحوها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مات ولیس له وارث ولا زوج، یرثه الإمام علیه السلام، ولو کان الوارث الزوجة فقط فالبقیّة بعد الربع للإمام علیه السلام، وأمره فی زمان الغیبة کسائر ما للإمام علیه السلام، بید الفقیه الجامع للشرائط</w:t>
      </w:r>
      <w:r>
        <w:rPr>
          <w:rFonts w:eastAsia="IRNazanin" w:cs="IRNazanin"/>
          <w:color w:val="111111"/>
          <w:sz w:val="28"/>
          <w:szCs w:val="28"/>
          <w:rtl w:val="true"/>
          <w:lang w:bidi="fa-IR"/>
        </w:rPr>
        <w:t>.</w:t>
      </w:r>
    </w:p>
    <w:p>
      <w:pPr>
        <w:pStyle w:val="Heading3"/>
        <w:numPr>
          <w:ilvl w:val="2"/>
          <w:numId w:val="1"/>
        </w:numPr>
        <w:rPr/>
      </w:pPr>
      <w:bookmarkStart w:id="711" w:name="__RefHeading___Toc1265600_653776707"/>
      <w:bookmarkStart w:id="712" w:name="_Toc271"/>
      <w:bookmarkEnd w:id="711"/>
      <w:r>
        <w:rPr>
          <w:rtl w:val="true"/>
        </w:rPr>
        <w:t>خاتمة فی میراث الغرقی والمهدوم علیهم</w:t>
      </w:r>
      <w:bookmarkEnd w:id="7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مات اثنان متوارثان؛ وعلم تقارن موتهما، لا یکون بینهما توارث، فیرث کلّاً منهما الحیّ من ورّاثه، فلو مات الأب والابن دفعة؛ وکان للأب أخٌ وللابن اُمّ مطلّقة، ورث الأب أخوه والابن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علم تاریخ موت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کالأب فی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الآخر یرث مجهول التاریخ عن معلومه دون العکس، فینقل مال الأب إلی الابن ومنه إلی 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جهل التاریخان واحتمل تقارن الموتین والتقدّم والتأخّر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الغریقین والمهدوم علیهما ونحو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 کلّ منهما من الآخر؛ بمعنی أن یفرض حیاة کلّ واحد منهما حین موت الآخر، فیرث من ترکته حال موته، ففی المثال یفرض الابن حیّاً فی حال موت الأب، فینتقل ترکة الأب إلیه ومنه إلی اُمّه، ثمّ یفرض الأب حیّاً فی حال موت الابن فینتقل ترکة الابن، إلیه ومنه إلی أخیه ولا ینتقل من کلٍّ ما ورثه من الآخر</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ماتا وعلم عدم التقارن واحتمل تقدّم کلٍّ وتأخّره، فالظاهر تعیین السابق واللاحق بالقرعة کما قیل بذلک فی المسألة المتقدّمة</w:t>
      </w:r>
      <w:r>
        <w:rPr>
          <w:rFonts w:eastAsia="IRNazanin" w:cs="IRNazanin"/>
          <w:color w:val="111111"/>
          <w:sz w:val="28"/>
          <w:szCs w:val="28"/>
          <w:rtl w:val="true"/>
          <w:lang w:bidi="fa-IR"/>
        </w:rPr>
        <w:t>.</w:t>
      </w:r>
      <w:bookmarkStart w:id="713" w:name="pg6476_57024"/>
    </w:p>
    <w:p>
      <w:pPr>
        <w:pStyle w:val="Heading2"/>
        <w:numPr>
          <w:ilvl w:val="1"/>
          <w:numId w:val="1"/>
        </w:numPr>
        <w:rPr/>
      </w:pPr>
      <w:bookmarkStart w:id="714" w:name="__RefHeading___Toc1265602_653776707"/>
      <w:bookmarkStart w:id="715" w:name="_Toc272"/>
      <w:bookmarkEnd w:id="713"/>
      <w:bookmarkEnd w:id="714"/>
      <w:r>
        <w:rPr>
          <w:rtl w:val="true"/>
        </w:rPr>
        <w:t>کتاب القضاء</w:t>
      </w:r>
      <w:bookmarkEnd w:id="715"/>
    </w:p>
    <w:p>
      <w:pPr>
        <w:pStyle w:val="Heading3"/>
        <w:numPr>
          <w:ilvl w:val="2"/>
          <w:numId w:val="1"/>
        </w:numPr>
        <w:rPr/>
      </w:pPr>
      <w:bookmarkStart w:id="716" w:name="__RefHeading___Toc1265604_653776707"/>
      <w:bookmarkStart w:id="717" w:name="_Toc273"/>
      <w:bookmarkEnd w:id="716"/>
      <w:r>
        <w:rPr>
          <w:rtl w:val="true"/>
        </w:rPr>
        <w:t>اشارة</w:t>
      </w:r>
      <w:bookmarkEnd w:id="717"/>
    </w:p>
    <w:p>
      <w:pPr>
        <w:pStyle w:val="BookText"/>
        <w:rPr/>
      </w:pPr>
      <w:r>
        <w:rPr>
          <w:rFonts w:ascii="IRNazanin" w:hAnsi="IRNazanin" w:eastAsia="IRNazanin"/>
          <w:color w:val="111111"/>
          <w:sz w:val="28"/>
          <w:sz w:val="28"/>
          <w:szCs w:val="28"/>
          <w:rtl w:val="true"/>
          <w:lang w:bidi="fa-IR"/>
        </w:rPr>
        <w:t>وهو الحکم بین الناس لرفع التنازع بینهم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یحرم القضاء بین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فی الأشیاء الیسیرة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من أهله وإن اعتقد الناس أهلیّته، ویجب کفایة علی أهله، وقد یتعیّن له إذا لم یکن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یحرم الترافع إلی قضاة الجور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لم یجتمع فیه شرائط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ترافع إلیهم کان عاصیاً، وما أخذ بحکمهم حرام إن کان دیناً، وفی العین إشکال، إلّاإذا توقّف استیفاء الحقّ علی الترافع إلیهم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للقاضی الارتزاق من بیت المال وإن کان غنیّاً، والأحوط ترک أخذ الجعل من المتخاصمین، وأمّا الرشوة فأخذها واعطاؤها حرام وإن کان الدافع محقّاً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توقّف أخذ حقّه علیها جاز للدافع وحرم علی الآخذ، ویجب علی المرتشی ردّها إلی صاحبها، ولا فرق فی الرشوة بین أن تکون بعنوانها أو بعنوان الهبة أو الهدیّة أو غیرها</w:t>
      </w:r>
      <w:r>
        <w:rPr>
          <w:rFonts w:eastAsia="IRNazanin" w:cs="IRNazanin"/>
          <w:color w:val="111111"/>
          <w:sz w:val="28"/>
          <w:szCs w:val="28"/>
          <w:rtl w:val="true"/>
          <w:lang w:bidi="fa-IR"/>
        </w:rPr>
        <w:t>.</w:t>
      </w:r>
    </w:p>
    <w:p>
      <w:pPr>
        <w:pStyle w:val="Heading3"/>
        <w:numPr>
          <w:ilvl w:val="2"/>
          <w:numId w:val="1"/>
        </w:numPr>
        <w:rPr/>
      </w:pPr>
      <w:bookmarkStart w:id="718" w:name="__RefHeading___Toc1265606_653776707"/>
      <w:bookmarkStart w:id="719" w:name="_Toc274"/>
      <w:bookmarkEnd w:id="718"/>
      <w:r>
        <w:rPr>
          <w:rtl w:val="true"/>
        </w:rPr>
        <w:t>فی صفات القاضی</w:t>
      </w:r>
      <w:bookmarkEnd w:id="71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والعقل، والإیمان، والعدالة، والاجتهاد، والذکورة، والأحوط کونه أعلم من فی البلد وما یقربه، وتثبت تلک</w:t>
      </w:r>
      <w:bookmarkStart w:id="720" w:name="pg6476_57025"/>
    </w:p>
    <w:p>
      <w:pPr>
        <w:pStyle w:val="BookText"/>
        <w:rPr/>
      </w:pPr>
      <w:bookmarkEnd w:id="720"/>
      <w:r>
        <w:rPr>
          <w:rFonts w:ascii="IRNazanin" w:hAnsi="IRNazanin" w:eastAsia="IRNazanin"/>
          <w:color w:val="111111"/>
          <w:sz w:val="28"/>
          <w:sz w:val="28"/>
          <w:szCs w:val="28"/>
          <w:rtl w:val="true"/>
          <w:lang w:bidi="fa-IR"/>
        </w:rPr>
        <w:t>الصفات بالعلم والبیّنة المطلقة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لأحد دعوی علی القاضی فرفع أمره إلی قاض آخر، یسمع دعواه وأحضر القاضی المدّعی علیه، ویجب علیه إجابته، ویعامل معه معاملة سائر المتخاصمین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یشکل للقاضی القضاء بفتوی المجتهد الآخر، فلابدّ له من الحکم علی طبق رأیه، لا رأی غیره ولو کان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للحاکم تنفیذ حکم الحاکم الآخر مع إحراز أهلیّته للقضاء واحتمال صدور حکمه صحیحاً، وأمّا مع الشکّ فی الأهلیّة فلا یجوز التنفیذ کما لا یجوز النقض، ومع العلم بعدم أهلیّته أو صدور حکم فاسداً أجاز بل وجب النقض</w:t>
      </w:r>
      <w:r>
        <w:rPr>
          <w:rFonts w:eastAsia="IRNazanin" w:cs="IRNazanin"/>
          <w:color w:val="111111"/>
          <w:sz w:val="28"/>
          <w:szCs w:val="28"/>
          <w:rtl w:val="true"/>
          <w:lang w:bidi="fa-IR"/>
        </w:rPr>
        <w:t>.</w:t>
      </w:r>
    </w:p>
    <w:p>
      <w:pPr>
        <w:pStyle w:val="Heading3"/>
        <w:numPr>
          <w:ilvl w:val="2"/>
          <w:numId w:val="1"/>
        </w:numPr>
        <w:rPr/>
      </w:pPr>
      <w:bookmarkStart w:id="721" w:name="__RefHeading___Toc1265608_653776707"/>
      <w:bookmarkStart w:id="722" w:name="_Toc275"/>
      <w:bookmarkEnd w:id="721"/>
      <w:r>
        <w:rPr>
          <w:rtl w:val="true"/>
        </w:rPr>
        <w:t>فی وظائف القاضی</w:t>
      </w:r>
      <w:bookmarkEnd w:id="722"/>
    </w:p>
    <w:p>
      <w:pPr>
        <w:pStyle w:val="BookText"/>
        <w:rPr/>
      </w:pPr>
      <w:r>
        <w:rPr>
          <w:rFonts w:ascii="Amiri" w:hAnsi="Amiri" w:eastAsia="Amiri" w:cs="Amiri"/>
          <w:color w:val="111111"/>
          <w:sz w:val="28"/>
          <w:sz w:val="28"/>
          <w:szCs w:val="28"/>
          <w:rtl w:val="true"/>
          <w:lang w:bidi="ar-SA"/>
        </w:rPr>
        <w:t>وهی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التسویة بین الخصوم فی السلام والکلام وجمیع الآداب، والعدل فی الحکم؛ مسلمین کانوا أم بالاختلاف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للقاضی أن یلقّن أحد الخصمین بما یتقوّی به علی صاحبه إلّا إذا علم بأنّ الحقّ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ورد الخصوم مترتّبین وجب تقدیم الأوّل فالأوّل فی الحکم بینهم، إلّا إذا رضی المتأخّر، ومع الجهل بکیفیّة ورودهم یقرع بینهم</w:t>
      </w:r>
      <w:r>
        <w:rPr>
          <w:rFonts w:eastAsia="IRNazanin" w:cs="IRNazanin"/>
          <w:color w:val="111111"/>
          <w:sz w:val="28"/>
          <w:szCs w:val="28"/>
          <w:rtl w:val="true"/>
          <w:lang w:bidi="fa-IR"/>
        </w:rPr>
        <w:t>.</w:t>
      </w:r>
    </w:p>
    <w:p>
      <w:pPr>
        <w:pStyle w:val="Heading3"/>
        <w:numPr>
          <w:ilvl w:val="2"/>
          <w:numId w:val="1"/>
        </w:numPr>
        <w:rPr/>
      </w:pPr>
      <w:bookmarkStart w:id="723" w:name="__RefHeading___Toc1265610_653776707"/>
      <w:bookmarkStart w:id="724" w:name="_Toc276"/>
      <w:bookmarkEnd w:id="723"/>
      <w:r>
        <w:rPr>
          <w:rtl w:val="true"/>
        </w:rPr>
        <w:t>فی شروط سماع الدّعوی</w:t>
      </w:r>
      <w:bookmarkEnd w:id="72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المدّعی من إذا ترک الدعوی ترک، والمنکر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فی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والعقل، وأن لا یکون أجنبیّاً عن الدعوی، فلو ادّعی دیناً لزید علی</w:t>
      </w:r>
      <w:bookmarkStart w:id="725" w:name="pg6476_57026"/>
    </w:p>
    <w:p>
      <w:pPr>
        <w:pStyle w:val="BookText"/>
        <w:rPr/>
      </w:pPr>
      <w:bookmarkEnd w:id="725"/>
      <w:r>
        <w:rPr>
          <w:rFonts w:ascii="IRNazanin" w:hAnsi="IRNazanin" w:eastAsia="IRNazanin"/>
          <w:color w:val="111111"/>
          <w:sz w:val="28"/>
          <w:sz w:val="28"/>
          <w:szCs w:val="28"/>
          <w:rtl w:val="true"/>
          <w:lang w:bidi="fa-IR"/>
        </w:rPr>
        <w:t>عمرو لم تسمع؛ إلّاأن یکون وکیلاً ونحوه، وأن یکون جازماً فی دعواه، فلو ادّعی احتمالاً أو ظنّاً لم تسمع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یشترط فی سماع الدعوی حضور المدّعی علیه، فلو ادّعی علی الغائب وأقام البیّنة حکم القاضی علی الغائب، ویردّ علیه ما ادّعاه إن کان عیناً، ویباع من مال الغائب ویؤدّی إن کان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الغائب علی حجّته، فإذا حضر وأراد جرح الشهود أو إقامة بیّنة معارضة یقبل منه، هذا فی حقوق الناس، وأمّا فی حقوق اللّه تعالی کالزنا ونحوه، فلا یحکم علی الغائب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تمّت الدّعوی من المدّعی، فإن التمس من الحاکم إحضار المدّعی علیه أحضره بلا تأخیر عرفیّ؛ وإلّا تتوقّف الدعوی إلی أن یطلب ذلک</w:t>
      </w:r>
      <w:r>
        <w:rPr>
          <w:rFonts w:eastAsia="IRNazanin" w:cs="IRNazanin"/>
          <w:color w:val="111111"/>
          <w:sz w:val="28"/>
          <w:szCs w:val="28"/>
          <w:rtl w:val="true"/>
          <w:lang w:bidi="fa-IR"/>
        </w:rPr>
        <w:t>.</w:t>
      </w:r>
    </w:p>
    <w:p>
      <w:pPr>
        <w:pStyle w:val="Heading3"/>
        <w:numPr>
          <w:ilvl w:val="2"/>
          <w:numId w:val="1"/>
        </w:numPr>
        <w:rPr/>
      </w:pPr>
      <w:bookmarkStart w:id="726" w:name="__RefHeading___Toc1265612_653776707"/>
      <w:bookmarkStart w:id="727" w:name="_Toc277"/>
      <w:bookmarkEnd w:id="726"/>
      <w:r>
        <w:rPr>
          <w:rtl w:val="true"/>
        </w:rPr>
        <w:t>فی جواب المدّعی علیه</w:t>
      </w:r>
      <w:bookmarkEnd w:id="727"/>
    </w:p>
    <w:p>
      <w:pPr>
        <w:pStyle w:val="BookText"/>
        <w:rPr/>
      </w:pPr>
      <w:r>
        <w:rPr>
          <w:rFonts w:ascii="IRNazanin" w:hAnsi="IRNazanin" w:eastAsia="IRNazanin"/>
          <w:color w:val="111111"/>
          <w:sz w:val="28"/>
          <w:sz w:val="28"/>
          <w:szCs w:val="28"/>
          <w:rtl w:val="true"/>
          <w:lang w:bidi="fa-IR"/>
        </w:rPr>
        <w:t>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یقرّ، أو ینکر، أو یسکت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أقرّ المدّعی علیه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 أو 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قامت علیه البیّنة وحکم الحاکم تمّت الخصومة، ولم یجز بعد ذلک نقضه، ولا رفعه إلی حاکم آخر، وألزمه الحاکم بردّ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یحکم الحاکم لم تتمّ الخصومة، لکنّه مأخوذ بإقراره، وجاز لکلّ أحد إلزامه بالردّ أخذاً بإقراره وأمراً بالمعروف، ولیس للحاکم الحکم إلّابعد طلبه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ثبوت شیء، أو إلزام شخص، أو اشتغال ذمّة ونحو ذلک، کأن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ألزمت علیک کذا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التمس المدّعی کتابة صورة الحکم وجب إذا توقّف الحقّ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المقرّ إذا کان واجداً اُلزم بالتأدیة، ولو امتنع أجبره الحاکم، وإن أصرّ جازت عقوبته حسب مراتب الأمر بالمعروف، بل یجوز هذه الاُمور لغیر الحاکم أیضاً، وللحاکم أن یبیع ماله فی ذلک،</w:t>
      </w:r>
      <w:bookmarkStart w:id="728" w:name="pg6476_57027"/>
    </w:p>
    <w:p>
      <w:pPr>
        <w:pStyle w:val="BookText"/>
        <w:rPr/>
      </w:pPr>
      <w:bookmarkEnd w:id="728"/>
      <w:r>
        <w:rPr>
          <w:rFonts w:ascii="Amiri" w:hAnsi="Amiri" w:eastAsia="Amiri" w:cs="Amiri"/>
          <w:color w:val="111111"/>
          <w:sz w:val="28"/>
          <w:sz w:val="28"/>
          <w:szCs w:val="28"/>
          <w:rtl w:val="true"/>
          <w:lang w:bidi="ar-SA"/>
        </w:rPr>
        <w:t xml:space="preserve">ولو ثبت عسر المدّعی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فَنَظِرَةٌ إِلی مَیْسَرَةٍ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وألزمه الحاکم بالکسب حتّی یؤدّی ما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أجاب المدّعی علیه بالإنکار، عرّف الحاکم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علیه البیّنة؛ ومع عدمها له إحلاف المنکر، فإن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للحاکم إلزامه بإحضارها، بل له الإحضار أو مطالبة الیمین أو ترک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تکن له البیّنة واستحلف المنکر مخلف، سقطت الدعوی فی ظاهر الشرع ولو کان محقّاً، ولیس له بعد ذلک مطالبة حقّه ولا مقاصّته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علی المدّعی علیه دفع مال الغیر وإبراء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للحاکم إحلاف المنکر إلّابعد التماس المدّعی، کما أنّه لیس للمدّعی ذلک بدون إذن الحاکم، ثمّ إنّ الحلف بنفسه غیر مؤثّر، بل مشروط بتحقّق حکم الحاکم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للمنکر ردّ الیمین علی المدّعی، ولیس للمدّعی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علی المنکر، بل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النکول وإمّا الحلف، فإن نکل سقطت دعواه، وإن حلف وحکم الحاکم ثبتت، ولو نکل المنکر یردّ الحاکم الحلف علی المدّعی، فیعمل کما سبق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شهدت البیّنة وعرفهما الحاکم بالعدالة قبل شهادتهما، وإن عرفهما بالفسق طرحها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تبیّن بعد الحکم فسقهما حال الشهادة انتقض الحکم، ولا یجوز للحاکم الحکم ما لم یحرز عدالتهما عنده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یشترط فی الحکم بالبیّنة ضمّ یمین المدّعی، إلّافی الدعوی علی المیّت، فإن أقام البیّنة ولم یحلف سقط حقّه</w:t>
      </w:r>
      <w:r>
        <w:rPr>
          <w:rFonts w:eastAsia="IRNazanin" w:cs="IRNazanin"/>
          <w:color w:val="111111"/>
          <w:sz w:val="28"/>
          <w:szCs w:val="28"/>
          <w:rtl w:val="true"/>
          <w:lang w:bidi="fa-IR"/>
        </w:rPr>
        <w:t>.</w:t>
      </w:r>
    </w:p>
    <w:p>
      <w:pPr>
        <w:pStyle w:val="Heading3"/>
        <w:numPr>
          <w:ilvl w:val="2"/>
          <w:numId w:val="1"/>
        </w:numPr>
        <w:rPr/>
      </w:pPr>
      <w:bookmarkStart w:id="729" w:name="__RefHeading___Toc1265614_653776707"/>
      <w:bookmarkStart w:id="730" w:name="_Toc278"/>
      <w:bookmarkEnd w:id="729"/>
      <w:r>
        <w:rPr>
          <w:rtl w:val="true"/>
        </w:rPr>
        <w:t>فی الشاهد والیمین</w:t>
      </w:r>
      <w:bookmarkEnd w:id="730"/>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إشکال فی جواز القضاء فی الدیون بالشاهد الواحد ویمین</w:t>
      </w:r>
      <w:bookmarkStart w:id="731" w:name="pg6476_57028"/>
    </w:p>
    <w:p>
      <w:pPr>
        <w:pStyle w:val="BookText"/>
        <w:rPr/>
      </w:pPr>
      <w:bookmarkEnd w:id="731"/>
      <w:r>
        <w:rPr>
          <w:rFonts w:ascii="IRNazanin" w:hAnsi="IRNazanin" w:eastAsia="IRNazanin"/>
          <w:color w:val="111111"/>
          <w:sz w:val="28"/>
          <w:sz w:val="28"/>
          <w:szCs w:val="28"/>
          <w:rtl w:val="true"/>
          <w:lang w:bidi="fa-IR"/>
        </w:rPr>
        <w:t xml:space="preserve">المدّعی إذا لم یمکن إثباته بالبیّنة، کما لا إشکال فی عدم القضاء بهما فی حقوق اللّه تعالی، کثبوت الهلال، والأشبه عدم الحکم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سائر حقوق الناس، کان مالاً کدعوی العین الخارجیّة، أو ما یقصد به المال کالبیع والإجارة، أو غیرهما کالنسب والولایة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المراد بالدین کلّ حقّ مالیّ فی الذمّة بأیّ سبب کان، فإذا تعلّقت الدعوی بنفس الدین أو بأسبابه لأجل إثباته فهی من دعوی الدین، وإذا تعلّقت بذات الأسباب لغرض آخر لا تکون منها</w:t>
      </w:r>
      <w:r>
        <w:rPr>
          <w:rFonts w:eastAsia="IRNazanin" w:cs="IRNazanin"/>
          <w:color w:val="111111"/>
          <w:sz w:val="28"/>
          <w:szCs w:val="28"/>
          <w:rtl w:val="true"/>
          <w:lang w:bidi="fa-IR"/>
        </w:rPr>
        <w:t>.</w:t>
      </w:r>
    </w:p>
    <w:p>
      <w:pPr>
        <w:pStyle w:val="Heading3"/>
        <w:numPr>
          <w:ilvl w:val="2"/>
          <w:numId w:val="1"/>
        </w:numPr>
        <w:rPr/>
      </w:pPr>
      <w:bookmarkStart w:id="732" w:name="__RefHeading___Toc1265616_653776707"/>
      <w:bookmarkStart w:id="733" w:name="_Toc279"/>
      <w:bookmarkEnd w:id="732"/>
      <w:r>
        <w:rPr>
          <w:rtl w:val="true"/>
        </w:rPr>
        <w:t>فی السکوت</w:t>
      </w:r>
      <w:bookmarkEnd w:id="733"/>
    </w:p>
    <w:p>
      <w:pPr>
        <w:pStyle w:val="BookText"/>
        <w:rPr/>
      </w:pPr>
      <w:r>
        <w:rPr>
          <w:rFonts w:ascii="IRNazanin" w:hAnsi="IRNazanin" w:eastAsia="IRNazanin"/>
          <w:color w:val="111111"/>
          <w:sz w:val="28"/>
          <w:sz w:val="28"/>
          <w:szCs w:val="28"/>
          <w:rtl w:val="true"/>
          <w:lang w:bidi="fa-IR"/>
        </w:rPr>
        <w:t>إذا سکت المدّعی علیه لا لعذر، بل تعنّتاً ولجاجاً، أمره الحاکم بالجواب باللطف والرفق ثمّ بالغلظة، فإن أصرّ فالأحوط أن یقول له الحاکم أجب وإلّا جعلتک ناکلاً، فإن أصرّ ردّ الیمین علی المدّعی، فإن حلف ثبت حقّه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أجاب المدّعی علیه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صدّقه المدّعی أو لم یصدّقه لکن أحلفه علی عدم علمه توقّفت الدعوی؛ إلّاأنّ المدّعی علی ادّعائه إلی أن یقیم البیّنة، وله المقاصّة من ماله بمقدار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أجاب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المدّعی أبرأه أو أخذ حقّه، انقلبت الدعوی؛ وصار المدّعی علیه مدّعیاً والمدّعی منکراً</w:t>
      </w:r>
      <w:r>
        <w:rPr>
          <w:rFonts w:eastAsia="IRNazanin" w:cs="IRNazanin"/>
          <w:color w:val="111111"/>
          <w:sz w:val="28"/>
          <w:szCs w:val="28"/>
          <w:rtl w:val="true"/>
          <w:lang w:bidi="fa-IR"/>
        </w:rPr>
        <w:t>.</w:t>
      </w:r>
    </w:p>
    <w:p>
      <w:pPr>
        <w:pStyle w:val="Heading3"/>
        <w:numPr>
          <w:ilvl w:val="2"/>
          <w:numId w:val="1"/>
        </w:numPr>
        <w:rPr/>
      </w:pPr>
      <w:bookmarkStart w:id="734" w:name="__RefHeading___Toc1265618_653776707"/>
      <w:bookmarkStart w:id="735" w:name="_Toc280"/>
      <w:bookmarkEnd w:id="734"/>
      <w:r>
        <w:rPr>
          <w:rtl w:val="true"/>
        </w:rPr>
        <w:t>فی الحلف</w:t>
      </w:r>
      <w:bookmarkEnd w:id="735"/>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یصحّ الحلف إلّاباللّه تعالی، أو بأسمائه الخاصّة، أو المشترکة المنصرفة إلیه، ویکفی ذلک بأیّ لغة کان، ولا یجوز التوکیل فی الحلف، ولابدّ أن یکون فی مجلس القضاء، وأن یکون علی البتّ، ولا یصحّ إذا کان علی مال الغیر أو حقّه إثباتاً أو إسقاطاً، کما لو حلف علی اشتغال ذمّة زید أو براءة ذمّته</w:t>
      </w:r>
      <w:r>
        <w:rPr>
          <w:rFonts w:eastAsia="IRNazanin" w:cs="IRNazanin"/>
          <w:color w:val="111111"/>
          <w:sz w:val="28"/>
          <w:szCs w:val="28"/>
          <w:rtl w:val="true"/>
          <w:lang w:bidi="fa-IR"/>
        </w:rPr>
        <w:t>.</w:t>
      </w:r>
      <w:bookmarkStart w:id="736" w:name="pg6476_57029"/>
    </w:p>
    <w:p>
      <w:pPr>
        <w:pStyle w:val="Heading3"/>
        <w:numPr>
          <w:ilvl w:val="2"/>
          <w:numId w:val="1"/>
        </w:numPr>
        <w:rPr/>
      </w:pPr>
      <w:bookmarkStart w:id="737" w:name="__RefHeading___Toc1265620_653776707"/>
      <w:bookmarkStart w:id="738" w:name="_Toc281"/>
      <w:bookmarkEnd w:id="736"/>
      <w:bookmarkEnd w:id="737"/>
      <w:r>
        <w:rPr>
          <w:rtl w:val="true"/>
        </w:rPr>
        <w:t>فی أحکام الید</w:t>
      </w:r>
      <w:bookmarkEnd w:id="7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ما کان تحت استیلاء شخص وتحت یده، یحکم بکونه له؛ سواء أکان من الأعیان أو المنافع أو الحقوق، فلو کانت عین موقوفة تحت تولیة أحد ویدّعی أنّه المتولّی، یحکم بکونه متولّیاً، وأنّ له حقّ التولیة، ولو کان شیء تحت ید اثنین یحکم بملکیّته 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تنازعا فی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تحت ید أحدهما فالقول قوله بیمینه، وعلی غیره إقامة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فی یدهما فکلّ مدّعٍ بالنسبة إلی ما فی ید صاحبه ومنکر بالنسبة إلی ما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تنازع الزوجان فی متاع البیت فکلّ ما یستعمله الرجال ویناسبهم کالسلاح وألبسة الرجال فهو للزوج، وکلّ ما یناسب النساء کالحلیّ وألبسة المرأة فهو للزوجة</w:t>
      </w:r>
      <w:r>
        <w:rPr>
          <w:rFonts w:eastAsia="IRNazanin" w:cs="IRNazanin"/>
          <w:color w:val="111111"/>
          <w:sz w:val="28"/>
          <w:szCs w:val="28"/>
          <w:rtl w:val="true"/>
          <w:lang w:bidi="fa-IR"/>
        </w:rPr>
        <w:t>.</w:t>
      </w:r>
    </w:p>
    <w:p>
      <w:pPr>
        <w:pStyle w:val="Heading3"/>
        <w:numPr>
          <w:ilvl w:val="2"/>
          <w:numId w:val="1"/>
        </w:numPr>
        <w:rPr/>
      </w:pPr>
      <w:bookmarkStart w:id="739" w:name="__RefHeading___Toc1265622_653776707"/>
      <w:bookmarkStart w:id="740" w:name="_Toc282"/>
      <w:bookmarkEnd w:id="739"/>
      <w:r>
        <w:rPr>
          <w:rtl w:val="true"/>
        </w:rPr>
        <w:t>فی المقاصّة</w:t>
      </w:r>
      <w:bookmarkEnd w:id="7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لشخص علی أحد شیء من عین أو دین أو منفعة أو حقّ، فلا إشکال فی عدم جواز المقاصّة مع عدم جحوده وعدم مماطلته، ولا فی جواز المقاصّة مع الجحود أو المماطلة، وأمّا إذا کان منکراً معتقداً عدمه أو کان لا یدری محقّیة المدّعی، فالظاهر عدم المقاصّة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له عین عند آخر ولم یمکن أخذها، جازت المقاصّة من ماله الآخر بمقدار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یتمکّن إلّاببیع ماله باع وأخذ قیمة العین، ووجب ردّ الزائد، ولو تلف الزائد عنده من دون تفریط لم یضمن</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المطلوب کلّیاً جاز أخذ ما یساویه قیمة من ماله، ویجوز أخذ المثلی فی القیمی، والقیمی فی المثلی، ویجوز المقاصّة من العین أو المنفعة أو الحقّ فی مقابل حقّه من أیّ منها کان، ولا یبیع ماله إلّاإذا توقّف</w:t>
      </w:r>
    </w:p>
    <w:p>
      <w:pPr>
        <w:pStyle w:val="BookText"/>
        <w:rPr/>
      </w:pPr>
      <w:r>
        <w:rPr>
          <w:rFonts w:ascii="IRNazanin" w:hAnsi="IRNazanin" w:eastAsia="IRNazanin"/>
          <w:color w:val="111111"/>
          <w:sz w:val="28"/>
          <w:sz w:val="28"/>
          <w:szCs w:val="28"/>
          <w:rtl w:val="true"/>
          <w:lang w:bidi="fa-IR"/>
        </w:rPr>
        <w:t>الاستیفاء علی البیع، ویجوز التقاصّ فی الدین وإن أمکن المراجعة إلی الحاکم، ویجوز التقاصّ من الودیعة وإن کان الأحوط 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حقّه علی المماطل دیناً تبرأ ذمّته بمجرّد المقاصّة، ولا تبعد البراءة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عیناً مثلیّة فاقتصّ المماثل، وأمّا العین القیمیّة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کفرس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فاقتصّ قیمته أو عیناً اُخری، فهل یکون ذلک معاوضة قهریّة أو یکون المأخوذ من قبیل بدل الحیلولة فیترتّب علیه حکمه؟ لا یبعد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التقاصّ من المال المشترک بین المدیون وغیره، ولو أخذ صحّ المقاصّة وصار شریکاً مع الشریک إن کان مساویاً لحقّه أو أنقص، وشریکاً مع المدیون والشریک إن کان أزید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له حقّ علی الغیر ومنعه الحیاء أو الخوف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المطالبة لا یجوز المقاصّة، وکذا مع الشکّ فی أنّ المدیون جاحد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للمماطل دین علیه جاز احتسابه عوضاً عن ماله مقاصّة وتبرأ ذمّته بمقدار التقاصّ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للسادة والفقراء المقاصّة من مال من علیه أو فی ماله الخمس أو الزکاة إلّابإذن الحاکم، ومثله ما کان وقفاً علی الجهات والعناوین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یتوقّف التقاصّ علی إذن الحاکم، وکذا بیع مال الغیر أو إفرازه إذا توقّف التقاصّ علیه، ولا تتحقّق بالنیّة المجرّدة بدون الأخذ والتسلّط، إلّافی مسألة احتساب الدین کما مرّ </w:t>
      </w:r>
      <w:r>
        <w:rPr>
          <w:rStyle w:val="FootnoteAnchor"/>
          <w:rtl w:val="true"/>
        </w:rPr>
        <w:footnoteReference w:id="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المسألة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1" w:name="pg6476_57031"/>
    </w:p>
    <w:p>
      <w:pPr>
        <w:pStyle w:val="Heading2"/>
        <w:numPr>
          <w:ilvl w:val="1"/>
          <w:numId w:val="1"/>
        </w:numPr>
        <w:rPr/>
      </w:pPr>
      <w:bookmarkStart w:id="742" w:name="__RefHeading___Toc1265624_653776707"/>
      <w:bookmarkStart w:id="743" w:name="_Toc283"/>
      <w:bookmarkEnd w:id="741"/>
      <w:bookmarkEnd w:id="742"/>
      <w:r>
        <w:rPr>
          <w:rtl w:val="true"/>
        </w:rPr>
        <w:t>کتاب الشهادات</w:t>
      </w:r>
      <w:bookmarkEnd w:id="743"/>
    </w:p>
    <w:p>
      <w:pPr>
        <w:pStyle w:val="Heading3"/>
        <w:numPr>
          <w:ilvl w:val="2"/>
          <w:numId w:val="1"/>
        </w:numPr>
        <w:rPr/>
      </w:pPr>
      <w:bookmarkStart w:id="744" w:name="__RefHeading___Toc1265626_653776707"/>
      <w:bookmarkStart w:id="745" w:name="_Toc284"/>
      <w:bookmarkEnd w:id="744"/>
      <w:r>
        <w:rPr>
          <w:rtl w:val="true"/>
        </w:rPr>
        <w:t>فی صفات الشهود</w:t>
      </w:r>
      <w:bookmarkEnd w:id="745"/>
    </w:p>
    <w:p>
      <w:pPr>
        <w:pStyle w:val="Heading4"/>
        <w:numPr>
          <w:ilvl w:val="3"/>
          <w:numId w:val="1"/>
        </w:numPr>
        <w:rPr/>
      </w:pPr>
      <w:bookmarkStart w:id="746" w:name="__RefHeading___Toc1265628_653776707"/>
      <w:bookmarkStart w:id="747" w:name="_Toc285"/>
      <w:bookmarkEnd w:id="746"/>
      <w:r>
        <w:rPr>
          <w:rtl w:val="true"/>
        </w:rPr>
        <w:t>اشارة</w:t>
      </w:r>
      <w:bookmarkEnd w:id="747"/>
    </w:p>
    <w:p>
      <w:pPr>
        <w:pStyle w:val="BookText"/>
        <w:rPr/>
      </w:pPr>
      <w:r>
        <w:rPr>
          <w:rFonts w:ascii="Amiri" w:hAnsi="Amiri" w:eastAsia="Amiri" w:cs="Amiri"/>
          <w:color w:val="111111"/>
          <w:sz w:val="28"/>
          <w:sz w:val="28"/>
          <w:szCs w:val="28"/>
          <w:rtl w:val="true"/>
          <w:lang w:bidi="ar-SA"/>
        </w:rPr>
        <w:t>وهی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فلا تقبل شهادة غیر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غیر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إلّافی الوصیّة بالمال مع عدم من یشهد بها من عدول المسلمین، فتقبل شهادة الذمّیّ العدل فی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وهی الملکة الرادعة عن معصیة اللّه تعالی، فلا تقبل شهادة الفاسق، وهو المرتکب للکبیرة بل الصغیرة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المولد، فلا تقبل شهادة ولد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التهمة کشهادة الشریک لشریکه، والعدوّ علی عدوّه</w:t>
      </w:r>
      <w:r>
        <w:rPr>
          <w:rFonts w:eastAsia="IRNazanin" w:cs="IRNazanin"/>
          <w:color w:val="111111"/>
          <w:sz w:val="28"/>
          <w:szCs w:val="28"/>
          <w:rtl w:val="true"/>
          <w:lang w:bidi="fa-IR"/>
        </w:rPr>
        <w:t>.</w:t>
      </w:r>
    </w:p>
    <w:p>
      <w:pPr>
        <w:pStyle w:val="Heading4"/>
        <w:numPr>
          <w:ilvl w:val="3"/>
          <w:numId w:val="1"/>
        </w:numPr>
        <w:rPr/>
      </w:pPr>
      <w:bookmarkStart w:id="748" w:name="__RefHeading___Toc1265630_653776707"/>
      <w:bookmarkStart w:id="749" w:name="_Toc286"/>
      <w:bookmarkEnd w:id="748"/>
      <w:r>
        <w:rPr>
          <w:rtl w:val="true"/>
        </w:rPr>
        <w:t>فی ضابط الشهادة ولواحقها</w:t>
      </w:r>
      <w:bookmarkEnd w:id="749"/>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الضابط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القطعی من أیّ سبب کان، وإذا قامت الحجّة الشرعیّة علی الملک ظاهراً کالبیّنة والید والاستصحاب ونحوها، جاز الاتّکال علیها إذا شهد</w:t>
      </w:r>
    </w:p>
    <w:p>
      <w:pPr>
        <w:pStyle w:val="BookText"/>
        <w:rPr/>
      </w:pPr>
      <w:r>
        <w:rPr>
          <w:rFonts w:ascii="IRNazanin" w:hAnsi="IRNazanin" w:eastAsia="IRNazanin"/>
          <w:color w:val="111111"/>
          <w:sz w:val="28"/>
          <w:sz w:val="28"/>
          <w:szCs w:val="28"/>
          <w:rtl w:val="true"/>
          <w:lang w:bidi="fa-IR"/>
        </w:rPr>
        <w:t>علی الملکیّة الظاهریّة، إلّاإذا قامت قرائن قطعیّة علی الملک فتجوز الشهادة علی الواقعیّة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قبول شهادة الشاهدین تواردهما علی الشیء الواحد، فلو شهد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غصبه من زید،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ملک زید، لم تردا علی معنی واحد؛ فإنّ الغصب منه أعمّ من کونه ملکاً له، وکذا لو اختلفا فی زمان الفعل أو مکانه أو وصفه، فإذا تعارض شهادتهما سقطتا کما هو الحال فی البیّنتین المتعارضتین</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أن یشهّر شهود الزور فی بلدهم؛ لتجتنب شهادتهم ویرتدع غیرهم، ویعزّرهم الحاکم بما یراه</w:t>
      </w:r>
      <w:r>
        <w:rPr>
          <w:rFonts w:eastAsia="IRNazanin" w:cs="IRNazanin"/>
          <w:color w:val="111111"/>
          <w:sz w:val="28"/>
          <w:szCs w:val="28"/>
          <w:rtl w:val="true"/>
          <w:lang w:bidi="fa-IR"/>
        </w:rPr>
        <w:t>.</w:t>
      </w:r>
      <w:bookmarkStart w:id="750" w:name="pg6476_57033"/>
    </w:p>
    <w:p>
      <w:pPr>
        <w:pStyle w:val="Heading2"/>
        <w:numPr>
          <w:ilvl w:val="1"/>
          <w:numId w:val="1"/>
        </w:numPr>
        <w:rPr/>
      </w:pPr>
      <w:bookmarkStart w:id="751" w:name="__RefHeading___Toc1265632_653776707"/>
      <w:bookmarkStart w:id="752" w:name="_Toc287"/>
      <w:bookmarkEnd w:id="750"/>
      <w:bookmarkEnd w:id="751"/>
      <w:r>
        <w:rPr>
          <w:rtl w:val="true"/>
        </w:rPr>
        <w:t>کتاب الحدود</w:t>
      </w:r>
      <w:bookmarkEnd w:id="752"/>
    </w:p>
    <w:p>
      <w:pPr>
        <w:pStyle w:val="Heading3"/>
        <w:numPr>
          <w:ilvl w:val="2"/>
          <w:numId w:val="1"/>
        </w:numPr>
        <w:rPr/>
      </w:pPr>
      <w:bookmarkStart w:id="753" w:name="__RefHeading___Toc1265634_653776707"/>
      <w:bookmarkStart w:id="754" w:name="_Toc288"/>
      <w:bookmarkEnd w:id="753"/>
      <w:r>
        <w:rPr>
          <w:rtl w:val="true"/>
        </w:rPr>
        <w:t>اشارة</w:t>
      </w:r>
      <w:bookmarkEnd w:id="754"/>
    </w:p>
    <w:p>
      <w:pPr>
        <w:pStyle w:val="BookText"/>
        <w:rPr/>
      </w:pPr>
      <w:r>
        <w:rPr>
          <w:rFonts w:ascii="IRNazanin" w:hAnsi="IRNazanin" w:eastAsia="IRNazanin"/>
          <w:color w:val="111111"/>
          <w:sz w:val="28"/>
          <w:sz w:val="28"/>
          <w:szCs w:val="28"/>
          <w:rtl w:val="true"/>
          <w:lang w:bidi="fa-IR"/>
        </w:rPr>
        <w:t>وفیه فصول</w:t>
      </w:r>
      <w:r>
        <w:rPr>
          <w:rFonts w:eastAsia="IRNazanin" w:cs="IRNazanin"/>
          <w:color w:val="111111"/>
          <w:sz w:val="28"/>
          <w:szCs w:val="28"/>
          <w:rtl w:val="true"/>
          <w:lang w:bidi="fa-IR"/>
        </w:rPr>
        <w:t>:</w:t>
      </w:r>
    </w:p>
    <w:p>
      <w:pPr>
        <w:pStyle w:val="Heading3"/>
        <w:numPr>
          <w:ilvl w:val="2"/>
          <w:numId w:val="1"/>
        </w:numPr>
        <w:rPr/>
      </w:pPr>
      <w:bookmarkStart w:id="755" w:name="__RefHeading___Toc1265636_653776707"/>
      <w:bookmarkStart w:id="756" w:name="_Toc289"/>
      <w:bookmarkEnd w:id="755"/>
      <w:r>
        <w:rPr>
          <w:rtl w:val="true"/>
        </w:rPr>
        <w:t>الفصل الأوّل</w:t>
      </w:r>
      <w:r>
        <w:rPr>
          <w:rtl w:val="true"/>
        </w:rPr>
        <w:t xml:space="preserve">: </w:t>
      </w:r>
      <w:r>
        <w:rPr>
          <w:rtl w:val="true"/>
        </w:rPr>
        <w:t>فی حدّ الزنا</w:t>
      </w:r>
      <w:bookmarkEnd w:id="756"/>
    </w:p>
    <w:p>
      <w:pPr>
        <w:pStyle w:val="Heading4"/>
        <w:numPr>
          <w:ilvl w:val="3"/>
          <w:numId w:val="1"/>
        </w:numPr>
        <w:rPr/>
      </w:pPr>
      <w:bookmarkStart w:id="757" w:name="__RefHeading___Toc1265638_653776707"/>
      <w:bookmarkStart w:id="758" w:name="_Toc290"/>
      <w:bookmarkEnd w:id="757"/>
      <w:r>
        <w:rPr>
          <w:rtl w:val="true"/>
        </w:rPr>
        <w:t>فی حدّ الزنا</w:t>
      </w:r>
      <w:bookmarkEnd w:id="758"/>
    </w:p>
    <w:p>
      <w:pPr>
        <w:pStyle w:val="Heading5"/>
        <w:numPr>
          <w:ilvl w:val="4"/>
          <w:numId w:val="1"/>
        </w:numPr>
        <w:rPr/>
      </w:pPr>
      <w:bookmarkStart w:id="759" w:name="__RefHeading___Toc1265640_653776707"/>
      <w:bookmarkStart w:id="760" w:name="_Toc291"/>
      <w:bookmarkEnd w:id="759"/>
      <w:r>
        <w:rPr>
          <w:rtl w:val="true"/>
        </w:rPr>
        <w:t>اشارة</w:t>
      </w:r>
      <w:bookmarkEnd w:id="760"/>
    </w:p>
    <w:p>
      <w:pPr>
        <w:pStyle w:val="BookText"/>
        <w:rPr/>
      </w:pPr>
      <w:r>
        <w:rPr>
          <w:rFonts w:ascii="IRNazanin" w:hAnsi="IRNazanin" w:eastAsia="IRNazanin"/>
          <w:color w:val="111111"/>
          <w:sz w:val="28"/>
          <w:sz w:val="28"/>
          <w:szCs w:val="28"/>
          <w:rtl w:val="true"/>
          <w:lang w:bidi="fa-IR"/>
        </w:rPr>
        <w:t>والنظر فی الموجب، وما یثبت به، والحدّ، واللواحق</w:t>
      </w:r>
      <w:r>
        <w:rPr>
          <w:rFonts w:eastAsia="IRNazanin" w:cs="IRNazanin"/>
          <w:color w:val="111111"/>
          <w:sz w:val="28"/>
          <w:szCs w:val="28"/>
          <w:rtl w:val="true"/>
          <w:lang w:bidi="fa-IR"/>
        </w:rPr>
        <w:t>.</w:t>
      </w:r>
    </w:p>
    <w:p>
      <w:pPr>
        <w:pStyle w:val="Heading5"/>
        <w:numPr>
          <w:ilvl w:val="4"/>
          <w:numId w:val="1"/>
        </w:numPr>
        <w:rPr/>
      </w:pPr>
      <w:bookmarkStart w:id="761" w:name="__RefHeading___Toc1265642_653776707"/>
      <w:bookmarkStart w:id="762" w:name="_Toc292"/>
      <w:bookmarkEnd w:id="761"/>
      <w:r>
        <w:rPr>
          <w:rtl w:val="true"/>
        </w:rPr>
        <w:t>فی الموجب</w:t>
      </w:r>
      <w:bookmarkEnd w:id="7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یتحقّق الزنا بوطء الرجل امرأة قبلاً أو دبراً، من غیر عقد ولا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یتحقّق بالدخول حال الحیض والصوم والإحرام، ویشترط فی ثبوت الحدّ علی کلّ من الزانی والزانیة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والعقل والاختیار والعلم بالحرمة، فلا حدّ مع الصغر والجنون والإکراه والجهل بالتحریم حکماً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 عقد علی المرضعة أو المعتدّة أو اُخت الملوط به جهلاً بحرمتها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موضوعاً؛ کمن أخبرته بأنّها خلیّة فظهرت ذات 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کلّ ما یصلح أن یکون شبهة بالنظر إلی المدّعی لها، وبدعوی الزوجیّة ما لم یعلم الکذب، ولا یکلّف بالبیّنة والیمین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یتحقّق الإحصان الذی یجب معه الرجم باُمور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الوطء بأهله قُبلاً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والعقل</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متمکّناً من الوطء إذا شاء، فلا إحصان فی البعید عن</w:t>
      </w:r>
      <w:bookmarkStart w:id="763" w:name="pg6476_57034"/>
    </w:p>
    <w:p>
      <w:pPr>
        <w:pStyle w:val="BookText"/>
        <w:rPr/>
      </w:pPr>
      <w:bookmarkEnd w:id="763"/>
      <w:r>
        <w:rPr>
          <w:rFonts w:ascii="IRNazanin" w:hAnsi="IRNazanin" w:eastAsia="IRNazanin"/>
          <w:color w:val="111111"/>
          <w:sz w:val="28"/>
          <w:sz w:val="28"/>
          <w:szCs w:val="28"/>
          <w:rtl w:val="true"/>
          <w:lang w:bidi="fa-IR"/>
        </w:rPr>
        <w:t>زوجته، أو الممنوع عن وطئها لحبس أو مرض، ویعتبر فی إحصانها ما یعتبر فی إحصانه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حدّ فی التقبیل والمضاجعة والمعانقة ونحوها، بل یثبت التعزیر بما یراه الحاکم</w:t>
      </w:r>
      <w:r>
        <w:rPr>
          <w:rFonts w:eastAsia="IRNazanin" w:cs="IRNazanin"/>
          <w:color w:val="111111"/>
          <w:sz w:val="28"/>
          <w:szCs w:val="28"/>
          <w:rtl w:val="true"/>
          <w:lang w:bidi="fa-IR"/>
        </w:rPr>
        <w:t>.</w:t>
      </w:r>
    </w:p>
    <w:p>
      <w:pPr>
        <w:pStyle w:val="Heading5"/>
        <w:numPr>
          <w:ilvl w:val="4"/>
          <w:numId w:val="1"/>
        </w:numPr>
        <w:rPr/>
      </w:pPr>
      <w:bookmarkStart w:id="764" w:name="__RefHeading___Toc1265644_653776707"/>
      <w:bookmarkStart w:id="765" w:name="_Toc293"/>
      <w:bookmarkEnd w:id="764"/>
      <w:r>
        <w:rPr>
          <w:rtl w:val="true"/>
        </w:rPr>
        <w:t>فیما یثبت به</w:t>
      </w:r>
      <w:bookmarkEnd w:id="7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یثبت الزنا بالإقرار الجامع للشرائط مع الصراحة والتکرار أربعاً، والأحوط کونه فی أربعة مجالس، ولو أقرّ دون الأربع فللحاکم تعزیره، ولو أقرَّ بما یوجب الرجم أو القتل ثمّ أنکر، یسقط الحدّ، ولو أقرّ ثمّ تاب، تخیّر الإمام علیه السلام أو نائبه فی العفو وإقامة الحدّ، ولو حملت المرأة التی لا بعل لها لم تحدّ، ولیس علی أحد سؤالها والتفتیش عن حالها، ولو أقر بالزنا بامرأة حدّ دونها، إلّاأن تقرّ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یثبت الزنا بالبیّنة، ویعتبر أن لا تکون أقلّ من أربعة رجال أو ثلاثة وامرأتین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التصریح علی مشاهدة الولوج فی الفرج؛ من غیر عقد ولا شبهة ولا إکراه، ولا یلزم ذکر الخصوصیّات من الزمان والمکان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ویعتبر الشهادة دفعة؛ فلو شهد البعض فی غیبة الآخرین، أو نکل البعض الآخر، أو شهدوا للزنا وکانوا غیر عدول کلّاً أو بعضاً،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القذف، ویسقط الحدّ التوبة قبل قیام البیّنة أو قبل الإقرار رجماً کان أو جلداً، ولا یسقط لو تاب بعده، ولیس للإمام علیه السلام أو نائبه العفو بعد قیام البیّنة</w:t>
      </w:r>
      <w:r>
        <w:rPr>
          <w:rFonts w:eastAsia="IRNazanin" w:cs="IRNazanin"/>
          <w:color w:val="111111"/>
          <w:sz w:val="28"/>
          <w:szCs w:val="28"/>
          <w:rtl w:val="true"/>
          <w:lang w:bidi="fa-IR"/>
        </w:rPr>
        <w:t>.</w:t>
      </w:r>
    </w:p>
    <w:p>
      <w:pPr>
        <w:pStyle w:val="Heading4"/>
        <w:numPr>
          <w:ilvl w:val="3"/>
          <w:numId w:val="1"/>
        </w:numPr>
        <w:rPr/>
      </w:pPr>
      <w:bookmarkStart w:id="766" w:name="__RefHeading___Toc1265646_653776707"/>
      <w:bookmarkStart w:id="767" w:name="_Toc294"/>
      <w:bookmarkEnd w:id="766"/>
      <w:r>
        <w:rPr>
          <w:rtl w:val="true"/>
        </w:rPr>
        <w:t>فی الحدّ</w:t>
      </w:r>
      <w:bookmarkEnd w:id="767"/>
    </w:p>
    <w:p>
      <w:pPr>
        <w:pStyle w:val="Heading5"/>
        <w:numPr>
          <w:ilvl w:val="4"/>
          <w:numId w:val="1"/>
        </w:numPr>
        <w:rPr/>
      </w:pPr>
      <w:bookmarkStart w:id="768" w:name="__RefHeading___Toc1265648_653776707"/>
      <w:bookmarkStart w:id="769" w:name="_Toc295"/>
      <w:bookmarkEnd w:id="768"/>
      <w:r>
        <w:rPr>
          <w:rtl w:val="true"/>
        </w:rPr>
        <w:t>فی أقسامه وکیفیّة إقامته</w:t>
      </w:r>
      <w:bookmarkEnd w:id="769"/>
    </w:p>
    <w:p>
      <w:pPr>
        <w:pStyle w:val="BookText"/>
        <w:rPr/>
      </w:pPr>
      <w:r>
        <w:rPr>
          <w:rFonts w:ascii="Amiri" w:hAnsi="Amiri" w:eastAsia="Amiri" w:cs="Amiri"/>
          <w:color w:val="111111"/>
          <w:sz w:val="28"/>
          <w:sz w:val="28"/>
          <w:szCs w:val="28"/>
          <w:rtl w:val="true"/>
          <w:lang w:bidi="ar-SA"/>
        </w:rPr>
        <w:t>للحدّ أقسام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وهو یجب علی من زنی بذات محرم للنسب کالاُخت والخالة،</w:t>
      </w:r>
    </w:p>
    <w:p>
      <w:pPr>
        <w:pStyle w:val="BookText"/>
        <w:rPr/>
      </w:pPr>
      <w:r>
        <w:rPr>
          <w:rFonts w:ascii="IRNazanin" w:hAnsi="IRNazanin" w:eastAsia="IRNazanin"/>
          <w:color w:val="111111"/>
          <w:sz w:val="28"/>
          <w:sz w:val="28"/>
          <w:szCs w:val="28"/>
          <w:rtl w:val="true"/>
          <w:lang w:bidi="fa-IR"/>
        </w:rPr>
        <w:t>والأحوط عدم إلحاق المحرم للرضاع، والاُمّ والبنت من الزنا، والمحارم السببیّة کبنت الزوجة واُمّها بالنسب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الأقوی إلحاق امرأة الأب بها، ویقتل الذمّی بل وسائر الکفّار إذا زنی بمسلمة، ویقتل من زنی بامرأة مکرهاً لها، ولا یعتبر فی هذه الموارد الإحصان، بل یقتل محصناً أو غیر محصن شابّاً أو شائباً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الرجم فقط، وهو یجب علی المحصن إذا زنی ببالغة عاقلة، وعلی المحصنة إذا زنت ببالغ عاقل إذا کانا شابّین، ولا یبعد ثبوت الرجم إذا زنی المحصن بالمجنونة وغیر البالغة، والمحصنة إذا زنی بها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الجلد خاصّة، وهو ثابت علی الزانی غیر المحصن، والزانیة غیر المحصنة، والبالغة العاقلة إذا زنی بها طفل؛ کانت محصنة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الجلد والرجم معاً، وهما حدّ الشیخ والشیخة إذا کانا محصنین، فیجلدان أوّلاً ثمّ یرجمان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الجلد والتغریب والجزّ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حلق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حدّ البکر أی الذی تزوّج ولم یدخل بها علی الأقرب، والتغریب إخراج إلی غیر الوطن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تکرّر الزنا بامرأة واحدة أو أکثر حدّ واحد، ولو تکرّر فأُقیم علیه الحدّ ثلاث مرّات قتل فی الرابعة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یقام الحدّ علی الحامل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من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تضع الحمل، وترضع ولدها إذا خیف الإضرار بالولد، ولو وجد کافل له اُقیم الحدّ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ویقام الحدّ علی المجنون إذا زنی صحیحاً، ویقام علی المریض إذا کان قتلاً أو رجماً ولا یقام إذا کان جلداً، کما لا یقام فی الحرّ والبرد الشدیدین، ولا فی أرض العدوّ، ولا فی الحرم علی من التجأ إلیه، إلّاإذا أحدث موجبه فی الحرم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اجتمع علیه الجلد والرجم بدئ بالأوّل</w:t>
      </w:r>
      <w:r>
        <w:rPr>
          <w:rFonts w:eastAsia="IRNazanin" w:cs="IRNazanin"/>
          <w:color w:val="111111"/>
          <w:sz w:val="28"/>
          <w:szCs w:val="28"/>
          <w:rtl w:val="true"/>
          <w:lang w:bidi="fa-IR"/>
        </w:rPr>
        <w:t>.</w:t>
      </w:r>
      <w:bookmarkStart w:id="770" w:name="pg6476_57036"/>
    </w:p>
    <w:p>
      <w:pPr>
        <w:pStyle w:val="BookText"/>
        <w:rPr/>
      </w:pPr>
      <w:bookmarkEnd w:id="770"/>
      <w:r>
        <w:rPr>
          <w:rFonts w:ascii="IRNazanin" w:hAnsi="IRNazanin" w:eastAsia="IRNazanin"/>
          <w:color w:val="111111"/>
          <w:sz w:val="28"/>
          <w:sz w:val="28"/>
          <w:szCs w:val="28"/>
          <w:rtl w:val="true"/>
          <w:lang w:bidi="fa-IR"/>
        </w:rPr>
        <w:t>ویدفن الرجل للرجم إلی حقویه، والمرأة إلی وسطها تحت الصدر، وإذا أقرّ الزانی المحصن کان أوّل من یرجمه الإمام علیه السلام ثمّ الناس، وإذا ثبت بالبیّنة کان أوّل من یرجمه البیّنة، ثمّ الإمام علیه السلام، ثمّ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ویجلد الزانی قائماً مجرّداً إلّامن ساتر العورة، ویضرب أشدّ الضرب، ویفرّق علی جمیع جسده غیر الرأس والفرج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وتضرب المرأة جالسة مع ثیابها، ولو قتلهما الحدّ فلا ضمان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فی الرجم حضور طائفة من المؤمنین، وأن یکون الأحجار صغاراً، ولا یجوز الحصی، ولا الکبیر الذی یقتله الواحد أو الاثنین، والأحوط عدم إقامة من علیه الحدّ إلّاإذا کان تائباً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اُرید رجمه أمره الحاکم أن یغتسل أغسال المیّت، ویکفّن کتکفینه، ویحنّط کحنوطه، ثمّ یرجم، ثمّ یصلّی علیه ویدفن بلا غسل فی قبور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علی الحاکم وکذا البیّنة الحضور عند الرجم لیبدئوا، ولو فرّ البیّنة سقط الحدّ للشبهة، ولیس الزوج من جملة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وللحاکم أن یعمل بعلمه فی حقوق اللّه بلا مطالبة أحد، وفی حقوق الناس مع مطالبة صاحب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افتضّ بکراً بإصبعه فعلیه مهر مثلها، ومن زنی فی زمان شریف کرمضان والجمعة أو مکان شریف کالمسجد والمشهد الشریف عوقب زیادة فی الحدّ، ولا کفالة فی الحدّ، ولا تأخیر ولا شفاعة فی إسقاطه</w:t>
      </w:r>
      <w:r>
        <w:rPr>
          <w:rFonts w:eastAsia="IRNazanin" w:cs="IRNazanin"/>
          <w:color w:val="111111"/>
          <w:sz w:val="28"/>
          <w:szCs w:val="28"/>
          <w:rtl w:val="true"/>
          <w:lang w:bidi="fa-IR"/>
        </w:rPr>
        <w:t>.</w:t>
      </w:r>
    </w:p>
    <w:p>
      <w:pPr>
        <w:pStyle w:val="Heading3"/>
        <w:numPr>
          <w:ilvl w:val="2"/>
          <w:numId w:val="1"/>
        </w:numPr>
        <w:rPr/>
      </w:pPr>
      <w:bookmarkStart w:id="771" w:name="__RefHeading___Toc1265650_653776707"/>
      <w:bookmarkStart w:id="772" w:name="_Toc296"/>
      <w:bookmarkEnd w:id="771"/>
      <w:r>
        <w:rPr>
          <w:rtl w:val="true"/>
        </w:rPr>
        <w:t>الفصل الثانی</w:t>
      </w:r>
      <w:r>
        <w:rPr>
          <w:rtl w:val="true"/>
        </w:rPr>
        <w:t xml:space="preserve">: </w:t>
      </w:r>
      <w:r>
        <w:rPr>
          <w:rtl w:val="true"/>
        </w:rPr>
        <w:t>فی اللواط والسحق والقیادة</w:t>
      </w:r>
      <w:bookmarkEnd w:id="772"/>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اللواط وطء الذُکران من الآدمی، وهو لا یثبت إلّابالإقرار الجامع للشرائط أربعاً، أو شهادة أربعة رجال بالمعاینة، ولو أقر دون الأربع یعزّر، ولو شهد دون الأربعة یحدّون حدّ الفریة</w:t>
      </w:r>
      <w:r>
        <w:rPr>
          <w:rFonts w:eastAsia="IRNazanin" w:cs="IRNazanin"/>
          <w:color w:val="111111"/>
          <w:sz w:val="28"/>
          <w:szCs w:val="28"/>
          <w:rtl w:val="true"/>
          <w:lang w:bidi="fa-IR"/>
        </w:rPr>
        <w:t>.</w:t>
      </w:r>
      <w:bookmarkStart w:id="773" w:name="pg6476_57037"/>
    </w:p>
    <w:p>
      <w:pPr>
        <w:pStyle w:val="BookText"/>
        <w:rPr/>
      </w:pPr>
      <w:bookmarkEnd w:id="7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وطئ فأوقب قتل الفاعل والمفعول إذا کانا بالغین، ولو لاط البالغ العاقل بالصبیّ أو المجنون قتل البالغ واُدّب الصبیّ والمجنون، ولو لاط الصبیّ بالصبیّ أُدّبا معاً، ولو لاط صبیّ ببالغ حُدّ البالغ واُدّب الصبیّ، وفی التفخیذ والجعل بین الألیتین یحدّان مائة جلدة، وإذا اجتمعا تحت إزار واحد مجرّدین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بینهما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یعزّران حدّاً دون سوط، وکذا من قبّل غلاماً بشهوة أو رجلاً أو امرأة صغیرة أو کبیرة، ولو تاب الجمیع قبل الثبوت سقط ما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الحاکم مخیّر فی القتل بین ضرب عنقه بالسیف، أو إلقائه من شاهق کجبل ونحوه مشدود الیدین والرجلین، أو إحراقه بالنار أو 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یثبت سحق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وطء المرأة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یثبت به اللواط، وحدّه مأئة جلدة مع التکلیف والاختیار، وتعزّر الأجنبیّتان إذا اجتمعتا تحت إزار واحد مجرّدتین حدّاً دون سوط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یحدّ القوّاد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الواسطة فی الزنا واللواط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خمساً وسبعین جلداً، وینفی من البلد إلی غیره</w:t>
      </w:r>
      <w:r>
        <w:rPr>
          <w:rFonts w:eastAsia="IRNazanin" w:cs="IRNazanin"/>
          <w:color w:val="111111"/>
          <w:sz w:val="28"/>
          <w:szCs w:val="28"/>
          <w:rtl w:val="true"/>
          <w:lang w:bidi="fa-IR"/>
        </w:rPr>
        <w:t>.</w:t>
      </w:r>
    </w:p>
    <w:p>
      <w:pPr>
        <w:pStyle w:val="Heading3"/>
        <w:numPr>
          <w:ilvl w:val="2"/>
          <w:numId w:val="1"/>
        </w:numPr>
        <w:rPr/>
      </w:pPr>
      <w:bookmarkStart w:id="774" w:name="__RefHeading___Toc1265652_653776707"/>
      <w:bookmarkStart w:id="775" w:name="_Toc297"/>
      <w:bookmarkEnd w:id="774"/>
      <w:r>
        <w:rPr>
          <w:rtl w:val="true"/>
        </w:rPr>
        <w:t>الفصل الثالث</w:t>
      </w:r>
      <w:r>
        <w:rPr>
          <w:rtl w:val="true"/>
        </w:rPr>
        <w:t xml:space="preserve">: </w:t>
      </w:r>
      <w:r>
        <w:rPr>
          <w:rtl w:val="true"/>
        </w:rPr>
        <w:t>فی حدّ القذف</w:t>
      </w:r>
      <w:bookmarkEnd w:id="775"/>
    </w:p>
    <w:p>
      <w:pPr>
        <w:pStyle w:val="Heading4"/>
        <w:numPr>
          <w:ilvl w:val="3"/>
          <w:numId w:val="1"/>
        </w:numPr>
        <w:rPr/>
      </w:pPr>
      <w:bookmarkStart w:id="776" w:name="__RefHeading___Toc1265654_653776707"/>
      <w:bookmarkStart w:id="777" w:name="_Toc298"/>
      <w:bookmarkEnd w:id="776"/>
      <w:r>
        <w:rPr>
          <w:rtl w:val="true"/>
        </w:rPr>
        <w:t>اشارة</w:t>
      </w:r>
      <w:bookmarkEnd w:id="7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موجب الحدّ الرمی بالزنا أو اللواط، وأمّا الرمی بسائر الفواحش فلا یوجب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للحاکم تعزیره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فی القذف اللفظ الصریح، فلو قال لولده الشرعی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بولدی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 لغیره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لأبیک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ثبت الحدّ، ولو قال یا ابن الزانیة فالقذف للاُمّ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فحش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دیّوث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ولد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شارب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ونحو ذلک ممّا یوجب الاستخفاف، ففیه التعزیر لا الحدّ</w:t>
      </w:r>
      <w:r>
        <w:rPr>
          <w:rFonts w:eastAsia="IRNazanin" w:cs="IRNazanin"/>
          <w:color w:val="111111"/>
          <w:sz w:val="28"/>
          <w:szCs w:val="28"/>
          <w:rtl w:val="true"/>
          <w:lang w:bidi="fa-IR"/>
        </w:rPr>
        <w:t>.</w:t>
      </w:r>
      <w:bookmarkStart w:id="778" w:name="pg6476_57038"/>
    </w:p>
    <w:p>
      <w:pPr>
        <w:pStyle w:val="BookText"/>
        <w:rPr/>
      </w:pPr>
      <w:bookmarkEnd w:id="7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القاذف الکمال، فلو کان صبیّاً یعزّر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والقصد؛ فالساهی والغافل والهازل لم یحدّ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المقذوف الإحصان؛ أی الکمال والإسلام والعفّة، فلا حدّ فی قذف غیر المکلّف ولا الکافر ولا المتظاهر بالزنا أو اللواط، ولو کان متظاهراً بغیرهما فقذفه یوجب الحدّ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قذف الوالد ولده بما یوجب الحدّ لم یحدّ، بل یعزّر، والجدّ کالوالد، ویحدّ الولد إذا قذف أباه، والاُمّ لو قذفت ابنها، وکذا سائر الأقارب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یثبت القذف بالإقرار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والبیّنة، وحدّه ثمانون جلدة یضرب ضرباً متوسّطاً فوق ثیابه، ویسقط بتصدیق المقذوف، وبعفوه</w:t>
      </w:r>
      <w:r>
        <w:rPr>
          <w:rFonts w:eastAsia="IRNazanin" w:cs="IRNazanin"/>
          <w:color w:val="111111"/>
          <w:sz w:val="28"/>
          <w:szCs w:val="28"/>
          <w:rtl w:val="true"/>
          <w:lang w:bidi="fa-IR"/>
        </w:rPr>
        <w:t>.</w:t>
      </w:r>
    </w:p>
    <w:p>
      <w:pPr>
        <w:pStyle w:val="Heading4"/>
        <w:numPr>
          <w:ilvl w:val="3"/>
          <w:numId w:val="1"/>
        </w:numPr>
        <w:rPr/>
      </w:pPr>
      <w:bookmarkStart w:id="779" w:name="__RefHeading___Toc1265656_653776707"/>
      <w:bookmarkStart w:id="780" w:name="_Toc299"/>
      <w:bookmarkEnd w:id="779"/>
      <w:r>
        <w:rPr>
          <w:rtl w:val="true"/>
        </w:rPr>
        <w:t>فروع</w:t>
      </w:r>
      <w:bookmarkEnd w:id="78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النبیّ صلی الله علیه و آله وجب علی سامعه قتله؛ لو لم یخف علی نفسه وعرضه، ومعه لا یجوز، ولو خاف علی ماله المعتدّ به جاز القتل والترک، ولا یتوقّف علی إذن الحاکم، وفی حکمه سبّ الأئمّة علیهم السلام وکذا الصدّیقة الطاهرة علیها السلام فی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ادّعی النبوّة یجب قتله، ودمه مباح لمن سمعها منه إلّامع الخوف، ولو قال أحد المسلمین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أدری أنّ محمّداً صلی الله علیه و آله حقّ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فیه التعزیر من حقوق اللّه تعالی یثبت بالبیّنة وبالإقرار، والأحوط أن یکون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من ترک واجباً أو ارتکب حراماً فللإمام علیه السلام أو نائبه تعزیره؛ بشرط أن یکون من الکبائر، والتعزیر منوط بنظر الحاکم، والأحوط أن لا یتجاوز أقلّ الحدود، وتأدیب الصبیّ منوط بنظر المؤدّب، ولا یجوز التعدّی ولا التجاوز عن تأدیب البالغ، والأحوط الاکتفاء بستّة أو خمسة</w:t>
      </w:r>
      <w:r>
        <w:rPr>
          <w:rFonts w:eastAsia="IRNazanin" w:cs="IRNazanin"/>
          <w:color w:val="111111"/>
          <w:sz w:val="28"/>
          <w:szCs w:val="28"/>
          <w:rtl w:val="true"/>
          <w:lang w:bidi="fa-IR"/>
        </w:rPr>
        <w:t>.</w:t>
      </w:r>
      <w:bookmarkStart w:id="781" w:name="pg6476_57039"/>
    </w:p>
    <w:p>
      <w:pPr>
        <w:pStyle w:val="Heading3"/>
        <w:numPr>
          <w:ilvl w:val="2"/>
          <w:numId w:val="1"/>
        </w:numPr>
        <w:rPr/>
      </w:pPr>
      <w:bookmarkStart w:id="782" w:name="__RefHeading___Toc1265658_653776707"/>
      <w:bookmarkStart w:id="783" w:name="_Toc300"/>
      <w:bookmarkEnd w:id="781"/>
      <w:bookmarkEnd w:id="782"/>
      <w:r>
        <w:rPr>
          <w:rtl w:val="true"/>
        </w:rPr>
        <w:t>الفصل الرابع</w:t>
      </w:r>
      <w:r>
        <w:rPr>
          <w:rtl w:val="true"/>
        </w:rPr>
        <w:t xml:space="preserve">: </w:t>
      </w:r>
      <w:r>
        <w:rPr>
          <w:rtl w:val="true"/>
        </w:rPr>
        <w:t>فی حدّ المسکر</w:t>
      </w:r>
      <w:bookmarkEnd w:id="783"/>
    </w:p>
    <w:p>
      <w:pPr>
        <w:pStyle w:val="BookText"/>
        <w:rPr/>
      </w:pPr>
      <w:r>
        <w:rPr>
          <w:rFonts w:ascii="IRNazanin" w:hAnsi="IRNazanin" w:eastAsia="IRNazanin"/>
          <w:color w:val="111111"/>
          <w:sz w:val="28"/>
          <w:sz w:val="28"/>
          <w:szCs w:val="28"/>
          <w:rtl w:val="true"/>
          <w:lang w:bidi="fa-IR"/>
        </w:rPr>
        <w:t>والنظر فی موجبه وکیفیّته وأحکامه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الحدّ علی من تناول المسکر أو الفقّاع؛ بشرط التکلیف والاختیار والعلم بالحکم والموضوع، فلا حدّ علی الصبیّ والمجنون والمکره والجاهل بالحکم أو الموضوع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المسکر قلیله وکثیره سواء فی إیجاب الحدّ ولو لم یکن مسکراً، ولو اضطرّ إلیه لحفظ النفس فلا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ویثبت شرب المسکر بالإقرار 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شرائطه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وبالبیّنة، وحدّه ثمانون جلدة؛ رجلاً کان الشارب أو امرأة، والکافر إذا تظاهر بشربه یحدّ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یضرب الحدّ علی ظهره وکتفیه وسائر جسده، ویتّقی رأسه ووجهه وفرجه، ویضرب الرجل قائماً عریاناً، والمرأة قاعدة فی ثیابها، ولا یقام الحدّ قبل الإفاقة، ولو شرب کراراً ولم یحدّ خلالها کفی حدّ واحد، ولو حدّ ثلاثاً قتل فی الرابعة، ومن قتله الحدّ أو التعزیر فلا دیة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شرب الخمر مستحلّاً شربها وهو مسلم استتیب، فإن تاب حدّ، وإن لم یتب قتل إذا رجع إنکاره إلی تکذیب النبیّ صلی الله علیه و آله، وبائع الخمر مستحلّاً یستتاب، فإن تاب قبل، وإلّا قتل بالشرط المذکور</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استحلّ شیئاً من المحرّمات المجمع علی تحریمها بین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کالمیتة ولحم الخنزیر والربا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ولد علی الفطرة یقتل إن رجع إنکاره إلی تکذیب النبیّ صلی الله علیه و آله أو إنکار الشرع، وإلّا فیعزّر، ولا یقتل بائعها وإن کان مستحلّاً</w:t>
      </w:r>
      <w:r>
        <w:rPr>
          <w:rFonts w:eastAsia="IRNazanin" w:cs="IRNazanin"/>
          <w:color w:val="111111"/>
          <w:sz w:val="28"/>
          <w:szCs w:val="28"/>
          <w:rtl w:val="true"/>
          <w:lang w:bidi="fa-IR"/>
        </w:rPr>
        <w:t>.</w:t>
      </w:r>
      <w:bookmarkStart w:id="784" w:name="pg6476_57040"/>
    </w:p>
    <w:p>
      <w:pPr>
        <w:pStyle w:val="Heading3"/>
        <w:numPr>
          <w:ilvl w:val="2"/>
          <w:numId w:val="1"/>
        </w:numPr>
        <w:rPr/>
      </w:pPr>
      <w:bookmarkStart w:id="785" w:name="__RefHeading___Toc1265660_653776707"/>
      <w:bookmarkStart w:id="786" w:name="_Toc301"/>
      <w:bookmarkEnd w:id="784"/>
      <w:bookmarkEnd w:id="785"/>
      <w:r>
        <w:rPr>
          <w:rtl w:val="true"/>
        </w:rPr>
        <w:t>الفصل الخامس</w:t>
      </w:r>
      <w:r>
        <w:rPr>
          <w:rtl w:val="true"/>
        </w:rPr>
        <w:t xml:space="preserve">: </w:t>
      </w:r>
      <w:r>
        <w:rPr>
          <w:rtl w:val="true"/>
        </w:rPr>
        <w:t>فی حدّ السرقة</w:t>
      </w:r>
      <w:bookmarkEnd w:id="786"/>
    </w:p>
    <w:p>
      <w:pPr>
        <w:pStyle w:val="BookText"/>
        <w:rPr/>
      </w:pPr>
      <w:r>
        <w:rPr>
          <w:rFonts w:ascii="IRNazanin" w:hAnsi="IRNazanin" w:eastAsia="IRNazanin"/>
          <w:color w:val="111111"/>
          <w:sz w:val="28"/>
          <w:sz w:val="28"/>
          <w:szCs w:val="28"/>
          <w:rtl w:val="true"/>
          <w:lang w:bidi="fa-IR"/>
        </w:rPr>
        <w:t>والنظر فی السارق والمسروق وما یثبت به الحدّ واللواحق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یشترط فی وجوب الحدّ علی السارق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فلو سرق الطفل یؤدّب بما یراه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السارق هاتکاً للحرز، فلو هتک أحدهما وسرق الآخر، فلا قطع لها بل یضمنان ما أتلفا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یأخذ سرّاً، فلو هتک ظاهراً قهراً وأخذ فلا قطع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یقطع الوالد لمال ولده، ویقطع فی عکسه، وفی غیرهما من الأرحام، ولا یقطع فی الشبهة کما لو أخذ الشریک مال شریکه بظنّ الجواز، ولا فیما إذا خان الأمین بالنسبة إلی ما فی یده کالودعی والمرتهن والأجیر، ولا فی سرقة الراهن الرهن، والمؤجر العین المستأجرة، ویقطع الزوج والزوجة بسرقة کلّ واحد ما أحرزه الآخر، إلّاإذا أخذ الزوجة تقاصّاً عن نفقتها إذا منعها الزوج عنها، والضیف یقطع إن أخذ من الحرز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نصاب القطع ما بلغ قیمته ربع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ذهباً خالصاً مسکوکاً رائجاً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زاد، من جمیع ما یملکه المسلم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حرز کلّ شیء بحسبه، فالإصطبل حرز الدابّة، والبیت حرز الأثاث، والصندوق حرز الثیاب والنقود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کسر القفل من هذه الأشیاء وسرق قطع، ولو أخذ شیئاً ظاهراً من دکّان مفتوح فلا قطع وإن حرم الدخول،</w:t>
      </w:r>
      <w:bookmarkStart w:id="787" w:name="pg6476_57041"/>
    </w:p>
    <w:p>
      <w:pPr>
        <w:pStyle w:val="BookText"/>
        <w:rPr/>
      </w:pPr>
      <w:bookmarkEnd w:id="787"/>
      <w:r>
        <w:rPr>
          <w:rFonts w:ascii="IRNazanin" w:hAnsi="IRNazanin" w:eastAsia="IRNazanin"/>
          <w:color w:val="111111"/>
          <w:sz w:val="28"/>
          <w:sz w:val="28"/>
          <w:szCs w:val="28"/>
          <w:rtl w:val="true"/>
          <w:lang w:bidi="fa-IR"/>
        </w:rPr>
        <w:t>ولا قطع فی الثمر علی الشجر ولو کان البستان مقفّلاً، ولا فی الجیب المفتوح فوق الثیاب، ویقطع فیما کان تحتها أو کان علیه وسیلة الحرز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موضع مأذون فیه للعموم أو 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کالخانات والحمّامات والمساجد والمشاهد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سرق منها فلا قطع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سرق 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کبیراً أو صغیراً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قطع للحدّ، نعم یعزّر بما یراه 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یثبت الحدّ بالبیّنة؛ والإقرار بالسرقة مرّتین، ولو أقرّ مرّة یؤخذ عنه المال ولا قطع، ویعتبر فی المقرّ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والعقل والاختیار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 السارق فی المرّة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الأصابع الأربع من مفصل اُصولها من الید الیمنی، ویترک الإبهام والراحة، ولو سرق ثانیاً قطعت رجله الیسری من تحت قبّة القدم؛ لیبقی له نصف القدم وقلیل من محلّ المسح، وإن سرق ثالثاً حبس دائماً، وإن سرق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فی السجن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ولو تکرّر منه السرقة ولم یحدّ کفی واحد، ولو سری القطع فأضرّ فلا ضمان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ثبتت السرقة عند الحاکم، لم یقطع حتّی یطالبه المسروق منه، ولو عفا قبل الرفع سقط الحدّ، وبعد الرفع لم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دخل الحرز وأخذ النصاب، فاُخذ قبل الإخراج، لم یقطع</w:t>
      </w:r>
      <w:r>
        <w:rPr>
          <w:rFonts w:eastAsia="IRNazanin" w:cs="IRNazanin"/>
          <w:color w:val="111111"/>
          <w:sz w:val="28"/>
          <w:szCs w:val="28"/>
          <w:rtl w:val="true"/>
          <w:lang w:bidi="fa-IR"/>
        </w:rPr>
        <w:t>.</w:t>
      </w:r>
    </w:p>
    <w:p>
      <w:pPr>
        <w:pStyle w:val="Heading3"/>
        <w:numPr>
          <w:ilvl w:val="2"/>
          <w:numId w:val="1"/>
        </w:numPr>
        <w:rPr/>
      </w:pPr>
      <w:bookmarkStart w:id="788" w:name="__RefHeading___Toc1265662_653776707"/>
      <w:bookmarkStart w:id="789" w:name="_Toc302"/>
      <w:bookmarkEnd w:id="788"/>
      <w:r>
        <w:rPr>
          <w:rtl w:val="true"/>
        </w:rPr>
        <w:t>الفصل السادس</w:t>
      </w:r>
      <w:r>
        <w:rPr>
          <w:rtl w:val="true"/>
        </w:rPr>
        <w:t xml:space="preserve">: </w:t>
      </w:r>
      <w:r>
        <w:rPr>
          <w:rtl w:val="true"/>
        </w:rPr>
        <w:t>فی حدّ المحارب</w:t>
      </w:r>
      <w:bookmarkEnd w:id="789"/>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کلّ من جرّد سلاحه لإخافة الناس والإفساد فی الأرض؛ لصّاً کان أو غیره؛ فی مصر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یثبت الحکم لمن جرّد السلاح لحفظ نفسه أو القوافل أو الأموال، أو لإخافة المحارب، وتثبت المحاربة بالبیّنة والإقرار</w:t>
      </w:r>
      <w:r>
        <w:rPr>
          <w:rFonts w:eastAsia="IRNazanin" w:cs="IRNazanin"/>
          <w:color w:val="111111"/>
          <w:sz w:val="28"/>
          <w:szCs w:val="28"/>
          <w:rtl w:val="true"/>
          <w:lang w:bidi="fa-IR"/>
        </w:rPr>
        <w:t>.</w:t>
      </w:r>
      <w:bookmarkStart w:id="790" w:name="pg6476_57042"/>
    </w:p>
    <w:p>
      <w:pPr>
        <w:pStyle w:val="BookText"/>
        <w:rPr/>
      </w:pPr>
      <w:bookmarkEnd w:id="7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الأقوی فی الحدّ تخییر الحاکم بین القتل والصلب والقطع مخالفاً والنفی، ولا یبعد أن یکون الأولی له القتل أو الصّلب فیما إذا قتل، والقطع إذا أخذ المال، والنفی فیما إذا شهر السیف وأخاف الناس، وللحاکم إجراء الحکم؛ سواء رفع الناس أمر المحارب، إلیه أم لا، ولو تاب قبل القدرة علیه سقط حدّ المحارب دون حقوق‌الناس من القصاص والجرح وضمان‌المال، ولو تاب بعد الظفر علیه لا یسقط</w:t>
      </w:r>
      <w:r>
        <w:rPr>
          <w:rFonts w:eastAsia="IRNazanin" w:cs="IRNazanin"/>
          <w:color w:val="111111"/>
          <w:sz w:val="28"/>
          <w:szCs w:val="28"/>
          <w:rtl w:val="true"/>
          <w:lang w:bidi="fa-IR"/>
        </w:rPr>
        <w:t>.</w:t>
      </w:r>
    </w:p>
    <w:p>
      <w:pPr>
        <w:pStyle w:val="Heading3"/>
        <w:numPr>
          <w:ilvl w:val="2"/>
          <w:numId w:val="1"/>
        </w:numPr>
        <w:rPr/>
      </w:pPr>
      <w:bookmarkStart w:id="791" w:name="__RefHeading___Toc1265664_653776707"/>
      <w:bookmarkStart w:id="792" w:name="_Toc303"/>
      <w:bookmarkEnd w:id="791"/>
      <w:r>
        <w:rPr>
          <w:rtl w:val="true"/>
        </w:rPr>
        <w:t>خاتمة فی عقوبات متفرّقه</w:t>
      </w:r>
      <w:bookmarkEnd w:id="792"/>
    </w:p>
    <w:p>
      <w:pPr>
        <w:pStyle w:val="Heading4"/>
        <w:numPr>
          <w:ilvl w:val="3"/>
          <w:numId w:val="1"/>
        </w:numPr>
        <w:rPr/>
      </w:pPr>
      <w:bookmarkStart w:id="793" w:name="__RefHeading___Toc1265666_653776707"/>
      <w:bookmarkStart w:id="794" w:name="_Toc304"/>
      <w:bookmarkEnd w:id="793"/>
      <w:r>
        <w:rPr>
          <w:rtl w:val="true"/>
        </w:rPr>
        <w:t>فی الارتداد</w:t>
      </w:r>
      <w:bookmarkEnd w:id="7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ذکرنا فی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المرتدّ الفطری لا تقبل توبته، ویقتل إن کان رجلاً، وتحبس دائماً وتقبل توبته إن کانت امرأة، والمرتدّ الملّی یستتاب، فإن امتنع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فی الحکم بالارتداد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والاختیار والقصد، فلا عبرة بارتداد الصبیّ والمجنون والمکره والهازل والساهی، ومن سلب الغضب 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ارتدّ فادّعی الإکراه أو سبق اللسان،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یثبت الارتداد بالبیّنة والإقرار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ولد المرتدّ فطریّاً أو ملّیّاً قبل ارتداده بحکم المسلم، وکذا بعده حتّی یبلغ، فإن اختار الکفر استتیب وإلّا قتل، وکذا ولد المسلم إذا بلغ واختار الکفر قبل إظهار الإسلام</w:t>
      </w:r>
      <w:r>
        <w:rPr>
          <w:rFonts w:eastAsia="IRNazanin" w:cs="IRNazanin"/>
          <w:color w:val="111111"/>
          <w:sz w:val="28"/>
          <w:szCs w:val="28"/>
          <w:rtl w:val="true"/>
          <w:lang w:bidi="fa-IR"/>
        </w:rPr>
        <w:t>.</w:t>
      </w:r>
    </w:p>
    <w:p>
      <w:pPr>
        <w:pStyle w:val="Heading4"/>
        <w:numPr>
          <w:ilvl w:val="3"/>
          <w:numId w:val="1"/>
        </w:numPr>
        <w:rPr/>
      </w:pPr>
      <w:bookmarkStart w:id="795" w:name="__RefHeading___Toc1265668_653776707"/>
      <w:bookmarkStart w:id="796" w:name="_Toc305"/>
      <w:bookmarkEnd w:id="795"/>
      <w:r>
        <w:rPr>
          <w:rtl w:val="true"/>
        </w:rPr>
        <w:t>فی وطء البهیمة</w:t>
      </w:r>
      <w:bookmarkEnd w:id="796"/>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وطء البهیمة تعزیر منوط بنظر الحاکم؛ بشرط التکلیف وعدم الشبهة، فلا حدّ علی الصبیّ بل یؤدّب، ولا علی الجاهل بالحکم، ولو تکرّر منه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تخلّل العقوبة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فتعزیر واحد، وإلّا فیقتل فی الرابعة، ومن استمنی بیده أو بغیرها عزّر بنظر الحاکم</w:t>
      </w:r>
      <w:r>
        <w:rPr>
          <w:rFonts w:eastAsia="IRNazanin" w:cs="IRNazanin"/>
          <w:color w:val="111111"/>
          <w:sz w:val="28"/>
          <w:szCs w:val="28"/>
          <w:rtl w:val="true"/>
          <w:lang w:bidi="fa-IR"/>
        </w:rPr>
        <w:t>.</w:t>
      </w:r>
      <w:bookmarkStart w:id="797" w:name="pg6476_57043"/>
    </w:p>
    <w:p>
      <w:pPr>
        <w:pStyle w:val="Heading2"/>
        <w:numPr>
          <w:ilvl w:val="1"/>
          <w:numId w:val="1"/>
        </w:numPr>
        <w:rPr/>
      </w:pPr>
      <w:bookmarkStart w:id="798" w:name="__RefHeading___Toc1265670_653776707"/>
      <w:bookmarkStart w:id="799" w:name="_Toc306"/>
      <w:bookmarkEnd w:id="797"/>
      <w:bookmarkEnd w:id="798"/>
      <w:r>
        <w:rPr>
          <w:rtl w:val="true"/>
        </w:rPr>
        <w:t>کتاب القصاص</w:t>
      </w:r>
      <w:bookmarkEnd w:id="799"/>
    </w:p>
    <w:p>
      <w:pPr>
        <w:pStyle w:val="Heading3"/>
        <w:numPr>
          <w:ilvl w:val="2"/>
          <w:numId w:val="1"/>
        </w:numPr>
        <w:rPr/>
      </w:pPr>
      <w:bookmarkStart w:id="800" w:name="__RefHeading___Toc1265672_653776707"/>
      <w:bookmarkStart w:id="801" w:name="_Toc307"/>
      <w:bookmarkEnd w:id="800"/>
      <w:r>
        <w:rPr>
          <w:rtl w:val="true"/>
        </w:rPr>
        <w:t>القصاص</w:t>
      </w:r>
      <w:bookmarkEnd w:id="801"/>
    </w:p>
    <w:p>
      <w:pPr>
        <w:pStyle w:val="Heading4"/>
        <w:numPr>
          <w:ilvl w:val="3"/>
          <w:numId w:val="1"/>
        </w:numPr>
        <w:rPr/>
      </w:pPr>
      <w:bookmarkStart w:id="802" w:name="__RefHeading___Toc1265674_653776707"/>
      <w:bookmarkStart w:id="803" w:name="_Toc308"/>
      <w:bookmarkEnd w:id="802"/>
      <w:r>
        <w:rPr>
          <w:rtl w:val="true"/>
        </w:rPr>
        <w:t>اشارة</w:t>
      </w:r>
      <w:bookmarkEnd w:id="803"/>
    </w:p>
    <w:p>
      <w:pPr>
        <w:pStyle w:val="BookText"/>
        <w:rPr/>
      </w:pPr>
      <w:r>
        <w:rPr>
          <w:rFonts w:ascii="IRNazanin" w:hAnsi="IRNazanin" w:eastAsia="IRNazanin"/>
          <w:color w:val="111111"/>
          <w:sz w:val="28"/>
          <w:sz w:val="28"/>
          <w:szCs w:val="28"/>
          <w:rtl w:val="true"/>
          <w:lang w:bidi="fa-IR"/>
        </w:rPr>
        <w:t>وهو إمّا فی النفس، وإمّا فیما دونها</w:t>
      </w:r>
      <w:r>
        <w:rPr>
          <w:rFonts w:eastAsia="IRNazanin" w:cs="IRNazanin"/>
          <w:color w:val="111111"/>
          <w:sz w:val="28"/>
          <w:szCs w:val="28"/>
          <w:rtl w:val="true"/>
          <w:lang w:bidi="fa-IR"/>
        </w:rPr>
        <w:t>:</w:t>
      </w:r>
    </w:p>
    <w:p>
      <w:pPr>
        <w:pStyle w:val="Heading4"/>
        <w:numPr>
          <w:ilvl w:val="3"/>
          <w:numId w:val="1"/>
        </w:numPr>
        <w:rPr/>
      </w:pPr>
      <w:bookmarkStart w:id="804" w:name="__RefHeading___Toc1265676_653776707"/>
      <w:bookmarkStart w:id="805" w:name="_Toc309"/>
      <w:bookmarkEnd w:id="804"/>
      <w:r>
        <w:rPr>
          <w:rtl w:val="true"/>
        </w:rPr>
        <w:t>فی قصاص النفس</w:t>
      </w:r>
      <w:bookmarkEnd w:id="805"/>
    </w:p>
    <w:p>
      <w:pPr>
        <w:pStyle w:val="BookText"/>
        <w:rPr/>
      </w:pPr>
      <w:r>
        <w:rPr>
          <w:rFonts w:ascii="IRNazanin" w:hAnsi="IRNazanin" w:eastAsia="IRNazanin"/>
          <w:color w:val="111111"/>
          <w:sz w:val="28"/>
          <w:sz w:val="28"/>
          <w:szCs w:val="28"/>
          <w:rtl w:val="true"/>
          <w:lang w:bidi="fa-IR"/>
        </w:rPr>
        <w:t>والنظر فی الموجب، والشرائط المعتبرة فیه، وما یثبت به، وکیفیّة الاستیفاء</w:t>
      </w:r>
      <w:r>
        <w:rPr>
          <w:rFonts w:eastAsia="IRNazanin" w:cs="IRNazanin"/>
          <w:color w:val="111111"/>
          <w:sz w:val="28"/>
          <w:szCs w:val="28"/>
          <w:rtl w:val="true"/>
          <w:lang w:bidi="fa-IR"/>
        </w:rPr>
        <w:t>:</w:t>
      </w:r>
    </w:p>
    <w:p>
      <w:pPr>
        <w:pStyle w:val="Heading4"/>
        <w:numPr>
          <w:ilvl w:val="3"/>
          <w:numId w:val="1"/>
        </w:numPr>
        <w:rPr/>
      </w:pPr>
      <w:bookmarkStart w:id="806" w:name="__RefHeading___Toc1265678_653776707"/>
      <w:bookmarkStart w:id="807" w:name="_Toc310"/>
      <w:bookmarkEnd w:id="806"/>
      <w:r>
        <w:rPr>
          <w:rtl w:val="true"/>
        </w:rPr>
        <w:t>فی الموجب</w:t>
      </w:r>
      <w:bookmarkEnd w:id="807"/>
    </w:p>
    <w:p>
      <w:pPr>
        <w:pStyle w:val="BookText"/>
        <w:rPr/>
      </w:pPr>
      <w:r>
        <w:rPr>
          <w:rFonts w:ascii="IRNazanin" w:hAnsi="IRNazanin" w:eastAsia="IRNazanin"/>
          <w:color w:val="111111"/>
          <w:sz w:val="28"/>
          <w:sz w:val="28"/>
          <w:szCs w:val="28"/>
          <w:rtl w:val="true"/>
          <w:lang w:bidi="fa-IR"/>
        </w:rPr>
        <w:t>وهو إزهاق النفس المعصومة عمداً مع الشرائط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یتحقّق العمد بقصد القتل بما یقتل ولو نادراً، وبقصد الفعل القاتل غالباً وإن لم یقصد القتل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بالمباشرة کالذبح والخنق بالید، وقد یکون بالتسبیب کالرمی بالبندقة والإلقاء فی الماء وإدخال السمّ فی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جنی علیه عمداً فسرت فمات، فإن کانت الجنایة ممّا تسری غالباً أو قصد بها الموت فهو عمد، وإلّا فهو شبه العمد، ولو حفر بئراً ووقع فیها شخص بدفع ثالث فالقاتل الدافع، ولو أمسکه شخص وقتله آخر وکان الثالث عیناً لهما، فالقود علی القاتل، ویحبس الآخذ أبداً، وتسمل عین الربیئة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أکرهه علی قتل أحد فالقود علی المباشر، ویحبس الآمر حتّی یموت، ولو أمر طفلاً ممیّزاً بالقتل فقتله فلا قصاص علی أحدهما، والدیة علی عاقلة الطفل، ولو أکره الطفل علی القتل یحبس المکره أبداً حتّی یموت</w:t>
      </w:r>
      <w:r>
        <w:rPr>
          <w:rFonts w:eastAsia="IRNazanin" w:cs="IRNazanin"/>
          <w:color w:val="111111"/>
          <w:sz w:val="28"/>
          <w:szCs w:val="28"/>
          <w:rtl w:val="true"/>
          <w:lang w:bidi="fa-IR"/>
        </w:rPr>
        <w:t>.</w:t>
      </w:r>
      <w:bookmarkStart w:id="808" w:name="pg6476_57044"/>
    </w:p>
    <w:p>
      <w:pPr>
        <w:pStyle w:val="BookText"/>
        <w:rPr/>
      </w:pPr>
      <w:bookmarkEnd w:id="8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یصحّ الإکراه بما دون النفس، 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اقطع یده وإلّا قتلتک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له القطع، والقصاص علی المکره بالکسر، ولو أکرهه علی صعود شاهق أو نزول بئر فزلق رجله فمات، فعلیه الدیة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اشترک اثنان فما زاد فی قتل واحد اقتصّ منهم إذا أراد الولیّ، فیردّ علیهم ما فضل من دیة المقتول، فلو قتله اثنان وأراد القصاص یؤدّی لکلّ منهما نصف دیة القتل، ولو کانوا ثلاثة فثلثا دیته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ذلک الجنایة علی الطرف، فلو اجتمعا علی قطع ید أحد، اقتصّ منهما وأعطاهما دیة ید یقسّمانها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اشترک فی قتل رجل امرأتان قتلتا به من غیر ردّ؛ لکون دیة الرجل ضعف دیة المرأة، ولو قتله رجل وامرأة فعلی کلّ منهما نصف الدیة، ولو قتلهما الولیّ فعلیه ردّ نصف الدیة علی الرجل، ولا ردّ علی المرأة</w:t>
      </w:r>
      <w:r>
        <w:rPr>
          <w:rFonts w:eastAsia="IRNazanin" w:cs="IRNazanin"/>
          <w:color w:val="111111"/>
          <w:sz w:val="28"/>
          <w:szCs w:val="28"/>
          <w:rtl w:val="true"/>
          <w:lang w:bidi="fa-IR"/>
        </w:rPr>
        <w:t>.</w:t>
      </w:r>
    </w:p>
    <w:p>
      <w:pPr>
        <w:pStyle w:val="Heading4"/>
        <w:numPr>
          <w:ilvl w:val="3"/>
          <w:numId w:val="1"/>
        </w:numPr>
        <w:rPr/>
      </w:pPr>
      <w:bookmarkStart w:id="809" w:name="__RefHeading___Toc1265680_653776707"/>
      <w:bookmarkStart w:id="810" w:name="_Toc311"/>
      <w:bookmarkEnd w:id="809"/>
      <w:r>
        <w:rPr>
          <w:rtl w:val="true"/>
        </w:rPr>
        <w:t>فی شرائط القصاص</w:t>
      </w:r>
      <w:bookmarkEnd w:id="810"/>
    </w:p>
    <w:p>
      <w:pPr>
        <w:pStyle w:val="BookText"/>
        <w:rPr/>
      </w:pPr>
      <w:r>
        <w:rPr>
          <w:rFonts w:ascii="Amiri" w:hAnsi="Amiri" w:eastAsia="Amiri" w:cs="Amiri"/>
          <w:color w:val="111111"/>
          <w:sz w:val="28"/>
          <w:sz w:val="28"/>
          <w:szCs w:val="28"/>
          <w:rtl w:val="true"/>
          <w:lang w:bidi="ar-SA"/>
        </w:rPr>
        <w:t>وهی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التساوی فی الدین، فلا یقتل مسلم بکافر، ولا فرق بین أقسام الکفّار من الذمّی والحربی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الکافر محرّم القتل کالذمّی والمعاهد یعزّر المسلم ویغرم دیة الذمّی، ولو قتل ذمّی مسلماً دفع هو وماله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مقدار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أولیاء المقتول، وهم مخیّرون بین قتله واسترقاقه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الاُبوّة، فلا یقتل الأب للابن، بل یؤدّی الدیة إلی سائر الورثة، ولا یرث هو منها، ویقتل الولد بقتل الوالد، وکذا الاُمّ بقتل الولد، وکذا سائر الأقارب، ولو قتل رجل زوجته جاز لوُلدها الاقتصاص من أبیهم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والعقل، فلا قصاص علی الصبیّ والمجنون وإن قتلا کبیراً عاقلاً، ودیة المقتول علی عاقلتهما، ولو قتل البالغ الصبیّ قتل به، ولا یقتل</w:t>
      </w:r>
      <w:bookmarkStart w:id="811" w:name="pg6476_57045"/>
    </w:p>
    <w:p>
      <w:pPr>
        <w:pStyle w:val="BookText"/>
        <w:rPr/>
      </w:pPr>
      <w:bookmarkEnd w:id="811"/>
      <w:r>
        <w:rPr>
          <w:rFonts w:ascii="IRNazanin" w:hAnsi="IRNazanin" w:eastAsia="IRNazanin"/>
          <w:color w:val="111111"/>
          <w:sz w:val="28"/>
          <w:sz w:val="28"/>
          <w:szCs w:val="28"/>
          <w:rtl w:val="true"/>
          <w:lang w:bidi="fa-IR"/>
        </w:rPr>
        <w:t>العاقل بالمجنون، وعلیه الدیة حینئذٍ، وفی ثبوت القصاص علی السکران إن خرج عن العمد والاختیار تردّد، وکذا فی کلّ ما سلب العمد والاختیار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المقتول محقون الدم، فلو قتل سابّ النبیّ صلی الله علیه و آله أو قتل قصاصاً أو دفاعاً فلا 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قتل اللوطی والزانی والمرتدّ فطرة بعد التوبة، ففی القود إشکال</w:t>
      </w:r>
      <w:r>
        <w:rPr>
          <w:rFonts w:eastAsia="IRNazanin" w:cs="IRNazanin"/>
          <w:color w:val="111111"/>
          <w:sz w:val="28"/>
          <w:szCs w:val="28"/>
          <w:rtl w:val="true"/>
          <w:lang w:bidi="fa-IR"/>
        </w:rPr>
        <w:t>.</w:t>
      </w:r>
    </w:p>
    <w:p>
      <w:pPr>
        <w:pStyle w:val="Heading4"/>
        <w:numPr>
          <w:ilvl w:val="3"/>
          <w:numId w:val="1"/>
        </w:numPr>
        <w:rPr/>
      </w:pPr>
      <w:bookmarkStart w:id="812" w:name="__RefHeading___Toc1265682_653776707"/>
      <w:bookmarkStart w:id="813" w:name="_Toc312"/>
      <w:bookmarkEnd w:id="812"/>
      <w:r>
        <w:rPr>
          <w:rtl w:val="true"/>
        </w:rPr>
        <w:t>فیما یثبت به القود</w:t>
      </w:r>
      <w:bookmarkEnd w:id="813"/>
    </w:p>
    <w:p>
      <w:pPr>
        <w:pStyle w:val="BookText"/>
        <w:rPr/>
      </w:pPr>
      <w:r>
        <w:rPr>
          <w:rFonts w:ascii="Amiri" w:hAnsi="Amiri" w:eastAsia="Amiri" w:cs="Amiri"/>
          <w:color w:val="111111"/>
          <w:sz w:val="28"/>
          <w:sz w:val="28"/>
          <w:szCs w:val="28"/>
          <w:rtl w:val="true"/>
          <w:lang w:bidi="ar-SA"/>
        </w:rPr>
        <w:t>وهو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 مرّة، ویعتبر فی المقرّ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والقصد والاختیار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وهی الرجلان العدلان بلا تخالف فی مورد شهادتهما زماناً ومکاناً وکیفیّة، وبلا تعارض مع بیّنة اُخری علی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القسامة، وهی الأیمان التی یحلفها مدّعی القتل عند تحقّق اللوث</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وجد قتیل لم یعلم قاتله، فادّعی أولیائه أو بعضهم قتله علی أحد أو علی جماعة، وقامت عند الحاکم أمارة ظنّیة علی صدق المدّعی کشهادة العدل الواحد أو وجود المدّعی علیه ذا سلاح علیه الدم عند المتشحّط بدمه ونحو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لها اللوث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 المدّعی بنفسه أو مع من یوافقه من عشیرته وقبیلته خمسین یمیناً علی إثبات مدّعاه، فیثبت بها القتل ویحکم بالقصاص أو الدیة، وحینئذٍ فإن بلغ عدد قومه خمسین؛ حلف کلّ واحد یمیناً، وإن نقصوا کرّرت علیهم 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یکن للمدّعی قوم أو امتنعوا عن الحلف کرّر علیه حتّی تتمّ القسامة، ویشترط علم الحالف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المدّعی وعشیرته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یکفی الظنّ، ویجوز للمدّعی ردّ القسامة إلی المنکر، فلو حلف برئت ذمّته، وإلّا توقّفت الدعوی إذا لم یقض بالنکول، وتثبت القسامة فی الأعضاء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اللوث کقطع الید والرجل،</w:t>
      </w:r>
      <w:bookmarkStart w:id="814" w:name="pg6476_57046"/>
    </w:p>
    <w:p>
      <w:pPr>
        <w:pStyle w:val="BookText"/>
        <w:rPr/>
      </w:pPr>
      <w:bookmarkEnd w:id="814"/>
      <w:r>
        <w:rPr>
          <w:rFonts w:ascii="IRNazanin" w:hAnsi="IRNazanin" w:eastAsia="IRNazanin"/>
          <w:color w:val="111111"/>
          <w:sz w:val="28"/>
          <w:sz w:val="28"/>
          <w:szCs w:val="28"/>
          <w:rtl w:val="true"/>
          <w:lang w:bidi="fa-IR"/>
        </w:rPr>
        <w:t>والقسامة فی دعوی العمد خمسون، وفی شبه العمد والخطأ خمسة وعشرون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إذا تمّت القسامة ثبت بها القصاص فی قتل العمد، والدیة علی القاتل فی شبه العمد، وعلی العاقلة فی الخطأ المحض</w:t>
      </w:r>
      <w:r>
        <w:rPr>
          <w:rFonts w:eastAsia="IRNazanin" w:cs="IRNazanin"/>
          <w:color w:val="111111"/>
          <w:sz w:val="28"/>
          <w:szCs w:val="28"/>
          <w:rtl w:val="true"/>
          <w:lang w:bidi="fa-IR"/>
        </w:rPr>
        <w:t>.</w:t>
      </w:r>
    </w:p>
    <w:p>
      <w:pPr>
        <w:pStyle w:val="Heading4"/>
        <w:numPr>
          <w:ilvl w:val="3"/>
          <w:numId w:val="1"/>
        </w:numPr>
        <w:rPr/>
      </w:pPr>
      <w:bookmarkStart w:id="815" w:name="__RefHeading___Toc1265684_653776707"/>
      <w:bookmarkStart w:id="816" w:name="_Toc313"/>
      <w:bookmarkEnd w:id="815"/>
      <w:r>
        <w:rPr>
          <w:rtl w:val="true"/>
        </w:rPr>
        <w:t>فی کیفیّة الاستیفاء</w:t>
      </w:r>
      <w:bookmarkEnd w:id="8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 العمد یوجب القصاص عیناً، ولا دیة فیه لا عیناً ولا تخییراً، فلو بذل الجانی نفسه لیس للولیّ غیره، نعم للولیّ العفو، ولهما التراضی أو التصالح علی الدیة أو علی الزائد علیها أو الناقص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یرث القصاص من یرث المال عدا الزوج والزوجة، فهما لا یستحقّان حقّ القصاص، ویرث الدیة حتّی الزوج والزوجة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یرث منها المتقرّب بالاُمّ من الإخوة والأخوات وغیرهم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عدم المبادرة للولیّ الواحد إلی القصاص إلّامع إذن إمام المسلمین، بل لا یخلو من قوّة، ولو کان الأولیاء أکثر من واحد، فالأقوی عدم جواز الاستیفاء إلّاباجتماع الجمیع وإذن الوالی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من لا یقتصّ منه فی النفس لا یقتصّ منه فی الطرف؛ کالوالد إذا قتل ولده أو قطع یده، وکالمسلم إذا قتل الکافر أو قطع 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اختار بعض الأولیاء الدیة، جاز لغیره القصاص؛ بعد أن یردّوا علی الجانی نصیب من فاداه من الدیة</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قتل شخص وعلیه دین؛ فأخذ الورثة الدیة، وجب صرفها فی دیون المقتول ووصایاه کباقی أمواله؛ ولا فرق بین دیة الخطأ أو شبه العمد أو التی صولح علیه فی العمد</w:t>
      </w:r>
      <w:r>
        <w:rPr>
          <w:rFonts w:eastAsia="IRNazanin" w:cs="IRNazanin"/>
          <w:color w:val="111111"/>
          <w:sz w:val="28"/>
          <w:szCs w:val="28"/>
          <w:rtl w:val="true"/>
          <w:lang w:bidi="fa-IR"/>
        </w:rPr>
        <w:t>.</w:t>
      </w:r>
      <w:bookmarkStart w:id="817" w:name="pg6476_57047"/>
    </w:p>
    <w:p>
      <w:pPr>
        <w:pStyle w:val="Heading3"/>
        <w:numPr>
          <w:ilvl w:val="2"/>
          <w:numId w:val="1"/>
        </w:numPr>
        <w:rPr/>
      </w:pPr>
      <w:bookmarkStart w:id="818" w:name="__RefHeading___Toc1265686_653776707"/>
      <w:bookmarkStart w:id="819" w:name="_Toc314"/>
      <w:bookmarkEnd w:id="817"/>
      <w:bookmarkEnd w:id="818"/>
      <w:r>
        <w:rPr>
          <w:rtl w:val="true"/>
        </w:rPr>
        <w:t>القسم الثانی</w:t>
      </w:r>
      <w:r>
        <w:rPr>
          <w:rtl w:val="true"/>
        </w:rPr>
        <w:t xml:space="preserve">: </w:t>
      </w:r>
      <w:r>
        <w:rPr>
          <w:rtl w:val="true"/>
        </w:rPr>
        <w:t>فی قصاص الطرف</w:t>
      </w:r>
      <w:bookmarkEnd w:id="8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الموجب له الجنایة العمدیّة کما فی القتل، ویشترط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التساوی فی الإسلام، وانتفاء الاُبوّة، وکون الجانی مکلّفاً مختاراً، ویقتصّ للرجل من المرأة، وللمرأة من الرجل مع ردّ التفاوت فیما بلغ الثلث</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یشترط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التساوی فی السلامة، وکذا فی المحلّ، فلا تقطع الید الصحیحة بالشلّاء وتقطع فی العکس، وتقطع الیمین بالیمین والیسار بالیسار، ولو لم یکن مماثل قطع غیر المماثل، بل لو لم یکن له ید قطع رجله</w:t>
      </w:r>
      <w:r>
        <w:rPr>
          <w:rFonts w:eastAsia="IRNazanin" w:cs="IRNazanin"/>
          <w:color w:val="111111"/>
          <w:sz w:val="28"/>
          <w:szCs w:val="28"/>
          <w:rtl w:val="true"/>
          <w:lang w:bidi="fa-IR"/>
        </w:rPr>
        <w:t>.</w:t>
      </w:r>
      <w:bookmarkStart w:id="820" w:name="pg6476_57048"/>
    </w:p>
    <w:p>
      <w:pPr>
        <w:pStyle w:val="Heading2"/>
        <w:numPr>
          <w:ilvl w:val="1"/>
          <w:numId w:val="1"/>
        </w:numPr>
        <w:rPr/>
      </w:pPr>
      <w:bookmarkStart w:id="821" w:name="__RefHeading___Toc1265688_653776707"/>
      <w:bookmarkStart w:id="822" w:name="_Toc315"/>
      <w:bookmarkEnd w:id="820"/>
      <w:bookmarkEnd w:id="821"/>
      <w:r>
        <w:rPr>
          <w:rtl w:val="true"/>
        </w:rPr>
        <w:t>کتاب الدیات</w:t>
      </w:r>
      <w:bookmarkEnd w:id="822"/>
    </w:p>
    <w:p>
      <w:pPr>
        <w:pStyle w:val="Heading3"/>
        <w:numPr>
          <w:ilvl w:val="2"/>
          <w:numId w:val="1"/>
        </w:numPr>
        <w:rPr/>
      </w:pPr>
      <w:bookmarkStart w:id="823" w:name="__RefHeading___Toc1265690_653776707"/>
      <w:bookmarkStart w:id="824" w:name="_Toc316"/>
      <w:bookmarkEnd w:id="823"/>
      <w:r>
        <w:rPr>
          <w:rtl w:val="true"/>
        </w:rPr>
        <w:t>اشارة</w:t>
      </w:r>
      <w:bookmarkEnd w:id="824"/>
    </w:p>
    <w:p>
      <w:pPr>
        <w:pStyle w:val="BookText"/>
        <w:rPr/>
      </w:pPr>
      <w:r>
        <w:rPr>
          <w:rFonts w:ascii="IRNazanin" w:hAnsi="IRNazanin" w:eastAsia="IRNazanin"/>
          <w:color w:val="111111"/>
          <w:sz w:val="28"/>
          <w:sz w:val="28"/>
          <w:szCs w:val="28"/>
          <w:rtl w:val="true"/>
          <w:lang w:bidi="fa-IR"/>
        </w:rPr>
        <w:t>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المال الواجب بالجنایة علی نفس الحرّ أو طرفه؛ کان له مقدّر أو لا، وربما یسمّی ماله المقدّر دیة، وما لا تقدیر له أرشاً وحکومة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والنظر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أقسام القتل، ومقادیر الدیات، وموجبات الضمان، والجنایة علی الأطراف، واللواحق</w:t>
      </w:r>
      <w:r>
        <w:rPr>
          <w:rFonts w:eastAsia="IRNazanin" w:cs="IRNazanin"/>
          <w:color w:val="111111"/>
          <w:sz w:val="28"/>
          <w:szCs w:val="28"/>
          <w:rtl w:val="true"/>
          <w:lang w:bidi="fa-IR"/>
        </w:rPr>
        <w:t>.</w:t>
      </w:r>
    </w:p>
    <w:p>
      <w:pPr>
        <w:pStyle w:val="Heading3"/>
        <w:numPr>
          <w:ilvl w:val="2"/>
          <w:numId w:val="1"/>
        </w:numPr>
        <w:rPr/>
      </w:pPr>
      <w:bookmarkStart w:id="825" w:name="__RefHeading___Toc1265692_653776707"/>
      <w:bookmarkStart w:id="826" w:name="_Toc317"/>
      <w:bookmarkEnd w:id="825"/>
      <w:r>
        <w:rPr>
          <w:rtl w:val="true"/>
        </w:rPr>
        <w:t>فی أقسام القتل</w:t>
      </w:r>
      <w:bookmarkEnd w:id="8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عمد محض، أو شبیه عمد، أو خطأ محض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یتحقّق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 القتل بفعل یقتل ولو نادراً، وبقصد فعل یقتل غالباً ولو لم یقصد القتل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شبیه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الفعل الذی لا یقتل غالباً، ولم یقصد به القتل؛ کما إذا ضربه بالسوط تأدیباً فاتّفق القتل، ومنه القتل باعتقاد أنّه مهدور الدم، أو بظنّ أنّه صید فبان إنساناً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الخطأ المحض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لا یقصد الفعل ولا القتل، کما لو رمی صیداً أو ألقی حجراً فأصاب إنساناً، وتجری الأقسام الثلاثة فی الجنایة علی الأطراف کما سیجیء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قتل العمد مائة إبل، أو مائتا بقرة، أو ألف شاة، أو مأتا حلّة، أو ألف دینار، أو عشرة آلاف 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یعتبر فی الإبل أن تکون مسنّة؛ أی التی أکملت الخامسة ودخلت فی السادسة، والبقر یکفی فیه ما یسمّی بقراً ذکراً أو اُنثی، والحلّة ثوبان کیف کانا، والدینار والدرهم هما المسکوکان، والظاهر أنّ الجانی مخیّر بین الاُمور الستّة ولیس لولیّ الدّم الامتناع ممّا اختاره، ولم یعتبر تساویها فی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یعتبر فی جمیعها السلامة من العیب، وفی الأنعام الثلاثة السلامة من المرض، فی أیّ أنواع القتل 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تستأدی دیة العمد فی سنة واحدة، ولا یجوز التأخیر إلّامع التراضی، وله الأداء فی خلال السنة أو أواخرها، فدیة العمد مغلّظة بالنسبة إلی شبه العمد والخطأ فی سنّ الإبل ومدّة الاستیفاء کما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جواز إعطاء قیمة الأصناف مع تراضیهما، وإلّا فاللازم الاُصول، وهذه الدیة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کدیة شبه العمد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الجانی، لا علی العاقلة ولا علی بیت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دیة شبه العمد والخطأ المحض هی الأصناف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إلّاأنّ فیهما تخفیفاً عن العمد، من حیث الاستیفاء؛ فإنّ شبه العمد تستأدی فی سنتین علی ما هو غیر بعید، ودیة الخطأ تستأدی فی ثلاث سنین، ومن حیث أسنان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فی أخبار الباب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حکم النفس حکم الطرف فی انقسامه إلی عمد وشبه عمد وخطأ، وفی تخییر الجانی بین الأصناف الستّة من الدیة، وفی التخفیف فی شبه العمد والخطأ من حیث الاستیفاء وأسنان الإبل</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ارتکب القتل فی أشهر الحرم أو فی مکّة المعظّمة زیدَ علی الدیة ثلثها؛ من أیّ الأجناس کان تغلیظاً، ولا تغلیظ فی غیر مکّة ولا فی دیة الأطراف</w:t>
      </w:r>
      <w:r>
        <w:rPr>
          <w:rFonts w:eastAsia="IRNazanin" w:cs="IRNazanin"/>
          <w:color w:val="111111"/>
          <w:sz w:val="28"/>
          <w:szCs w:val="28"/>
          <w:rtl w:val="true"/>
          <w:lang w:bidi="fa-IR"/>
        </w:rPr>
        <w:t>.</w:t>
      </w:r>
      <w:bookmarkStart w:id="827" w:name="pg6476_57050"/>
    </w:p>
    <w:p>
      <w:pPr>
        <w:pStyle w:val="BookText"/>
        <w:rPr/>
      </w:pPr>
      <w:bookmarkEnd w:id="8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دیة المرأة نصف دیة الرجل من جمیع الأجناس، وتتساوی مع الرجل فی الجراح قصاصاً ودیة حتّی تبلغ ثلث دیة الرجل، فینتصف بعد ذلک دیتها، وجمیع فرق المسلمین متساویة فی الدیة إلّاالمحکوم منهم بالکفر کالنواصب والخوارج والغلاة، ودیة الذمّی ثمانمائة درهم، ولا دیة لغیر الذمّی</w:t>
      </w:r>
      <w:r>
        <w:rPr>
          <w:rFonts w:eastAsia="IRNazanin" w:cs="IRNazanin"/>
          <w:color w:val="111111"/>
          <w:sz w:val="28"/>
          <w:szCs w:val="28"/>
          <w:rtl w:val="true"/>
          <w:lang w:bidi="fa-IR"/>
        </w:rPr>
        <w:t>.</w:t>
      </w:r>
    </w:p>
    <w:p>
      <w:pPr>
        <w:pStyle w:val="Heading3"/>
        <w:numPr>
          <w:ilvl w:val="2"/>
          <w:numId w:val="1"/>
        </w:numPr>
        <w:rPr/>
      </w:pPr>
      <w:bookmarkStart w:id="828" w:name="__RefHeading___Toc1265694_653776707"/>
      <w:bookmarkStart w:id="829" w:name="_Toc318"/>
      <w:bookmarkEnd w:id="828"/>
      <w:r>
        <w:rPr>
          <w:rtl w:val="true"/>
        </w:rPr>
        <w:t>فی موجبات الضمان</w:t>
      </w:r>
      <w:bookmarkEnd w:id="829"/>
    </w:p>
    <w:p>
      <w:pPr>
        <w:pStyle w:val="Heading4"/>
        <w:numPr>
          <w:ilvl w:val="3"/>
          <w:numId w:val="1"/>
        </w:numPr>
        <w:rPr/>
      </w:pPr>
      <w:bookmarkStart w:id="830" w:name="__RefHeading___Toc1265696_653776707"/>
      <w:bookmarkStart w:id="831" w:name="_Toc319"/>
      <w:bookmarkEnd w:id="830"/>
      <w:r>
        <w:rPr>
          <w:rtl w:val="true"/>
        </w:rPr>
        <w:t>اشارة</w:t>
      </w:r>
      <w:bookmarkEnd w:id="831"/>
    </w:p>
    <w:p>
      <w:pPr>
        <w:pStyle w:val="BookText"/>
        <w:rPr/>
      </w:pPr>
      <w:r>
        <w:rPr>
          <w:rFonts w:ascii="IRNazanin" w:hAnsi="IRNazanin" w:eastAsia="IRNazanin"/>
          <w:color w:val="111111"/>
          <w:sz w:val="28"/>
          <w:sz w:val="28"/>
          <w:szCs w:val="28"/>
          <w:rtl w:val="true"/>
          <w:lang w:bidi="fa-IR"/>
        </w:rPr>
        <w:t>وفیه أبحاث</w:t>
      </w:r>
      <w:r>
        <w:rPr>
          <w:rFonts w:eastAsia="IRNazanin" w:cs="IRNazanin"/>
          <w:color w:val="111111"/>
          <w:sz w:val="28"/>
          <w:szCs w:val="28"/>
          <w:rtl w:val="true"/>
          <w:lang w:bidi="fa-IR"/>
        </w:rPr>
        <w:t>:</w:t>
      </w:r>
    </w:p>
    <w:p>
      <w:pPr>
        <w:pStyle w:val="Heading4"/>
        <w:numPr>
          <w:ilvl w:val="3"/>
          <w:numId w:val="1"/>
        </w:numPr>
        <w:rPr/>
      </w:pPr>
      <w:bookmarkStart w:id="832" w:name="__RefHeading___Toc1265698_653776707"/>
      <w:bookmarkStart w:id="833" w:name="_Toc320"/>
      <w:bookmarkEnd w:id="832"/>
      <w:r>
        <w:rPr>
          <w:rtl w:val="true"/>
        </w:rPr>
        <w:t>الأوّل</w:t>
      </w:r>
      <w:r>
        <w:rPr>
          <w:rtl w:val="true"/>
        </w:rPr>
        <w:t xml:space="preserve">: </w:t>
      </w:r>
      <w:r>
        <w:rPr>
          <w:rtl w:val="true"/>
        </w:rPr>
        <w:t>فی المباشر</w:t>
      </w:r>
      <w:bookmarkEnd w:id="8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المراد بالمباشرة هنا أعمّ من أن یصدر الفعل بلا آلة؛ کضرب وخنق، أو بآلة؛ کرمیه بسهم، أو إلقائه فی الماء أو النار من الاُمور التی تصدق معها نسبة القتل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ضربه تأدیباً فاتّفق القتل فهو ضامن؛ ولیّاً کان الضارب أو زوجاً أو معلّماً، والطبیب ضامن ما أتلفه بعلاجه إذا کان مباشراً، وأمّا لو وصف الدواء من غیر أمر بشربه لم یضمن، ولا یبعد الضمان فی التطبّب علی النحو المتعارف، والختّان ضامن إذا تجاوز الحدّ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 براءة الطبیب ونحوه بالإبراء قبل العلاج؛ أی أبرئه المریض البالغ العاقل، أو ولیّ القاصر، أو صاحب الدابّة فی البیطار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والنائم إذا أتلف نفساً أو طرفاً فضمانه علی العاقلة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حمل شیئاً فأصاب به إنساناً ضمن جنایته فی ماله، ومن أخاف إنساناً بسیف أو صیاح أو إغراء کلب فمات أو تعیّب، جاء فیه حکم العمد وشبه العمد</w:t>
      </w:r>
      <w:r>
        <w:rPr>
          <w:rFonts w:eastAsia="IRNazanin" w:cs="IRNazanin"/>
          <w:color w:val="111111"/>
          <w:sz w:val="28"/>
          <w:szCs w:val="28"/>
          <w:rtl w:val="true"/>
          <w:lang w:bidi="fa-IR"/>
        </w:rPr>
        <w:t>.</w:t>
      </w:r>
      <w:bookmarkStart w:id="834" w:name="pg6476_57051"/>
    </w:p>
    <w:p>
      <w:pPr>
        <w:pStyle w:val="BookText"/>
        <w:rPr/>
      </w:pPr>
      <w:bookmarkEnd w:id="8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صادفت سیّارتان قهراً فمات الراکبان أو تلفت السیّارتان، کان علی ورثة کلّ منهما نصف دیة الآخر، وعلی کلّ منهما نصف قیمة مرکوب الآخر، فیقع التقاصّ فی الدیة والقیمة ویرجع صاحب الفضل علی الآخر إن کان، وعلی کلّ منهما نصف دیة من قتل فی السیّارتین، ونصف ما تلف من أموالهم، ولو مات أحدهما أو تلفت إحدی السیّارتین کان علی الآخر نصف دیة المقتول ونصف قیمة المرکوبة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دعا غیره فأخرجه من منزله لیلاً فهو ضامن له حتّی یرجع، فلو فقد أو وجد مقتولاً فعلیه دیته، إلّاأن یثبت براءة ذمّته</w:t>
      </w:r>
      <w:r>
        <w:rPr>
          <w:rFonts w:eastAsia="IRNazanin" w:cs="IRNazanin"/>
          <w:color w:val="111111"/>
          <w:sz w:val="28"/>
          <w:szCs w:val="28"/>
          <w:rtl w:val="true"/>
          <w:lang w:bidi="fa-IR"/>
        </w:rPr>
        <w:t>.</w:t>
      </w:r>
    </w:p>
    <w:p>
      <w:pPr>
        <w:pStyle w:val="Heading4"/>
        <w:numPr>
          <w:ilvl w:val="3"/>
          <w:numId w:val="1"/>
        </w:numPr>
        <w:rPr/>
      </w:pPr>
      <w:bookmarkStart w:id="835" w:name="__RefHeading___Toc1265700_653776707"/>
      <w:bookmarkStart w:id="836" w:name="_Toc321"/>
      <w:bookmarkEnd w:id="835"/>
      <w:r>
        <w:rPr>
          <w:rtl w:val="true"/>
        </w:rPr>
        <w:t>البحث الثانی فی السبب</w:t>
      </w:r>
      <w:bookmarkEnd w:id="836"/>
    </w:p>
    <w:p>
      <w:pPr>
        <w:pStyle w:val="BookText"/>
        <w:rPr/>
      </w:pPr>
      <w:r>
        <w:rPr>
          <w:rFonts w:ascii="IRNazanin" w:hAnsi="IRNazanin" w:eastAsia="IRNazanin"/>
          <w:color w:val="111111"/>
          <w:sz w:val="28"/>
          <w:sz w:val="28"/>
          <w:szCs w:val="28"/>
          <w:rtl w:val="true"/>
          <w:lang w:bidi="fa-IR"/>
        </w:rPr>
        <w:t>والمراد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لولاه لما حصل التلف، لکن علّة الفعل غیره کحفر البئر، وإلقاء الحجر فی الطریق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وضع حجراً أو حفر بئراً فی ملکه أو فی مباح، لم یضمن دیة العاثر، ولو کان ذلک فی طریق المسلمین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فعل شیئاً لمصلحة المارّة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کرشّ الماء لرفع الغبار 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یضمن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الإضرار بطریق المسلمین إیقاف الدابّة، وإلقاء الأشیاء للبیع إذا کان ضیّقاً، وإیقاف السیّارة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إلّالمصلحة المارّة بمقدار یتوقّف علیه رکوبهم ونقلهم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وإخراج المیازیب والرواشن والأجنحة ونحوها، والضابط الإضرار الممنوع وعدمه، فلو تلف بسبب الممنوع شیء ضمن</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بنی حائطه مائلاً إلی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مالَ بعد الاستقامة فلم یقمه، ضمن ما تلف بوقوعه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أجّج ناراً فوق حاجته أو مع علمه بالتعدّی أو اقتضت عادة الوقت والهواء التعدّی، فتعدّت وأتلفت أموالاً ونفوساً ضمن</w:t>
      </w:r>
      <w:r>
        <w:rPr>
          <w:rFonts w:eastAsia="IRNazanin" w:cs="IRNazanin"/>
          <w:color w:val="111111"/>
          <w:sz w:val="28"/>
          <w:szCs w:val="28"/>
          <w:rtl w:val="true"/>
          <w:lang w:bidi="fa-IR"/>
        </w:rPr>
        <w:t>.</w:t>
      </w:r>
      <w:bookmarkStart w:id="837" w:name="pg6476_57052"/>
    </w:p>
    <w:p>
      <w:pPr>
        <w:pStyle w:val="BookText"/>
        <w:rPr/>
      </w:pPr>
      <w:bookmarkEnd w:id="8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ألقی القشور المزلقة فی الطریق، أو رشّ الماء علی خلاف العادة، أو وضع الکوز علی محلّ غیر مطمئنّ من حائطه، أو أهمل حفظ دابّته الصائلة کالبعیر المغتلم والکلب العقور، فصار سبباً للتلف ضمن، ولو صالت الدابّة علی أحد؛ فقتلها عند دفعها اللازم لم یضمن، ولو هجمت الدابّة علی الاُخری فجنت الداخلة ضمن مالکها إن أهمل فی حفظها، ولو جنت المدخول علیها کان هدراً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دخل دار قوم بإذنهم فعقره کلبهم ضمنوا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راکب الدابّة یضمن ما تجنیه بیدیها أو رأسها أو مقادیم بدنها، لا برجلیها، ولو سلبت الدابّة اختیاره مع عدم سبق شموس، فالوجه عدم الضمان، وفی حکم الراکب القائد</w:t>
      </w:r>
      <w:r>
        <w:rPr>
          <w:rFonts w:eastAsia="IRNazanin" w:cs="IRNazanin"/>
          <w:color w:val="111111"/>
          <w:sz w:val="28"/>
          <w:szCs w:val="28"/>
          <w:rtl w:val="true"/>
          <w:lang w:bidi="fa-IR"/>
        </w:rPr>
        <w:t>.</w:t>
      </w:r>
    </w:p>
    <w:p>
      <w:pPr>
        <w:pStyle w:val="Heading4"/>
        <w:numPr>
          <w:ilvl w:val="3"/>
          <w:numId w:val="1"/>
        </w:numPr>
        <w:rPr/>
      </w:pPr>
      <w:bookmarkStart w:id="838" w:name="__RefHeading___Toc1265702_653776707"/>
      <w:bookmarkStart w:id="839" w:name="_Toc322"/>
      <w:bookmarkEnd w:id="838"/>
      <w:r>
        <w:rPr>
          <w:rtl w:val="true"/>
        </w:rPr>
        <w:t>البحث الثالث فی تزاحم الموجبات</w:t>
      </w:r>
      <w:bookmarkEnd w:id="8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اجتمع السبب والمباشر فمع مساواتهما أو کون المباشر أقوی ضمن المباشر؛ کاجتماع حافر البئر والدافع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المباشر ضعیفاً والسبب قویّاً فالضمان علی السبب؛ کما لو حفر البئر فی الطریق وغطّاها، فدفع ثالث شخصاً علیها جاهلاً بالحال فسقط فی البئر، فالضمان علی الحافر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اجتمع السببان فالضمان علی المتقدّم تأثیراً؛ کما لو حفر أحد بئراً ووضع الآخر فیه سکّیناً، فالضمان علی صاحب السکّین، ولو تعدّد من علیه الضمان من المباشر والسبب، اشترکوا فی الضمان</w:t>
      </w:r>
      <w:r>
        <w:rPr>
          <w:rFonts w:eastAsia="IRNazanin" w:cs="IRNazanin"/>
          <w:color w:val="111111"/>
          <w:sz w:val="28"/>
          <w:szCs w:val="28"/>
          <w:rtl w:val="true"/>
          <w:lang w:bidi="fa-IR"/>
        </w:rPr>
        <w:t>.</w:t>
      </w:r>
    </w:p>
    <w:p>
      <w:pPr>
        <w:pStyle w:val="Heading3"/>
        <w:numPr>
          <w:ilvl w:val="2"/>
          <w:numId w:val="1"/>
        </w:numPr>
        <w:rPr/>
      </w:pPr>
      <w:bookmarkStart w:id="840" w:name="__RefHeading___Toc1265704_653776707"/>
      <w:bookmarkStart w:id="841" w:name="_Toc323"/>
      <w:bookmarkEnd w:id="840"/>
      <w:r>
        <w:rPr>
          <w:rtl w:val="true"/>
        </w:rPr>
        <w:t>فی الجنایة علی الأطراف</w:t>
      </w:r>
      <w:bookmarkEnd w:id="841"/>
    </w:p>
    <w:p>
      <w:pPr>
        <w:pStyle w:val="Heading4"/>
        <w:numPr>
          <w:ilvl w:val="3"/>
          <w:numId w:val="1"/>
        </w:numPr>
        <w:rPr/>
      </w:pPr>
      <w:bookmarkStart w:id="842" w:name="__RefHeading___Toc1265706_653776707"/>
      <w:bookmarkStart w:id="843" w:name="_Toc324"/>
      <w:bookmarkEnd w:id="842"/>
      <w:r>
        <w:rPr>
          <w:rtl w:val="true"/>
        </w:rPr>
        <w:t>اشارة</w:t>
      </w:r>
      <w:bookmarkEnd w:id="843"/>
    </w:p>
    <w:p>
      <w:pPr>
        <w:pStyle w:val="BookText"/>
        <w:rPr/>
      </w:pPr>
      <w:r>
        <w:rPr>
          <w:rFonts w:ascii="IRNazanin" w:hAnsi="IRNazanin" w:eastAsia="IRNazanin"/>
          <w:color w:val="111111"/>
          <w:sz w:val="28"/>
          <w:sz w:val="28"/>
          <w:szCs w:val="28"/>
          <w:rtl w:val="true"/>
          <w:lang w:bidi="fa-IR"/>
        </w:rPr>
        <w:t>وفیه مقاصد</w:t>
      </w:r>
      <w:r>
        <w:rPr>
          <w:rFonts w:eastAsia="IRNazanin" w:cs="IRNazanin"/>
          <w:color w:val="111111"/>
          <w:sz w:val="28"/>
          <w:szCs w:val="28"/>
          <w:rtl w:val="true"/>
          <w:lang w:bidi="fa-IR"/>
        </w:rPr>
        <w:t>:</w:t>
      </w:r>
    </w:p>
    <w:p>
      <w:pPr>
        <w:pStyle w:val="Heading4"/>
        <w:numPr>
          <w:ilvl w:val="3"/>
          <w:numId w:val="1"/>
        </w:numPr>
        <w:rPr/>
      </w:pPr>
      <w:bookmarkStart w:id="844" w:name="__RefHeading___Toc1265708_653776707"/>
      <w:bookmarkStart w:id="845" w:name="_Toc325"/>
      <w:bookmarkEnd w:id="844"/>
      <w:r>
        <w:rPr>
          <w:rtl w:val="true"/>
        </w:rPr>
        <w:t>المقصد الأوّل</w:t>
      </w:r>
      <w:r>
        <w:rPr>
          <w:rtl w:val="true"/>
        </w:rPr>
        <w:t xml:space="preserve">: </w:t>
      </w:r>
      <w:r>
        <w:rPr>
          <w:rtl w:val="true"/>
        </w:rPr>
        <w:t>فی دیات الأعضاء</w:t>
      </w:r>
      <w:bookmarkEnd w:id="845"/>
    </w:p>
    <w:p>
      <w:pPr>
        <w:pStyle w:val="Heading5"/>
        <w:numPr>
          <w:ilvl w:val="4"/>
          <w:numId w:val="1"/>
        </w:numPr>
        <w:rPr/>
      </w:pPr>
      <w:bookmarkStart w:id="846" w:name="__RefHeading___Toc1265710_653776707"/>
      <w:bookmarkStart w:id="847" w:name="_Toc326"/>
      <w:bookmarkEnd w:id="846"/>
      <w:r>
        <w:rPr>
          <w:rtl w:val="true"/>
        </w:rPr>
        <w:t>اشارة</w:t>
      </w:r>
      <w:bookmarkEnd w:id="847"/>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کلّ ما لا تقدیر فیه شرعاً ففیه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حکومة القاضی بما</w:t>
      </w:r>
      <w:bookmarkStart w:id="848" w:name="pg6476_57053"/>
    </w:p>
    <w:p>
      <w:pPr>
        <w:pStyle w:val="BookText"/>
        <w:rPr/>
      </w:pPr>
      <w:bookmarkEnd w:id="848"/>
      <w:r>
        <w:rPr>
          <w:rFonts w:ascii="IRNazanin" w:hAnsi="IRNazanin" w:eastAsia="IRNazanin"/>
          <w:color w:val="111111"/>
          <w:sz w:val="28"/>
          <w:sz w:val="28"/>
          <w:szCs w:val="28"/>
          <w:rtl w:val="true"/>
          <w:lang w:bidi="fa-IR"/>
        </w:rPr>
        <w:t>یحسم مادّة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بالأمر بالتصالح أو تقدیره علی ما یراه من المصالح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التقدیر ففی موارد</w:t>
      </w:r>
      <w:r>
        <w:rPr>
          <w:rFonts w:eastAsia="IRNazanin" w:cs="IRNazanin"/>
          <w:color w:val="111111"/>
          <w:sz w:val="28"/>
          <w:szCs w:val="28"/>
          <w:rtl w:val="true"/>
          <w:lang w:bidi="fa-IR"/>
        </w:rPr>
        <w:t>:</w:t>
      </w:r>
    </w:p>
    <w:p>
      <w:pPr>
        <w:pStyle w:val="Heading5"/>
        <w:numPr>
          <w:ilvl w:val="4"/>
          <w:numId w:val="1"/>
        </w:numPr>
        <w:rPr/>
      </w:pPr>
      <w:bookmarkStart w:id="849" w:name="__RefHeading___Toc1265712_653776707"/>
      <w:bookmarkStart w:id="850" w:name="_Toc327"/>
      <w:bookmarkEnd w:id="849"/>
      <w:r>
        <w:rPr>
          <w:rtl w:val="true"/>
        </w:rPr>
        <w:t>الأوّل</w:t>
      </w:r>
      <w:r>
        <w:rPr>
          <w:rtl w:val="true"/>
        </w:rPr>
        <w:t xml:space="preserve">: </w:t>
      </w:r>
      <w:r>
        <w:rPr>
          <w:rtl w:val="true"/>
        </w:rPr>
        <w:t>الشعر</w:t>
      </w:r>
      <w:bookmarkEnd w:id="8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أذهب شعر رأس الذکر بحیث لم ینبت ففیه الدیة کاملة، وکذا اللحیة إن لم تنبت، وإن نبتت ففی اللحیة ثلث الدیه علی الأقوی، وفی الرأس الحکومة، وفی شعر المرأة دیة کاملة إن لم ینبت، ومهر نسائها إن نبت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شعر الحاجبین معاً خمسمائة دینار، وفی کلّ واحد نصفها، وإن نبت فیه الحکومة، وفی الأهداب الأربعة الأقرب الحکومة</w:t>
      </w:r>
      <w:r>
        <w:rPr>
          <w:rFonts w:eastAsia="IRNazanin" w:cs="IRNazanin"/>
          <w:color w:val="111111"/>
          <w:sz w:val="28"/>
          <w:szCs w:val="28"/>
          <w:rtl w:val="true"/>
          <w:lang w:bidi="fa-IR"/>
        </w:rPr>
        <w:t>.</w:t>
      </w:r>
    </w:p>
    <w:p>
      <w:pPr>
        <w:pStyle w:val="Heading5"/>
        <w:numPr>
          <w:ilvl w:val="4"/>
          <w:numId w:val="1"/>
        </w:numPr>
        <w:rPr/>
      </w:pPr>
      <w:bookmarkStart w:id="851" w:name="__RefHeading___Toc1265714_653776707"/>
      <w:bookmarkStart w:id="852" w:name="_Toc328"/>
      <w:bookmarkEnd w:id="851"/>
      <w:r>
        <w:rPr>
          <w:rtl w:val="true"/>
        </w:rPr>
        <w:t>الثانی</w:t>
      </w:r>
      <w:r>
        <w:rPr>
          <w:rtl w:val="true"/>
        </w:rPr>
        <w:t xml:space="preserve">: </w:t>
      </w:r>
      <w:r>
        <w:rPr>
          <w:rtl w:val="true"/>
        </w:rPr>
        <w:t>العینان</w:t>
      </w:r>
      <w:bookmarkEnd w:id="852"/>
    </w:p>
    <w:p>
      <w:pPr>
        <w:pStyle w:val="BookText"/>
        <w:rPr/>
      </w:pPr>
      <w:r>
        <w:rPr>
          <w:rFonts w:ascii="IRNazanin" w:hAnsi="IRNazanin" w:eastAsia="IRNazanin"/>
          <w:color w:val="111111"/>
          <w:sz w:val="28"/>
          <w:sz w:val="28"/>
          <w:szCs w:val="28"/>
          <w:rtl w:val="true"/>
          <w:lang w:bidi="fa-IR"/>
        </w:rPr>
        <w:t>فی العینین معاً الدیة، وفی کلّ واحدة منهما نصفها، والعین المریضة کالصحیحة، وفی العین الصحیحة من الأعور الدیة کاملة إن کان العور بآفة من اللّه تعالی، وإلّا فنصف الدیة، وفی العین العوراء ثلث الدیة إن قلعها مثلاً، وفی الأجفان الدیة، وفی کلّ واحد الأحوط التصالح</w:t>
      </w:r>
      <w:r>
        <w:rPr>
          <w:rFonts w:eastAsia="IRNazanin" w:cs="IRNazanin"/>
          <w:color w:val="111111"/>
          <w:sz w:val="28"/>
          <w:szCs w:val="28"/>
          <w:rtl w:val="true"/>
          <w:lang w:bidi="fa-IR"/>
        </w:rPr>
        <w:t>.</w:t>
      </w:r>
    </w:p>
    <w:p>
      <w:pPr>
        <w:pStyle w:val="Heading5"/>
        <w:numPr>
          <w:ilvl w:val="4"/>
          <w:numId w:val="1"/>
        </w:numPr>
        <w:rPr/>
      </w:pPr>
      <w:bookmarkStart w:id="853" w:name="__RefHeading___Toc1265716_653776707"/>
      <w:bookmarkStart w:id="854" w:name="_Toc329"/>
      <w:bookmarkEnd w:id="853"/>
      <w:r>
        <w:rPr>
          <w:rtl w:val="true"/>
        </w:rPr>
        <w:t>الثالث</w:t>
      </w:r>
      <w:r>
        <w:rPr>
          <w:rtl w:val="true"/>
        </w:rPr>
        <w:t xml:space="preserve">: </w:t>
      </w:r>
      <w:r>
        <w:rPr>
          <w:rtl w:val="true"/>
        </w:rPr>
        <w:t>الأنف</w:t>
      </w:r>
      <w:bookmarkEnd w:id="8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الأنف إذا قطع من أصله الدیة کاملة، وکذا فی مارنه، وهو ما لان ونزل عن قصبته، ومثله لو فسد الأنف وذهب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أو إحراق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جبر علی غیر عیب فمأئة دینار علی المشهور</w:t>
      </w:r>
      <w:r>
        <w:rPr>
          <w:rFonts w:eastAsia="IRNazanin" w:cs="IRNazanin"/>
          <w:color w:val="111111"/>
          <w:sz w:val="28"/>
          <w:szCs w:val="28"/>
          <w:rtl w:val="true"/>
          <w:lang w:bidi="fa-IR"/>
        </w:rPr>
        <w:t>.</w:t>
      </w:r>
    </w:p>
    <w:p>
      <w:pPr>
        <w:pStyle w:val="Heading5"/>
        <w:numPr>
          <w:ilvl w:val="4"/>
          <w:numId w:val="1"/>
        </w:numPr>
        <w:rPr/>
      </w:pPr>
      <w:bookmarkStart w:id="855" w:name="__RefHeading___Toc1265718_653776707"/>
      <w:bookmarkStart w:id="856" w:name="_Toc330"/>
      <w:bookmarkEnd w:id="855"/>
      <w:r>
        <w:rPr>
          <w:rtl w:val="true"/>
        </w:rPr>
        <w:t>الرابع</w:t>
      </w:r>
      <w:r>
        <w:rPr>
          <w:rtl w:val="true"/>
        </w:rPr>
        <w:t xml:space="preserve">: </w:t>
      </w:r>
      <w:r>
        <w:rPr>
          <w:rtl w:val="true"/>
        </w:rPr>
        <w:t>الاُذن</w:t>
      </w:r>
      <w:bookmarkEnd w:id="856"/>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الاُذنین إذا استؤصلا الدیة کاملة، وفی استئصال کلّ واحدة</w:t>
      </w:r>
      <w:bookmarkStart w:id="857" w:name="pg6476_57054"/>
    </w:p>
    <w:p>
      <w:pPr>
        <w:pStyle w:val="BookText"/>
        <w:rPr/>
      </w:pPr>
      <w:bookmarkEnd w:id="857"/>
      <w:r>
        <w:rPr>
          <w:rFonts w:ascii="IRNazanin" w:hAnsi="IRNazanin" w:eastAsia="IRNazanin"/>
          <w:color w:val="111111"/>
          <w:sz w:val="28"/>
          <w:sz w:val="28"/>
          <w:szCs w:val="28"/>
          <w:rtl w:val="true"/>
          <w:lang w:bidi="fa-IR"/>
        </w:rPr>
        <w:t xml:space="preserve">منهما نصفها، وفی بعضها بحساب دیتها؛ إن نصفاً فنصفاً وإن ثلثاً فثلثاً، وفی خصوص شحمة الاُذن ثلث دیة الاُذن، وکذا فی خرمها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دیتها علی الأظهر، والأصمّ کالصحیح فیما ذکر</w:t>
      </w:r>
      <w:r>
        <w:rPr>
          <w:rFonts w:eastAsia="IRNazanin" w:cs="IRNazanin"/>
          <w:color w:val="111111"/>
          <w:sz w:val="28"/>
          <w:szCs w:val="28"/>
          <w:rtl w:val="true"/>
          <w:lang w:bidi="fa-IR"/>
        </w:rPr>
        <w:t>.</w:t>
      </w:r>
    </w:p>
    <w:p>
      <w:pPr>
        <w:pStyle w:val="Heading5"/>
        <w:numPr>
          <w:ilvl w:val="4"/>
          <w:numId w:val="1"/>
        </w:numPr>
        <w:rPr/>
      </w:pPr>
      <w:bookmarkStart w:id="858" w:name="__RefHeading___Toc1265720_653776707"/>
      <w:bookmarkStart w:id="859" w:name="_Toc331"/>
      <w:bookmarkEnd w:id="858"/>
      <w:r>
        <w:rPr>
          <w:rtl w:val="true"/>
        </w:rPr>
        <w:t>الخامس</w:t>
      </w:r>
      <w:r>
        <w:rPr>
          <w:rtl w:val="true"/>
        </w:rPr>
        <w:t xml:space="preserve">: </w:t>
      </w:r>
      <w:r>
        <w:rPr>
          <w:rtl w:val="true"/>
        </w:rPr>
        <w:t>الشفتان</w:t>
      </w:r>
      <w:bookmarkEnd w:id="8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الشفتین الدیة کاملة، وفی کلّ واحدة منهما النصف علی الأقوی، وفی قطع بعضها بنسبة مساحتها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 الشفة فی العلیا ما تجافی عن اللثّة متّصلة بالأنف عرضاً، وطولها طول الفم، ولو جنی حتّی تقلّصت فلم تنطبق علی الأسنان ففیه الحکومة، ولو شقّهما حتّی بدت الأسنان، فإن برئت فخمس الدیة، وإلّا فثلثها</w:t>
      </w:r>
      <w:r>
        <w:rPr>
          <w:rFonts w:eastAsia="IRNazanin" w:cs="IRNazanin"/>
          <w:color w:val="111111"/>
          <w:sz w:val="28"/>
          <w:szCs w:val="28"/>
          <w:rtl w:val="true"/>
          <w:lang w:bidi="fa-IR"/>
        </w:rPr>
        <w:t>.</w:t>
      </w:r>
    </w:p>
    <w:p>
      <w:pPr>
        <w:pStyle w:val="Heading5"/>
        <w:numPr>
          <w:ilvl w:val="4"/>
          <w:numId w:val="1"/>
        </w:numPr>
        <w:rPr/>
      </w:pPr>
      <w:bookmarkStart w:id="860" w:name="__RefHeading___Toc1265722_653776707"/>
      <w:bookmarkStart w:id="861" w:name="_Toc332"/>
      <w:bookmarkEnd w:id="860"/>
      <w:r>
        <w:rPr>
          <w:rtl w:val="true"/>
        </w:rPr>
        <w:t>السادس</w:t>
      </w:r>
      <w:r>
        <w:rPr>
          <w:rtl w:val="true"/>
        </w:rPr>
        <w:t xml:space="preserve">: </w:t>
      </w:r>
      <w:r>
        <w:rPr>
          <w:rtl w:val="true"/>
        </w:rPr>
        <w:t>اللسان</w:t>
      </w:r>
      <w:bookmarkEnd w:id="8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اللسان الصحیح إذا استؤصل الدیة کاملة، وفی قطع البعض یعتبر بحروف المعجم لا بمساحة اللسان، فإن ذهبت أجمع فالدیة الکاملة، وإن ذهب البعض وجب نصیب الذاهب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حروف المعجم فی العربیّة ثمانیة وعشرون حرفاً، وفی غیر العربیّة تقسّط الدیة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بحسابها، ولو صار اللسان ثقیلاً أو معیباً فالحکومة</w:t>
      </w:r>
      <w:r>
        <w:rPr>
          <w:rFonts w:eastAsia="IRNazanin" w:cs="IRNazanin"/>
          <w:color w:val="111111"/>
          <w:sz w:val="28"/>
          <w:szCs w:val="28"/>
          <w:rtl w:val="true"/>
          <w:lang w:bidi="fa-IR"/>
        </w:rPr>
        <w:t>.</w:t>
      </w:r>
    </w:p>
    <w:p>
      <w:pPr>
        <w:pStyle w:val="Heading5"/>
        <w:numPr>
          <w:ilvl w:val="4"/>
          <w:numId w:val="1"/>
        </w:numPr>
        <w:rPr/>
      </w:pPr>
      <w:bookmarkStart w:id="862" w:name="__RefHeading___Toc1265724_653776707"/>
      <w:bookmarkStart w:id="863" w:name="_Toc333"/>
      <w:bookmarkEnd w:id="862"/>
      <w:r>
        <w:rPr>
          <w:rtl w:val="true"/>
        </w:rPr>
        <w:t>السابع</w:t>
      </w:r>
      <w:r>
        <w:rPr>
          <w:rtl w:val="true"/>
        </w:rPr>
        <w:t xml:space="preserve">: </w:t>
      </w:r>
      <w:r>
        <w:rPr>
          <w:rtl w:val="true"/>
        </w:rPr>
        <w:t>الأسنان</w:t>
      </w:r>
      <w:bookmarkEnd w:id="863"/>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الأسنان الدیة کاملة وهی موزّعة علی ثمان وعشرین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إثنتا عشرة فی مقادیم الفم؛ ثنیّتان ورباعیّتان ونابان من أعلی ومثلها من أسفل، ففی کلّ واحدة منها خمسون دیناراً، فالجمیع ستّمائة دینار، وستّ عشرة فی مؤخّر</w:t>
      </w:r>
      <w:bookmarkStart w:id="864" w:name="pg6476_57055"/>
    </w:p>
    <w:p>
      <w:pPr>
        <w:pStyle w:val="BookText"/>
        <w:rPr/>
      </w:pPr>
      <w:bookmarkEnd w:id="864"/>
      <w:r>
        <w:rPr>
          <w:rFonts w:ascii="IRNazanin" w:hAnsi="IRNazanin" w:eastAsia="IRNazanin"/>
          <w:color w:val="111111"/>
          <w:sz w:val="28"/>
          <w:sz w:val="28"/>
          <w:szCs w:val="28"/>
          <w:rtl w:val="true"/>
          <w:lang w:bidi="fa-IR"/>
        </w:rPr>
        <w:t>الفم فی کلّ جانب من الجوانب الأربعة؛ أربعة ضواحک وأضراس ثلاثة؛ فی کلّ واحدة منها خمسة وعشرون دیناراً، فالجمیع اربعمائة دینار، ولا یلاحظ النواجذ فی الحساب، ولو نقصت الأسنان عن ذلک المقدار نقص من الدیة بحسابه، ولو زاد فالحکومة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قلع سنّ الصغیر غیر المثّغر انتظر، فإن نبت فلا یبعد أن تکون دیة کلّ سنّ بعیراً، وإن لم ینبت فدیتها کسنّ البالغ</w:t>
      </w:r>
      <w:r>
        <w:rPr>
          <w:rFonts w:eastAsia="IRNazanin" w:cs="IRNazanin"/>
          <w:color w:val="111111"/>
          <w:sz w:val="28"/>
          <w:szCs w:val="28"/>
          <w:rtl w:val="true"/>
          <w:lang w:bidi="fa-IR"/>
        </w:rPr>
        <w:t>.</w:t>
      </w:r>
    </w:p>
    <w:p>
      <w:pPr>
        <w:pStyle w:val="Heading5"/>
        <w:numPr>
          <w:ilvl w:val="4"/>
          <w:numId w:val="1"/>
        </w:numPr>
        <w:rPr/>
      </w:pPr>
      <w:bookmarkStart w:id="865" w:name="__RefHeading___Toc1265726_653776707"/>
      <w:bookmarkStart w:id="866" w:name="_Toc334"/>
      <w:bookmarkEnd w:id="865"/>
      <w:r>
        <w:rPr>
          <w:rtl w:val="true"/>
        </w:rPr>
        <w:t>الثامن</w:t>
      </w:r>
      <w:r>
        <w:rPr>
          <w:rtl w:val="true"/>
        </w:rPr>
        <w:t xml:space="preserve">: </w:t>
      </w:r>
      <w:r>
        <w:rPr>
          <w:rtl w:val="true"/>
        </w:rPr>
        <w:t>العنق</w:t>
      </w:r>
      <w:bookmarkEnd w:id="866"/>
    </w:p>
    <w:p>
      <w:pPr>
        <w:pStyle w:val="BookText"/>
        <w:rPr/>
      </w:pPr>
      <w:r>
        <w:rPr>
          <w:rFonts w:ascii="IRNazanin" w:hAnsi="IRNazanin" w:eastAsia="IRNazanin"/>
          <w:color w:val="111111"/>
          <w:sz w:val="28"/>
          <w:sz w:val="28"/>
          <w:szCs w:val="28"/>
          <w:rtl w:val="true"/>
          <w:lang w:bidi="fa-IR"/>
        </w:rPr>
        <w:t xml:space="preserve">فی العنق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کسر فصار مائلاً إلی ناحیة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کاملة علی الأحوط</w:t>
      </w:r>
      <w:r>
        <w:rPr>
          <w:rFonts w:eastAsia="IRNazanin" w:cs="IRNazanin"/>
          <w:color w:val="111111"/>
          <w:sz w:val="28"/>
          <w:szCs w:val="28"/>
          <w:rtl w:val="true"/>
          <w:lang w:bidi="fa-IR"/>
        </w:rPr>
        <w:t>.</w:t>
      </w:r>
    </w:p>
    <w:p>
      <w:pPr>
        <w:pStyle w:val="Heading5"/>
        <w:numPr>
          <w:ilvl w:val="4"/>
          <w:numId w:val="1"/>
        </w:numPr>
        <w:rPr/>
      </w:pPr>
      <w:bookmarkStart w:id="867" w:name="__RefHeading___Toc1265728_653776707"/>
      <w:bookmarkStart w:id="868" w:name="_Toc335"/>
      <w:bookmarkEnd w:id="867"/>
      <w:r>
        <w:rPr>
          <w:rtl w:val="true"/>
        </w:rPr>
        <w:t>التاسع</w:t>
      </w:r>
      <w:r>
        <w:rPr>
          <w:rtl w:val="true"/>
        </w:rPr>
        <w:t xml:space="preserve">: </w:t>
      </w:r>
      <w:r>
        <w:rPr>
          <w:rtl w:val="true"/>
        </w:rPr>
        <w:t>الیدان</w:t>
      </w:r>
      <w:bookmarkEnd w:id="8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قطع الیدین الدیة کاملة، وفی کلّ واحدة نصفها، وحدّها المفصل بین الکتف والذراع، ولا دیة للأصابع فی الفرض، ومثله القطع من المرفق أو المنکب</w:t>
      </w:r>
      <w:r>
        <w:rPr>
          <w:rFonts w:eastAsia="IRNazanin" w:cs="IRNazanin"/>
          <w:color w:val="111111"/>
          <w:sz w:val="28"/>
          <w:szCs w:val="28"/>
          <w:rtl w:val="true"/>
          <w:lang w:bidi="fa-IR"/>
        </w:rPr>
        <w:t>.</w:t>
      </w:r>
    </w:p>
    <w:p>
      <w:pPr>
        <w:pStyle w:val="Heading5"/>
        <w:numPr>
          <w:ilvl w:val="4"/>
          <w:numId w:val="1"/>
        </w:numPr>
        <w:rPr/>
      </w:pPr>
      <w:bookmarkStart w:id="869" w:name="__RefHeading___Toc1265730_653776707"/>
      <w:bookmarkStart w:id="870" w:name="_Toc336"/>
      <w:bookmarkEnd w:id="869"/>
      <w:r>
        <w:rPr>
          <w:rtl w:val="true"/>
        </w:rPr>
        <w:t>العاشر</w:t>
      </w:r>
      <w:r>
        <w:rPr>
          <w:rtl w:val="true"/>
        </w:rPr>
        <w:t xml:space="preserve">: </w:t>
      </w:r>
      <w:r>
        <w:rPr>
          <w:rtl w:val="true"/>
        </w:rPr>
        <w:t>الأصابع</w:t>
      </w:r>
      <w:bookmarkEnd w:id="8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أصابع الیدین الدیة کاملة، وکذا أصابع الرجلین، وفی کلّ واحدة منهما عشر الدیة؛ من غیر فرق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ودیة کلّ إصبع مقسومة علی ثلاث عقد؛ فی کلّ عقدة ثلثها، وفی الإبهام مقسومة علی عقدتین؛ فی کلّ نصفها، وفی شلل الإصبع أو قطع مشلولها ثلث دیتها، وفی الظفر إذا لم ینبت أو نبت فاسداً عشرة دنانیر علی الأحوط، وإن نبت أبیض فخمسة دنانیر</w:t>
      </w:r>
      <w:r>
        <w:rPr>
          <w:rFonts w:eastAsia="IRNazanin" w:cs="IRNazanin"/>
          <w:color w:val="111111"/>
          <w:sz w:val="28"/>
          <w:szCs w:val="28"/>
          <w:rtl w:val="true"/>
          <w:lang w:bidi="fa-IR"/>
        </w:rPr>
        <w:t>.</w:t>
      </w:r>
    </w:p>
    <w:p>
      <w:pPr>
        <w:pStyle w:val="Heading5"/>
        <w:numPr>
          <w:ilvl w:val="4"/>
          <w:numId w:val="1"/>
        </w:numPr>
        <w:rPr/>
      </w:pPr>
      <w:bookmarkStart w:id="871" w:name="__RefHeading___Toc1265732_653776707"/>
      <w:bookmarkStart w:id="872" w:name="_Toc337"/>
      <w:bookmarkEnd w:id="871"/>
      <w:r>
        <w:rPr>
          <w:rtl w:val="true"/>
        </w:rPr>
        <w:t>الحادی عشر</w:t>
      </w:r>
      <w:r>
        <w:rPr>
          <w:rtl w:val="true"/>
        </w:rPr>
        <w:t xml:space="preserve">: </w:t>
      </w:r>
      <w:r>
        <w:rPr>
          <w:rtl w:val="true"/>
        </w:rPr>
        <w:t>الظهر</w:t>
      </w:r>
      <w:bookmarkEnd w:id="872"/>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کسر الظهر الدیة کاملة إذا لم یصلح بالعلاج، وکذا لو</w:t>
      </w:r>
      <w:bookmarkStart w:id="873" w:name="pg6476_57056"/>
    </w:p>
    <w:p>
      <w:pPr>
        <w:pStyle w:val="BookText"/>
        <w:rPr/>
      </w:pPr>
      <w:bookmarkEnd w:id="873"/>
      <w:r>
        <w:rPr>
          <w:rFonts w:ascii="IRNazanin" w:hAnsi="IRNazanin" w:eastAsia="IRNazanin"/>
          <w:color w:val="111111"/>
          <w:sz w:val="28"/>
          <w:sz w:val="28"/>
          <w:szCs w:val="28"/>
          <w:rtl w:val="true"/>
          <w:lang w:bidi="fa-IR"/>
        </w:rPr>
        <w:t>احدودب، أو صار بحیث لا یقدر علی القعود أو المشی، أو ذهب بذلک جماعه أو حدث به سلس، ولو عولج فمأئة دینار، ولو کسر فشلّت الرجلان فدیة للکسر وثلثاها لشلل الرجلین</w:t>
      </w:r>
      <w:r>
        <w:rPr>
          <w:rFonts w:eastAsia="IRNazanin" w:cs="IRNazanin"/>
          <w:color w:val="111111"/>
          <w:sz w:val="28"/>
          <w:szCs w:val="28"/>
          <w:rtl w:val="true"/>
          <w:lang w:bidi="fa-IR"/>
        </w:rPr>
        <w:t>.</w:t>
      </w:r>
    </w:p>
    <w:p>
      <w:pPr>
        <w:pStyle w:val="Heading5"/>
        <w:numPr>
          <w:ilvl w:val="4"/>
          <w:numId w:val="1"/>
        </w:numPr>
        <w:rPr/>
      </w:pPr>
      <w:bookmarkStart w:id="874" w:name="__RefHeading___Toc1265734_653776707"/>
      <w:bookmarkStart w:id="875" w:name="_Toc338"/>
      <w:bookmarkEnd w:id="874"/>
      <w:r>
        <w:rPr>
          <w:rtl w:val="true"/>
        </w:rPr>
        <w:t>الثانی عشر</w:t>
      </w:r>
      <w:r>
        <w:rPr>
          <w:rtl w:val="true"/>
        </w:rPr>
        <w:t xml:space="preserve">: </w:t>
      </w:r>
      <w:r>
        <w:rPr>
          <w:rtl w:val="true"/>
        </w:rPr>
        <w:t>الثدیان</w:t>
      </w:r>
      <w:bookmarkEnd w:id="875"/>
    </w:p>
    <w:p>
      <w:pPr>
        <w:pStyle w:val="BookText"/>
        <w:rPr/>
      </w:pPr>
      <w:r>
        <w:rPr>
          <w:rFonts w:ascii="IRNazanin" w:hAnsi="IRNazanin" w:eastAsia="IRNazanin"/>
          <w:color w:val="111111"/>
          <w:sz w:val="28"/>
          <w:sz w:val="28"/>
          <w:szCs w:val="28"/>
          <w:rtl w:val="true"/>
          <w:lang w:bidi="fa-IR"/>
        </w:rPr>
        <w:t>فی قطعهما الدیة کاملة، وفی کلّ واحدة نصفها، وفی انقطاع لبنهما الحکومة، وفی قطع الحلمتین یحسب بالمساحة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حلمة ثدیی الرجل ربع الدیة، وفی کلّ واحدة ثمنها مأئة وخمسة وعشرون دیناراً</w:t>
      </w:r>
      <w:r>
        <w:rPr>
          <w:rFonts w:eastAsia="IRNazanin" w:cs="IRNazanin"/>
          <w:color w:val="111111"/>
          <w:sz w:val="28"/>
          <w:szCs w:val="28"/>
          <w:rtl w:val="true"/>
          <w:lang w:bidi="fa-IR"/>
        </w:rPr>
        <w:t>.</w:t>
      </w:r>
    </w:p>
    <w:p>
      <w:pPr>
        <w:pStyle w:val="Heading5"/>
        <w:numPr>
          <w:ilvl w:val="4"/>
          <w:numId w:val="1"/>
        </w:numPr>
        <w:rPr/>
      </w:pPr>
      <w:bookmarkStart w:id="876" w:name="__RefHeading___Toc1265736_653776707"/>
      <w:bookmarkStart w:id="877" w:name="_Toc339"/>
      <w:bookmarkEnd w:id="876"/>
      <w:r>
        <w:rPr>
          <w:rtl w:val="true"/>
        </w:rPr>
        <w:t>الثالث عشر</w:t>
      </w:r>
      <w:r>
        <w:rPr>
          <w:rtl w:val="true"/>
        </w:rPr>
        <w:t xml:space="preserve">: </w:t>
      </w:r>
      <w:r>
        <w:rPr>
          <w:rtl w:val="true"/>
        </w:rPr>
        <w:t>الذکر والخصیتان</w:t>
      </w:r>
      <w:bookmarkEnd w:id="8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الحشفة فما زاد وإن استؤصل الدیة کاملة؛ من غیر فرق بین الصبیّ والبالغ، وفی قطع بعض الحشفة یقاس نسبته إلی مساحة الحشفة لا جمیع الذکر، إن نصفاً فنصف الدیة، وإن ثلثاً فثلثها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الخصیتین الدیة کاملة، وفی قطع الیمنی ثلث الدیة، وفی الیسری الثلثان، وفی اُدرتهما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انتفاخهما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أربعمأئة دینار</w:t>
      </w:r>
      <w:r>
        <w:rPr>
          <w:rFonts w:eastAsia="IRNazanin" w:cs="IRNazanin"/>
          <w:color w:val="111111"/>
          <w:sz w:val="28"/>
          <w:szCs w:val="28"/>
          <w:rtl w:val="true"/>
          <w:lang w:bidi="fa-IR"/>
        </w:rPr>
        <w:t>.</w:t>
      </w:r>
    </w:p>
    <w:p>
      <w:pPr>
        <w:pStyle w:val="Heading5"/>
        <w:numPr>
          <w:ilvl w:val="4"/>
          <w:numId w:val="1"/>
        </w:numPr>
        <w:rPr/>
      </w:pPr>
      <w:bookmarkStart w:id="878" w:name="__RefHeading___Toc1265738_653776707"/>
      <w:bookmarkStart w:id="879" w:name="_Toc340"/>
      <w:bookmarkEnd w:id="878"/>
      <w:r>
        <w:rPr>
          <w:rtl w:val="true"/>
        </w:rPr>
        <w:t>الرابع عشر</w:t>
      </w:r>
      <w:r>
        <w:rPr>
          <w:rtl w:val="true"/>
        </w:rPr>
        <w:t xml:space="preserve">: </w:t>
      </w:r>
      <w:r>
        <w:rPr>
          <w:rtl w:val="true"/>
        </w:rPr>
        <w:t>الفرج</w:t>
      </w:r>
      <w:bookmarkEnd w:id="8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إفضاء المرأة دیتها کاملة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یجعل مسلکی البول والحیض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بین الأجنبی والزوجة الصغیرة، ولو کانت أجنبیّة فلها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المثل</w:t>
      </w:r>
      <w:r>
        <w:rPr>
          <w:rFonts w:eastAsia="IRNazanin" w:cs="IRNazanin"/>
          <w:color w:val="111111"/>
          <w:sz w:val="28"/>
          <w:szCs w:val="28"/>
          <w:rtl w:val="true"/>
          <w:lang w:bidi="fa-IR"/>
        </w:rPr>
        <w:t>.</w:t>
      </w:r>
    </w:p>
    <w:p>
      <w:pPr>
        <w:pStyle w:val="Heading5"/>
        <w:numPr>
          <w:ilvl w:val="4"/>
          <w:numId w:val="1"/>
        </w:numPr>
        <w:rPr/>
      </w:pPr>
      <w:bookmarkStart w:id="880" w:name="__RefHeading___Toc1265740_653776707"/>
      <w:bookmarkStart w:id="881" w:name="_Toc341"/>
      <w:bookmarkEnd w:id="880"/>
      <w:r>
        <w:rPr>
          <w:rtl w:val="true"/>
        </w:rPr>
        <w:t>الخامس عشر</w:t>
      </w:r>
      <w:r>
        <w:rPr>
          <w:rtl w:val="true"/>
        </w:rPr>
        <w:t xml:space="preserve">: </w:t>
      </w:r>
      <w:r>
        <w:rPr>
          <w:rtl w:val="true"/>
        </w:rPr>
        <w:t>الرِّجلان</w:t>
      </w:r>
      <w:bookmarkEnd w:id="881"/>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الرِجْلین الدیة کاملة، وفی کلّ واحدة نصفها، وحدّهما</w:t>
      </w:r>
      <w:bookmarkStart w:id="882" w:name="pg6476_57057"/>
    </w:p>
    <w:p>
      <w:pPr>
        <w:pStyle w:val="BookText"/>
        <w:rPr/>
      </w:pPr>
      <w:bookmarkEnd w:id="882"/>
      <w:r>
        <w:rPr>
          <w:rFonts w:ascii="IRNazanin" w:hAnsi="IRNazanin" w:eastAsia="IRNazanin"/>
          <w:color w:val="111111"/>
          <w:sz w:val="28"/>
          <w:sz w:val="28"/>
          <w:szCs w:val="28"/>
          <w:rtl w:val="true"/>
          <w:lang w:bidi="fa-IR"/>
        </w:rPr>
        <w:t>مفصل الساق، ومثله القطع من الرکب أو مفصل الفخذین، وفی أصابعهما الدیة، وفی کلّ واحدة منها عشرها، ودیة کلّ إصبع تقسّم علی ثلاث عُقد بالسویّة إلّا الإبهام فیقسّم علی اثنتین</w:t>
      </w:r>
      <w:r>
        <w:rPr>
          <w:rFonts w:eastAsia="IRNazanin" w:cs="IRNazanin"/>
          <w:color w:val="111111"/>
          <w:sz w:val="28"/>
          <w:szCs w:val="28"/>
          <w:rtl w:val="true"/>
          <w:lang w:bidi="fa-IR"/>
        </w:rPr>
        <w:t>.</w:t>
      </w:r>
    </w:p>
    <w:p>
      <w:pPr>
        <w:pStyle w:val="Heading5"/>
        <w:numPr>
          <w:ilvl w:val="4"/>
          <w:numId w:val="1"/>
        </w:numPr>
        <w:rPr/>
      </w:pPr>
      <w:bookmarkStart w:id="883" w:name="__RefHeading___Toc1265742_653776707"/>
      <w:bookmarkStart w:id="884" w:name="_Toc342"/>
      <w:bookmarkEnd w:id="883"/>
      <w:r>
        <w:rPr>
          <w:rtl w:val="true"/>
        </w:rPr>
        <w:t>السادس عشر</w:t>
      </w:r>
      <w:r>
        <w:rPr>
          <w:rtl w:val="true"/>
        </w:rPr>
        <w:t xml:space="preserve">: </w:t>
      </w:r>
      <w:r>
        <w:rPr>
          <w:rtl w:val="true"/>
        </w:rPr>
        <w:t>الأضلاع</w:t>
      </w:r>
      <w:bookmarkEnd w:id="884"/>
    </w:p>
    <w:p>
      <w:pPr>
        <w:pStyle w:val="BookText"/>
        <w:rPr/>
      </w:pPr>
      <w:r>
        <w:rPr>
          <w:rFonts w:ascii="IRNazanin" w:hAnsi="IRNazanin" w:eastAsia="IRNazanin"/>
          <w:color w:val="111111"/>
          <w:sz w:val="28"/>
          <w:sz w:val="28"/>
          <w:szCs w:val="28"/>
          <w:rtl w:val="true"/>
          <w:lang w:bidi="fa-IR"/>
        </w:rPr>
        <w:t>الأقوی فی الأضلاع التی تحیط بالقلب من الجانب الأیسر؛ فی کلّ منها خمسة وعشرون دیناراً، وفی غیرها؛ فی کلّ واحد عشرة دنانیر، وفی المسألة احتمالات اُخر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کسر کلّ عظم من عضو له مقدّر خُمس دیة ذلک العضو، فإن جبر من غیر عیب فأربعة أخماس دیة کسره، وفی موضحته ربع دیة کسره، وفی رضّه ثلث دیة العضو إن لم یبرأ فإن برئ علی غیر عیب فأربعة أخماس دیة 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افتضّ بکراً بإصبعه فخرق مثانتها فلم تملک بولها، ففیه دیتها ومهر المثل</w:t>
      </w:r>
      <w:r>
        <w:rPr>
          <w:rFonts w:eastAsia="IRNazanin" w:cs="IRNazanin"/>
          <w:color w:val="111111"/>
          <w:sz w:val="28"/>
          <w:szCs w:val="28"/>
          <w:rtl w:val="true"/>
          <w:lang w:bidi="fa-IR"/>
        </w:rPr>
        <w:t>.</w:t>
      </w:r>
    </w:p>
    <w:p>
      <w:pPr>
        <w:pStyle w:val="Heading4"/>
        <w:numPr>
          <w:ilvl w:val="3"/>
          <w:numId w:val="1"/>
        </w:numPr>
        <w:rPr/>
      </w:pPr>
      <w:bookmarkStart w:id="885" w:name="__RefHeading___Toc1265744_653776707"/>
      <w:bookmarkStart w:id="886" w:name="_Toc343"/>
      <w:bookmarkEnd w:id="885"/>
      <w:r>
        <w:rPr>
          <w:rtl w:val="true"/>
        </w:rPr>
        <w:t>المقصد الثانی</w:t>
      </w:r>
      <w:r>
        <w:rPr>
          <w:rtl w:val="true"/>
        </w:rPr>
        <w:t xml:space="preserve">: </w:t>
      </w:r>
      <w:r>
        <w:rPr>
          <w:rtl w:val="true"/>
        </w:rPr>
        <w:t>فی الجنایة علی المنافع</w:t>
      </w:r>
      <w:bookmarkEnd w:id="886"/>
    </w:p>
    <w:p>
      <w:pPr>
        <w:pStyle w:val="BookText"/>
        <w:rPr/>
      </w:pPr>
      <w:r>
        <w:rPr>
          <w:rFonts w:ascii="IRNazanin" w:hAnsi="IRNazanin" w:eastAsia="IRNazanin"/>
          <w:color w:val="111111"/>
          <w:sz w:val="28"/>
          <w:sz w:val="28"/>
          <w:szCs w:val="28"/>
          <w:rtl w:val="true"/>
          <w:lang w:bidi="fa-IR"/>
        </w:rPr>
        <w:t>وهی فی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وفیه الدیة کاملة، وفی نقصانه الحکومة؛ سواء أکان بالضرب أم بالغذاء أم بغیر ذلک، ولو کان الذهاب أو النقصان بجنایة، لم تتداخل دیة الجنایتین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وفی ذهابه من الاُذنین الدیة کاملة، وفی سمع کلّ اُذن نصفها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 وفی ذهاب الإبصار من العینین الدیة کاملة، ومن إحداهما نصفها، ولو قلع الحدقة فدیة واحدة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 وفی ذهابه عن المنخرین الدیة کاملة، وعن المنخر الواحد یتصالحان</w:t>
      </w:r>
      <w:r>
        <w:rPr>
          <w:rFonts w:eastAsia="IRNazanin" w:cs="IRNazanin"/>
          <w:color w:val="111111"/>
          <w:sz w:val="28"/>
          <w:szCs w:val="28"/>
          <w:rtl w:val="true"/>
          <w:lang w:bidi="fa-IR"/>
        </w:rPr>
        <w:t>.</w:t>
      </w:r>
      <w:bookmarkStart w:id="887" w:name="pg6476_57058"/>
    </w:p>
    <w:p>
      <w:pPr>
        <w:pStyle w:val="BookText"/>
        <w:rPr/>
      </w:pPr>
      <w:bookmarkEnd w:id="887"/>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الذوق، والأقرب أنّ فی ذهابه الحکومة، ولو قطع لسانه فدیة اللسان والذوق تابع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ذهاب الصوت کلّه الدیة کاملة، وفی نصفه الحکومة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ذهاب المنافع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لم یقدّر لها 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الحکومة کالنوم واللمس والرعشة والعطش والغشوة وسائر الأمراض</w:t>
      </w:r>
      <w:r>
        <w:rPr>
          <w:rFonts w:eastAsia="IRNazanin" w:cs="IRNazanin"/>
          <w:color w:val="111111"/>
          <w:sz w:val="28"/>
          <w:szCs w:val="28"/>
          <w:rtl w:val="true"/>
          <w:lang w:bidi="fa-IR"/>
        </w:rPr>
        <w:t>.</w:t>
      </w:r>
    </w:p>
    <w:p>
      <w:pPr>
        <w:pStyle w:val="Heading4"/>
        <w:numPr>
          <w:ilvl w:val="3"/>
          <w:numId w:val="1"/>
        </w:numPr>
        <w:rPr/>
      </w:pPr>
      <w:bookmarkStart w:id="888" w:name="__RefHeading___Toc1265746_653776707"/>
      <w:bookmarkStart w:id="889" w:name="_Toc344"/>
      <w:bookmarkEnd w:id="888"/>
      <w:r>
        <w:rPr>
          <w:rtl w:val="true"/>
        </w:rPr>
        <w:t>المقصد الثالث</w:t>
      </w:r>
      <w:r>
        <w:rPr>
          <w:rtl w:val="true"/>
        </w:rPr>
        <w:t xml:space="preserve">: </w:t>
      </w:r>
      <w:r>
        <w:rPr>
          <w:rtl w:val="true"/>
        </w:rPr>
        <w:t>فی الشجاج والجراح</w:t>
      </w:r>
      <w:bookmarkEnd w:id="889"/>
    </w:p>
    <w:p>
      <w:pPr>
        <w:pStyle w:val="BookText"/>
        <w:rPr/>
      </w:pPr>
      <w:r>
        <w:rPr>
          <w:rFonts w:ascii="IRNazanin" w:hAnsi="IRNazanin" w:eastAsia="IRNazanin"/>
          <w:color w:val="111111"/>
          <w:sz w:val="28"/>
          <w:sz w:val="28"/>
          <w:szCs w:val="28"/>
          <w:rtl w:val="true"/>
          <w:lang w:bidi="fa-IR"/>
        </w:rPr>
        <w:t>الشجاج بالکسر، جمع الشجة بالفتح، وهی الجراح المختصّة بالرأس، وهی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الحارصة، وهی التی تقشّر الجلد من غیر إدماء، وفیها بعیر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الدامیة، وهی التی تدخل فی اللحم یسیراً ویخرج معه الدم، وفیها بعیران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المتلاحمة، وهی التی تدخل فی اللحم کثیراً لکن لم تصل إلی الجلدة المغشّیة للعظم، وفیها ثلاثة أبعرة، وتسمّی الباضعة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السمحاق، وهی التی تقطع اللحم وتبلغ الجلدة الرقیقة المغشّیة للعظم، وفیها أربعة أبعرة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الموضحة، وهی التی تکشف عن بیاض العظم، وفیها خمسة أبعرة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الهاشمة، وهی التی تکسر العظم، وفیها عشرة أبعرة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المنقّلة، وهی التی تحوج إلی نقل العظام من موضع إلی آخر، وفیها خمسة عشر بعیراً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المأمومة، وهی التی تبلغ الخریطة التی تجمع الدماغ، وفیها ثلث الدیة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التی تصل إلی الجوف من بطن أو صدر أو 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الثلث علی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نفذت نافذة فی شیء من أطراف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کیده ورجله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 مأئة دینار، وفی المرأة الحکومة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الجنایة بلطم ونحوه إذا اسودّ الوجه بها من غیر جرح، أرشها ستّة دنانیر، وإن اخضرّ ولم یسودّ فثلاثة دنانیر، وإن احمرّ فدینار ونصف، وفی البدن النصف ممّا ذکر، ولا فرق بین الذکر والاُنثی، ولا فی استیعاب اللون تمام الوجه أو بعضه، ولا فی بقاء الأثر وعدمه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عضو دیته مقدّرة؛ ففی شلله ثلثا دیته، کالیدین والرجلین، وفی قطعه بعد الشلل ثلث دیته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المشهور أنّ الجراح الواردة علی البدن بحکم شجاج الرأس فی النسبة، فیقاس دیة الحارصة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بعیر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دیة النفس، ویؤخذ بتلک النسبة نظیرها من جراحة البدن، ففی حارصة إحدی الیدین نصف بعیر أو خمسة دنانیر، هذا إذا کان للعضو دیة مقدّرة، وإلّا فاللازم الحکومة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المرأة تساوی الرجل فی دیات الأعضاء والجراحات حتّی تبلغ ثلث دیة الرجل، ثمّ تصیر علی النصف، ففی قطع إصبعها مأئة دینار، وفی الاثنتین مأئتان، وفی الثلاث ثلاثمائة، وفی الأربع مائتان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ویقتصّ من الرجل للمرأة وبالعکس فی الأعضاء والجراح من غیر ردّ حتّی تبلغ الثلث، ثمّ یقتصّ مع الردّ لو جنت هی علیه لا هو علیها، وکلّ شیء من أعضاء الرجل ومنافعه وجراحه یثبت فیه دیته، ففیه من المرأة دیتها</w:t>
      </w:r>
      <w:r>
        <w:rPr>
          <w:rFonts w:eastAsia="IRNazanin" w:cs="IRNazanin"/>
          <w:color w:val="111111"/>
          <w:sz w:val="28"/>
          <w:szCs w:val="28"/>
          <w:rtl w:val="true"/>
          <w:lang w:bidi="fa-IR"/>
        </w:rPr>
        <w:t>.</w:t>
      </w:r>
      <w:bookmarkStart w:id="890" w:name="pg6476_57060"/>
    </w:p>
    <w:p>
      <w:pPr>
        <w:pStyle w:val="BookText"/>
        <w:rPr/>
      </w:pPr>
      <w:bookmarkEnd w:id="8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ولیّ له فالحاکم ولیّه فی هذا الزمان، فلو قتل خطأً أو شبیه عمد فله استیفاء الدیة، وهل له العفو؟ وجهان، الأحوط عدمه</w:t>
      </w:r>
      <w:r>
        <w:rPr>
          <w:rFonts w:eastAsia="IRNazanin" w:cs="IRNazanin"/>
          <w:color w:val="111111"/>
          <w:sz w:val="28"/>
          <w:szCs w:val="28"/>
          <w:rtl w:val="true"/>
          <w:lang w:bidi="fa-IR"/>
        </w:rPr>
        <w:t>.</w:t>
      </w:r>
    </w:p>
    <w:p>
      <w:pPr>
        <w:pStyle w:val="Heading3"/>
        <w:numPr>
          <w:ilvl w:val="2"/>
          <w:numId w:val="1"/>
        </w:numPr>
        <w:rPr/>
      </w:pPr>
      <w:bookmarkStart w:id="891" w:name="__RefHeading___Toc1265748_653776707"/>
      <w:bookmarkStart w:id="892" w:name="_Toc345"/>
      <w:bookmarkEnd w:id="891"/>
      <w:r>
        <w:rPr>
          <w:rtl w:val="true"/>
        </w:rPr>
        <w:t>فی اللواحق</w:t>
      </w:r>
      <w:bookmarkEnd w:id="892"/>
    </w:p>
    <w:p>
      <w:pPr>
        <w:pStyle w:val="Heading4"/>
        <w:numPr>
          <w:ilvl w:val="3"/>
          <w:numId w:val="1"/>
        </w:numPr>
        <w:rPr/>
      </w:pPr>
      <w:bookmarkStart w:id="893" w:name="__RefHeading___Toc1265750_653776707"/>
      <w:bookmarkStart w:id="894" w:name="_Toc346"/>
      <w:bookmarkEnd w:id="893"/>
      <w:r>
        <w:rPr>
          <w:rtl w:val="true"/>
        </w:rPr>
        <w:t>وهی اُمور</w:t>
      </w:r>
      <w:r>
        <w:rPr>
          <w:rtl w:val="true"/>
        </w:rPr>
        <w:t>:</w:t>
      </w:r>
      <w:bookmarkEnd w:id="894"/>
    </w:p>
    <w:p>
      <w:pPr>
        <w:pStyle w:val="Heading5"/>
        <w:numPr>
          <w:ilvl w:val="4"/>
          <w:numId w:val="1"/>
        </w:numPr>
        <w:rPr/>
      </w:pPr>
      <w:bookmarkStart w:id="895" w:name="__RefHeading___Toc1265752_653776707"/>
      <w:bookmarkStart w:id="896" w:name="_Toc347"/>
      <w:bookmarkEnd w:id="895"/>
      <w:r>
        <w:rPr>
          <w:rtl w:val="true"/>
        </w:rPr>
        <w:t>الأوّل</w:t>
      </w:r>
      <w:r>
        <w:rPr>
          <w:rtl w:val="true"/>
        </w:rPr>
        <w:t xml:space="preserve">: </w:t>
      </w:r>
      <w:r>
        <w:rPr>
          <w:rtl w:val="true"/>
        </w:rPr>
        <w:t>فی الجنین</w:t>
      </w:r>
      <w:bookmarkEnd w:id="896"/>
    </w:p>
    <w:p>
      <w:pPr>
        <w:pStyle w:val="BookText"/>
        <w:rPr/>
      </w:pPr>
      <w:r>
        <w:rPr>
          <w:rFonts w:ascii="IRNazanin" w:hAnsi="IRNazanin" w:eastAsia="IRNazanin"/>
          <w:color w:val="111111"/>
          <w:sz w:val="28"/>
          <w:sz w:val="28"/>
          <w:szCs w:val="28"/>
          <w:rtl w:val="true"/>
          <w:lang w:bidi="fa-IR"/>
        </w:rPr>
        <w:t>الجنین من المسلم إذا ولج فیه الروح ففیه الدیة کاملة؛ ألف دینار فی الذکر، ونصفه فی الاُنثی، وإذا اکتسی اللحم وتمّت خلقته ففیه مائة دینار، ولو لم یکتس اللحم وهو عظم ففیه ثمانون دیناراً، وفی المضغة ستّون، وفی العلقة أربعون، وفی النطفة عشرون؛ من غیر فرق فی جمیعها بین الذکر والاُنثی، ولا کفّارة علی الجانی فی الجنین قبل ولوج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قُتلت المرأة فتلف ما فی جوفها، فلها دیة کاملة، ولما فی جوفها ما ذکر من الدیات، ولو ألقت المرأة حملها فعلیها دیة ما ألقته، ولا نصیب لها من هذه الدیة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دیة الجنین إن کان عمداً أو شبهه من مال الجانی أباً واُمّاً أو غیرهما، وإن کان خطأً فعلی العاقلة إذا ولج فیه الروح، بل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الأقرب</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قطع رأس المیّت المسلم مائة دینار، وفی قطع جوارحه بحساب دیته، ففی قطع یده خمسون دیناراً، وفی یدیه مأئة، وفی إصبعه عشرة، وکذا الحال فی شجاجه وجراحه، وهذه الدیة لیست لورثته، بل للمیّت تصرف فی وجوه الخیر</w:t>
      </w:r>
      <w:r>
        <w:rPr>
          <w:rFonts w:eastAsia="IRNazanin" w:cs="IRNazanin"/>
          <w:color w:val="111111"/>
          <w:sz w:val="28"/>
          <w:szCs w:val="28"/>
          <w:rtl w:val="true"/>
          <w:lang w:bidi="fa-IR"/>
        </w:rPr>
        <w:t>.</w:t>
      </w:r>
      <w:bookmarkStart w:id="897" w:name="pg6476_57061"/>
    </w:p>
    <w:p>
      <w:pPr>
        <w:pStyle w:val="Heading5"/>
        <w:numPr>
          <w:ilvl w:val="4"/>
          <w:numId w:val="1"/>
        </w:numPr>
        <w:rPr/>
      </w:pPr>
      <w:bookmarkStart w:id="898" w:name="__RefHeading___Toc1265754_653776707"/>
      <w:bookmarkStart w:id="899" w:name="_Toc348"/>
      <w:bookmarkEnd w:id="897"/>
      <w:bookmarkEnd w:id="898"/>
      <w:r>
        <w:rPr>
          <w:rtl w:val="true"/>
        </w:rPr>
        <w:t>الثانی</w:t>
      </w:r>
      <w:r>
        <w:rPr>
          <w:rtl w:val="true"/>
        </w:rPr>
        <w:t xml:space="preserve">: </w:t>
      </w:r>
      <w:r>
        <w:rPr>
          <w:rtl w:val="true"/>
        </w:rPr>
        <w:t>فی العاقلة</w:t>
      </w:r>
      <w:bookmarkEnd w:id="899"/>
    </w:p>
    <w:p>
      <w:pPr>
        <w:pStyle w:val="BookText"/>
        <w:rPr/>
      </w:pPr>
      <w:r>
        <w:rPr>
          <w:rFonts w:ascii="IRNazanin" w:hAnsi="IRNazanin" w:eastAsia="IRNazanin"/>
          <w:color w:val="111111"/>
          <w:sz w:val="28"/>
          <w:sz w:val="28"/>
          <w:szCs w:val="28"/>
          <w:rtl w:val="true"/>
          <w:lang w:bidi="fa-IR"/>
        </w:rPr>
        <w:t>والکلام فیها فی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المحلّ، وهو العصبة، ثمّ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وضابط العصبة من تقرّب بالأبوین أو الأب، کالإخوة وأولادهم والعمومة وأولادهم، بل الأقوی دخول الآباء والأبناء فیهم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تضمن العاقلة دیة الخطأ المحض فی النفس أو الطرف أو سائر الجنایات، وتوزّع إلی ثلاث سنین؛ فی کلّ سنة ثلثها عند انسلاخها، ولا تعقل العاقلة العمد وشبهه ولا ما نقص عن الموضحة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 العقل ثبوت السبب لا بالإقرار، وعمد الصبیّ والمجنون بحکم الخطأ، فالدیة علی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کیفیّة تقسیطها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یقسّطها الإمام علیه السلام علی طبق المصلحة بحیث لا یجحف علی أحد منهم، ولو لم یکن له عاقلة، أو کانت ولم یمکن الأخذ منهم فعلی الإمام علیه السلام من بیت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دیة العمد وشبهه لو هرب الجانی، یؤخذ من الأقرب إلیه فالأقرب، وإن لم یمکن أدّاها الإمام علیه السلام ولا یبطل دم امرئ مسلم</w:t>
      </w:r>
      <w:r>
        <w:rPr>
          <w:rFonts w:eastAsia="IRNazanin" w:cs="IRNazanin"/>
          <w:color w:val="111111"/>
          <w:sz w:val="28"/>
          <w:szCs w:val="28"/>
          <w:rtl w:val="true"/>
          <w:lang w:bidi="fa-IR"/>
        </w:rPr>
        <w:t>.</w:t>
      </w:r>
    </w:p>
    <w:p>
      <w:pPr>
        <w:pStyle w:val="Heading5"/>
        <w:numPr>
          <w:ilvl w:val="4"/>
          <w:numId w:val="1"/>
        </w:numPr>
        <w:rPr/>
      </w:pPr>
      <w:bookmarkStart w:id="900" w:name="__RefHeading___Toc1265756_653776707"/>
      <w:bookmarkStart w:id="901" w:name="_Toc349"/>
      <w:bookmarkEnd w:id="900"/>
      <w:r>
        <w:rPr>
          <w:rtl w:val="true"/>
        </w:rPr>
        <w:t>الثالث</w:t>
      </w:r>
      <w:r>
        <w:rPr>
          <w:rtl w:val="true"/>
        </w:rPr>
        <w:t xml:space="preserve">: </w:t>
      </w:r>
      <w:r>
        <w:rPr>
          <w:rtl w:val="true"/>
        </w:rPr>
        <w:t>فی الجنایة علی الحیوان ونحو ذلک</w:t>
      </w:r>
      <w:bookmarkEnd w:id="901"/>
    </w:p>
    <w:p>
      <w:pPr>
        <w:pStyle w:val="BookText"/>
        <w:rPr/>
      </w:pPr>
      <w:r>
        <w:rPr>
          <w:rFonts w:ascii="IRNazanin" w:hAnsi="IRNazanin" w:eastAsia="IRNazanin"/>
          <w:color w:val="111111"/>
          <w:sz w:val="28"/>
          <w:sz w:val="28"/>
          <w:szCs w:val="28"/>
          <w:rtl w:val="true"/>
          <w:lang w:bidi="fa-IR"/>
        </w:rPr>
        <w:t>وهی باعتبار المجنیّ علیه ثلاثة أقسام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یؤکل فی العادة کالأنعام الثلاثة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ذبح حیوان الغیر لزمه تفاوت ما بین المذکّی والحیّ، ولو لم یکن تفاوت فلا شیء علیه وإن کان آثماً، ولو أتلفه من غیر تذکیة لزمه قیمته یوم الإتلاف، ویوضع منها قیمة الصوف والوبر</w:t>
      </w:r>
    </w:p>
    <w:p>
      <w:pPr>
        <w:pStyle w:val="BookText"/>
        <w:rPr/>
      </w:pPr>
      <w:r>
        <w:rPr>
          <w:rFonts w:ascii="IRNazanin" w:hAnsi="IRNazanin" w:eastAsia="IRNazanin"/>
          <w:color w:val="111111"/>
          <w:sz w:val="28"/>
          <w:sz w:val="28"/>
          <w:szCs w:val="28"/>
          <w:rtl w:val="true"/>
          <w:lang w:bidi="fa-IR"/>
        </w:rPr>
        <w:t>وغیرهما ممّا ینتفع به من المیتة، ولو قطع أو کسر شیئاً من أعضائه فللمالک الأرش، ولو ألقی جنین البهیمة فعلیه أکثر الأمرین؛ من الأرش وعشر ثمن البهیمة یوم اُلقت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یؤکل لحمه ولو بحسب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ذکّاه ضمن الأرش، وکذا لو قطع جوارحه أو کسر عظامه، وإن أتلفه ضمن قیمته یوم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یقع علیه التذکیة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کلب الصید أربعون درهماً، وفی کلب الغنم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وکلب الحائط علی 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وفی کلب الزرع قفیز من برّ علی المشهور، وهذه دیات مقدّرة شرعاً لا أنّها قیم فی زمان التقدیر، فلا یتجاوز عنها ولو کانت قیمتها أکثر أو أقلّ، ولا یملک المسلم غیر ذلک من الکلاب، فلا ضمان بإتلافه، ولا ضمان فی إتلاف الخمر والخنزیر، إلّافی ظروفها، ولا فی آلات اللهو والقمار بالنسبة إلی هیئتها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جنت الماشیة علی الزرع فی اللیل ضمن صاحبها، وفی النهار لم یضمن فیما إذا جرت العادة بحفظها فی اللیل، وحفظ الزرع فی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p>
    <w:p>
      <w:pPr>
        <w:pStyle w:val="BookText"/>
        <w:rPr/>
      </w:pPr>
      <w:r>
        <w:rPr>
          <w:rFonts w:ascii="IRNazanin" w:hAnsi="IRNazanin" w:eastAsia="IRNazanin"/>
          <w:color w:val="111111"/>
          <w:sz w:val="28"/>
          <w:sz w:val="28"/>
          <w:szCs w:val="28"/>
          <w:rtl w:val="true"/>
          <w:lang w:bidi="fa-IR"/>
        </w:rPr>
        <w:t>تجب کفّارة الجمع فی قتل المؤمن عمداً وظلماً، وهی عتق رقبة وصیام شهرین متتابعین وإطعام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وتجب الکفّارة المرتّبة فی الخطأ وشبه العمد، وهی العتق، فإن عجز فالصیام، وإلّا فالإطعام، وهی تثبت فی القتل المباشری دون التسبیبی، وفی قتل المسلم؛ ذکراً أو اُنثی حتّی الجنین الحیّ دون غیر المسلم، ولو اشترکوا فی القتل فعلی کلّ واحد کفّارة، ولو أمره شخص فقتل فالکفّارة للقاتل</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للّه‌أوّلاً وآخراً وظاهراً وباطناً</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السجود، ألباب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أبواب ما یکتسب به، ألباب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image" Target="media/image2.jpeg"/><Relationship Id="rId339" Type="http://schemas.openxmlformats.org/officeDocument/2006/relationships/image" Target="media/image2.jpeg"/><Relationship Id="rId340" Type="http://schemas.openxmlformats.org/officeDocument/2006/relationships/footer" Target="footer333.xml"/><Relationship Id="rId341" Type="http://schemas.openxmlformats.org/officeDocument/2006/relationships/footnotes" Target="footnotes.xml"/><Relationship Id="rId342" Type="http://schemas.openxmlformats.org/officeDocument/2006/relationships/numbering" Target="numbering.xml"/><Relationship Id="rId343" Type="http://schemas.openxmlformats.org/officeDocument/2006/relationships/fontTable" Target="fontTable.xml"/><Relationship Id="rId344" Type="http://schemas.openxmlformats.org/officeDocument/2006/relationships/settings" Target="settings.xml"/><Relationship Id="rId3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343</Pages>
  <Words>66965</Words>
  <Characters>292846</Characters>
  <CharactersWithSpaces>357249</CharactersWithSpaces>
  <Paragraphs>2565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2026-08-19T23:33:39Z</dcterms:created>
  <dc:creator>ghaemiyeh.com</dc:creator>
  <dc:description/>
  <dc:language>en-US</dc:language>
  <cp:lastModifiedBy/>
  <dcterms:modified xsi:type="dcterms:W3CDTF">2026-08-20T03:03:47Z</dcterms:modified>
  <cp:revision>1</cp:revision>
  <dc:subject/>
  <dc:title>تحریر تحریرالوسیلة للامام الخمینی</dc:title>
</cp:coreProperties>
</file>

<file path=docProps/custom.xml><?xml version="1.0" encoding="utf-8"?>
<Properties xmlns="http://schemas.openxmlformats.org/officeDocument/2006/custom-properties" xmlns:vt="http://schemas.openxmlformats.org/officeDocument/2006/docPropsVTypes"/>
</file>