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تخصصی معرفت شناسی و حوزه های مرتبط شماره </w:t>
      </w:r>
      <w:r>
        <w:rPr/>
        <w:t>43</w:t>
      </w:r>
      <w:r>
        <w:rPr>
          <w:rtl w:val="true"/>
        </w:rPr>
        <w:t xml:space="preserve"> - </w:t>
      </w:r>
      <w:r>
        <w:rPr>
          <w:rtl w:val="true"/>
        </w:rPr>
        <w:t xml:space="preserve">سال یازدهم </w:t>
      </w:r>
      <w:r>
        <w:rPr>
          <w:rtl w:val="true"/>
        </w:rPr>
        <w:t xml:space="preserve">- </w:t>
      </w:r>
      <w:r>
        <w:rPr>
          <w:rtl w:val="true"/>
        </w:rPr>
        <w:t xml:space="preserve">پاییز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330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62331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623313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623315_581953129">
            <w:r>
              <w:rPr>
                <w:webHidden/>
                <w:rStyle w:val="IndexLink"/>
                <w:rtl w:val="true"/>
              </w:rPr>
              <w:t xml:space="preserve">درآمدی تأسیسی بر فلسفه‌ی اصول فقه </w:t>
            </w:r>
            <w:r>
              <w:rPr>
                <w:rStyle w:val="IndexLink"/>
                <w:rtl w:val="true"/>
              </w:rPr>
              <w:t xml:space="preserve">/ </w:t>
            </w:r>
            <w:r>
              <w:rPr>
                <w:rStyle w:val="IndexLink"/>
                <w:rtl w:val="true"/>
              </w:rPr>
              <w:t>علی‌اکبر رشاد</w:t>
            </w:r>
            <w:r>
              <w:rPr>
                <w:rStyle w:val="IndexLink"/>
                <w:rtl w:val="true"/>
              </w:rPr>
              <w:tab/>
            </w:r>
            <w:r>
              <w:rPr>
                <w:rStyle w:val="IndexLink"/>
              </w:rPr>
              <w:t>12</w:t>
            </w:r>
          </w:hyperlink>
        </w:p>
        <w:p>
          <w:pPr>
            <w:pStyle w:val="Contents3"/>
            <w:tabs>
              <w:tab w:val="clear" w:pos="8459"/>
              <w:tab w:val="right" w:pos="9026" w:leader="dot"/>
            </w:tabs>
            <w:rPr/>
          </w:pPr>
          <w:hyperlink w:anchor="__RefHeading___Toc4623317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623319_581953129">
            <w:r>
              <w:rPr>
                <w:webHidden/>
                <w:rStyle w:val="IndexLink"/>
                <w:rtl w:val="true"/>
              </w:rPr>
              <w:t>چکیده</w:t>
            </w:r>
            <w:r>
              <w:rPr>
                <w:rStyle w:val="IndexLink"/>
                <w:rtl w:val="true"/>
              </w:rPr>
              <w:tab/>
            </w:r>
            <w:r>
              <w:rPr>
                <w:rStyle w:val="IndexLink"/>
              </w:rPr>
              <w:t>12</w:t>
            </w:r>
          </w:hyperlink>
        </w:p>
        <w:p>
          <w:pPr>
            <w:pStyle w:val="Contents3"/>
            <w:tabs>
              <w:tab w:val="clear" w:pos="8459"/>
              <w:tab w:val="right" w:pos="9026" w:leader="dot"/>
            </w:tabs>
            <w:rPr/>
          </w:pPr>
          <w:hyperlink w:anchor="__RefHeading___Toc4623321_581953129">
            <w:r>
              <w:rPr>
                <w:webHidden/>
                <w:rStyle w:val="IndexLink"/>
                <w:rtl w:val="true"/>
              </w:rPr>
              <w:t>مقدمه</w:t>
            </w:r>
            <w:r>
              <w:rPr>
                <w:rStyle w:val="IndexLink"/>
                <w:rtl w:val="true"/>
              </w:rPr>
              <w:t xml:space="preserve">) </w:t>
            </w:r>
            <w:r>
              <w:rPr>
                <w:rStyle w:val="IndexLink"/>
                <w:rtl w:val="true"/>
              </w:rPr>
              <w:t>سنت مدخل‌نگاری</w:t>
            </w:r>
            <w:r>
              <w:rPr>
                <w:rStyle w:val="IndexLink"/>
                <w:rtl w:val="true"/>
              </w:rPr>
              <w:tab/>
            </w:r>
            <w:r>
              <w:rPr>
                <w:rStyle w:val="IndexLink"/>
              </w:rPr>
              <w:t>13</w:t>
            </w:r>
          </w:hyperlink>
        </w:p>
        <w:p>
          <w:pPr>
            <w:pStyle w:val="Contents4"/>
            <w:tabs>
              <w:tab w:val="clear" w:pos="8176"/>
              <w:tab w:val="right" w:pos="9026" w:leader="dot"/>
            </w:tabs>
            <w:rPr/>
          </w:pPr>
          <w:hyperlink w:anchor="__RefHeading___Toc4623323_58195312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4623325_581953129">
            <w:r>
              <w:rPr>
                <w:webHidden/>
                <w:rStyle w:val="IndexLink"/>
                <w:rtl w:val="true"/>
              </w:rPr>
              <w:t xml:space="preserve">سیر تاریخی </w:t>
            </w:r>
            <w:r>
              <w:rPr>
                <w:rStyle w:val="IndexLink"/>
                <w:rtl w:val="true"/>
              </w:rPr>
              <w:t xml:space="preserve">- </w:t>
            </w:r>
            <w:r>
              <w:rPr>
                <w:rStyle w:val="IndexLink"/>
                <w:rtl w:val="true"/>
              </w:rPr>
              <w:t>معرفتی تکون و تطور مبادی‌پژوهی در آثار اصحاب اصول</w:t>
            </w:r>
            <w:r>
              <w:rPr>
                <w:rStyle w:val="IndexLink"/>
                <w:rtl w:val="true"/>
              </w:rPr>
              <w:tab/>
            </w:r>
            <w:r>
              <w:rPr>
                <w:rStyle w:val="IndexLink"/>
              </w:rPr>
              <w:t>14</w:t>
            </w:r>
          </w:hyperlink>
        </w:p>
        <w:p>
          <w:pPr>
            <w:pStyle w:val="Contents4"/>
            <w:tabs>
              <w:tab w:val="clear" w:pos="8176"/>
              <w:tab w:val="right" w:pos="9026" w:leader="dot"/>
            </w:tabs>
            <w:rPr/>
          </w:pPr>
          <w:hyperlink w:anchor="__RefHeading___Toc4623327_581953129">
            <w:r>
              <w:rPr>
                <w:webHidden/>
                <w:rStyle w:val="IndexLink"/>
                <w:rtl w:val="true"/>
              </w:rPr>
              <w:t>ابتکار تفکیک مبادی اصول از مسائل آن</w:t>
            </w:r>
            <w:r>
              <w:rPr>
                <w:rStyle w:val="IndexLink"/>
                <w:rtl w:val="true"/>
              </w:rPr>
              <w:tab/>
            </w:r>
            <w:r>
              <w:rPr>
                <w:rStyle w:val="IndexLink"/>
              </w:rPr>
              <w:t>17</w:t>
            </w:r>
          </w:hyperlink>
        </w:p>
        <w:p>
          <w:pPr>
            <w:pStyle w:val="Contents4"/>
            <w:tabs>
              <w:tab w:val="clear" w:pos="8176"/>
              <w:tab w:val="right" w:pos="9026" w:leader="dot"/>
            </w:tabs>
            <w:rPr/>
          </w:pPr>
          <w:hyperlink w:anchor="__RefHeading___Toc4623329_581953129">
            <w:r>
              <w:rPr>
                <w:webHidden/>
                <w:rStyle w:val="IndexLink"/>
                <w:rtl w:val="true"/>
              </w:rPr>
              <w:t>درباره‌ی فلسفه‌ها‌ی مضاف</w:t>
            </w:r>
            <w:r>
              <w:rPr>
                <w:rStyle w:val="IndexLink"/>
                <w:rtl w:val="true"/>
              </w:rPr>
              <w:tab/>
            </w:r>
            <w:r>
              <w:rPr>
                <w:rStyle w:val="IndexLink"/>
              </w:rPr>
              <w:t>19</w:t>
            </w:r>
          </w:hyperlink>
        </w:p>
        <w:p>
          <w:pPr>
            <w:pStyle w:val="Contents4"/>
            <w:tabs>
              <w:tab w:val="clear" w:pos="8176"/>
              <w:tab w:val="right" w:pos="9026" w:leader="dot"/>
            </w:tabs>
            <w:rPr/>
          </w:pPr>
          <w:hyperlink w:anchor="__RefHeading___Toc4623331_581953129">
            <w:r>
              <w:rPr>
                <w:webHidden/>
                <w:rStyle w:val="IndexLink"/>
                <w:rtl w:val="true"/>
              </w:rPr>
              <w:t>ماهیت و هویت فلسفه‌ی اصول</w:t>
            </w:r>
            <w:r>
              <w:rPr>
                <w:rStyle w:val="IndexLink"/>
                <w:rtl w:val="true"/>
              </w:rPr>
              <w:tab/>
            </w:r>
            <w:r>
              <w:rPr>
                <w:rStyle w:val="IndexLink"/>
              </w:rPr>
              <w:t>20</w:t>
            </w:r>
          </w:hyperlink>
        </w:p>
        <w:p>
          <w:pPr>
            <w:pStyle w:val="Contents4"/>
            <w:tabs>
              <w:tab w:val="clear" w:pos="8176"/>
              <w:tab w:val="right" w:pos="9026" w:leader="dot"/>
            </w:tabs>
            <w:rPr/>
          </w:pPr>
          <w:hyperlink w:anchor="__RefHeading___Toc4623333_581953129">
            <w:r>
              <w:rPr>
                <w:webHidden/>
                <w:rStyle w:val="IndexLink"/>
                <w:rtl w:val="true"/>
              </w:rPr>
              <w:t>انواع مسائل فلسفه‌ی اصول</w:t>
            </w:r>
            <w:r>
              <w:rPr>
                <w:rStyle w:val="IndexLink"/>
                <w:rtl w:val="true"/>
              </w:rPr>
              <w:tab/>
            </w:r>
            <w:r>
              <w:rPr>
                <w:rStyle w:val="IndexLink"/>
              </w:rPr>
              <w:t>21</w:t>
            </w:r>
          </w:hyperlink>
        </w:p>
        <w:p>
          <w:pPr>
            <w:pStyle w:val="Contents4"/>
            <w:tabs>
              <w:tab w:val="clear" w:pos="8176"/>
              <w:tab w:val="right" w:pos="9026" w:leader="dot"/>
            </w:tabs>
            <w:rPr/>
          </w:pPr>
          <w:hyperlink w:anchor="__RefHeading___Toc4623335_581953129">
            <w:r>
              <w:rPr>
                <w:webHidden/>
                <w:rStyle w:val="IndexLink"/>
                <w:rtl w:val="true"/>
              </w:rPr>
              <w:t>بایستگی‌های تأسیس فلسفه‌های مضاف</w:t>
            </w:r>
            <w:r>
              <w:rPr>
                <w:rStyle w:val="IndexLink"/>
                <w:rtl w:val="true"/>
              </w:rPr>
              <w:tab/>
            </w:r>
            <w:r>
              <w:rPr>
                <w:rStyle w:val="IndexLink"/>
              </w:rPr>
              <w:t>23</w:t>
            </w:r>
          </w:hyperlink>
        </w:p>
        <w:p>
          <w:pPr>
            <w:pStyle w:val="Contents3"/>
            <w:tabs>
              <w:tab w:val="clear" w:pos="8459"/>
              <w:tab w:val="right" w:pos="9026" w:leader="dot"/>
            </w:tabs>
            <w:rPr/>
          </w:pPr>
          <w:hyperlink w:anchor="__RefHeading___Toc4623337_581953129">
            <w:r>
              <w:rPr>
                <w:webHidden/>
                <w:rStyle w:val="IndexLink"/>
                <w:rtl w:val="true"/>
              </w:rPr>
              <w:t>تذکار</w:t>
            </w:r>
            <w:r>
              <w:rPr>
                <w:rStyle w:val="IndexLink"/>
                <w:rtl w:val="true"/>
              </w:rPr>
              <w:t xml:space="preserve">) </w:t>
            </w:r>
            <w:r>
              <w:rPr>
                <w:rStyle w:val="IndexLink"/>
                <w:rtl w:val="true"/>
              </w:rPr>
              <w:t>عذر قصور سلف</w:t>
            </w:r>
            <w:r>
              <w:rPr>
                <w:rStyle w:val="IndexLink"/>
                <w:rtl w:val="true"/>
              </w:rPr>
              <w:tab/>
            </w:r>
            <w:r>
              <w:rPr>
                <w:rStyle w:val="IndexLink"/>
              </w:rPr>
              <w:t>28</w:t>
            </w:r>
          </w:hyperlink>
        </w:p>
        <w:p>
          <w:pPr>
            <w:pStyle w:val="Contents4"/>
            <w:tabs>
              <w:tab w:val="clear" w:pos="8176"/>
              <w:tab w:val="right" w:pos="9026" w:leader="dot"/>
            </w:tabs>
            <w:rPr/>
          </w:pPr>
          <w:hyperlink w:anchor="__RefHeading___Toc4623339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4623341_581953129">
            <w:r>
              <w:rPr>
                <w:webHidden/>
                <w:rStyle w:val="IndexLink"/>
                <w:rtl w:val="true"/>
              </w:rPr>
              <w:t>ساختار محورهای مهم طرح‌واره‌ی فلسفه‌ی اصول فقه</w:t>
            </w:r>
            <w:r>
              <w:rPr>
                <w:rStyle w:val="IndexLink"/>
                <w:rtl w:val="true"/>
              </w:rPr>
              <w:tab/>
            </w:r>
            <w:r>
              <w:rPr>
                <w:rStyle w:val="IndexLink"/>
              </w:rPr>
              <w:t>31</w:t>
            </w:r>
          </w:hyperlink>
        </w:p>
        <w:p>
          <w:pPr>
            <w:pStyle w:val="Contents5"/>
            <w:tabs>
              <w:tab w:val="clear" w:pos="7892"/>
              <w:tab w:val="right" w:pos="9026" w:leader="dot"/>
            </w:tabs>
            <w:rPr/>
          </w:pPr>
          <w:hyperlink w:anchor="__RefHeading___Toc4623343_581953129">
            <w:r>
              <w:rPr>
                <w:webHidden/>
                <w:rStyle w:val="IndexLink"/>
                <w:rtl w:val="true"/>
              </w:rPr>
              <w:t>درآمد</w:t>
            </w:r>
            <w:r>
              <w:rPr>
                <w:rStyle w:val="IndexLink"/>
                <w:rtl w:val="true"/>
              </w:rPr>
              <w:tab/>
            </w:r>
            <w:r>
              <w:rPr>
                <w:rStyle w:val="IndexLink"/>
              </w:rPr>
              <w:t>31</w:t>
            </w:r>
          </w:hyperlink>
        </w:p>
        <w:p>
          <w:pPr>
            <w:pStyle w:val="Contents4"/>
            <w:tabs>
              <w:tab w:val="clear" w:pos="8176"/>
              <w:tab w:val="right" w:pos="9026" w:leader="dot"/>
            </w:tabs>
            <w:rPr/>
          </w:pPr>
          <w:hyperlink w:anchor="__RefHeading___Toc4623345_581953129">
            <w:r>
              <w:rPr>
                <w:webHidden/>
                <w:rStyle w:val="IndexLink"/>
                <w:rtl w:val="true"/>
              </w:rPr>
              <w:t>اینک ساختار محورهای طرح‌واره</w:t>
            </w:r>
            <w:r>
              <w:rPr>
                <w:rStyle w:val="IndexLink"/>
                <w:rtl w:val="true"/>
              </w:rPr>
              <w:tab/>
            </w:r>
            <w:r>
              <w:rPr>
                <w:rStyle w:val="IndexLink"/>
              </w:rPr>
              <w:t>34</w:t>
            </w:r>
          </w:hyperlink>
        </w:p>
        <w:p>
          <w:pPr>
            <w:pStyle w:val="Contents5"/>
            <w:tabs>
              <w:tab w:val="clear" w:pos="7892"/>
              <w:tab w:val="right" w:pos="9026" w:leader="dot"/>
            </w:tabs>
            <w:rPr/>
          </w:pPr>
          <w:hyperlink w:anchor="__RefHeading___Toc4623347_581953129">
            <w:r>
              <w:rPr>
                <w:webHidden/>
                <w:rStyle w:val="IndexLink"/>
                <w:rtl w:val="true"/>
              </w:rPr>
              <w:t>فصل یکم</w:t>
            </w:r>
            <w:r>
              <w:rPr>
                <w:rStyle w:val="IndexLink"/>
                <w:rtl w:val="true"/>
              </w:rPr>
              <w:t xml:space="preserve">) </w:t>
            </w:r>
            <w:r>
              <w:rPr>
                <w:rStyle w:val="IndexLink"/>
                <w:rtl w:val="true"/>
              </w:rPr>
              <w:t>مبادی‌پژوهی</w:t>
            </w:r>
            <w:r>
              <w:rPr>
                <w:rStyle w:val="IndexLink"/>
                <w:rtl w:val="true"/>
              </w:rPr>
              <w:tab/>
            </w:r>
            <w:r>
              <w:rPr>
                <w:rStyle w:val="IndexLink"/>
              </w:rPr>
              <w:t>34</w:t>
            </w:r>
          </w:hyperlink>
        </w:p>
        <w:p>
          <w:pPr>
            <w:pStyle w:val="Contents5"/>
            <w:tabs>
              <w:tab w:val="clear" w:pos="7892"/>
              <w:tab w:val="right" w:pos="9026" w:leader="dot"/>
            </w:tabs>
            <w:rPr/>
          </w:pPr>
          <w:hyperlink w:anchor="__RefHeading___Toc4623349_581953129">
            <w:r>
              <w:rPr>
                <w:webHidden/>
                <w:rStyle w:val="IndexLink"/>
                <w:rtl w:val="true"/>
              </w:rPr>
              <w:t>فصل دوم</w:t>
            </w:r>
            <w:r>
              <w:rPr>
                <w:rStyle w:val="IndexLink"/>
                <w:rtl w:val="true"/>
              </w:rPr>
              <w:t xml:space="preserve">) </w:t>
            </w:r>
            <w:r>
              <w:rPr>
                <w:rStyle w:val="IndexLink"/>
                <w:rtl w:val="true"/>
              </w:rPr>
              <w:t>درباره‌ی فلسفه‌ی علم اصول</w:t>
            </w:r>
            <w:r>
              <w:rPr>
                <w:rStyle w:val="IndexLink"/>
                <w:rtl w:val="true"/>
              </w:rPr>
              <w:tab/>
            </w:r>
            <w:r>
              <w:rPr>
                <w:rStyle w:val="IndexLink"/>
              </w:rPr>
              <w:t>34</w:t>
            </w:r>
          </w:hyperlink>
        </w:p>
        <w:p>
          <w:pPr>
            <w:pStyle w:val="Contents4"/>
            <w:tabs>
              <w:tab w:val="clear" w:pos="8176"/>
              <w:tab w:val="right" w:pos="9026" w:leader="dot"/>
            </w:tabs>
            <w:rPr/>
          </w:pPr>
          <w:hyperlink w:anchor="__RefHeading___Toc4623351_581953129">
            <w:r>
              <w:rPr>
                <w:webHidden/>
                <w:rStyle w:val="IndexLink"/>
                <w:rtl w:val="true"/>
              </w:rPr>
              <w:t>ساختار فصول و فروع فلسفه‌ی اصول</w:t>
            </w:r>
            <w:r>
              <w:rPr>
                <w:rStyle w:val="IndexLink"/>
                <w:rtl w:val="true"/>
              </w:rPr>
              <w:tab/>
            </w:r>
            <w:r>
              <w:rPr>
                <w:rStyle w:val="IndexLink"/>
              </w:rPr>
              <w:t>36</w:t>
            </w:r>
          </w:hyperlink>
        </w:p>
        <w:p>
          <w:pPr>
            <w:pStyle w:val="Contents5"/>
            <w:tabs>
              <w:tab w:val="clear" w:pos="7892"/>
              <w:tab w:val="right" w:pos="9026" w:leader="dot"/>
            </w:tabs>
            <w:rPr/>
          </w:pPr>
          <w:hyperlink w:anchor="__RefHeading___Toc4623353_581953129">
            <w:r>
              <w:rPr>
                <w:webHidden/>
                <w:rStyle w:val="IndexLink"/>
                <w:rtl w:val="true"/>
              </w:rPr>
              <w:t>فصل یکم</w:t>
            </w:r>
            <w:r>
              <w:rPr>
                <w:rStyle w:val="IndexLink"/>
                <w:rtl w:val="true"/>
              </w:rPr>
              <w:t xml:space="preserve">) </w:t>
            </w:r>
            <w:r>
              <w:rPr>
                <w:rStyle w:val="IndexLink"/>
                <w:rtl w:val="true"/>
              </w:rPr>
              <w:t>تعریف علم اصول</w:t>
            </w:r>
            <w:r>
              <w:rPr>
                <w:rStyle w:val="IndexLink"/>
                <w:rtl w:val="true"/>
              </w:rPr>
              <w:tab/>
            </w:r>
            <w:r>
              <w:rPr>
                <w:rStyle w:val="IndexLink"/>
              </w:rPr>
              <w:t>36</w:t>
            </w:r>
          </w:hyperlink>
        </w:p>
        <w:p>
          <w:pPr>
            <w:pStyle w:val="Contents6"/>
            <w:tabs>
              <w:tab w:val="clear" w:pos="7609"/>
              <w:tab w:val="right" w:pos="9026" w:leader="dot"/>
            </w:tabs>
            <w:rPr/>
          </w:pPr>
          <w:hyperlink w:anchor="__RefHeading___Toc4623355_581953129">
            <w:r>
              <w:rPr>
                <w:webHidden/>
                <w:rStyle w:val="IndexLink"/>
                <w:rtl w:val="true"/>
              </w:rPr>
              <w:t>درآمد</w:t>
            </w:r>
            <w:r>
              <w:rPr>
                <w:rStyle w:val="IndexLink"/>
                <w:rtl w:val="true"/>
              </w:rPr>
              <w:tab/>
            </w:r>
            <w:r>
              <w:rPr>
                <w:rStyle w:val="IndexLink"/>
              </w:rPr>
              <w:t>36</w:t>
            </w:r>
          </w:hyperlink>
        </w:p>
        <w:p>
          <w:pPr>
            <w:pStyle w:val="Contents5"/>
            <w:tabs>
              <w:tab w:val="clear" w:pos="7892"/>
              <w:tab w:val="right" w:pos="9026" w:leader="dot"/>
            </w:tabs>
            <w:rPr/>
          </w:pPr>
          <w:hyperlink w:anchor="__RefHeading___Toc4623357_581953129">
            <w:r>
              <w:rPr>
                <w:webHidden/>
                <w:rStyle w:val="IndexLink"/>
                <w:rtl w:val="true"/>
              </w:rPr>
              <w:t>فصل دوم</w:t>
            </w:r>
            <w:r>
              <w:rPr>
                <w:rStyle w:val="IndexLink"/>
                <w:rtl w:val="true"/>
              </w:rPr>
              <w:t xml:space="preserve">) </w:t>
            </w:r>
            <w:r>
              <w:rPr>
                <w:rStyle w:val="IndexLink"/>
                <w:rtl w:val="true"/>
              </w:rPr>
              <w:t>موضوع علم اصول</w:t>
            </w:r>
            <w:r>
              <w:rPr>
                <w:rStyle w:val="IndexLink"/>
                <w:rtl w:val="true"/>
              </w:rPr>
              <w:tab/>
            </w:r>
            <w:r>
              <w:rPr>
                <w:rStyle w:val="IndexLink"/>
              </w:rPr>
              <w:t>38</w:t>
            </w:r>
          </w:hyperlink>
        </w:p>
        <w:p>
          <w:pPr>
            <w:pStyle w:val="Contents5"/>
            <w:tabs>
              <w:tab w:val="clear" w:pos="7892"/>
              <w:tab w:val="right" w:pos="9026" w:leader="dot"/>
            </w:tabs>
            <w:rPr/>
          </w:pPr>
          <w:hyperlink w:anchor="__RefHeading___Toc4623359_581953129">
            <w:r>
              <w:rPr>
                <w:webHidden/>
                <w:rStyle w:val="IndexLink"/>
                <w:rtl w:val="true"/>
              </w:rPr>
              <w:t>فصل سوم</w:t>
            </w:r>
            <w:r>
              <w:rPr>
                <w:rStyle w:val="IndexLink"/>
                <w:rtl w:val="true"/>
              </w:rPr>
              <w:t xml:space="preserve">) </w:t>
            </w:r>
            <w:r>
              <w:rPr>
                <w:rStyle w:val="IndexLink"/>
                <w:rtl w:val="true"/>
              </w:rPr>
              <w:t>مسائل علم اصول</w:t>
            </w:r>
            <w:r>
              <w:rPr>
                <w:rStyle w:val="IndexLink"/>
                <w:rtl w:val="true"/>
              </w:rPr>
              <w:tab/>
            </w:r>
            <w:r>
              <w:rPr>
                <w:rStyle w:val="IndexLink"/>
              </w:rPr>
              <w:t>39</w:t>
            </w:r>
          </w:hyperlink>
        </w:p>
        <w:p>
          <w:pPr>
            <w:pStyle w:val="Contents5"/>
            <w:tabs>
              <w:tab w:val="clear" w:pos="7892"/>
              <w:tab w:val="right" w:pos="9026" w:leader="dot"/>
            </w:tabs>
            <w:rPr/>
          </w:pPr>
          <w:hyperlink w:anchor="__RefHeading___Toc4623361_581953129">
            <w:r>
              <w:rPr>
                <w:webHidden/>
                <w:rStyle w:val="IndexLink"/>
                <w:rtl w:val="true"/>
              </w:rPr>
              <w:t>فصل چهارم</w:t>
            </w:r>
            <w:r>
              <w:rPr>
                <w:rStyle w:val="IndexLink"/>
                <w:rtl w:val="true"/>
              </w:rPr>
              <w:t xml:space="preserve">) </w:t>
            </w:r>
            <w:r>
              <w:rPr>
                <w:rStyle w:val="IndexLink"/>
                <w:rtl w:val="true"/>
              </w:rPr>
              <w:t>قلمروشناسی علم اصول</w:t>
            </w:r>
            <w:r>
              <w:rPr>
                <w:rStyle w:val="IndexLink"/>
                <w:rtl w:val="true"/>
              </w:rPr>
              <w:tab/>
            </w:r>
            <w:r>
              <w:rPr>
                <w:rStyle w:val="IndexLink"/>
              </w:rPr>
              <w:t>39</w:t>
            </w:r>
          </w:hyperlink>
        </w:p>
        <w:p>
          <w:pPr>
            <w:pStyle w:val="Contents5"/>
            <w:tabs>
              <w:tab w:val="clear" w:pos="7892"/>
              <w:tab w:val="right" w:pos="9026" w:leader="dot"/>
            </w:tabs>
            <w:rPr/>
          </w:pPr>
          <w:hyperlink w:anchor="__RefHeading___Toc4623363_581953129">
            <w:r>
              <w:rPr>
                <w:webHidden/>
                <w:rStyle w:val="IndexLink"/>
                <w:rtl w:val="true"/>
              </w:rPr>
              <w:t>فصل پنجم</w:t>
            </w:r>
            <w:r>
              <w:rPr>
                <w:rStyle w:val="IndexLink"/>
                <w:rtl w:val="true"/>
              </w:rPr>
              <w:t xml:space="preserve">) </w:t>
            </w:r>
            <w:r>
              <w:rPr>
                <w:rStyle w:val="IndexLink"/>
                <w:rtl w:val="true"/>
              </w:rPr>
              <w:t>وحدت و تمایز علوم</w:t>
            </w:r>
            <w:r>
              <w:rPr>
                <w:rStyle w:val="IndexLink"/>
                <w:rtl w:val="true"/>
              </w:rPr>
              <w:tab/>
            </w:r>
            <w:r>
              <w:rPr>
                <w:rStyle w:val="IndexLink"/>
              </w:rPr>
              <w:t>41</w:t>
            </w:r>
          </w:hyperlink>
        </w:p>
        <w:p>
          <w:pPr>
            <w:pStyle w:val="Contents5"/>
            <w:tabs>
              <w:tab w:val="clear" w:pos="7892"/>
              <w:tab w:val="right" w:pos="9026" w:leader="dot"/>
            </w:tabs>
            <w:rPr/>
          </w:pPr>
          <w:hyperlink w:anchor="__RefHeading___Toc4623365_581953129">
            <w:r>
              <w:rPr>
                <w:webHidden/>
                <w:rStyle w:val="IndexLink"/>
                <w:rtl w:val="true"/>
              </w:rPr>
              <w:t>فصل ششم</w:t>
            </w:r>
            <w:r>
              <w:rPr>
                <w:rStyle w:val="IndexLink"/>
                <w:rtl w:val="true"/>
              </w:rPr>
              <w:t xml:space="preserve">) </w:t>
            </w:r>
            <w:r>
              <w:rPr>
                <w:rStyle w:val="IndexLink"/>
                <w:rtl w:val="true"/>
              </w:rPr>
              <w:t>غایت و فائدت علم اصول</w:t>
            </w:r>
            <w:r>
              <w:rPr>
                <w:rStyle w:val="IndexLink"/>
                <w:rtl w:val="true"/>
              </w:rPr>
              <w:tab/>
            </w:r>
            <w:r>
              <w:rPr>
                <w:rStyle w:val="IndexLink"/>
              </w:rPr>
              <w:t>41</w:t>
            </w:r>
          </w:hyperlink>
        </w:p>
        <w:p>
          <w:pPr>
            <w:pStyle w:val="Contents6"/>
            <w:tabs>
              <w:tab w:val="clear" w:pos="7609"/>
              <w:tab w:val="right" w:pos="9026" w:leader="dot"/>
            </w:tabs>
            <w:rPr/>
          </w:pPr>
          <w:hyperlink w:anchor="__RefHeading___Toc4623367_581953129">
            <w:r>
              <w:rPr>
                <w:webHidden/>
                <w:rStyle w:val="IndexLink"/>
                <w:rtl w:val="true"/>
              </w:rPr>
              <w:t>درآمد</w:t>
            </w:r>
            <w:r>
              <w:rPr>
                <w:rStyle w:val="IndexLink"/>
                <w:rtl w:val="true"/>
              </w:rPr>
              <w:tab/>
            </w:r>
            <w:r>
              <w:rPr>
                <w:rStyle w:val="IndexLink"/>
              </w:rPr>
              <w:t>41</w:t>
            </w:r>
          </w:hyperlink>
        </w:p>
        <w:p>
          <w:pPr>
            <w:pStyle w:val="Contents5"/>
            <w:tabs>
              <w:tab w:val="clear" w:pos="7892"/>
              <w:tab w:val="right" w:pos="9026" w:leader="dot"/>
            </w:tabs>
            <w:rPr/>
          </w:pPr>
          <w:hyperlink w:anchor="__RefHeading___Toc4623369_581953129">
            <w:r>
              <w:rPr>
                <w:webHidden/>
                <w:rStyle w:val="IndexLink"/>
                <w:rtl w:val="true"/>
              </w:rPr>
              <w:t>فصل هفتم</w:t>
            </w:r>
            <w:r>
              <w:rPr>
                <w:rStyle w:val="IndexLink"/>
                <w:rtl w:val="true"/>
              </w:rPr>
              <w:t xml:space="preserve">) </w:t>
            </w:r>
            <w:r>
              <w:rPr>
                <w:rStyle w:val="IndexLink"/>
                <w:rtl w:val="true"/>
              </w:rPr>
              <w:t>روش‌شناسی علم اصول</w:t>
            </w:r>
            <w:r>
              <w:rPr>
                <w:rStyle w:val="IndexLink"/>
                <w:rtl w:val="true"/>
              </w:rPr>
              <w:tab/>
            </w:r>
            <w:r>
              <w:rPr>
                <w:rStyle w:val="IndexLink"/>
              </w:rPr>
              <w:t>42</w:t>
            </w:r>
          </w:hyperlink>
        </w:p>
        <w:p>
          <w:pPr>
            <w:pStyle w:val="Contents6"/>
            <w:tabs>
              <w:tab w:val="clear" w:pos="7609"/>
              <w:tab w:val="right" w:pos="9026" w:leader="dot"/>
            </w:tabs>
            <w:rPr/>
          </w:pPr>
          <w:hyperlink w:anchor="__RefHeading___Toc4623371_581953129">
            <w:r>
              <w:rPr>
                <w:webHidden/>
                <w:rStyle w:val="IndexLink"/>
                <w:rtl w:val="true"/>
              </w:rPr>
              <w:t>درآمد</w:t>
            </w:r>
            <w:r>
              <w:rPr>
                <w:rStyle w:val="IndexLink"/>
                <w:rtl w:val="true"/>
              </w:rPr>
              <w:tab/>
            </w:r>
            <w:r>
              <w:rPr>
                <w:rStyle w:val="IndexLink"/>
              </w:rPr>
              <w:t>42</w:t>
            </w:r>
          </w:hyperlink>
        </w:p>
        <w:p>
          <w:pPr>
            <w:pStyle w:val="Contents5"/>
            <w:tabs>
              <w:tab w:val="clear" w:pos="7892"/>
              <w:tab w:val="right" w:pos="9026" w:leader="dot"/>
            </w:tabs>
            <w:rPr/>
          </w:pPr>
          <w:hyperlink w:anchor="__RefHeading___Toc4623373_581953129">
            <w:r>
              <w:rPr>
                <w:webHidden/>
                <w:rStyle w:val="IndexLink"/>
                <w:rtl w:val="true"/>
              </w:rPr>
              <w:t>فصل هشتم</w:t>
            </w:r>
            <w:r>
              <w:rPr>
                <w:rStyle w:val="IndexLink"/>
                <w:rtl w:val="true"/>
              </w:rPr>
              <w:t xml:space="preserve">) </w:t>
            </w:r>
            <w:r>
              <w:rPr>
                <w:rStyle w:val="IndexLink"/>
                <w:rtl w:val="true"/>
              </w:rPr>
              <w:t>مصادر علم اصول</w:t>
            </w:r>
            <w:r>
              <w:rPr>
                <w:rStyle w:val="IndexLink"/>
                <w:rtl w:val="true"/>
              </w:rPr>
              <w:tab/>
            </w:r>
            <w:r>
              <w:rPr>
                <w:rStyle w:val="IndexLink"/>
              </w:rPr>
              <w:t>43</w:t>
            </w:r>
          </w:hyperlink>
        </w:p>
        <w:p>
          <w:pPr>
            <w:pStyle w:val="Contents5"/>
            <w:tabs>
              <w:tab w:val="clear" w:pos="7892"/>
              <w:tab w:val="right" w:pos="9026" w:leader="dot"/>
            </w:tabs>
            <w:rPr/>
          </w:pPr>
          <w:hyperlink w:anchor="__RefHeading___Toc4623375_581953129">
            <w:r>
              <w:rPr>
                <w:webHidden/>
                <w:rStyle w:val="IndexLink"/>
                <w:rtl w:val="true"/>
              </w:rPr>
              <w:t>فصل نهم</w:t>
            </w:r>
            <w:r>
              <w:rPr>
                <w:rStyle w:val="IndexLink"/>
                <w:rtl w:val="true"/>
              </w:rPr>
              <w:t xml:space="preserve">) </w:t>
            </w:r>
            <w:r>
              <w:rPr>
                <w:rStyle w:val="IndexLink"/>
                <w:rtl w:val="true"/>
              </w:rPr>
              <w:t>چیدمان علم اصول</w:t>
            </w:r>
            <w:r>
              <w:rPr>
                <w:rStyle w:val="IndexLink"/>
                <w:rtl w:val="true"/>
              </w:rPr>
              <w:tab/>
            </w:r>
            <w:r>
              <w:rPr>
                <w:rStyle w:val="IndexLink"/>
              </w:rPr>
              <w:t>43</w:t>
            </w:r>
          </w:hyperlink>
        </w:p>
        <w:p>
          <w:pPr>
            <w:pStyle w:val="Contents5"/>
            <w:tabs>
              <w:tab w:val="clear" w:pos="7892"/>
              <w:tab w:val="right" w:pos="9026" w:leader="dot"/>
            </w:tabs>
            <w:rPr/>
          </w:pPr>
          <w:hyperlink w:anchor="__RefHeading___Toc4623377_581953129">
            <w:r>
              <w:rPr>
                <w:webHidden/>
                <w:rStyle w:val="IndexLink"/>
                <w:rtl w:val="true"/>
              </w:rPr>
              <w:t>فصل دهم</w:t>
            </w:r>
            <w:r>
              <w:rPr>
                <w:rStyle w:val="IndexLink"/>
                <w:rtl w:val="true"/>
              </w:rPr>
              <w:t xml:space="preserve">) </w:t>
            </w:r>
            <w:r>
              <w:rPr>
                <w:rStyle w:val="IndexLink"/>
                <w:rtl w:val="true"/>
              </w:rPr>
              <w:t>هویت معرفتی علم اصول</w:t>
            </w:r>
            <w:r>
              <w:rPr>
                <w:rStyle w:val="IndexLink"/>
                <w:rtl w:val="true"/>
              </w:rPr>
              <w:tab/>
            </w:r>
            <w:r>
              <w:rPr>
                <w:rStyle w:val="IndexLink"/>
              </w:rPr>
              <w:t>43</w:t>
            </w:r>
          </w:hyperlink>
        </w:p>
        <w:p>
          <w:pPr>
            <w:pStyle w:val="Contents5"/>
            <w:tabs>
              <w:tab w:val="clear" w:pos="7892"/>
              <w:tab w:val="right" w:pos="9026" w:leader="dot"/>
            </w:tabs>
            <w:rPr/>
          </w:pPr>
          <w:hyperlink w:anchor="__RefHeading___Toc4623379_581953129">
            <w:r>
              <w:rPr>
                <w:webHidden/>
                <w:rStyle w:val="IndexLink"/>
                <w:rtl w:val="true"/>
              </w:rPr>
              <w:t>فصل یازدهم</w:t>
            </w:r>
            <w:r>
              <w:rPr>
                <w:rStyle w:val="IndexLink"/>
                <w:rtl w:val="true"/>
              </w:rPr>
              <w:t xml:space="preserve">) </w:t>
            </w:r>
            <w:r>
              <w:rPr>
                <w:rStyle w:val="IndexLink"/>
                <w:rtl w:val="true"/>
              </w:rPr>
              <w:t>جایگاه اصول در جغرافیای علوم اسلامی</w:t>
            </w:r>
            <w:r>
              <w:rPr>
                <w:rStyle w:val="IndexLink"/>
                <w:rtl w:val="true"/>
              </w:rPr>
              <w:tab/>
            </w:r>
            <w:r>
              <w:rPr>
                <w:rStyle w:val="IndexLink"/>
              </w:rPr>
              <w:t>44</w:t>
            </w:r>
          </w:hyperlink>
        </w:p>
        <w:p>
          <w:pPr>
            <w:pStyle w:val="Contents5"/>
            <w:tabs>
              <w:tab w:val="clear" w:pos="7892"/>
              <w:tab w:val="right" w:pos="9026" w:leader="dot"/>
            </w:tabs>
            <w:rPr/>
          </w:pPr>
          <w:hyperlink w:anchor="__RefHeading___Toc4623381_581953129">
            <w:r>
              <w:rPr>
                <w:webHidden/>
                <w:rStyle w:val="IndexLink"/>
                <w:rtl w:val="true"/>
              </w:rPr>
              <w:t>فصل دوازدهم</w:t>
            </w:r>
            <w:r>
              <w:rPr>
                <w:rStyle w:val="IndexLink"/>
                <w:rtl w:val="true"/>
              </w:rPr>
              <w:t xml:space="preserve">) </w:t>
            </w:r>
            <w:r>
              <w:rPr>
                <w:rStyle w:val="IndexLink"/>
                <w:rtl w:val="true"/>
              </w:rPr>
              <w:t>مبانی مصدر‌شناختی اصول</w:t>
            </w:r>
            <w:r>
              <w:rPr>
                <w:rStyle w:val="IndexLink"/>
                <w:rtl w:val="true"/>
              </w:rPr>
              <w:tab/>
            </w:r>
            <w:r>
              <w:rPr>
                <w:rStyle w:val="IndexLink"/>
              </w:rPr>
              <w:t>44</w:t>
            </w:r>
          </w:hyperlink>
        </w:p>
        <w:p>
          <w:pPr>
            <w:pStyle w:val="Contents5"/>
            <w:tabs>
              <w:tab w:val="clear" w:pos="7892"/>
              <w:tab w:val="right" w:pos="9026" w:leader="dot"/>
            </w:tabs>
            <w:rPr/>
          </w:pPr>
          <w:hyperlink w:anchor="__RefHeading___Toc4623383_581953129">
            <w:r>
              <w:rPr>
                <w:webHidden/>
                <w:rStyle w:val="IndexLink"/>
                <w:rtl w:val="true"/>
              </w:rPr>
              <w:t>فصل سیزدهم</w:t>
            </w:r>
            <w:r>
              <w:rPr>
                <w:rStyle w:val="IndexLink"/>
                <w:rtl w:val="true"/>
              </w:rPr>
              <w:t xml:space="preserve">) </w:t>
            </w:r>
            <w:r>
              <w:rPr>
                <w:rStyle w:val="IndexLink"/>
                <w:rtl w:val="true"/>
              </w:rPr>
              <w:t xml:space="preserve">مبانی دین‌شناختی </w:t>
            </w:r>
            <w:r>
              <w:rPr>
                <w:rStyle w:val="IndexLink"/>
                <w:rtl w:val="true"/>
              </w:rPr>
              <w:t>(«</w:t>
            </w:r>
            <w:r>
              <w:rPr>
                <w:rStyle w:val="IndexLink"/>
                <w:rtl w:val="true"/>
              </w:rPr>
              <w:t>فلسفه‌ی دین</w:t>
            </w:r>
            <w:r>
              <w:rPr>
                <w:rStyle w:val="IndexLink"/>
                <w:rtl w:val="true"/>
              </w:rPr>
              <w:t>»</w:t>
            </w:r>
            <w:r>
              <w:rPr>
                <w:rStyle w:val="IndexLink"/>
                <w:rtl w:val="true"/>
              </w:rPr>
              <w:t xml:space="preserve">ی </w:t>
            </w:r>
            <w:r>
              <w:rPr>
                <w:rStyle w:val="IndexLink"/>
                <w:rtl w:val="true"/>
              </w:rPr>
              <w:t xml:space="preserve">- </w:t>
            </w:r>
            <w:r>
              <w:rPr>
                <w:rStyle w:val="IndexLink"/>
                <w:rtl w:val="true"/>
              </w:rPr>
              <w:t>کلامی</w:t>
            </w:r>
            <w:r>
              <w:rPr>
                <w:rStyle w:val="IndexLink"/>
                <w:rtl w:val="true"/>
              </w:rPr>
              <w:t xml:space="preserve">) </w:t>
            </w:r>
            <w:r>
              <w:rPr>
                <w:rStyle w:val="IndexLink"/>
                <w:rtl w:val="true"/>
              </w:rPr>
              <w:t>اصول</w:t>
            </w:r>
            <w:r>
              <w:rPr>
                <w:rStyle w:val="IndexLink"/>
                <w:rtl w:val="true"/>
              </w:rPr>
              <w:tab/>
            </w:r>
            <w:r>
              <w:rPr>
                <w:rStyle w:val="IndexLink"/>
              </w:rPr>
              <w:t>44</w:t>
            </w:r>
          </w:hyperlink>
        </w:p>
        <w:p>
          <w:pPr>
            <w:pStyle w:val="Contents5"/>
            <w:tabs>
              <w:tab w:val="clear" w:pos="7892"/>
              <w:tab w:val="right" w:pos="9026" w:leader="dot"/>
            </w:tabs>
            <w:rPr/>
          </w:pPr>
          <w:hyperlink w:anchor="__RefHeading___Toc4623385_581953129">
            <w:r>
              <w:rPr>
                <w:webHidden/>
                <w:rStyle w:val="IndexLink"/>
                <w:rtl w:val="true"/>
              </w:rPr>
              <w:t>فصل چهاردهم</w:t>
            </w:r>
            <w:r>
              <w:rPr>
                <w:rStyle w:val="IndexLink"/>
                <w:rtl w:val="true"/>
              </w:rPr>
              <w:t xml:space="preserve">) </w:t>
            </w:r>
            <w:r>
              <w:rPr>
                <w:rStyle w:val="IndexLink"/>
                <w:rtl w:val="true"/>
              </w:rPr>
              <w:t xml:space="preserve">مبانی انسان </w:t>
            </w:r>
            <w:r>
              <w:rPr>
                <w:rStyle w:val="IndexLink"/>
                <w:rtl w:val="true"/>
              </w:rPr>
              <w:t>(</w:t>
            </w:r>
            <w:r>
              <w:rPr>
                <w:rStyle w:val="IndexLink"/>
                <w:rtl w:val="true"/>
              </w:rPr>
              <w:t>مخاطب</w:t>
            </w:r>
            <w:r>
              <w:rPr>
                <w:rStyle w:val="IndexLink"/>
                <w:rtl w:val="true"/>
              </w:rPr>
              <w:t xml:space="preserve">/ </w:t>
            </w:r>
            <w:r>
              <w:rPr>
                <w:rStyle w:val="IndexLink"/>
                <w:rtl w:val="true"/>
              </w:rPr>
              <w:t>مکلف</w:t>
            </w:r>
            <w:r>
              <w:rPr>
                <w:rStyle w:val="IndexLink"/>
                <w:rtl w:val="true"/>
              </w:rPr>
              <w:t>)</w:t>
            </w:r>
            <w:r>
              <w:rPr>
                <w:rStyle w:val="IndexLink"/>
                <w:rtl w:val="true"/>
              </w:rPr>
              <w:t>شناختی اصول</w:t>
            </w:r>
            <w:r>
              <w:rPr>
                <w:rStyle w:val="IndexLink"/>
                <w:rtl w:val="true"/>
              </w:rPr>
              <w:tab/>
            </w:r>
            <w:r>
              <w:rPr>
                <w:rStyle w:val="IndexLink"/>
              </w:rPr>
              <w:t>45</w:t>
            </w:r>
          </w:hyperlink>
        </w:p>
        <w:p>
          <w:pPr>
            <w:pStyle w:val="Contents5"/>
            <w:tabs>
              <w:tab w:val="clear" w:pos="7892"/>
              <w:tab w:val="right" w:pos="9026" w:leader="dot"/>
            </w:tabs>
            <w:rPr/>
          </w:pPr>
          <w:hyperlink w:anchor="__RefHeading___Toc4623387_581953129">
            <w:r>
              <w:rPr>
                <w:webHidden/>
                <w:rStyle w:val="IndexLink"/>
                <w:rtl w:val="true"/>
              </w:rPr>
              <w:t>فصل پانزدهم</w:t>
            </w:r>
            <w:r>
              <w:rPr>
                <w:rStyle w:val="IndexLink"/>
                <w:rtl w:val="true"/>
              </w:rPr>
              <w:t xml:space="preserve">) </w:t>
            </w:r>
            <w:r>
              <w:rPr>
                <w:rStyle w:val="IndexLink"/>
                <w:rtl w:val="true"/>
              </w:rPr>
              <w:t>مبانی معرفت‌شناختی اصول</w:t>
            </w:r>
            <w:r>
              <w:rPr>
                <w:rStyle w:val="IndexLink"/>
                <w:rtl w:val="true"/>
              </w:rPr>
              <w:tab/>
            </w:r>
            <w:r>
              <w:rPr>
                <w:rStyle w:val="IndexLink"/>
              </w:rPr>
              <w:t>46</w:t>
            </w:r>
          </w:hyperlink>
        </w:p>
        <w:p>
          <w:pPr>
            <w:pStyle w:val="Contents5"/>
            <w:tabs>
              <w:tab w:val="clear" w:pos="7892"/>
              <w:tab w:val="right" w:pos="9026" w:leader="dot"/>
            </w:tabs>
            <w:rPr/>
          </w:pPr>
          <w:hyperlink w:anchor="__RefHeading___Toc4623389_581953129">
            <w:r>
              <w:rPr>
                <w:webHidden/>
                <w:rStyle w:val="IndexLink"/>
                <w:rtl w:val="true"/>
              </w:rPr>
              <w:t>فصل شانزدهم</w:t>
            </w:r>
            <w:r>
              <w:rPr>
                <w:rStyle w:val="IndexLink"/>
                <w:rtl w:val="true"/>
              </w:rPr>
              <w:t xml:space="preserve">) </w:t>
            </w:r>
            <w:r>
              <w:rPr>
                <w:rStyle w:val="IndexLink"/>
                <w:rtl w:val="true"/>
              </w:rPr>
              <w:t>مبانی زبان‌شناختی اصول</w:t>
            </w:r>
            <w:r>
              <w:rPr>
                <w:rStyle w:val="IndexLink"/>
                <w:rtl w:val="true"/>
              </w:rPr>
              <w:tab/>
            </w:r>
            <w:r>
              <w:rPr>
                <w:rStyle w:val="IndexLink"/>
              </w:rPr>
              <w:t>46</w:t>
            </w:r>
          </w:hyperlink>
        </w:p>
        <w:p>
          <w:pPr>
            <w:pStyle w:val="Contents5"/>
            <w:tabs>
              <w:tab w:val="clear" w:pos="7892"/>
              <w:tab w:val="right" w:pos="9026" w:leader="dot"/>
            </w:tabs>
            <w:rPr/>
          </w:pPr>
          <w:hyperlink w:anchor="__RefHeading___Toc4623391_581953129">
            <w:r>
              <w:rPr>
                <w:webHidden/>
                <w:rStyle w:val="IndexLink"/>
                <w:rtl w:val="true"/>
              </w:rPr>
              <w:t>فصل هفدهم</w:t>
            </w:r>
            <w:r>
              <w:rPr>
                <w:rStyle w:val="IndexLink"/>
                <w:rtl w:val="true"/>
              </w:rPr>
              <w:t xml:space="preserve">) </w:t>
            </w:r>
            <w:r>
              <w:rPr>
                <w:rStyle w:val="IndexLink"/>
                <w:rtl w:val="true"/>
              </w:rPr>
              <w:t xml:space="preserve">مبانی متن </w:t>
            </w:r>
            <w:r>
              <w:rPr>
                <w:rStyle w:val="IndexLink"/>
                <w:rtl w:val="true"/>
              </w:rPr>
              <w:t xml:space="preserve">- </w:t>
            </w:r>
            <w:r>
              <w:rPr>
                <w:rStyle w:val="IndexLink"/>
                <w:rtl w:val="true"/>
              </w:rPr>
              <w:t>معناشناختی اصول</w:t>
            </w:r>
            <w:r>
              <w:rPr>
                <w:rStyle w:val="IndexLink"/>
                <w:rtl w:val="true"/>
              </w:rPr>
              <w:tab/>
            </w:r>
            <w:r>
              <w:rPr>
                <w:rStyle w:val="IndexLink"/>
              </w:rPr>
              <w:t>46</w:t>
            </w:r>
          </w:hyperlink>
        </w:p>
        <w:p>
          <w:pPr>
            <w:pStyle w:val="Contents5"/>
            <w:tabs>
              <w:tab w:val="clear" w:pos="7892"/>
              <w:tab w:val="right" w:pos="9026" w:leader="dot"/>
            </w:tabs>
            <w:rPr/>
          </w:pPr>
          <w:hyperlink w:anchor="__RefHeading___Toc4623393_581953129">
            <w:r>
              <w:rPr>
                <w:webHidden/>
                <w:rStyle w:val="IndexLink"/>
                <w:rtl w:val="true"/>
              </w:rPr>
              <w:t>فصل هجدهم</w:t>
            </w:r>
            <w:r>
              <w:rPr>
                <w:rStyle w:val="IndexLink"/>
                <w:rtl w:val="true"/>
              </w:rPr>
              <w:t xml:space="preserve">) </w:t>
            </w:r>
            <w:r>
              <w:rPr>
                <w:rStyle w:val="IndexLink"/>
                <w:rtl w:val="true"/>
              </w:rPr>
              <w:t xml:space="preserve">مبانی </w:t>
            </w:r>
            <w:r>
              <w:rPr>
                <w:rStyle w:val="IndexLink"/>
                <w:rtl w:val="true"/>
              </w:rPr>
              <w:t>«</w:t>
            </w:r>
            <w:r>
              <w:rPr>
                <w:rStyle w:val="IndexLink"/>
                <w:rtl w:val="true"/>
              </w:rPr>
              <w:t>موضوع</w:t>
            </w:r>
            <w:r>
              <w:rPr>
                <w:rStyle w:val="IndexLink"/>
                <w:rtl w:val="true"/>
              </w:rPr>
              <w:t xml:space="preserve">/ </w:t>
            </w:r>
            <w:r>
              <w:rPr>
                <w:rStyle w:val="IndexLink"/>
                <w:rtl w:val="true"/>
              </w:rPr>
              <w:t>متعلق</w:t>
            </w:r>
            <w:r>
              <w:rPr>
                <w:rStyle w:val="IndexLink"/>
                <w:rtl w:val="true"/>
              </w:rPr>
              <w:t>»</w:t>
            </w:r>
            <w:r>
              <w:rPr>
                <w:rStyle w:val="IndexLink"/>
                <w:rtl w:val="true"/>
              </w:rPr>
              <w:t>شناختی اصول</w:t>
            </w:r>
            <w:r>
              <w:rPr>
                <w:rStyle w:val="IndexLink"/>
                <w:rtl w:val="true"/>
              </w:rPr>
              <w:tab/>
            </w:r>
            <w:r>
              <w:rPr>
                <w:rStyle w:val="IndexLink"/>
              </w:rPr>
              <w:t>47</w:t>
            </w:r>
          </w:hyperlink>
        </w:p>
        <w:p>
          <w:pPr>
            <w:pStyle w:val="Contents5"/>
            <w:tabs>
              <w:tab w:val="clear" w:pos="7892"/>
              <w:tab w:val="right" w:pos="9026" w:leader="dot"/>
            </w:tabs>
            <w:rPr/>
          </w:pPr>
          <w:hyperlink w:anchor="__RefHeading___Toc4623395_581953129">
            <w:r>
              <w:rPr>
                <w:webHidden/>
                <w:rStyle w:val="IndexLink"/>
                <w:rtl w:val="true"/>
              </w:rPr>
              <w:t>فصل نوزدهم</w:t>
            </w:r>
            <w:r>
              <w:rPr>
                <w:rStyle w:val="IndexLink"/>
                <w:rtl w:val="true"/>
              </w:rPr>
              <w:t xml:space="preserve">) </w:t>
            </w:r>
            <w:r>
              <w:rPr>
                <w:rStyle w:val="IndexLink"/>
                <w:rtl w:val="true"/>
              </w:rPr>
              <w:t>مبانی حکم‌شناختی اصول</w:t>
            </w:r>
            <w:r>
              <w:rPr>
                <w:rStyle w:val="IndexLink"/>
                <w:rtl w:val="true"/>
              </w:rPr>
              <w:tab/>
            </w:r>
            <w:r>
              <w:rPr>
                <w:rStyle w:val="IndexLink"/>
              </w:rPr>
              <w:t>47</w:t>
            </w:r>
          </w:hyperlink>
        </w:p>
        <w:p>
          <w:pPr>
            <w:pStyle w:val="Contents5"/>
            <w:tabs>
              <w:tab w:val="clear" w:pos="7892"/>
              <w:tab w:val="right" w:pos="9026" w:leader="dot"/>
            </w:tabs>
            <w:rPr/>
          </w:pPr>
          <w:hyperlink w:anchor="__RefHeading___Toc4623397_581953129">
            <w:r>
              <w:rPr>
                <w:webHidden/>
                <w:rStyle w:val="IndexLink"/>
                <w:rtl w:val="true"/>
              </w:rPr>
              <w:t>فصل بیستم</w:t>
            </w:r>
            <w:r>
              <w:rPr>
                <w:rStyle w:val="IndexLink"/>
                <w:rtl w:val="true"/>
              </w:rPr>
              <w:t xml:space="preserve">) </w:t>
            </w:r>
            <w:r>
              <w:rPr>
                <w:rStyle w:val="IndexLink"/>
                <w:rtl w:val="true"/>
              </w:rPr>
              <w:t>تحلیل معرفت‌شناختی قضایای اصولی</w:t>
            </w:r>
            <w:r>
              <w:rPr>
                <w:rStyle w:val="IndexLink"/>
                <w:rtl w:val="true"/>
              </w:rPr>
              <w:tab/>
            </w:r>
            <w:r>
              <w:rPr>
                <w:rStyle w:val="IndexLink"/>
              </w:rPr>
              <w:t>47</w:t>
            </w:r>
          </w:hyperlink>
        </w:p>
        <w:p>
          <w:pPr>
            <w:pStyle w:val="Contents5"/>
            <w:tabs>
              <w:tab w:val="clear" w:pos="7892"/>
              <w:tab w:val="right" w:pos="9026" w:leader="dot"/>
            </w:tabs>
            <w:rPr/>
          </w:pPr>
          <w:hyperlink w:anchor="__RefHeading___Toc4623399_581953129">
            <w:r>
              <w:rPr>
                <w:webHidden/>
                <w:rStyle w:val="IndexLink"/>
                <w:rtl w:val="true"/>
              </w:rPr>
              <w:t>فصل بیست‌ویکم</w:t>
            </w:r>
            <w:r>
              <w:rPr>
                <w:rStyle w:val="IndexLink"/>
                <w:rtl w:val="true"/>
              </w:rPr>
              <w:t xml:space="preserve">) </w:t>
            </w:r>
            <w:r>
              <w:rPr>
                <w:rStyle w:val="IndexLink"/>
                <w:rtl w:val="true"/>
              </w:rPr>
              <w:t>تحلیل اصول عملیه</w:t>
            </w:r>
            <w:r>
              <w:rPr>
                <w:rStyle w:val="IndexLink"/>
                <w:rtl w:val="true"/>
              </w:rPr>
              <w:tab/>
            </w:r>
            <w:r>
              <w:rPr>
                <w:rStyle w:val="IndexLink"/>
              </w:rPr>
              <w:t>47</w:t>
            </w:r>
          </w:hyperlink>
        </w:p>
        <w:p>
          <w:pPr>
            <w:pStyle w:val="Contents5"/>
            <w:tabs>
              <w:tab w:val="clear" w:pos="7892"/>
              <w:tab w:val="right" w:pos="9026" w:leader="dot"/>
            </w:tabs>
            <w:rPr/>
          </w:pPr>
          <w:hyperlink w:anchor="__RefHeading___Toc4623401_581953129">
            <w:r>
              <w:rPr>
                <w:webHidden/>
                <w:rStyle w:val="IndexLink"/>
                <w:rtl w:val="true"/>
              </w:rPr>
              <w:t>فصل بیست‌ودوم</w:t>
            </w:r>
            <w:r>
              <w:rPr>
                <w:rStyle w:val="IndexLink"/>
                <w:rtl w:val="true"/>
              </w:rPr>
              <w:t xml:space="preserve">) </w:t>
            </w:r>
            <w:r>
              <w:rPr>
                <w:rStyle w:val="IndexLink"/>
                <w:rtl w:val="true"/>
              </w:rPr>
              <w:t>مبادی تطور، و سازِکار تحول و تکامل علم اصول</w:t>
            </w:r>
            <w:r>
              <w:rPr>
                <w:rStyle w:val="IndexLink"/>
                <w:rtl w:val="true"/>
              </w:rPr>
              <w:tab/>
            </w:r>
            <w:r>
              <w:rPr>
                <w:rStyle w:val="IndexLink"/>
              </w:rPr>
              <w:t>47</w:t>
            </w:r>
          </w:hyperlink>
        </w:p>
        <w:p>
          <w:pPr>
            <w:pStyle w:val="Contents5"/>
            <w:tabs>
              <w:tab w:val="clear" w:pos="7892"/>
              <w:tab w:val="right" w:pos="9026" w:leader="dot"/>
            </w:tabs>
            <w:rPr/>
          </w:pPr>
          <w:hyperlink w:anchor="__RefHeading___Toc4623403_581953129">
            <w:r>
              <w:rPr>
                <w:webHidden/>
                <w:rStyle w:val="IndexLink"/>
                <w:rtl w:val="true"/>
              </w:rPr>
              <w:t>فصل بیست‌وسوم</w:t>
            </w:r>
            <w:r>
              <w:rPr>
                <w:rStyle w:val="IndexLink"/>
                <w:rtl w:val="true"/>
              </w:rPr>
              <w:t xml:space="preserve">) </w:t>
            </w:r>
            <w:r>
              <w:rPr>
                <w:rStyle w:val="IndexLink"/>
                <w:rtl w:val="true"/>
              </w:rPr>
              <w:t>گونه‌شناسی تطبیقی مکاتب اصولی با رویکرد فلسفی</w:t>
            </w:r>
            <w:r>
              <w:rPr>
                <w:rStyle w:val="IndexLink"/>
                <w:rtl w:val="true"/>
              </w:rPr>
              <w:tab/>
            </w:r>
            <w:r>
              <w:rPr>
                <w:rStyle w:val="IndexLink"/>
              </w:rPr>
              <w:t>48</w:t>
            </w:r>
          </w:hyperlink>
        </w:p>
        <w:p>
          <w:pPr>
            <w:pStyle w:val="Contents3"/>
            <w:tabs>
              <w:tab w:val="clear" w:pos="8459"/>
              <w:tab w:val="right" w:pos="9026" w:leader="dot"/>
            </w:tabs>
            <w:rPr/>
          </w:pPr>
          <w:hyperlink w:anchor="__RefHeading___Toc4623405_581953129">
            <w:r>
              <w:rPr>
                <w:webHidden/>
                <w:rStyle w:val="IndexLink"/>
                <w:rtl w:val="true"/>
              </w:rPr>
              <w:t>خاتمه</w:t>
            </w:r>
            <w:r>
              <w:rPr>
                <w:rStyle w:val="IndexLink"/>
                <w:rtl w:val="true"/>
              </w:rPr>
              <w:t xml:space="preserve">) </w:t>
            </w:r>
            <w:r>
              <w:rPr>
                <w:rStyle w:val="IndexLink"/>
                <w:rtl w:val="true"/>
              </w:rPr>
              <w:t>پیوست‌ها</w:t>
            </w:r>
            <w:r>
              <w:rPr>
                <w:rStyle w:val="IndexLink"/>
                <w:rtl w:val="true"/>
              </w:rPr>
              <w:tab/>
            </w:r>
            <w:r>
              <w:rPr>
                <w:rStyle w:val="IndexLink"/>
              </w:rPr>
              <w:t>48</w:t>
            </w:r>
          </w:hyperlink>
        </w:p>
        <w:p>
          <w:pPr>
            <w:pStyle w:val="Contents4"/>
            <w:tabs>
              <w:tab w:val="clear" w:pos="8176"/>
              <w:tab w:val="right" w:pos="9026" w:leader="dot"/>
            </w:tabs>
            <w:rPr/>
          </w:pPr>
          <w:hyperlink w:anchor="__RefHeading___Toc4623407_581953129">
            <w:r>
              <w:rPr>
                <w:webHidden/>
                <w:rStyle w:val="IndexLink"/>
                <w:rtl w:val="true"/>
              </w:rPr>
              <w:t>پیوست یک</w:t>
            </w:r>
            <w:r>
              <w:rPr>
                <w:rStyle w:val="IndexLink"/>
                <w:rtl w:val="true"/>
              </w:rPr>
              <w:t xml:space="preserve">: </w:t>
            </w:r>
            <w:r>
              <w:rPr>
                <w:rStyle w:val="IndexLink"/>
                <w:rtl w:val="true"/>
              </w:rPr>
              <w:t>تعاملات علم اصول با علوم همگون و هموند نوپدید</w:t>
            </w:r>
            <w:r>
              <w:rPr>
                <w:rStyle w:val="IndexLink"/>
                <w:rtl w:val="true"/>
              </w:rPr>
              <w:tab/>
            </w:r>
            <w:r>
              <w:rPr>
                <w:rStyle w:val="IndexLink"/>
              </w:rPr>
              <w:t>48</w:t>
            </w:r>
          </w:hyperlink>
        </w:p>
        <w:p>
          <w:pPr>
            <w:pStyle w:val="Contents4"/>
            <w:tabs>
              <w:tab w:val="clear" w:pos="8176"/>
              <w:tab w:val="right" w:pos="9026" w:leader="dot"/>
            </w:tabs>
            <w:rPr/>
          </w:pPr>
          <w:hyperlink w:anchor="__RefHeading___Toc4623409_581953129">
            <w:r>
              <w:rPr>
                <w:webHidden/>
                <w:rStyle w:val="IndexLink"/>
                <w:rtl w:val="true"/>
              </w:rPr>
              <w:t>پیوست دو</w:t>
            </w:r>
            <w:r>
              <w:rPr>
                <w:rStyle w:val="IndexLink"/>
                <w:rtl w:val="true"/>
              </w:rPr>
              <w:t xml:space="preserve">: </w:t>
            </w:r>
            <w:r>
              <w:rPr>
                <w:rStyle w:val="IndexLink"/>
                <w:rtl w:val="true"/>
              </w:rPr>
              <w:t>کاستگی ها و بایستگی های اصول فقه</w:t>
            </w:r>
            <w:r>
              <w:rPr>
                <w:rStyle w:val="IndexLink"/>
                <w:rtl w:val="true"/>
              </w:rPr>
              <w:tab/>
            </w:r>
            <w:r>
              <w:rPr>
                <w:rStyle w:val="IndexLink"/>
              </w:rPr>
              <w:t>48</w:t>
            </w:r>
          </w:hyperlink>
        </w:p>
        <w:p>
          <w:pPr>
            <w:pStyle w:val="Contents4"/>
            <w:tabs>
              <w:tab w:val="clear" w:pos="8176"/>
              <w:tab w:val="right" w:pos="9026" w:leader="dot"/>
            </w:tabs>
            <w:rPr/>
          </w:pPr>
          <w:hyperlink w:anchor="__RefHeading___Toc4623411_581953129">
            <w:r>
              <w:rPr>
                <w:webHidden/>
                <w:rStyle w:val="IndexLink"/>
                <w:rtl w:val="true"/>
              </w:rPr>
              <w:t>پیوست سه</w:t>
            </w:r>
            <w:r>
              <w:rPr>
                <w:rStyle w:val="IndexLink"/>
                <w:rtl w:val="true"/>
              </w:rPr>
              <w:t xml:space="preserve">: </w:t>
            </w:r>
            <w:r>
              <w:rPr>
                <w:rStyle w:val="IndexLink"/>
                <w:rtl w:val="true"/>
              </w:rPr>
              <w:t>اصطلاحنامه</w:t>
            </w:r>
            <w:r>
              <w:rPr>
                <w:rStyle w:val="IndexLink"/>
                <w:rtl w:val="true"/>
              </w:rPr>
              <w:tab/>
            </w:r>
            <w:r>
              <w:rPr>
                <w:rStyle w:val="IndexLink"/>
              </w:rPr>
              <w:t>49</w:t>
            </w:r>
          </w:hyperlink>
        </w:p>
        <w:p>
          <w:pPr>
            <w:pStyle w:val="Contents3"/>
            <w:tabs>
              <w:tab w:val="clear" w:pos="8459"/>
              <w:tab w:val="right" w:pos="9026" w:leader="dot"/>
            </w:tabs>
            <w:rPr/>
          </w:pPr>
          <w:hyperlink w:anchor="__RefHeading___Toc4623413_581953129">
            <w:r>
              <w:rPr>
                <w:webHidden/>
                <w:rStyle w:val="IndexLink"/>
                <w:rtl w:val="true"/>
              </w:rPr>
              <w:t>منابع</w:t>
            </w:r>
            <w:r>
              <w:rPr>
                <w:rStyle w:val="IndexLink"/>
                <w:rtl w:val="true"/>
              </w:rPr>
              <w:tab/>
            </w:r>
            <w:r>
              <w:rPr>
                <w:rStyle w:val="IndexLink"/>
              </w:rPr>
              <w:t>50</w:t>
            </w:r>
          </w:hyperlink>
        </w:p>
        <w:p>
          <w:pPr>
            <w:pStyle w:val="Contents2"/>
            <w:tabs>
              <w:tab w:val="clear" w:pos="8743"/>
              <w:tab w:val="right" w:pos="9026" w:leader="dot"/>
            </w:tabs>
            <w:rPr/>
          </w:pPr>
          <w:hyperlink w:anchor="__RefHeading___Toc4623415_581953129">
            <w:r>
              <w:rPr>
                <w:webHidden/>
                <w:rStyle w:val="IndexLink"/>
                <w:rtl w:val="true"/>
              </w:rPr>
              <w:t xml:space="preserve">جملات و معانی انشایی در علم اصول </w:t>
            </w:r>
            <w:r>
              <w:rPr>
                <w:rStyle w:val="IndexLink"/>
                <w:rtl w:val="true"/>
              </w:rPr>
              <w:t xml:space="preserve">/ </w:t>
            </w:r>
            <w:r>
              <w:rPr>
                <w:rStyle w:val="IndexLink"/>
                <w:rtl w:val="true"/>
              </w:rPr>
              <w:t>ابوالحسن حسنی</w:t>
            </w:r>
            <w:r>
              <w:rPr>
                <w:rStyle w:val="IndexLink"/>
                <w:rtl w:val="true"/>
              </w:rPr>
              <w:tab/>
            </w:r>
            <w:r>
              <w:rPr>
                <w:rStyle w:val="IndexLink"/>
              </w:rPr>
              <w:t>55</w:t>
            </w:r>
          </w:hyperlink>
        </w:p>
        <w:p>
          <w:pPr>
            <w:pStyle w:val="Contents3"/>
            <w:tabs>
              <w:tab w:val="clear" w:pos="8459"/>
              <w:tab w:val="right" w:pos="9026" w:leader="dot"/>
            </w:tabs>
            <w:rPr/>
          </w:pPr>
          <w:hyperlink w:anchor="__RefHeading___Toc4623417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623419_581953129">
            <w:r>
              <w:rPr>
                <w:webHidden/>
                <w:rStyle w:val="IndexLink"/>
                <w:rtl w:val="true"/>
              </w:rPr>
              <w:t>چکیده</w:t>
            </w:r>
            <w:r>
              <w:rPr>
                <w:rStyle w:val="IndexLink"/>
                <w:rtl w:val="true"/>
              </w:rPr>
              <w:tab/>
            </w:r>
            <w:r>
              <w:rPr>
                <w:rStyle w:val="IndexLink"/>
              </w:rPr>
              <w:t>55</w:t>
            </w:r>
          </w:hyperlink>
        </w:p>
        <w:p>
          <w:pPr>
            <w:pStyle w:val="Contents3"/>
            <w:tabs>
              <w:tab w:val="clear" w:pos="8459"/>
              <w:tab w:val="right" w:pos="9026" w:leader="dot"/>
            </w:tabs>
            <w:rPr/>
          </w:pPr>
          <w:hyperlink w:anchor="__RefHeading___Toc4623421_581953129">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4623423_581953129">
            <w:r>
              <w:rPr>
                <w:webHidden/>
                <w:rStyle w:val="IndexLink"/>
                <w:rtl w:val="true"/>
              </w:rPr>
              <w:t>مبادی بحث از جملات اخباری و انشایی</w:t>
            </w:r>
            <w:r>
              <w:rPr>
                <w:rStyle w:val="IndexLink"/>
                <w:rtl w:val="true"/>
              </w:rPr>
              <w:tab/>
            </w:r>
            <w:r>
              <w:rPr>
                <w:rStyle w:val="IndexLink"/>
              </w:rPr>
              <w:t>56</w:t>
            </w:r>
          </w:hyperlink>
        </w:p>
        <w:p>
          <w:pPr>
            <w:pStyle w:val="Contents4"/>
            <w:tabs>
              <w:tab w:val="clear" w:pos="8176"/>
              <w:tab w:val="right" w:pos="9026" w:leader="dot"/>
            </w:tabs>
            <w:rPr/>
          </w:pPr>
          <w:hyperlink w:anchor="__RefHeading___Toc4623425_581953129">
            <w:r>
              <w:rPr>
                <w:webHidden/>
                <w:rStyle w:val="IndexLink"/>
                <w:rtl w:val="true"/>
              </w:rPr>
              <w:t>تقسیم جملات به اخباری و انشایی</w:t>
            </w:r>
            <w:r>
              <w:rPr>
                <w:rStyle w:val="IndexLink"/>
                <w:rtl w:val="true"/>
              </w:rPr>
              <w:tab/>
            </w:r>
            <w:r>
              <w:rPr>
                <w:rStyle w:val="IndexLink"/>
              </w:rPr>
              <w:t>56</w:t>
            </w:r>
          </w:hyperlink>
        </w:p>
        <w:p>
          <w:pPr>
            <w:pStyle w:val="Contents4"/>
            <w:tabs>
              <w:tab w:val="clear" w:pos="8176"/>
              <w:tab w:val="right" w:pos="9026" w:leader="dot"/>
            </w:tabs>
            <w:rPr/>
          </w:pPr>
          <w:hyperlink w:anchor="__RefHeading___Toc4623427_581953129">
            <w:r>
              <w:rPr>
                <w:webHidden/>
                <w:rStyle w:val="IndexLink"/>
                <w:rtl w:val="true"/>
              </w:rPr>
              <w:t>مبنا در رابطة لفظ و معنا</w:t>
            </w:r>
            <w:r>
              <w:rPr>
                <w:rStyle w:val="IndexLink"/>
                <w:rtl w:val="true"/>
              </w:rPr>
              <w:tab/>
            </w:r>
            <w:r>
              <w:rPr>
                <w:rStyle w:val="IndexLink"/>
              </w:rPr>
              <w:t>57</w:t>
            </w:r>
          </w:hyperlink>
        </w:p>
        <w:p>
          <w:pPr>
            <w:pStyle w:val="Contents4"/>
            <w:tabs>
              <w:tab w:val="clear" w:pos="8176"/>
              <w:tab w:val="right" w:pos="9026" w:leader="dot"/>
            </w:tabs>
            <w:rPr/>
          </w:pPr>
          <w:hyperlink w:anchor="__RefHeading___Toc4623429_581953129">
            <w:r>
              <w:rPr>
                <w:webHidden/>
                <w:rStyle w:val="IndexLink"/>
                <w:rtl w:val="true"/>
              </w:rPr>
              <w:t>معانی انشایی</w:t>
            </w:r>
            <w:r>
              <w:rPr>
                <w:rStyle w:val="IndexLink"/>
                <w:rtl w:val="true"/>
              </w:rPr>
              <w:tab/>
            </w:r>
            <w:r>
              <w:rPr>
                <w:rStyle w:val="IndexLink"/>
              </w:rPr>
              <w:t>59</w:t>
            </w:r>
          </w:hyperlink>
        </w:p>
        <w:p>
          <w:pPr>
            <w:pStyle w:val="Contents5"/>
            <w:tabs>
              <w:tab w:val="clear" w:pos="7892"/>
              <w:tab w:val="right" w:pos="9026" w:leader="dot"/>
            </w:tabs>
            <w:rPr/>
          </w:pPr>
          <w:hyperlink w:anchor="__RefHeading___Toc4623431_581953129">
            <w:r>
              <w:rPr>
                <w:webHidden/>
                <w:rStyle w:val="IndexLink"/>
                <w:rtl w:val="true"/>
              </w:rPr>
              <w:t>تعریف مفاهیم انشایی</w:t>
            </w:r>
            <w:r>
              <w:rPr>
                <w:rStyle w:val="IndexLink"/>
                <w:rtl w:val="true"/>
              </w:rPr>
              <w:tab/>
            </w:r>
            <w:r>
              <w:rPr>
                <w:rStyle w:val="IndexLink"/>
              </w:rPr>
              <w:t>59</w:t>
            </w:r>
          </w:hyperlink>
        </w:p>
        <w:p>
          <w:pPr>
            <w:pStyle w:val="Contents4"/>
            <w:tabs>
              <w:tab w:val="clear" w:pos="8176"/>
              <w:tab w:val="right" w:pos="9026" w:leader="dot"/>
            </w:tabs>
            <w:rPr/>
          </w:pPr>
          <w:hyperlink w:anchor="__RefHeading___Toc4623433_581953129">
            <w:r>
              <w:rPr>
                <w:webHidden/>
                <w:rStyle w:val="IndexLink"/>
                <w:rtl w:val="true"/>
              </w:rPr>
              <w:t>انشای تام</w:t>
            </w:r>
            <w:r>
              <w:rPr>
                <w:rStyle w:val="IndexLink"/>
                <w:rtl w:val="true"/>
              </w:rPr>
              <w:tab/>
            </w:r>
            <w:r>
              <w:rPr>
                <w:rStyle w:val="IndexLink"/>
              </w:rPr>
              <w:t>60</w:t>
            </w:r>
          </w:hyperlink>
        </w:p>
        <w:p>
          <w:pPr>
            <w:pStyle w:val="Contents5"/>
            <w:tabs>
              <w:tab w:val="clear" w:pos="7892"/>
              <w:tab w:val="right" w:pos="9026" w:leader="dot"/>
            </w:tabs>
            <w:rPr/>
          </w:pPr>
          <w:hyperlink w:anchor="__RefHeading___Toc4623435_581953129">
            <w:r>
              <w:rPr>
                <w:webHidden/>
                <w:rStyle w:val="IndexLink"/>
                <w:rtl w:val="true"/>
              </w:rPr>
              <w:t>تعریف انشای تام</w:t>
            </w:r>
            <w:r>
              <w:rPr>
                <w:rStyle w:val="IndexLink"/>
                <w:rtl w:val="true"/>
              </w:rPr>
              <w:tab/>
            </w:r>
            <w:r>
              <w:rPr>
                <w:rStyle w:val="IndexLink"/>
              </w:rPr>
              <w:t>60</w:t>
            </w:r>
          </w:hyperlink>
        </w:p>
        <w:p>
          <w:pPr>
            <w:pStyle w:val="Contents3"/>
            <w:tabs>
              <w:tab w:val="clear" w:pos="8459"/>
              <w:tab w:val="right" w:pos="9026" w:leader="dot"/>
            </w:tabs>
            <w:rPr/>
          </w:pPr>
          <w:hyperlink w:anchor="__RefHeading___Toc4623437_581953129">
            <w:r>
              <w:rPr>
                <w:webHidden/>
                <w:rStyle w:val="IndexLink"/>
                <w:rtl w:val="true"/>
              </w:rPr>
              <w:t>ویژگی‌های انشاء</w:t>
            </w:r>
            <w:r>
              <w:rPr>
                <w:rStyle w:val="IndexLink"/>
                <w:rtl w:val="true"/>
              </w:rPr>
              <w:tab/>
            </w:r>
            <w:r>
              <w:rPr>
                <w:rStyle w:val="IndexLink"/>
              </w:rPr>
              <w:t>61</w:t>
            </w:r>
          </w:hyperlink>
        </w:p>
        <w:p>
          <w:pPr>
            <w:pStyle w:val="Contents3"/>
            <w:tabs>
              <w:tab w:val="clear" w:pos="8459"/>
              <w:tab w:val="right" w:pos="9026" w:leader="dot"/>
            </w:tabs>
            <w:rPr/>
          </w:pPr>
          <w:hyperlink w:anchor="__RefHeading___Toc4623439_581953129">
            <w:r>
              <w:rPr>
                <w:webHidden/>
                <w:rStyle w:val="IndexLink"/>
                <w:rtl w:val="true"/>
              </w:rPr>
              <w:t>عقلانیت انشاء یا قانون</w:t>
            </w:r>
            <w:r>
              <w:rPr>
                <w:rStyle w:val="IndexLink"/>
                <w:rtl w:val="true"/>
              </w:rPr>
              <w:tab/>
            </w:r>
            <w:r>
              <w:rPr>
                <w:rStyle w:val="IndexLink"/>
              </w:rPr>
              <w:t>62</w:t>
            </w:r>
          </w:hyperlink>
        </w:p>
        <w:p>
          <w:pPr>
            <w:pStyle w:val="Contents4"/>
            <w:tabs>
              <w:tab w:val="clear" w:pos="8176"/>
              <w:tab w:val="right" w:pos="9026" w:leader="dot"/>
            </w:tabs>
            <w:rPr/>
          </w:pPr>
          <w:hyperlink w:anchor="__RefHeading___Toc4623441_581953129">
            <w:r>
              <w:rPr>
                <w:webHidden/>
                <w:rStyle w:val="IndexLink"/>
                <w:rtl w:val="true"/>
              </w:rPr>
              <w:t>مسئلة اصلی عقلانیت انشاء</w:t>
            </w:r>
            <w:r>
              <w:rPr>
                <w:rStyle w:val="IndexLink"/>
                <w:rtl w:val="true"/>
              </w:rPr>
              <w:tab/>
            </w:r>
            <w:r>
              <w:rPr>
                <w:rStyle w:val="IndexLink"/>
              </w:rPr>
              <w:t>62</w:t>
            </w:r>
          </w:hyperlink>
        </w:p>
        <w:p>
          <w:pPr>
            <w:pStyle w:val="Contents4"/>
            <w:tabs>
              <w:tab w:val="clear" w:pos="8176"/>
              <w:tab w:val="right" w:pos="9026" w:leader="dot"/>
            </w:tabs>
            <w:rPr/>
          </w:pPr>
          <w:hyperlink w:anchor="__RefHeading___Toc4623443_581953129">
            <w:r>
              <w:rPr>
                <w:webHidden/>
                <w:rStyle w:val="IndexLink"/>
                <w:rtl w:val="true"/>
              </w:rPr>
              <w:t>عقلانیت معرفتی انشاء</w:t>
            </w:r>
            <w:r>
              <w:rPr>
                <w:rStyle w:val="IndexLink"/>
                <w:rtl w:val="true"/>
              </w:rPr>
              <w:tab/>
            </w:r>
            <w:r>
              <w:rPr>
                <w:rStyle w:val="IndexLink"/>
              </w:rPr>
              <w:t>63</w:t>
            </w:r>
          </w:hyperlink>
        </w:p>
        <w:p>
          <w:pPr>
            <w:pStyle w:val="Contents4"/>
            <w:tabs>
              <w:tab w:val="clear" w:pos="8176"/>
              <w:tab w:val="right" w:pos="9026" w:leader="dot"/>
            </w:tabs>
            <w:rPr/>
          </w:pPr>
          <w:hyperlink w:anchor="__RefHeading___Toc4623445_581953129">
            <w:r>
              <w:rPr>
                <w:webHidden/>
                <w:rStyle w:val="IndexLink"/>
                <w:rtl w:val="true"/>
              </w:rPr>
              <w:t>عقلانیت معناشناختی انشاء</w:t>
            </w:r>
            <w:r>
              <w:rPr>
                <w:rStyle w:val="IndexLink"/>
                <w:rtl w:val="true"/>
              </w:rPr>
              <w:tab/>
            </w:r>
            <w:r>
              <w:rPr>
                <w:rStyle w:val="IndexLink"/>
              </w:rPr>
              <w:t>63</w:t>
            </w:r>
          </w:hyperlink>
        </w:p>
        <w:p>
          <w:pPr>
            <w:pStyle w:val="Contents4"/>
            <w:tabs>
              <w:tab w:val="clear" w:pos="8176"/>
              <w:tab w:val="right" w:pos="9026" w:leader="dot"/>
            </w:tabs>
            <w:rPr/>
          </w:pPr>
          <w:hyperlink w:anchor="__RefHeading___Toc4623447_581953129">
            <w:r>
              <w:rPr>
                <w:webHidden/>
                <w:rStyle w:val="IndexLink"/>
                <w:rtl w:val="true"/>
              </w:rPr>
              <w:t>عقلانیت اخلاقی انشاء</w:t>
            </w:r>
            <w:r>
              <w:rPr>
                <w:rStyle w:val="IndexLink"/>
                <w:rtl w:val="true"/>
              </w:rPr>
              <w:tab/>
            </w:r>
            <w:r>
              <w:rPr>
                <w:rStyle w:val="IndexLink"/>
              </w:rPr>
              <w:t>64</w:t>
            </w:r>
          </w:hyperlink>
        </w:p>
        <w:p>
          <w:pPr>
            <w:pStyle w:val="Contents4"/>
            <w:tabs>
              <w:tab w:val="clear" w:pos="8176"/>
              <w:tab w:val="right" w:pos="9026" w:leader="dot"/>
            </w:tabs>
            <w:rPr/>
          </w:pPr>
          <w:hyperlink w:anchor="__RefHeading___Toc4623449_581953129">
            <w:r>
              <w:rPr>
                <w:webHidden/>
                <w:rStyle w:val="IndexLink"/>
                <w:rtl w:val="true"/>
              </w:rPr>
              <w:t>عقلانیت ابزاری انشاء</w:t>
            </w:r>
            <w:r>
              <w:rPr>
                <w:rStyle w:val="IndexLink"/>
                <w:rtl w:val="true"/>
              </w:rPr>
              <w:tab/>
            </w:r>
            <w:r>
              <w:rPr>
                <w:rStyle w:val="IndexLink"/>
              </w:rPr>
              <w:t>66</w:t>
            </w:r>
          </w:hyperlink>
        </w:p>
        <w:p>
          <w:pPr>
            <w:pStyle w:val="Contents3"/>
            <w:tabs>
              <w:tab w:val="clear" w:pos="8459"/>
              <w:tab w:val="right" w:pos="9026" w:leader="dot"/>
            </w:tabs>
            <w:rPr/>
          </w:pPr>
          <w:hyperlink w:anchor="__RefHeading___Toc4623451_581953129">
            <w:r>
              <w:rPr>
                <w:webHidden/>
                <w:rStyle w:val="IndexLink"/>
                <w:rtl w:val="true"/>
              </w:rPr>
              <w:t>مفاهیم قانونی</w:t>
            </w:r>
            <w:r>
              <w:rPr>
                <w:rStyle w:val="IndexLink"/>
                <w:rtl w:val="true"/>
              </w:rPr>
              <w:tab/>
            </w:r>
            <w:r>
              <w:rPr>
                <w:rStyle w:val="IndexLink"/>
              </w:rPr>
              <w:t>67</w:t>
            </w:r>
          </w:hyperlink>
        </w:p>
        <w:p>
          <w:pPr>
            <w:pStyle w:val="Contents4"/>
            <w:tabs>
              <w:tab w:val="clear" w:pos="8176"/>
              <w:tab w:val="right" w:pos="9026" w:leader="dot"/>
            </w:tabs>
            <w:rPr/>
          </w:pPr>
          <w:hyperlink w:anchor="__RefHeading___Toc4623453_581953129">
            <w:r>
              <w:rPr>
                <w:webHidden/>
                <w:rStyle w:val="IndexLink"/>
                <w:rtl w:val="true"/>
              </w:rPr>
              <w:t>فرایند تولید مفاهیم قانونی</w:t>
            </w:r>
            <w:r>
              <w:rPr>
                <w:rStyle w:val="IndexLink"/>
                <w:rtl w:val="true"/>
              </w:rPr>
              <w:tab/>
            </w:r>
            <w:r>
              <w:rPr>
                <w:rStyle w:val="IndexLink"/>
              </w:rPr>
              <w:t>67</w:t>
            </w:r>
          </w:hyperlink>
        </w:p>
        <w:p>
          <w:pPr>
            <w:pStyle w:val="Contents4"/>
            <w:tabs>
              <w:tab w:val="clear" w:pos="8176"/>
              <w:tab w:val="right" w:pos="9026" w:leader="dot"/>
            </w:tabs>
            <w:rPr/>
          </w:pPr>
          <w:hyperlink w:anchor="__RefHeading___Toc4623455_581953129">
            <w:r>
              <w:rPr>
                <w:webHidden/>
                <w:rStyle w:val="IndexLink"/>
                <w:rtl w:val="true"/>
              </w:rPr>
              <w:t>اقسام مفاهیم قانونی</w:t>
            </w:r>
            <w:r>
              <w:rPr>
                <w:rStyle w:val="IndexLink"/>
                <w:rtl w:val="true"/>
              </w:rPr>
              <w:tab/>
            </w:r>
            <w:r>
              <w:rPr>
                <w:rStyle w:val="IndexLink"/>
              </w:rPr>
              <w:t>69</w:t>
            </w:r>
          </w:hyperlink>
        </w:p>
        <w:p>
          <w:pPr>
            <w:pStyle w:val="Contents4"/>
            <w:tabs>
              <w:tab w:val="clear" w:pos="8176"/>
              <w:tab w:val="right" w:pos="9026" w:leader="dot"/>
            </w:tabs>
            <w:rPr/>
          </w:pPr>
          <w:hyperlink w:anchor="__RefHeading___Toc4623457_581953129">
            <w:r>
              <w:rPr>
                <w:webHidden/>
                <w:rStyle w:val="IndexLink"/>
                <w:rtl w:val="true"/>
              </w:rPr>
              <w:t>عقلانیت مفاهیم قانونی</w:t>
            </w:r>
            <w:r>
              <w:rPr>
                <w:rStyle w:val="IndexLink"/>
                <w:rtl w:val="true"/>
              </w:rPr>
              <w:tab/>
            </w:r>
            <w:r>
              <w:rPr>
                <w:rStyle w:val="IndexLink"/>
              </w:rPr>
              <w:t>70</w:t>
            </w:r>
          </w:hyperlink>
        </w:p>
        <w:p>
          <w:pPr>
            <w:pStyle w:val="Contents3"/>
            <w:tabs>
              <w:tab w:val="clear" w:pos="8459"/>
              <w:tab w:val="right" w:pos="9026" w:leader="dot"/>
            </w:tabs>
            <w:rPr/>
          </w:pPr>
          <w:hyperlink w:anchor="__RefHeading___Toc4623459_581953129">
            <w:r>
              <w:rPr>
                <w:webHidden/>
                <w:rStyle w:val="IndexLink"/>
                <w:rtl w:val="true"/>
              </w:rPr>
              <w:t>وضع صیغه‌های انشایی</w:t>
            </w:r>
            <w:r>
              <w:rPr>
                <w:rStyle w:val="IndexLink"/>
                <w:rtl w:val="true"/>
              </w:rPr>
              <w:tab/>
            </w:r>
            <w:r>
              <w:rPr>
                <w:rStyle w:val="IndexLink"/>
              </w:rPr>
              <w:t>71</w:t>
            </w:r>
          </w:hyperlink>
        </w:p>
        <w:p>
          <w:pPr>
            <w:pStyle w:val="Contents4"/>
            <w:tabs>
              <w:tab w:val="clear" w:pos="8176"/>
              <w:tab w:val="right" w:pos="9026" w:leader="dot"/>
            </w:tabs>
            <w:rPr/>
          </w:pPr>
          <w:hyperlink w:anchor="__RefHeading___Toc4623461_581953129">
            <w:r>
              <w:rPr>
                <w:webHidden/>
                <w:rStyle w:val="IndexLink"/>
                <w:rtl w:val="true"/>
              </w:rPr>
              <w:t>وضع صیغه‌ها و مواد انشاء از جهت لفظ</w:t>
            </w:r>
            <w:r>
              <w:rPr>
                <w:rStyle w:val="IndexLink"/>
                <w:rtl w:val="true"/>
              </w:rPr>
              <w:tab/>
            </w:r>
            <w:r>
              <w:rPr>
                <w:rStyle w:val="IndexLink"/>
              </w:rPr>
              <w:t>71</w:t>
            </w:r>
          </w:hyperlink>
        </w:p>
        <w:p>
          <w:pPr>
            <w:pStyle w:val="Contents3"/>
            <w:tabs>
              <w:tab w:val="clear" w:pos="8459"/>
              <w:tab w:val="right" w:pos="9026" w:leader="dot"/>
            </w:tabs>
            <w:rPr/>
          </w:pPr>
          <w:hyperlink w:anchor="__RefHeading___Toc4623463_581953129">
            <w:r>
              <w:rPr>
                <w:webHidden/>
                <w:rStyle w:val="IndexLink"/>
                <w:rtl w:val="true"/>
              </w:rPr>
              <w:t>نحوة وضع هیئات انشایی از جهت معنا</w:t>
            </w:r>
            <w:r>
              <w:rPr>
                <w:rStyle w:val="IndexLink"/>
                <w:rtl w:val="true"/>
              </w:rPr>
              <w:tab/>
            </w:r>
            <w:r>
              <w:rPr>
                <w:rStyle w:val="IndexLink"/>
              </w:rPr>
              <w:t>73</w:t>
            </w:r>
          </w:hyperlink>
        </w:p>
        <w:p>
          <w:pPr>
            <w:pStyle w:val="Contents3"/>
            <w:tabs>
              <w:tab w:val="clear" w:pos="8459"/>
              <w:tab w:val="right" w:pos="9026" w:leader="dot"/>
            </w:tabs>
            <w:rPr/>
          </w:pPr>
          <w:hyperlink w:anchor="__RefHeading___Toc4623465_581953129">
            <w:r>
              <w:rPr>
                <w:webHidden/>
                <w:rStyle w:val="IndexLink"/>
                <w:rtl w:val="true"/>
              </w:rPr>
              <w:t>موضوعٌ‌له صیغه‌های انشایی</w:t>
            </w:r>
            <w:r>
              <w:rPr>
                <w:rStyle w:val="IndexLink"/>
                <w:rtl w:val="true"/>
              </w:rPr>
              <w:tab/>
            </w:r>
            <w:r>
              <w:rPr>
                <w:rStyle w:val="IndexLink"/>
              </w:rPr>
              <w:t>75</w:t>
            </w:r>
          </w:hyperlink>
        </w:p>
        <w:p>
          <w:pPr>
            <w:pStyle w:val="Contents4"/>
            <w:tabs>
              <w:tab w:val="clear" w:pos="8176"/>
              <w:tab w:val="right" w:pos="9026" w:leader="dot"/>
            </w:tabs>
            <w:rPr/>
          </w:pPr>
          <w:hyperlink w:anchor="__RefHeading___Toc4623467_581953129">
            <w:r>
              <w:rPr>
                <w:webHidden/>
                <w:rStyle w:val="IndexLink"/>
                <w:rtl w:val="true"/>
              </w:rPr>
              <w:t>موضوعٌ‌له جمله‌های انشایی</w:t>
            </w:r>
            <w:r>
              <w:rPr>
                <w:rStyle w:val="IndexLink"/>
                <w:rtl w:val="true"/>
              </w:rPr>
              <w:tab/>
            </w:r>
            <w:r>
              <w:rPr>
                <w:rStyle w:val="IndexLink"/>
              </w:rPr>
              <w:t>75</w:t>
            </w:r>
          </w:hyperlink>
        </w:p>
        <w:p>
          <w:pPr>
            <w:pStyle w:val="Contents3"/>
            <w:tabs>
              <w:tab w:val="clear" w:pos="8459"/>
              <w:tab w:val="right" w:pos="9026" w:leader="dot"/>
            </w:tabs>
            <w:rPr/>
          </w:pPr>
          <w:hyperlink w:anchor="__RefHeading___Toc4623469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80</w:t>
            </w:r>
          </w:hyperlink>
        </w:p>
        <w:p>
          <w:pPr>
            <w:pStyle w:val="Contents3"/>
            <w:tabs>
              <w:tab w:val="clear" w:pos="8459"/>
              <w:tab w:val="right" w:pos="9026" w:leader="dot"/>
            </w:tabs>
            <w:rPr/>
          </w:pPr>
          <w:hyperlink w:anchor="__RefHeading___Toc4623471_581953129">
            <w:r>
              <w:rPr>
                <w:webHidden/>
                <w:rStyle w:val="IndexLink"/>
                <w:rtl w:val="true"/>
              </w:rPr>
              <w:t>منابع</w:t>
            </w:r>
            <w:r>
              <w:rPr>
                <w:rStyle w:val="IndexLink"/>
                <w:rtl w:val="true"/>
              </w:rPr>
              <w:tab/>
            </w:r>
            <w:r>
              <w:rPr>
                <w:rStyle w:val="IndexLink"/>
              </w:rPr>
              <w:t>83</w:t>
            </w:r>
          </w:hyperlink>
        </w:p>
        <w:p>
          <w:pPr>
            <w:pStyle w:val="Contents2"/>
            <w:tabs>
              <w:tab w:val="clear" w:pos="8743"/>
              <w:tab w:val="right" w:pos="9026" w:leader="dot"/>
            </w:tabs>
            <w:rPr/>
          </w:pPr>
          <w:hyperlink w:anchor="__RefHeading___Toc4623473_581953129">
            <w:r>
              <w:rPr>
                <w:webHidden/>
                <w:rStyle w:val="IndexLink"/>
                <w:rtl w:val="true"/>
              </w:rPr>
              <w:t xml:space="preserve">بحث ظهور و اهمیت زبان‌شناختی آن </w:t>
            </w:r>
            <w:r>
              <w:rPr>
                <w:rStyle w:val="IndexLink"/>
                <w:rtl w:val="true"/>
              </w:rPr>
              <w:t xml:space="preserve">/ </w:t>
            </w:r>
            <w:r>
              <w:rPr>
                <w:rStyle w:val="IndexLink"/>
                <w:rtl w:val="true"/>
              </w:rPr>
              <w:t>علیرضا قائمی نیا، سمیه کامرانی</w:t>
            </w:r>
            <w:r>
              <w:rPr>
                <w:rStyle w:val="IndexLink"/>
                <w:rtl w:val="true"/>
              </w:rPr>
              <w:tab/>
            </w:r>
            <w:r>
              <w:rPr>
                <w:rStyle w:val="IndexLink"/>
              </w:rPr>
              <w:t>85</w:t>
            </w:r>
          </w:hyperlink>
        </w:p>
        <w:p>
          <w:pPr>
            <w:pStyle w:val="Contents3"/>
            <w:tabs>
              <w:tab w:val="clear" w:pos="8459"/>
              <w:tab w:val="right" w:pos="9026" w:leader="dot"/>
            </w:tabs>
            <w:rPr/>
          </w:pPr>
          <w:hyperlink w:anchor="__RefHeading___Toc4623475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4623477_581953129">
            <w:r>
              <w:rPr>
                <w:webHidden/>
                <w:rStyle w:val="IndexLink"/>
                <w:rtl w:val="true"/>
              </w:rPr>
              <w:t>چکیده</w:t>
            </w:r>
            <w:r>
              <w:rPr>
                <w:rStyle w:val="IndexLink"/>
                <w:rtl w:val="true"/>
              </w:rPr>
              <w:tab/>
            </w:r>
            <w:r>
              <w:rPr>
                <w:rStyle w:val="IndexLink"/>
              </w:rPr>
              <w:t>85</w:t>
            </w:r>
          </w:hyperlink>
        </w:p>
        <w:p>
          <w:pPr>
            <w:pStyle w:val="Contents3"/>
            <w:tabs>
              <w:tab w:val="clear" w:pos="8459"/>
              <w:tab w:val="right" w:pos="9026" w:leader="dot"/>
            </w:tabs>
            <w:rPr/>
          </w:pPr>
          <w:hyperlink w:anchor="__RefHeading___Toc4623479_581953129">
            <w:r>
              <w:rPr>
                <w:webHidden/>
                <w:rStyle w:val="IndexLink"/>
                <w:rtl w:val="true"/>
              </w:rPr>
              <w:t>مقدمه</w:t>
            </w:r>
            <w:r>
              <w:rPr>
                <w:rStyle w:val="IndexLink"/>
                <w:rtl w:val="true"/>
              </w:rPr>
              <w:tab/>
            </w:r>
            <w:r>
              <w:rPr>
                <w:rStyle w:val="IndexLink"/>
              </w:rPr>
              <w:t>85</w:t>
            </w:r>
          </w:hyperlink>
        </w:p>
        <w:p>
          <w:pPr>
            <w:pStyle w:val="Contents3"/>
            <w:tabs>
              <w:tab w:val="clear" w:pos="8459"/>
              <w:tab w:val="right" w:pos="9026" w:leader="dot"/>
            </w:tabs>
            <w:rPr/>
          </w:pPr>
          <w:hyperlink w:anchor="__RefHeading___Toc4623481_581953129">
            <w:r>
              <w:rPr>
                <w:webHidden/>
                <w:rStyle w:val="IndexLink"/>
                <w:rtl w:val="true"/>
              </w:rPr>
              <w:t>مباحث زبانی</w:t>
            </w:r>
            <w:r>
              <w:rPr>
                <w:rStyle w:val="IndexLink"/>
                <w:rtl w:val="true"/>
              </w:rPr>
              <w:tab/>
            </w:r>
            <w:r>
              <w:rPr>
                <w:rStyle w:val="IndexLink"/>
              </w:rPr>
              <w:t>86</w:t>
            </w:r>
          </w:hyperlink>
        </w:p>
        <w:p>
          <w:pPr>
            <w:pStyle w:val="Contents3"/>
            <w:tabs>
              <w:tab w:val="clear" w:pos="8459"/>
              <w:tab w:val="right" w:pos="9026" w:leader="dot"/>
            </w:tabs>
            <w:rPr/>
          </w:pPr>
          <w:hyperlink w:anchor="__RefHeading___Toc4623483_581953129">
            <w:r>
              <w:rPr>
                <w:webHidden/>
                <w:rStyle w:val="IndexLink"/>
                <w:rtl w:val="true"/>
              </w:rPr>
              <w:t xml:space="preserve">معنای ظهور </w:t>
            </w:r>
            <w:r>
              <w:rPr>
                <w:rStyle w:val="IndexLink"/>
                <w:rtl w:val="true"/>
              </w:rPr>
              <w:t>(</w:t>
            </w:r>
            <w:r>
              <w:rPr>
                <w:rStyle w:val="IndexLink"/>
                <w:rtl w:val="true"/>
              </w:rPr>
              <w:t>دلالت</w:t>
            </w:r>
            <w:r>
              <w:rPr>
                <w:rStyle w:val="IndexLink"/>
                <w:rtl w:val="true"/>
              </w:rPr>
              <w:t>)</w:t>
              <w:tab/>
            </w:r>
            <w:r>
              <w:rPr>
                <w:rStyle w:val="IndexLink"/>
              </w:rPr>
              <w:t>87</w:t>
            </w:r>
          </w:hyperlink>
        </w:p>
        <w:p>
          <w:pPr>
            <w:pStyle w:val="Contents3"/>
            <w:tabs>
              <w:tab w:val="clear" w:pos="8459"/>
              <w:tab w:val="right" w:pos="9026" w:leader="dot"/>
            </w:tabs>
            <w:rPr/>
          </w:pPr>
          <w:hyperlink w:anchor="__RefHeading___Toc4623485_581953129">
            <w:r>
              <w:rPr>
                <w:webHidden/>
                <w:rStyle w:val="IndexLink"/>
                <w:rtl w:val="true"/>
              </w:rPr>
              <w:t>تشخیص ظهور</w:t>
            </w:r>
            <w:r>
              <w:rPr>
                <w:rStyle w:val="IndexLink"/>
                <w:rtl w:val="true"/>
              </w:rPr>
              <w:tab/>
            </w:r>
            <w:r>
              <w:rPr>
                <w:rStyle w:val="IndexLink"/>
              </w:rPr>
              <w:t>98</w:t>
            </w:r>
          </w:hyperlink>
        </w:p>
        <w:p>
          <w:pPr>
            <w:pStyle w:val="Contents3"/>
            <w:tabs>
              <w:tab w:val="clear" w:pos="8459"/>
              <w:tab w:val="right" w:pos="9026" w:leader="dot"/>
            </w:tabs>
            <w:rPr/>
          </w:pPr>
          <w:hyperlink w:anchor="__RefHeading___Toc4623487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100</w:t>
            </w:r>
          </w:hyperlink>
        </w:p>
        <w:p>
          <w:pPr>
            <w:pStyle w:val="Contents3"/>
            <w:tabs>
              <w:tab w:val="clear" w:pos="8459"/>
              <w:tab w:val="right" w:pos="9026" w:leader="dot"/>
            </w:tabs>
            <w:rPr/>
          </w:pPr>
          <w:hyperlink w:anchor="__RefHeading___Toc4623489_581953129">
            <w:r>
              <w:rPr>
                <w:webHidden/>
                <w:rStyle w:val="IndexLink"/>
                <w:rtl w:val="true"/>
              </w:rPr>
              <w:t>منابع</w:t>
            </w:r>
            <w:r>
              <w:rPr>
                <w:rStyle w:val="IndexLink"/>
                <w:rtl w:val="true"/>
              </w:rPr>
              <w:tab/>
            </w:r>
            <w:r>
              <w:rPr>
                <w:rStyle w:val="IndexLink"/>
              </w:rPr>
              <w:t>101</w:t>
            </w:r>
          </w:hyperlink>
        </w:p>
        <w:p>
          <w:pPr>
            <w:pStyle w:val="Contents2"/>
            <w:tabs>
              <w:tab w:val="clear" w:pos="8743"/>
              <w:tab w:val="right" w:pos="9026" w:leader="dot"/>
            </w:tabs>
            <w:rPr/>
          </w:pPr>
          <w:hyperlink w:anchor="__RefHeading___Toc4623491_581953129">
            <w:r>
              <w:rPr>
                <w:webHidden/>
                <w:rStyle w:val="IndexLink"/>
                <w:rtl w:val="true"/>
              </w:rPr>
              <w:t xml:space="preserve">تبیین و نقد برهان همزاد زمین </w:t>
            </w:r>
            <w:r>
              <w:rPr>
                <w:rStyle w:val="IndexLink"/>
                <w:rtl w:val="true"/>
              </w:rPr>
              <w:t xml:space="preserve">/ </w:t>
            </w:r>
            <w:r>
              <w:rPr>
                <w:rStyle w:val="IndexLink"/>
                <w:rtl w:val="true"/>
              </w:rPr>
              <w:t>احمد امامی</w:t>
            </w:r>
            <w:r>
              <w:rPr>
                <w:rStyle w:val="IndexLink"/>
                <w:rtl w:val="true"/>
              </w:rPr>
              <w:tab/>
            </w:r>
            <w:r>
              <w:rPr>
                <w:rStyle w:val="IndexLink"/>
              </w:rPr>
              <w:t>103</w:t>
            </w:r>
          </w:hyperlink>
        </w:p>
        <w:p>
          <w:pPr>
            <w:pStyle w:val="Contents3"/>
            <w:tabs>
              <w:tab w:val="clear" w:pos="8459"/>
              <w:tab w:val="right" w:pos="9026" w:leader="dot"/>
            </w:tabs>
            <w:rPr/>
          </w:pPr>
          <w:hyperlink w:anchor="__RefHeading___Toc4623493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4623495_581953129">
            <w:r>
              <w:rPr>
                <w:webHidden/>
                <w:rStyle w:val="IndexLink"/>
                <w:rtl w:val="true"/>
              </w:rPr>
              <w:t>چکیده</w:t>
            </w:r>
            <w:r>
              <w:rPr>
                <w:rStyle w:val="IndexLink"/>
                <w:rtl w:val="true"/>
              </w:rPr>
              <w:tab/>
            </w:r>
            <w:r>
              <w:rPr>
                <w:rStyle w:val="IndexLink"/>
              </w:rPr>
              <w:t>103</w:t>
            </w:r>
          </w:hyperlink>
        </w:p>
        <w:p>
          <w:pPr>
            <w:pStyle w:val="Contents3"/>
            <w:tabs>
              <w:tab w:val="clear" w:pos="8459"/>
              <w:tab w:val="right" w:pos="9026" w:leader="dot"/>
            </w:tabs>
            <w:rPr/>
          </w:pPr>
          <w:hyperlink w:anchor="__RefHeading___Toc4623497_581953129">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4623499_581953129">
            <w:r>
              <w:rPr>
                <w:webHidden/>
                <w:rStyle w:val="IndexLink"/>
                <w:rtl w:val="true"/>
              </w:rPr>
              <w:t>نظریة دلالت مستقیم</w:t>
            </w:r>
            <w:r>
              <w:rPr>
                <w:rStyle w:val="IndexLink"/>
                <w:rtl w:val="true"/>
              </w:rPr>
              <w:tab/>
            </w:r>
            <w:r>
              <w:rPr>
                <w:rStyle w:val="IndexLink"/>
              </w:rPr>
              <w:t>104</w:t>
            </w:r>
          </w:hyperlink>
        </w:p>
        <w:p>
          <w:pPr>
            <w:pStyle w:val="Contents3"/>
            <w:tabs>
              <w:tab w:val="clear" w:pos="8459"/>
              <w:tab w:val="right" w:pos="9026" w:leader="dot"/>
            </w:tabs>
            <w:rPr/>
          </w:pPr>
          <w:hyperlink w:anchor="__RefHeading___Toc4623501_581953129">
            <w:r>
              <w:rPr>
                <w:webHidden/>
                <w:rStyle w:val="IndexLink"/>
                <w:rtl w:val="true"/>
              </w:rPr>
              <w:t>در جست‌وجوی معنای معنا؛ نگاهی بر معناشناسی سنتی</w:t>
            </w:r>
            <w:r>
              <w:rPr>
                <w:rStyle w:val="IndexLink"/>
                <w:rtl w:val="true"/>
              </w:rPr>
              <w:tab/>
            </w:r>
            <w:r>
              <w:rPr>
                <w:rStyle w:val="IndexLink"/>
              </w:rPr>
              <w:t>106</w:t>
            </w:r>
          </w:hyperlink>
        </w:p>
        <w:p>
          <w:pPr>
            <w:pStyle w:val="Contents3"/>
            <w:tabs>
              <w:tab w:val="clear" w:pos="8459"/>
              <w:tab w:val="right" w:pos="9026" w:leader="dot"/>
            </w:tabs>
            <w:rPr/>
          </w:pPr>
          <w:hyperlink w:anchor="__RefHeading___Toc4623503_581953129">
            <w:r>
              <w:rPr>
                <w:webHidden/>
                <w:rStyle w:val="IndexLink"/>
                <w:rtl w:val="true"/>
              </w:rPr>
              <w:t>حالت روان‌شناختی و خود‌مداری روش‌شناختی</w:t>
            </w:r>
            <w:r>
              <w:rPr>
                <w:rStyle w:val="IndexLink"/>
                <w:rtl w:val="true"/>
              </w:rPr>
              <w:tab/>
            </w:r>
            <w:r>
              <w:rPr>
                <w:rStyle w:val="IndexLink"/>
              </w:rPr>
              <w:t>107</w:t>
            </w:r>
          </w:hyperlink>
        </w:p>
        <w:p>
          <w:pPr>
            <w:pStyle w:val="Contents3"/>
            <w:tabs>
              <w:tab w:val="clear" w:pos="8459"/>
              <w:tab w:val="right" w:pos="9026" w:leader="dot"/>
            </w:tabs>
            <w:rPr/>
          </w:pPr>
          <w:hyperlink w:anchor="__RefHeading___Toc4623505_581953129">
            <w:r>
              <w:rPr>
                <w:webHidden/>
                <w:rStyle w:val="IndexLink"/>
                <w:rtl w:val="true"/>
              </w:rPr>
              <w:t>روان‌شناسی‌گری معناشناسی سنتی</w:t>
            </w:r>
            <w:r>
              <w:rPr>
                <w:rStyle w:val="IndexLink"/>
                <w:rtl w:val="true"/>
              </w:rPr>
              <w:tab/>
            </w:r>
            <w:r>
              <w:rPr>
                <w:rStyle w:val="IndexLink"/>
              </w:rPr>
              <w:t>107</w:t>
            </w:r>
          </w:hyperlink>
        </w:p>
        <w:p>
          <w:pPr>
            <w:pStyle w:val="Contents3"/>
            <w:tabs>
              <w:tab w:val="clear" w:pos="8459"/>
              <w:tab w:val="right" w:pos="9026" w:leader="dot"/>
            </w:tabs>
            <w:rPr/>
          </w:pPr>
          <w:hyperlink w:anchor="__RefHeading___Toc4623507_581953129">
            <w:r>
              <w:rPr>
                <w:webHidden/>
                <w:rStyle w:val="IndexLink"/>
                <w:rtl w:val="true"/>
              </w:rPr>
              <w:t>آیا معانی در سر قرار دارند؟</w:t>
            </w:r>
            <w:r>
              <w:rPr>
                <w:rStyle w:val="IndexLink"/>
                <w:rtl w:val="true"/>
              </w:rPr>
              <w:tab/>
            </w:r>
            <w:r>
              <w:rPr>
                <w:rStyle w:val="IndexLink"/>
              </w:rPr>
              <w:t>108</w:t>
            </w:r>
          </w:hyperlink>
        </w:p>
        <w:p>
          <w:pPr>
            <w:pStyle w:val="Contents3"/>
            <w:tabs>
              <w:tab w:val="clear" w:pos="8459"/>
              <w:tab w:val="right" w:pos="9026" w:leader="dot"/>
            </w:tabs>
            <w:rPr/>
          </w:pPr>
          <w:hyperlink w:anchor="__RefHeading___Toc4623509_581953129">
            <w:r>
              <w:rPr>
                <w:webHidden/>
                <w:rStyle w:val="IndexLink"/>
                <w:rtl w:val="true"/>
              </w:rPr>
              <w:t xml:space="preserve">برهان همزاد زمین </w:t>
            </w:r>
            <w:r>
              <w:rPr>
                <w:rStyle w:val="IndexLink"/>
                <w:rtl w:val="true"/>
              </w:rPr>
              <w:t>(</w:t>
            </w:r>
            <w:r>
              <w:rPr>
                <w:rStyle w:val="IndexLink"/>
              </w:rPr>
              <w:t>The Twin Earth Argument</w:t>
            </w:r>
            <w:r>
              <w:rPr>
                <w:rStyle w:val="IndexLink"/>
                <w:rtl w:val="true"/>
              </w:rPr>
              <w:t>)</w:t>
              <w:tab/>
            </w:r>
            <w:r>
              <w:rPr>
                <w:rStyle w:val="IndexLink"/>
              </w:rPr>
              <w:t>109</w:t>
            </w:r>
          </w:hyperlink>
        </w:p>
        <w:p>
          <w:pPr>
            <w:pStyle w:val="Contents3"/>
            <w:tabs>
              <w:tab w:val="clear" w:pos="8459"/>
              <w:tab w:val="right" w:pos="9026" w:leader="dot"/>
            </w:tabs>
            <w:rPr/>
          </w:pPr>
          <w:hyperlink w:anchor="__RefHeading___Toc4623511_581953129">
            <w:r>
              <w:rPr>
                <w:webHidden/>
                <w:rStyle w:val="IndexLink"/>
                <w:rtl w:val="true"/>
              </w:rPr>
              <w:t>شعبده یا برهان؟</w:t>
            </w:r>
            <w:r>
              <w:rPr>
                <w:rStyle w:val="IndexLink"/>
                <w:rtl w:val="true"/>
              </w:rPr>
              <w:tab/>
            </w:r>
            <w:r>
              <w:rPr>
                <w:rStyle w:val="IndexLink"/>
              </w:rPr>
              <w:t>111</w:t>
            </w:r>
          </w:hyperlink>
        </w:p>
        <w:p>
          <w:pPr>
            <w:pStyle w:val="Contents3"/>
            <w:tabs>
              <w:tab w:val="clear" w:pos="8459"/>
              <w:tab w:val="right" w:pos="9026" w:leader="dot"/>
            </w:tabs>
            <w:rPr/>
          </w:pPr>
          <w:hyperlink w:anchor="__RefHeading___Toc4623513_581953129">
            <w:r>
              <w:rPr>
                <w:webHidden/>
                <w:rStyle w:val="IndexLink"/>
                <w:rtl w:val="true"/>
              </w:rPr>
              <w:t>خلط بعد معناشناختی و معرفت‌شناختی</w:t>
            </w:r>
            <w:r>
              <w:rPr>
                <w:rStyle w:val="IndexLink"/>
                <w:rtl w:val="true"/>
              </w:rPr>
              <w:tab/>
            </w:r>
            <w:r>
              <w:rPr>
                <w:rStyle w:val="IndexLink"/>
              </w:rPr>
              <w:t>112</w:t>
            </w:r>
          </w:hyperlink>
        </w:p>
        <w:p>
          <w:pPr>
            <w:pStyle w:val="Contents3"/>
            <w:tabs>
              <w:tab w:val="clear" w:pos="8459"/>
              <w:tab w:val="right" w:pos="9026" w:leader="dot"/>
            </w:tabs>
            <w:rPr/>
          </w:pPr>
          <w:hyperlink w:anchor="__RefHeading___Toc4623515_581953129">
            <w:r>
              <w:rPr>
                <w:webHidden/>
                <w:rStyle w:val="IndexLink"/>
                <w:rtl w:val="true"/>
              </w:rPr>
              <w:t>مصادره به مطلوب در معنای معنا</w:t>
            </w:r>
            <w:r>
              <w:rPr>
                <w:rStyle w:val="IndexLink"/>
                <w:rtl w:val="true"/>
              </w:rPr>
              <w:tab/>
            </w:r>
            <w:r>
              <w:rPr>
                <w:rStyle w:val="IndexLink"/>
              </w:rPr>
              <w:t>113</w:t>
            </w:r>
          </w:hyperlink>
        </w:p>
        <w:p>
          <w:pPr>
            <w:pStyle w:val="Contents3"/>
            <w:tabs>
              <w:tab w:val="clear" w:pos="8459"/>
              <w:tab w:val="right" w:pos="9026" w:leader="dot"/>
            </w:tabs>
            <w:rPr/>
          </w:pPr>
          <w:hyperlink w:anchor="__RefHeading___Toc4623517_581953129">
            <w:r>
              <w:rPr>
                <w:webHidden/>
                <w:rStyle w:val="IndexLink"/>
                <w:rtl w:val="true"/>
              </w:rPr>
              <w:t>معنا و جهان شناخت</w:t>
            </w:r>
            <w:r>
              <w:rPr>
                <w:rStyle w:val="IndexLink"/>
                <w:rtl w:val="true"/>
              </w:rPr>
              <w:tab/>
            </w:r>
            <w:r>
              <w:rPr>
                <w:rStyle w:val="IndexLink"/>
              </w:rPr>
              <w:t>114</w:t>
            </w:r>
          </w:hyperlink>
        </w:p>
        <w:p>
          <w:pPr>
            <w:pStyle w:val="Contents3"/>
            <w:tabs>
              <w:tab w:val="clear" w:pos="8459"/>
              <w:tab w:val="right" w:pos="9026" w:leader="dot"/>
            </w:tabs>
            <w:rPr/>
          </w:pPr>
          <w:hyperlink w:anchor="__RefHeading___Toc4623519_581953129">
            <w:r>
              <w:rPr>
                <w:webHidden/>
                <w:rStyle w:val="IndexLink"/>
                <w:rtl w:val="true"/>
              </w:rPr>
              <w:t>ملاک نام‌گذاری و معناداری، فهم عرفی است نه فهم علمی</w:t>
            </w:r>
            <w:r>
              <w:rPr>
                <w:rStyle w:val="IndexLink"/>
                <w:rtl w:val="true"/>
              </w:rPr>
              <w:tab/>
            </w:r>
            <w:r>
              <w:rPr>
                <w:rStyle w:val="IndexLink"/>
              </w:rPr>
              <w:t>116</w:t>
            </w:r>
          </w:hyperlink>
        </w:p>
        <w:p>
          <w:pPr>
            <w:pStyle w:val="Contents3"/>
            <w:tabs>
              <w:tab w:val="clear" w:pos="8459"/>
              <w:tab w:val="right" w:pos="9026" w:leader="dot"/>
            </w:tabs>
            <w:rPr/>
          </w:pPr>
          <w:hyperlink w:anchor="__RefHeading___Toc4623521_581953129">
            <w:r>
              <w:rPr>
                <w:webHidden/>
                <w:rStyle w:val="IndexLink"/>
                <w:rtl w:val="true"/>
              </w:rPr>
              <w:t>معنا؛ سیلان در عین ثبات</w:t>
            </w:r>
            <w:r>
              <w:rPr>
                <w:rStyle w:val="IndexLink"/>
                <w:rtl w:val="true"/>
              </w:rPr>
              <w:tab/>
            </w:r>
            <w:r>
              <w:rPr>
                <w:rStyle w:val="IndexLink"/>
              </w:rPr>
              <w:t>117</w:t>
            </w:r>
          </w:hyperlink>
        </w:p>
        <w:p>
          <w:pPr>
            <w:pStyle w:val="Contents3"/>
            <w:tabs>
              <w:tab w:val="clear" w:pos="8459"/>
              <w:tab w:val="right" w:pos="9026" w:leader="dot"/>
            </w:tabs>
            <w:rPr/>
          </w:pPr>
          <w:hyperlink w:anchor="__RefHeading___Toc4623523_581953129">
            <w:r>
              <w:rPr>
                <w:webHidden/>
                <w:rStyle w:val="IndexLink"/>
                <w:rtl w:val="true"/>
              </w:rPr>
              <w:t>کشف‌های علمی و تغییر معانی الفاظ</w:t>
            </w:r>
            <w:r>
              <w:rPr>
                <w:rStyle w:val="IndexLink"/>
                <w:rtl w:val="true"/>
              </w:rPr>
              <w:tab/>
            </w:r>
            <w:r>
              <w:rPr>
                <w:rStyle w:val="IndexLink"/>
              </w:rPr>
              <w:t>118</w:t>
            </w:r>
          </w:hyperlink>
        </w:p>
        <w:p>
          <w:pPr>
            <w:pStyle w:val="Contents3"/>
            <w:tabs>
              <w:tab w:val="clear" w:pos="8459"/>
              <w:tab w:val="right" w:pos="9026" w:leader="dot"/>
            </w:tabs>
            <w:rPr/>
          </w:pPr>
          <w:hyperlink w:anchor="__RefHeading___Toc4623525_581953129">
            <w:r>
              <w:rPr>
                <w:webHidden/>
                <w:rStyle w:val="IndexLink"/>
                <w:rtl w:val="true"/>
              </w:rPr>
              <w:t>سرشت قراردادی معنا</w:t>
            </w:r>
            <w:r>
              <w:rPr>
                <w:rStyle w:val="IndexLink"/>
                <w:rtl w:val="true"/>
              </w:rPr>
              <w:tab/>
            </w:r>
            <w:r>
              <w:rPr>
                <w:rStyle w:val="IndexLink"/>
              </w:rPr>
              <w:t>119</w:t>
            </w:r>
          </w:hyperlink>
        </w:p>
        <w:p>
          <w:pPr>
            <w:pStyle w:val="Contents3"/>
            <w:tabs>
              <w:tab w:val="clear" w:pos="8459"/>
              <w:tab w:val="right" w:pos="9026" w:leader="dot"/>
            </w:tabs>
            <w:rPr/>
          </w:pPr>
          <w:hyperlink w:anchor="__RefHeading___Toc4623527_581953129">
            <w:r>
              <w:rPr>
                <w:webHidden/>
                <w:rStyle w:val="IndexLink"/>
                <w:rtl w:val="true"/>
              </w:rPr>
              <w:t>معنای یک لفظ یا حقیقت یک شیء</w:t>
            </w:r>
            <w:r>
              <w:rPr>
                <w:rStyle w:val="IndexLink"/>
                <w:rtl w:val="true"/>
              </w:rPr>
              <w:tab/>
            </w:r>
            <w:r>
              <w:rPr>
                <w:rStyle w:val="IndexLink"/>
              </w:rPr>
              <w:t>122</w:t>
            </w:r>
          </w:hyperlink>
        </w:p>
        <w:p>
          <w:pPr>
            <w:pStyle w:val="Contents3"/>
            <w:tabs>
              <w:tab w:val="clear" w:pos="8459"/>
              <w:tab w:val="right" w:pos="9026" w:leader="dot"/>
            </w:tabs>
            <w:rPr/>
          </w:pPr>
          <w:hyperlink w:anchor="__RefHeading___Toc4623529_581953129">
            <w:r>
              <w:rPr>
                <w:webHidden/>
                <w:rStyle w:val="IndexLink"/>
                <w:rtl w:val="true"/>
              </w:rPr>
              <w:t>برخی لوازم فاسد دیدگاه پاتنم</w:t>
            </w:r>
            <w:r>
              <w:rPr>
                <w:rStyle w:val="IndexLink"/>
                <w:rtl w:val="true"/>
              </w:rPr>
              <w:tab/>
            </w:r>
            <w:r>
              <w:rPr>
                <w:rStyle w:val="IndexLink"/>
              </w:rPr>
              <w:t>125</w:t>
            </w:r>
          </w:hyperlink>
        </w:p>
        <w:p>
          <w:pPr>
            <w:pStyle w:val="Contents3"/>
            <w:tabs>
              <w:tab w:val="clear" w:pos="8459"/>
              <w:tab w:val="right" w:pos="9026" w:leader="dot"/>
            </w:tabs>
            <w:rPr/>
          </w:pPr>
          <w:hyperlink w:anchor="__RefHeading___Toc4623531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125</w:t>
            </w:r>
          </w:hyperlink>
        </w:p>
        <w:p>
          <w:pPr>
            <w:pStyle w:val="Contents3"/>
            <w:tabs>
              <w:tab w:val="clear" w:pos="8459"/>
              <w:tab w:val="right" w:pos="9026" w:leader="dot"/>
            </w:tabs>
            <w:rPr/>
          </w:pPr>
          <w:hyperlink w:anchor="__RefHeading___Toc4623533_581953129">
            <w:r>
              <w:rPr>
                <w:webHidden/>
                <w:rStyle w:val="IndexLink"/>
                <w:rtl w:val="true"/>
              </w:rPr>
              <w:t>منابع فارسی</w:t>
            </w:r>
            <w:r>
              <w:rPr>
                <w:rStyle w:val="IndexLink"/>
                <w:rtl w:val="true"/>
              </w:rPr>
              <w:tab/>
            </w:r>
            <w:r>
              <w:rPr>
                <w:rStyle w:val="IndexLink"/>
              </w:rPr>
              <w:t>126</w:t>
            </w:r>
          </w:hyperlink>
        </w:p>
        <w:p>
          <w:pPr>
            <w:pStyle w:val="Contents3"/>
            <w:tabs>
              <w:tab w:val="clear" w:pos="8459"/>
              <w:tab w:val="right" w:pos="9026" w:leader="dot"/>
            </w:tabs>
            <w:rPr/>
          </w:pPr>
          <w:hyperlink w:anchor="__RefHeading___Toc4623535_581953129">
            <w:r>
              <w:rPr>
                <w:webHidden/>
                <w:rStyle w:val="IndexLink"/>
                <w:rtl w:val="true"/>
              </w:rPr>
              <w:t>منابع انگلیسی</w:t>
            </w:r>
            <w:r>
              <w:rPr>
                <w:rStyle w:val="IndexLink"/>
                <w:rtl w:val="true"/>
              </w:rPr>
              <w:tab/>
            </w:r>
            <w:r>
              <w:rPr>
                <w:rStyle w:val="IndexLink"/>
              </w:rPr>
              <w:t>126</w:t>
            </w:r>
          </w:hyperlink>
        </w:p>
        <w:p>
          <w:pPr>
            <w:pStyle w:val="Contents2"/>
            <w:tabs>
              <w:tab w:val="clear" w:pos="8743"/>
              <w:tab w:val="right" w:pos="9026" w:leader="dot"/>
            </w:tabs>
            <w:rPr/>
          </w:pPr>
          <w:hyperlink w:anchor="__RefHeading___Toc4623537_581953129">
            <w:r>
              <w:rPr>
                <w:webHidden/>
                <w:rStyle w:val="IndexLink"/>
                <w:rtl w:val="true"/>
              </w:rPr>
              <w:t xml:space="preserve">تحلیل متن‌شناسی زیارت‌نامة حضرت امام رضا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بر پایة نظریة کنش گفتار </w:t>
            </w:r>
            <w:r>
              <w:rPr>
                <w:rStyle w:val="IndexLink"/>
                <w:rtl w:val="true"/>
              </w:rPr>
              <w:t xml:space="preserve">/ </w:t>
            </w:r>
            <w:r>
              <w:rPr>
                <w:rStyle w:val="IndexLink"/>
                <w:rtl w:val="true"/>
              </w:rPr>
              <w:t>مهدی رجب‌زاده، محمدرضا پهلوان‌نژاد، محمدرضا فخر روحانی</w:t>
            </w:r>
            <w:r>
              <w:rPr>
                <w:rStyle w:val="IndexLink"/>
                <w:rtl w:val="true"/>
              </w:rPr>
              <w:tab/>
            </w:r>
            <w:r>
              <w:rPr>
                <w:rStyle w:val="IndexLink"/>
              </w:rPr>
              <w:t>129</w:t>
            </w:r>
          </w:hyperlink>
        </w:p>
        <w:p>
          <w:pPr>
            <w:pStyle w:val="Contents3"/>
            <w:tabs>
              <w:tab w:val="clear" w:pos="8459"/>
              <w:tab w:val="right" w:pos="9026" w:leader="dot"/>
            </w:tabs>
            <w:rPr/>
          </w:pPr>
          <w:hyperlink w:anchor="__RefHeading___Toc4623539_581953129">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4623541_581953129">
            <w:r>
              <w:rPr>
                <w:webHidden/>
                <w:rStyle w:val="IndexLink"/>
                <w:rtl w:val="true"/>
              </w:rPr>
              <w:t>چکیده</w:t>
            </w:r>
            <w:r>
              <w:rPr>
                <w:rStyle w:val="IndexLink"/>
                <w:rtl w:val="true"/>
              </w:rPr>
              <w:tab/>
            </w:r>
            <w:r>
              <w:rPr>
                <w:rStyle w:val="IndexLink"/>
              </w:rPr>
              <w:t>129</w:t>
            </w:r>
          </w:hyperlink>
        </w:p>
        <w:p>
          <w:pPr>
            <w:pStyle w:val="Contents3"/>
            <w:tabs>
              <w:tab w:val="clear" w:pos="8459"/>
              <w:tab w:val="right" w:pos="9026" w:leader="dot"/>
            </w:tabs>
            <w:rPr/>
          </w:pPr>
          <w:hyperlink w:anchor="__RefHeading___Toc4623543_581953129">
            <w:r>
              <w:rPr>
                <w:webHidden/>
                <w:rStyle w:val="IndexLink"/>
                <w:rtl w:val="true"/>
              </w:rPr>
              <w:t>کلیات</w:t>
            </w:r>
            <w:r>
              <w:rPr>
                <w:rStyle w:val="IndexLink"/>
                <w:rtl w:val="true"/>
              </w:rPr>
              <w:tab/>
            </w:r>
            <w:r>
              <w:rPr>
                <w:rStyle w:val="IndexLink"/>
              </w:rPr>
              <w:t>130</w:t>
            </w:r>
          </w:hyperlink>
        </w:p>
        <w:p>
          <w:pPr>
            <w:pStyle w:val="Contents3"/>
            <w:tabs>
              <w:tab w:val="clear" w:pos="8459"/>
              <w:tab w:val="right" w:pos="9026" w:leader="dot"/>
            </w:tabs>
            <w:rPr/>
          </w:pPr>
          <w:hyperlink w:anchor="__RefHeading___Toc4623545_581953129">
            <w:r>
              <w:rPr>
                <w:webHidden/>
                <w:rStyle w:val="IndexLink"/>
                <w:rtl w:val="true"/>
              </w:rPr>
              <w:t>پوزیتیویسم منطقی</w:t>
            </w:r>
            <w:r>
              <w:rPr>
                <w:rStyle w:val="IndexLink"/>
                <w:rtl w:val="true"/>
              </w:rPr>
              <w:tab/>
            </w:r>
            <w:r>
              <w:rPr>
                <w:rStyle w:val="IndexLink"/>
              </w:rPr>
              <w:t>130</w:t>
            </w:r>
          </w:hyperlink>
        </w:p>
        <w:p>
          <w:pPr>
            <w:pStyle w:val="Contents3"/>
            <w:tabs>
              <w:tab w:val="clear" w:pos="8459"/>
              <w:tab w:val="right" w:pos="9026" w:leader="dot"/>
            </w:tabs>
            <w:rPr/>
          </w:pPr>
          <w:hyperlink w:anchor="__RefHeading___Toc4623547_581953129">
            <w:r>
              <w:rPr>
                <w:webHidden/>
                <w:rStyle w:val="IndexLink"/>
                <w:rtl w:val="true"/>
              </w:rPr>
              <w:t xml:space="preserve">فلسفة زبان متعارف </w:t>
            </w:r>
            <w:r>
              <w:rPr>
                <w:rStyle w:val="IndexLink"/>
                <w:rtl w:val="true"/>
              </w:rPr>
              <w:t>(</w:t>
            </w:r>
            <w:r>
              <w:rPr>
                <w:rStyle w:val="IndexLink"/>
              </w:rPr>
              <w:t>Ordinary Language Philosophy</w:t>
            </w:r>
            <w:r>
              <w:rPr>
                <w:rStyle w:val="IndexLink"/>
                <w:rtl w:val="true"/>
              </w:rPr>
              <w:t>)</w:t>
              <w:tab/>
            </w:r>
            <w:r>
              <w:rPr>
                <w:rStyle w:val="IndexLink"/>
              </w:rPr>
              <w:t>131</w:t>
            </w:r>
          </w:hyperlink>
        </w:p>
        <w:p>
          <w:pPr>
            <w:pStyle w:val="Contents4"/>
            <w:tabs>
              <w:tab w:val="clear" w:pos="8176"/>
              <w:tab w:val="right" w:pos="9026" w:leader="dot"/>
            </w:tabs>
            <w:rPr/>
          </w:pPr>
          <w:hyperlink w:anchor="__RefHeading___Toc4623549_581953129">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4623551_581953129">
            <w:r>
              <w:rPr>
                <w:webHidden/>
                <w:rStyle w:val="IndexLink"/>
                <w:rtl w:val="true"/>
              </w:rPr>
              <w:t>نظریة کنش‌گفتار</w:t>
            </w:r>
            <w:r>
              <w:rPr>
                <w:rStyle w:val="IndexLink"/>
                <w:rtl w:val="true"/>
              </w:rPr>
              <w:t>(</w:t>
            </w:r>
            <w:r>
              <w:rPr>
                <w:rStyle w:val="IndexLink"/>
              </w:rPr>
              <w:t>Speech Act Theory</w:t>
            </w:r>
            <w:r>
              <w:rPr>
                <w:rStyle w:val="IndexLink"/>
                <w:rtl w:val="true"/>
              </w:rPr>
              <w:t>)</w:t>
              <w:tab/>
            </w:r>
            <w:r>
              <w:rPr>
                <w:rStyle w:val="IndexLink"/>
              </w:rPr>
              <w:t>132</w:t>
            </w:r>
          </w:hyperlink>
        </w:p>
        <w:p>
          <w:pPr>
            <w:pStyle w:val="Contents5"/>
            <w:tabs>
              <w:tab w:val="clear" w:pos="7892"/>
              <w:tab w:val="right" w:pos="9026" w:leader="dot"/>
            </w:tabs>
            <w:rPr/>
          </w:pPr>
          <w:hyperlink w:anchor="__RefHeading___Toc4623553_581953129">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4623555_581953129">
            <w:r>
              <w:rPr>
                <w:webHidden/>
                <w:rStyle w:val="IndexLink"/>
                <w:rtl w:val="true"/>
              </w:rPr>
              <w:t>ابعاد کنش‌های گفتار از دیدگاه آستین</w:t>
            </w:r>
            <w:r>
              <w:rPr>
                <w:rStyle w:val="IndexLink"/>
                <w:rtl w:val="true"/>
              </w:rPr>
              <w:tab/>
            </w:r>
            <w:r>
              <w:rPr>
                <w:rStyle w:val="IndexLink"/>
              </w:rPr>
              <w:t>133</w:t>
            </w:r>
          </w:hyperlink>
        </w:p>
        <w:p>
          <w:pPr>
            <w:pStyle w:val="Contents3"/>
            <w:tabs>
              <w:tab w:val="clear" w:pos="8459"/>
              <w:tab w:val="right" w:pos="9026" w:leader="dot"/>
            </w:tabs>
            <w:rPr/>
          </w:pPr>
          <w:hyperlink w:anchor="__RefHeading___Toc4623557_581953129">
            <w:r>
              <w:rPr>
                <w:webHidden/>
                <w:rStyle w:val="IndexLink"/>
                <w:rtl w:val="true"/>
              </w:rPr>
              <w:t>انواع کنش‌های گفتاری از دیدگاه سرل</w:t>
            </w:r>
            <w:r>
              <w:rPr>
                <w:rStyle w:val="IndexLink"/>
                <w:rtl w:val="true"/>
              </w:rPr>
              <w:tab/>
            </w:r>
            <w:r>
              <w:rPr>
                <w:rStyle w:val="IndexLink"/>
              </w:rPr>
              <w:t>134</w:t>
            </w:r>
          </w:hyperlink>
        </w:p>
        <w:p>
          <w:pPr>
            <w:pStyle w:val="Contents4"/>
            <w:tabs>
              <w:tab w:val="clear" w:pos="8176"/>
              <w:tab w:val="right" w:pos="9026" w:leader="dot"/>
            </w:tabs>
            <w:rPr/>
          </w:pPr>
          <w:hyperlink w:anchor="__RefHeading___Toc4623559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4623561_581953129">
            <w:r>
              <w:rPr>
                <w:webHidden/>
                <w:rStyle w:val="IndexLink"/>
              </w:rPr>
              <w:t>1</w:t>
            </w:r>
            <w:r>
              <w:rPr>
                <w:rStyle w:val="IndexLink"/>
                <w:rtl w:val="true"/>
              </w:rPr>
              <w:t xml:space="preserve">. </w:t>
            </w:r>
            <w:r>
              <w:rPr>
                <w:rStyle w:val="IndexLink"/>
                <w:rtl w:val="true"/>
              </w:rPr>
              <w:t xml:space="preserve">کنش اظهاری </w:t>
            </w:r>
            <w:r>
              <w:rPr>
                <w:rStyle w:val="IndexLink"/>
                <w:rtl w:val="true"/>
              </w:rPr>
              <w:t>(</w:t>
            </w:r>
            <w:r>
              <w:rPr>
                <w:rStyle w:val="IndexLink"/>
              </w:rPr>
              <w:t>Representative Act</w:t>
            </w:r>
            <w:r>
              <w:rPr>
                <w:rStyle w:val="IndexLink"/>
                <w:rtl w:val="true"/>
              </w:rPr>
              <w:t>)</w:t>
              <w:tab/>
            </w:r>
            <w:r>
              <w:rPr>
                <w:rStyle w:val="IndexLink"/>
              </w:rPr>
              <w:t>135</w:t>
            </w:r>
          </w:hyperlink>
        </w:p>
        <w:p>
          <w:pPr>
            <w:pStyle w:val="Contents4"/>
            <w:tabs>
              <w:tab w:val="clear" w:pos="8176"/>
              <w:tab w:val="right" w:pos="9026" w:leader="dot"/>
            </w:tabs>
            <w:rPr/>
          </w:pPr>
          <w:hyperlink w:anchor="__RefHeading___Toc4623563_581953129">
            <w:r>
              <w:rPr>
                <w:webHidden/>
                <w:rStyle w:val="IndexLink"/>
              </w:rPr>
              <w:t>2</w:t>
            </w:r>
            <w:r>
              <w:rPr>
                <w:rStyle w:val="IndexLink"/>
                <w:rtl w:val="true"/>
              </w:rPr>
              <w:t xml:space="preserve">. </w:t>
            </w:r>
            <w:r>
              <w:rPr>
                <w:rStyle w:val="IndexLink"/>
                <w:rtl w:val="true"/>
              </w:rPr>
              <w:t xml:space="preserve">کنش تعهدی </w:t>
            </w:r>
            <w:r>
              <w:rPr>
                <w:rStyle w:val="IndexLink"/>
                <w:rtl w:val="true"/>
              </w:rPr>
              <w:t>(</w:t>
            </w:r>
            <w:r>
              <w:rPr>
                <w:rStyle w:val="IndexLink"/>
              </w:rPr>
              <w:t>Commissive Act</w:t>
            </w:r>
            <w:r>
              <w:rPr>
                <w:rStyle w:val="IndexLink"/>
                <w:rtl w:val="true"/>
              </w:rPr>
              <w:t>)</w:t>
              <w:tab/>
            </w:r>
            <w:r>
              <w:rPr>
                <w:rStyle w:val="IndexLink"/>
              </w:rPr>
              <w:t>135</w:t>
            </w:r>
          </w:hyperlink>
        </w:p>
        <w:p>
          <w:pPr>
            <w:pStyle w:val="Contents4"/>
            <w:tabs>
              <w:tab w:val="clear" w:pos="8176"/>
              <w:tab w:val="right" w:pos="9026" w:leader="dot"/>
            </w:tabs>
            <w:rPr/>
          </w:pPr>
          <w:hyperlink w:anchor="__RefHeading___Toc4623565_581953129">
            <w:r>
              <w:rPr>
                <w:webHidden/>
                <w:rStyle w:val="IndexLink"/>
              </w:rPr>
              <w:t>3</w:t>
            </w:r>
            <w:r>
              <w:rPr>
                <w:rStyle w:val="IndexLink"/>
                <w:rtl w:val="true"/>
              </w:rPr>
              <w:t xml:space="preserve">. </w:t>
            </w:r>
            <w:r>
              <w:rPr>
                <w:rStyle w:val="IndexLink"/>
                <w:rtl w:val="true"/>
              </w:rPr>
              <w:t xml:space="preserve">کنش عاطفی </w:t>
            </w:r>
            <w:r>
              <w:rPr>
                <w:rStyle w:val="IndexLink"/>
                <w:rtl w:val="true"/>
              </w:rPr>
              <w:t>(</w:t>
            </w:r>
            <w:r>
              <w:rPr>
                <w:rStyle w:val="IndexLink"/>
              </w:rPr>
              <w:t>Expressive Act</w:t>
            </w:r>
            <w:r>
              <w:rPr>
                <w:rStyle w:val="IndexLink"/>
                <w:rtl w:val="true"/>
              </w:rPr>
              <w:t>)</w:t>
              <w:tab/>
            </w:r>
            <w:r>
              <w:rPr>
                <w:rStyle w:val="IndexLink"/>
              </w:rPr>
              <w:t>135</w:t>
            </w:r>
          </w:hyperlink>
        </w:p>
        <w:p>
          <w:pPr>
            <w:pStyle w:val="Contents4"/>
            <w:tabs>
              <w:tab w:val="clear" w:pos="8176"/>
              <w:tab w:val="right" w:pos="9026" w:leader="dot"/>
            </w:tabs>
            <w:rPr/>
          </w:pPr>
          <w:hyperlink w:anchor="__RefHeading___Toc4623567_581953129">
            <w:r>
              <w:rPr>
                <w:webHidden/>
                <w:rStyle w:val="IndexLink"/>
              </w:rPr>
              <w:t>4</w:t>
            </w:r>
            <w:r>
              <w:rPr>
                <w:rStyle w:val="IndexLink"/>
                <w:rtl w:val="true"/>
              </w:rPr>
              <w:t xml:space="preserve">. </w:t>
            </w:r>
            <w:r>
              <w:rPr>
                <w:rStyle w:val="IndexLink"/>
                <w:rtl w:val="true"/>
              </w:rPr>
              <w:t xml:space="preserve">کنش ترغیبی </w:t>
            </w:r>
            <w:r>
              <w:rPr>
                <w:rStyle w:val="IndexLink"/>
                <w:rtl w:val="true"/>
              </w:rPr>
              <w:t>(</w:t>
            </w:r>
            <w:r>
              <w:rPr>
                <w:rStyle w:val="IndexLink"/>
              </w:rPr>
              <w:t>Directive Act</w:t>
            </w:r>
            <w:r>
              <w:rPr>
                <w:rStyle w:val="IndexLink"/>
                <w:rtl w:val="true"/>
              </w:rPr>
              <w:t>)</w:t>
              <w:tab/>
            </w:r>
            <w:r>
              <w:rPr>
                <w:rStyle w:val="IndexLink"/>
              </w:rPr>
              <w:t>136</w:t>
            </w:r>
          </w:hyperlink>
        </w:p>
        <w:p>
          <w:pPr>
            <w:pStyle w:val="Contents4"/>
            <w:tabs>
              <w:tab w:val="clear" w:pos="8176"/>
              <w:tab w:val="right" w:pos="9026" w:leader="dot"/>
            </w:tabs>
            <w:rPr/>
          </w:pPr>
          <w:hyperlink w:anchor="__RefHeading___Toc4623569_581953129">
            <w:r>
              <w:rPr>
                <w:webHidden/>
                <w:rStyle w:val="IndexLink"/>
              </w:rPr>
              <w:t>5</w:t>
            </w:r>
            <w:r>
              <w:rPr>
                <w:rStyle w:val="IndexLink"/>
                <w:rtl w:val="true"/>
              </w:rPr>
              <w:t xml:space="preserve">. </w:t>
            </w:r>
            <w:r>
              <w:rPr>
                <w:rStyle w:val="IndexLink"/>
                <w:rtl w:val="true"/>
              </w:rPr>
              <w:t xml:space="preserve">کنش اعلامی </w:t>
            </w:r>
            <w:r>
              <w:rPr>
                <w:rStyle w:val="IndexLink"/>
                <w:rtl w:val="true"/>
              </w:rPr>
              <w:t>(</w:t>
            </w:r>
            <w:r>
              <w:rPr>
                <w:rStyle w:val="IndexLink"/>
              </w:rPr>
              <w:t>Declaration Act</w:t>
            </w:r>
            <w:r>
              <w:rPr>
                <w:rStyle w:val="IndexLink"/>
                <w:rtl w:val="true"/>
              </w:rPr>
              <w:t>)</w:t>
              <w:tab/>
            </w:r>
            <w:r>
              <w:rPr>
                <w:rStyle w:val="IndexLink"/>
              </w:rPr>
              <w:t>136</w:t>
            </w:r>
          </w:hyperlink>
        </w:p>
        <w:p>
          <w:pPr>
            <w:pStyle w:val="Contents3"/>
            <w:tabs>
              <w:tab w:val="clear" w:pos="8459"/>
              <w:tab w:val="right" w:pos="9026" w:leader="dot"/>
            </w:tabs>
            <w:rPr/>
          </w:pPr>
          <w:hyperlink w:anchor="__RefHeading___Toc4623571_581953129">
            <w:r>
              <w:rPr>
                <w:webHidden/>
                <w:rStyle w:val="IndexLink"/>
                <w:rtl w:val="true"/>
              </w:rPr>
              <w:t xml:space="preserve">تحلیل متن‌شناسی زیارت‌نامة حضرت امام رضا </w:t>
            </w:r>
            <w:r>
              <w:rPr>
                <w:rStyle w:val="IndexLink"/>
                <w:rtl w:val="true"/>
              </w:rPr>
              <w:t>(</w:t>
            </w:r>
            <w:r>
              <w:rPr>
                <w:rStyle w:val="IndexLink"/>
                <w:rtl w:val="true"/>
              </w:rPr>
              <w:t>علیه‌السلام</w:t>
            </w:r>
            <w:r>
              <w:rPr>
                <w:rStyle w:val="IndexLink"/>
                <w:rtl w:val="true"/>
              </w:rPr>
              <w:t xml:space="preserve">) </w:t>
            </w:r>
            <w:r>
              <w:rPr>
                <w:rStyle w:val="IndexLink"/>
                <w:rtl w:val="true"/>
              </w:rPr>
              <w:t>بر اساس کنش‌های گفتاری به‌کاررفته</w:t>
            </w:r>
            <w:r>
              <w:rPr>
                <w:rStyle w:val="IndexLink"/>
                <w:rtl w:val="true"/>
              </w:rPr>
              <w:tab/>
            </w:r>
            <w:r>
              <w:rPr>
                <w:rStyle w:val="IndexLink"/>
              </w:rPr>
              <w:t>137</w:t>
            </w:r>
          </w:hyperlink>
        </w:p>
        <w:p>
          <w:pPr>
            <w:pStyle w:val="Contents3"/>
            <w:tabs>
              <w:tab w:val="clear" w:pos="8459"/>
              <w:tab w:val="right" w:pos="9026" w:leader="dot"/>
            </w:tabs>
            <w:rPr/>
          </w:pPr>
          <w:hyperlink w:anchor="__RefHeading___Toc4623573_581953129">
            <w:r>
              <w:rPr>
                <w:webHidden/>
                <w:rStyle w:val="IndexLink"/>
                <w:rtl w:val="true"/>
              </w:rPr>
              <w:t>زیارت و زیارت‌نامه</w:t>
            </w:r>
            <w:r>
              <w:rPr>
                <w:rStyle w:val="IndexLink"/>
                <w:rtl w:val="true"/>
              </w:rPr>
              <w:tab/>
            </w:r>
            <w:r>
              <w:rPr>
                <w:rStyle w:val="IndexLink"/>
              </w:rPr>
              <w:t>137</w:t>
            </w:r>
          </w:hyperlink>
        </w:p>
        <w:p>
          <w:pPr>
            <w:pStyle w:val="Contents4"/>
            <w:tabs>
              <w:tab w:val="clear" w:pos="8176"/>
              <w:tab w:val="right" w:pos="9026" w:leader="dot"/>
            </w:tabs>
            <w:rPr/>
          </w:pPr>
          <w:hyperlink w:anchor="__RefHeading___Toc4623575_581953129">
            <w:r>
              <w:rPr>
                <w:webHidden/>
                <w:rStyle w:val="IndexLink"/>
                <w:rtl w:val="true"/>
              </w:rPr>
              <w:t>الف</w:t>
            </w:r>
            <w:r>
              <w:rPr>
                <w:rStyle w:val="IndexLink"/>
                <w:rtl w:val="true"/>
              </w:rPr>
              <w:t xml:space="preserve">) </w:t>
            </w:r>
            <w:r>
              <w:rPr>
                <w:rStyle w:val="IndexLink"/>
                <w:rtl w:val="true"/>
              </w:rPr>
              <w:t>زیارت</w:t>
            </w:r>
            <w:r>
              <w:rPr>
                <w:rStyle w:val="IndexLink"/>
                <w:rtl w:val="true"/>
              </w:rPr>
              <w:tab/>
            </w:r>
            <w:r>
              <w:rPr>
                <w:rStyle w:val="IndexLink"/>
              </w:rPr>
              <w:t>137</w:t>
            </w:r>
          </w:hyperlink>
        </w:p>
        <w:p>
          <w:pPr>
            <w:pStyle w:val="Contents4"/>
            <w:tabs>
              <w:tab w:val="clear" w:pos="8176"/>
              <w:tab w:val="right" w:pos="9026" w:leader="dot"/>
            </w:tabs>
            <w:rPr/>
          </w:pPr>
          <w:hyperlink w:anchor="__RefHeading___Toc4623577_581953129">
            <w:r>
              <w:rPr>
                <w:webHidden/>
                <w:rStyle w:val="IndexLink"/>
                <w:rtl w:val="true"/>
              </w:rPr>
              <w:t>ب</w:t>
            </w:r>
            <w:r>
              <w:rPr>
                <w:rStyle w:val="IndexLink"/>
                <w:rtl w:val="true"/>
              </w:rPr>
              <w:t xml:space="preserve">) </w:t>
            </w:r>
            <w:r>
              <w:rPr>
                <w:rStyle w:val="IndexLink"/>
                <w:rtl w:val="true"/>
              </w:rPr>
              <w:t>زیارت‌نامه‌ها</w:t>
            </w:r>
            <w:r>
              <w:rPr>
                <w:rStyle w:val="IndexLink"/>
                <w:rtl w:val="true"/>
              </w:rPr>
              <w:tab/>
            </w:r>
            <w:r>
              <w:rPr>
                <w:rStyle w:val="IndexLink"/>
              </w:rPr>
              <w:t>137</w:t>
            </w:r>
          </w:hyperlink>
        </w:p>
        <w:p>
          <w:pPr>
            <w:pStyle w:val="Contents5"/>
            <w:tabs>
              <w:tab w:val="clear" w:pos="7892"/>
              <w:tab w:val="right" w:pos="9026" w:leader="dot"/>
            </w:tabs>
            <w:rPr/>
          </w:pPr>
          <w:hyperlink w:anchor="__RefHeading___Toc4623579_581953129">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4623581_581953129">
            <w:r>
              <w:rPr>
                <w:webHidden/>
                <w:rStyle w:val="IndexLink"/>
                <w:rtl w:val="true"/>
              </w:rPr>
              <w:t>بخش اول</w:t>
            </w:r>
            <w:r>
              <w:rPr>
                <w:rStyle w:val="IndexLink"/>
                <w:rtl w:val="true"/>
              </w:rPr>
              <w:tab/>
            </w:r>
            <w:r>
              <w:rPr>
                <w:rStyle w:val="IndexLink"/>
              </w:rPr>
              <w:t>138</w:t>
            </w:r>
          </w:hyperlink>
        </w:p>
        <w:p>
          <w:pPr>
            <w:pStyle w:val="Contents5"/>
            <w:tabs>
              <w:tab w:val="clear" w:pos="7892"/>
              <w:tab w:val="right" w:pos="9026" w:leader="dot"/>
            </w:tabs>
            <w:rPr/>
          </w:pPr>
          <w:hyperlink w:anchor="__RefHeading___Toc4623583_581953129">
            <w:r>
              <w:rPr>
                <w:webHidden/>
                <w:rStyle w:val="IndexLink"/>
                <w:rtl w:val="true"/>
              </w:rPr>
              <w:t>بخش دوم</w:t>
            </w:r>
            <w:r>
              <w:rPr>
                <w:rStyle w:val="IndexLink"/>
                <w:rtl w:val="true"/>
              </w:rPr>
              <w:tab/>
            </w:r>
            <w:r>
              <w:rPr>
                <w:rStyle w:val="IndexLink"/>
              </w:rPr>
              <w:t>139</w:t>
            </w:r>
          </w:hyperlink>
        </w:p>
        <w:p>
          <w:pPr>
            <w:pStyle w:val="Contents5"/>
            <w:tabs>
              <w:tab w:val="clear" w:pos="7892"/>
              <w:tab w:val="right" w:pos="9026" w:leader="dot"/>
            </w:tabs>
            <w:rPr/>
          </w:pPr>
          <w:hyperlink w:anchor="__RefHeading___Toc4623585_581953129">
            <w:r>
              <w:rPr>
                <w:webHidden/>
                <w:rStyle w:val="IndexLink"/>
                <w:rtl w:val="true"/>
              </w:rPr>
              <w:t>بخش سوم</w:t>
            </w:r>
            <w:r>
              <w:rPr>
                <w:rStyle w:val="IndexLink"/>
                <w:rtl w:val="true"/>
              </w:rPr>
              <w:tab/>
            </w:r>
            <w:r>
              <w:rPr>
                <w:rStyle w:val="IndexLink"/>
              </w:rPr>
              <w:t>140</w:t>
            </w:r>
          </w:hyperlink>
        </w:p>
        <w:p>
          <w:pPr>
            <w:pStyle w:val="Contents5"/>
            <w:tabs>
              <w:tab w:val="clear" w:pos="7892"/>
              <w:tab w:val="right" w:pos="9026" w:leader="dot"/>
            </w:tabs>
            <w:rPr/>
          </w:pPr>
          <w:hyperlink w:anchor="__RefHeading___Toc4623587_581953129">
            <w:r>
              <w:rPr>
                <w:webHidden/>
                <w:rStyle w:val="IndexLink"/>
                <w:rtl w:val="true"/>
              </w:rPr>
              <w:t>بخش چهارم</w:t>
            </w:r>
            <w:r>
              <w:rPr>
                <w:rStyle w:val="IndexLink"/>
                <w:rtl w:val="true"/>
              </w:rPr>
              <w:tab/>
            </w:r>
            <w:r>
              <w:rPr>
                <w:rStyle w:val="IndexLink"/>
              </w:rPr>
              <w:t>141</w:t>
            </w:r>
          </w:hyperlink>
        </w:p>
        <w:p>
          <w:pPr>
            <w:pStyle w:val="Contents5"/>
            <w:tabs>
              <w:tab w:val="clear" w:pos="7892"/>
              <w:tab w:val="right" w:pos="9026" w:leader="dot"/>
            </w:tabs>
            <w:rPr/>
          </w:pPr>
          <w:hyperlink w:anchor="__RefHeading___Toc4623589_581953129">
            <w:r>
              <w:rPr>
                <w:webHidden/>
                <w:rStyle w:val="IndexLink"/>
                <w:rtl w:val="true"/>
              </w:rPr>
              <w:t>بخش پنجم</w:t>
            </w:r>
            <w:r>
              <w:rPr>
                <w:rStyle w:val="IndexLink"/>
                <w:rtl w:val="true"/>
              </w:rPr>
              <w:tab/>
            </w:r>
            <w:r>
              <w:rPr>
                <w:rStyle w:val="IndexLink"/>
              </w:rPr>
              <w:t>141</w:t>
            </w:r>
          </w:hyperlink>
        </w:p>
        <w:p>
          <w:pPr>
            <w:pStyle w:val="Contents5"/>
            <w:tabs>
              <w:tab w:val="clear" w:pos="7892"/>
              <w:tab w:val="right" w:pos="9026" w:leader="dot"/>
            </w:tabs>
            <w:rPr/>
          </w:pPr>
          <w:hyperlink w:anchor="__RefHeading___Toc4623591_581953129">
            <w:r>
              <w:rPr>
                <w:webHidden/>
                <w:rStyle w:val="IndexLink"/>
                <w:rtl w:val="true"/>
              </w:rPr>
              <w:t>بخش ششم</w:t>
            </w:r>
            <w:r>
              <w:rPr>
                <w:rStyle w:val="IndexLink"/>
                <w:rtl w:val="true"/>
              </w:rPr>
              <w:tab/>
            </w:r>
            <w:r>
              <w:rPr>
                <w:rStyle w:val="IndexLink"/>
              </w:rPr>
              <w:t>142</w:t>
            </w:r>
          </w:hyperlink>
        </w:p>
        <w:p>
          <w:pPr>
            <w:pStyle w:val="Contents5"/>
            <w:tabs>
              <w:tab w:val="clear" w:pos="7892"/>
              <w:tab w:val="right" w:pos="9026" w:leader="dot"/>
            </w:tabs>
            <w:rPr/>
          </w:pPr>
          <w:hyperlink w:anchor="__RefHeading___Toc4623593_581953129">
            <w:r>
              <w:rPr>
                <w:webHidden/>
                <w:rStyle w:val="IndexLink"/>
                <w:rtl w:val="true"/>
              </w:rPr>
              <w:t>بخش هفتم</w:t>
            </w:r>
            <w:r>
              <w:rPr>
                <w:rStyle w:val="IndexLink"/>
                <w:rtl w:val="true"/>
              </w:rPr>
              <w:tab/>
            </w:r>
            <w:r>
              <w:rPr>
                <w:rStyle w:val="IndexLink"/>
              </w:rPr>
              <w:t>142</w:t>
            </w:r>
          </w:hyperlink>
        </w:p>
        <w:p>
          <w:pPr>
            <w:pStyle w:val="Contents3"/>
            <w:tabs>
              <w:tab w:val="clear" w:pos="8459"/>
              <w:tab w:val="right" w:pos="9026" w:leader="dot"/>
            </w:tabs>
            <w:rPr/>
          </w:pPr>
          <w:hyperlink w:anchor="__RefHeading___Toc4623595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143</w:t>
            </w:r>
          </w:hyperlink>
        </w:p>
        <w:p>
          <w:pPr>
            <w:pStyle w:val="Contents3"/>
            <w:tabs>
              <w:tab w:val="clear" w:pos="8459"/>
              <w:tab w:val="right" w:pos="9026" w:leader="dot"/>
            </w:tabs>
            <w:rPr/>
          </w:pPr>
          <w:hyperlink w:anchor="__RefHeading___Toc4623597_581953129">
            <w:r>
              <w:rPr>
                <w:webHidden/>
                <w:rStyle w:val="IndexLink"/>
                <w:rtl w:val="true"/>
              </w:rPr>
              <w:t>منابع فارسی</w:t>
            </w:r>
            <w:r>
              <w:rPr>
                <w:rStyle w:val="IndexLink"/>
                <w:rtl w:val="true"/>
              </w:rPr>
              <w:tab/>
            </w:r>
            <w:r>
              <w:rPr>
                <w:rStyle w:val="IndexLink"/>
              </w:rPr>
              <w:t>147</w:t>
            </w:r>
          </w:hyperlink>
        </w:p>
        <w:p>
          <w:pPr>
            <w:pStyle w:val="Contents3"/>
            <w:tabs>
              <w:tab w:val="clear" w:pos="8459"/>
              <w:tab w:val="right" w:pos="9026" w:leader="dot"/>
            </w:tabs>
            <w:rPr/>
          </w:pPr>
          <w:hyperlink w:anchor="__RefHeading___Toc4623599_581953129">
            <w:r>
              <w:rPr>
                <w:webHidden/>
                <w:rStyle w:val="IndexLink"/>
                <w:rtl w:val="true"/>
              </w:rPr>
              <w:t>منابع انگلیسی</w:t>
            </w:r>
            <w:r>
              <w:rPr>
                <w:rStyle w:val="IndexLink"/>
                <w:rtl w:val="true"/>
              </w:rPr>
              <w:tab/>
            </w:r>
            <w:r>
              <w:rPr>
                <w:rStyle w:val="IndexLink"/>
              </w:rPr>
              <w:t>148</w:t>
            </w:r>
          </w:hyperlink>
        </w:p>
        <w:p>
          <w:pPr>
            <w:pStyle w:val="Contents2"/>
            <w:tabs>
              <w:tab w:val="clear" w:pos="8743"/>
              <w:tab w:val="right" w:pos="9026" w:leader="dot"/>
            </w:tabs>
            <w:rPr/>
          </w:pPr>
          <w:hyperlink w:anchor="__RefHeading___Toc4623601_581953129">
            <w:r>
              <w:rPr>
                <w:webHidden/>
                <w:rStyle w:val="IndexLink"/>
                <w:rtl w:val="true"/>
              </w:rPr>
              <w:t xml:space="preserve">اعتبار معرفت‌شناختی خبر واحد در اعتقادات دینی </w:t>
            </w:r>
            <w:r>
              <w:rPr>
                <w:rStyle w:val="IndexLink"/>
                <w:rtl w:val="true"/>
              </w:rPr>
              <w:t xml:space="preserve">/ </w:t>
            </w:r>
            <w:r>
              <w:rPr>
                <w:rStyle w:val="IndexLink"/>
                <w:rtl w:val="true"/>
              </w:rPr>
              <w:t>محمد حسین‌زاده، عبدالله محمدی</w:t>
            </w:r>
            <w:r>
              <w:rPr>
                <w:rStyle w:val="IndexLink"/>
                <w:rtl w:val="true"/>
              </w:rPr>
              <w:tab/>
            </w:r>
            <w:r>
              <w:rPr>
                <w:rStyle w:val="IndexLink"/>
              </w:rPr>
              <w:t>150</w:t>
            </w:r>
          </w:hyperlink>
        </w:p>
        <w:p>
          <w:pPr>
            <w:pStyle w:val="Contents3"/>
            <w:tabs>
              <w:tab w:val="clear" w:pos="8459"/>
              <w:tab w:val="right" w:pos="9026" w:leader="dot"/>
            </w:tabs>
            <w:rPr/>
          </w:pPr>
          <w:hyperlink w:anchor="__RefHeading___Toc4623603_581953129">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4623605_581953129">
            <w:r>
              <w:rPr>
                <w:webHidden/>
                <w:rStyle w:val="IndexLink"/>
                <w:rtl w:val="true"/>
              </w:rPr>
              <w:t>چکیده</w:t>
            </w:r>
            <w:r>
              <w:rPr>
                <w:rStyle w:val="IndexLink"/>
                <w:rtl w:val="true"/>
              </w:rPr>
              <w:tab/>
            </w:r>
            <w:r>
              <w:rPr>
                <w:rStyle w:val="IndexLink"/>
              </w:rPr>
              <w:t>150</w:t>
            </w:r>
          </w:hyperlink>
        </w:p>
        <w:p>
          <w:pPr>
            <w:pStyle w:val="Contents3"/>
            <w:tabs>
              <w:tab w:val="clear" w:pos="8459"/>
              <w:tab w:val="right" w:pos="9026" w:leader="dot"/>
            </w:tabs>
            <w:rPr/>
          </w:pPr>
          <w:hyperlink w:anchor="__RefHeading___Toc4623607_581953129">
            <w:r>
              <w:rPr>
                <w:webHidden/>
                <w:rStyle w:val="IndexLink"/>
                <w:rtl w:val="true"/>
              </w:rPr>
              <w:t>مقدمه</w:t>
            </w:r>
            <w:r>
              <w:rPr>
                <w:rStyle w:val="IndexLink"/>
                <w:rtl w:val="true"/>
              </w:rPr>
              <w:tab/>
            </w:r>
            <w:r>
              <w:rPr>
                <w:rStyle w:val="IndexLink"/>
              </w:rPr>
              <w:t>151</w:t>
            </w:r>
          </w:hyperlink>
        </w:p>
        <w:p>
          <w:pPr>
            <w:pStyle w:val="Contents3"/>
            <w:tabs>
              <w:tab w:val="clear" w:pos="8459"/>
              <w:tab w:val="right" w:pos="9026" w:leader="dot"/>
            </w:tabs>
            <w:rPr/>
          </w:pPr>
          <w:hyperlink w:anchor="__RefHeading___Toc4623609_581953129">
            <w:r>
              <w:rPr>
                <w:webHidden/>
                <w:rStyle w:val="IndexLink"/>
                <w:rtl w:val="true"/>
              </w:rPr>
              <w:t>دو نوع رویکرد به اصول عقاید</w:t>
            </w:r>
            <w:r>
              <w:rPr>
                <w:rStyle w:val="IndexLink"/>
                <w:rtl w:val="true"/>
              </w:rPr>
              <w:tab/>
            </w:r>
            <w:r>
              <w:rPr>
                <w:rStyle w:val="IndexLink"/>
              </w:rPr>
              <w:t>151</w:t>
            </w:r>
          </w:hyperlink>
        </w:p>
        <w:p>
          <w:pPr>
            <w:pStyle w:val="Contents3"/>
            <w:tabs>
              <w:tab w:val="clear" w:pos="8459"/>
              <w:tab w:val="right" w:pos="9026" w:leader="dot"/>
            </w:tabs>
            <w:rPr/>
          </w:pPr>
          <w:hyperlink w:anchor="__RefHeading___Toc4623611_581953129">
            <w:r>
              <w:rPr>
                <w:webHidden/>
                <w:rStyle w:val="IndexLink"/>
                <w:rtl w:val="true"/>
              </w:rPr>
              <w:t>اقسام خبر واحد</w:t>
            </w:r>
            <w:r>
              <w:rPr>
                <w:rStyle w:val="IndexLink"/>
                <w:rtl w:val="true"/>
              </w:rPr>
              <w:tab/>
            </w:r>
            <w:r>
              <w:rPr>
                <w:rStyle w:val="IndexLink"/>
              </w:rPr>
              <w:t>154</w:t>
            </w:r>
          </w:hyperlink>
        </w:p>
        <w:p>
          <w:pPr>
            <w:pStyle w:val="Contents3"/>
            <w:tabs>
              <w:tab w:val="clear" w:pos="8459"/>
              <w:tab w:val="right" w:pos="9026" w:leader="dot"/>
            </w:tabs>
            <w:rPr/>
          </w:pPr>
          <w:hyperlink w:anchor="__RefHeading___Toc4623613_581953129">
            <w:r>
              <w:rPr>
                <w:webHidden/>
                <w:rStyle w:val="IndexLink"/>
                <w:rtl w:val="true"/>
              </w:rPr>
              <w:t>ارزش معرفت‌شناختی خبر واحد</w:t>
            </w:r>
            <w:r>
              <w:rPr>
                <w:rStyle w:val="IndexLink"/>
                <w:rtl w:val="true"/>
              </w:rPr>
              <w:tab/>
            </w:r>
            <w:r>
              <w:rPr>
                <w:rStyle w:val="IndexLink"/>
              </w:rPr>
              <w:t>154</w:t>
            </w:r>
          </w:hyperlink>
        </w:p>
        <w:p>
          <w:pPr>
            <w:pStyle w:val="Contents3"/>
            <w:tabs>
              <w:tab w:val="clear" w:pos="8459"/>
              <w:tab w:val="right" w:pos="9026" w:leader="dot"/>
            </w:tabs>
            <w:rPr/>
          </w:pPr>
          <w:hyperlink w:anchor="__RefHeading___Toc4623615_581953129">
            <w:r>
              <w:rPr>
                <w:webHidden/>
                <w:rStyle w:val="IndexLink"/>
                <w:rtl w:val="true"/>
              </w:rPr>
              <w:t>ادلة مخالفان اعتبار خبر واحد در عقاید دینی</w:t>
            </w:r>
            <w:r>
              <w:rPr>
                <w:rStyle w:val="IndexLink"/>
                <w:rtl w:val="true"/>
              </w:rPr>
              <w:tab/>
            </w:r>
            <w:r>
              <w:rPr>
                <w:rStyle w:val="IndexLink"/>
              </w:rPr>
              <w:t>156</w:t>
            </w:r>
          </w:hyperlink>
        </w:p>
        <w:p>
          <w:pPr>
            <w:pStyle w:val="Contents4"/>
            <w:tabs>
              <w:tab w:val="clear" w:pos="8176"/>
              <w:tab w:val="right" w:pos="9026" w:leader="dot"/>
            </w:tabs>
            <w:rPr/>
          </w:pPr>
          <w:hyperlink w:anchor="__RefHeading___Toc4623617_581953129">
            <w:r>
              <w:rPr>
                <w:webHidden/>
                <w:rStyle w:val="IndexLink"/>
                <w:rtl w:val="true"/>
              </w:rPr>
              <w:t>دلیل اول</w:t>
            </w:r>
            <w:r>
              <w:rPr>
                <w:rStyle w:val="IndexLink"/>
                <w:rtl w:val="true"/>
              </w:rPr>
              <w:t xml:space="preserve">: </w:t>
            </w:r>
            <w:r>
              <w:rPr>
                <w:rStyle w:val="IndexLink"/>
                <w:rtl w:val="true"/>
              </w:rPr>
              <w:t>مفید علم نبودن خبر واحد</w:t>
            </w:r>
            <w:r>
              <w:rPr>
                <w:rStyle w:val="IndexLink"/>
                <w:rtl w:val="true"/>
              </w:rPr>
              <w:tab/>
            </w:r>
            <w:r>
              <w:rPr>
                <w:rStyle w:val="IndexLink"/>
              </w:rPr>
              <w:t>156</w:t>
            </w:r>
          </w:hyperlink>
        </w:p>
        <w:p>
          <w:pPr>
            <w:pStyle w:val="Contents5"/>
            <w:tabs>
              <w:tab w:val="clear" w:pos="7892"/>
              <w:tab w:val="right" w:pos="9026" w:leader="dot"/>
            </w:tabs>
            <w:rPr/>
          </w:pPr>
          <w:hyperlink w:anchor="__RefHeading___Toc4623619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4623621_581953129">
            <w:r>
              <w:rPr>
                <w:webHidden/>
                <w:rStyle w:val="IndexLink"/>
                <w:rtl w:val="true"/>
              </w:rPr>
              <w:t>نقد و بررسی دلیل اول</w:t>
            </w:r>
            <w:r>
              <w:rPr>
                <w:rStyle w:val="IndexLink"/>
                <w:rtl w:val="true"/>
              </w:rPr>
              <w:tab/>
            </w:r>
            <w:r>
              <w:rPr>
                <w:rStyle w:val="IndexLink"/>
              </w:rPr>
              <w:t>157</w:t>
            </w:r>
          </w:hyperlink>
        </w:p>
        <w:p>
          <w:pPr>
            <w:pStyle w:val="Contents4"/>
            <w:tabs>
              <w:tab w:val="clear" w:pos="8176"/>
              <w:tab w:val="right" w:pos="9026" w:leader="dot"/>
            </w:tabs>
            <w:rPr/>
          </w:pPr>
          <w:hyperlink w:anchor="__RefHeading___Toc4623623_581953129">
            <w:r>
              <w:rPr>
                <w:webHidden/>
                <w:rStyle w:val="IndexLink"/>
                <w:rtl w:val="true"/>
              </w:rPr>
              <w:t>دلیل دوم</w:t>
            </w:r>
            <w:r>
              <w:rPr>
                <w:rStyle w:val="IndexLink"/>
                <w:rtl w:val="true"/>
              </w:rPr>
              <w:t xml:space="preserve">: </w:t>
            </w:r>
            <w:r>
              <w:rPr>
                <w:rStyle w:val="IndexLink"/>
                <w:rtl w:val="true"/>
              </w:rPr>
              <w:t>قیاس اولویت</w:t>
            </w:r>
            <w:r>
              <w:rPr>
                <w:rStyle w:val="IndexLink"/>
                <w:rtl w:val="true"/>
              </w:rPr>
              <w:tab/>
            </w:r>
            <w:r>
              <w:rPr>
                <w:rStyle w:val="IndexLink"/>
              </w:rPr>
              <w:t>157</w:t>
            </w:r>
          </w:hyperlink>
        </w:p>
        <w:p>
          <w:pPr>
            <w:pStyle w:val="Contents5"/>
            <w:tabs>
              <w:tab w:val="clear" w:pos="7892"/>
              <w:tab w:val="right" w:pos="9026" w:leader="dot"/>
            </w:tabs>
            <w:rPr/>
          </w:pPr>
          <w:hyperlink w:anchor="__RefHeading___Toc4623625_581953129">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4623627_581953129">
            <w:r>
              <w:rPr>
                <w:webHidden/>
                <w:rStyle w:val="IndexLink"/>
                <w:rtl w:val="true"/>
              </w:rPr>
              <w:t>نقد و بررسی دلیل دوم</w:t>
            </w:r>
            <w:r>
              <w:rPr>
                <w:rStyle w:val="IndexLink"/>
                <w:rtl w:val="true"/>
              </w:rPr>
              <w:tab/>
            </w:r>
            <w:r>
              <w:rPr>
                <w:rStyle w:val="IndexLink"/>
              </w:rPr>
              <w:t>157</w:t>
            </w:r>
          </w:hyperlink>
        </w:p>
        <w:p>
          <w:pPr>
            <w:pStyle w:val="Contents4"/>
            <w:tabs>
              <w:tab w:val="clear" w:pos="8176"/>
              <w:tab w:val="right" w:pos="9026" w:leader="dot"/>
            </w:tabs>
            <w:rPr/>
          </w:pPr>
          <w:hyperlink w:anchor="__RefHeading___Toc4623629_581953129">
            <w:r>
              <w:rPr>
                <w:webHidden/>
                <w:rStyle w:val="IndexLink"/>
                <w:rtl w:val="true"/>
              </w:rPr>
              <w:t>دلیل سوم</w:t>
            </w:r>
            <w:r>
              <w:rPr>
                <w:rStyle w:val="IndexLink"/>
                <w:rtl w:val="true"/>
              </w:rPr>
              <w:t xml:space="preserve">: </w:t>
            </w:r>
            <w:r>
              <w:rPr>
                <w:rStyle w:val="IndexLink"/>
                <w:rtl w:val="true"/>
              </w:rPr>
              <w:t>اثر شرعی نداشتن خبر واحد</w:t>
            </w:r>
            <w:r>
              <w:rPr>
                <w:rStyle w:val="IndexLink"/>
                <w:rtl w:val="true"/>
              </w:rPr>
              <w:tab/>
            </w:r>
            <w:r>
              <w:rPr>
                <w:rStyle w:val="IndexLink"/>
              </w:rPr>
              <w:t>158</w:t>
            </w:r>
          </w:hyperlink>
        </w:p>
        <w:p>
          <w:pPr>
            <w:pStyle w:val="Contents5"/>
            <w:tabs>
              <w:tab w:val="clear" w:pos="7892"/>
              <w:tab w:val="right" w:pos="9026" w:leader="dot"/>
            </w:tabs>
            <w:rPr/>
          </w:pPr>
          <w:hyperlink w:anchor="__RefHeading___Toc4623631_58195312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4623633_581953129">
            <w:r>
              <w:rPr>
                <w:webHidden/>
                <w:rStyle w:val="IndexLink"/>
                <w:rtl w:val="true"/>
              </w:rPr>
              <w:t>تقریر اول</w:t>
            </w:r>
            <w:r>
              <w:rPr>
                <w:rStyle w:val="IndexLink"/>
                <w:rtl w:val="true"/>
              </w:rPr>
              <w:tab/>
            </w:r>
            <w:r>
              <w:rPr>
                <w:rStyle w:val="IndexLink"/>
              </w:rPr>
              <w:t>158</w:t>
            </w:r>
          </w:hyperlink>
        </w:p>
        <w:p>
          <w:pPr>
            <w:pStyle w:val="Contents6"/>
            <w:tabs>
              <w:tab w:val="clear" w:pos="7609"/>
              <w:tab w:val="right" w:pos="9026" w:leader="dot"/>
            </w:tabs>
            <w:rPr/>
          </w:pPr>
          <w:hyperlink w:anchor="__RefHeading___Toc4623635_581953129">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623637_581953129">
            <w:r>
              <w:rPr>
                <w:webHidden/>
                <w:rStyle w:val="IndexLink"/>
                <w:rtl w:val="true"/>
              </w:rPr>
              <w:t>نقد تقریر اول</w:t>
            </w:r>
            <w:r>
              <w:rPr>
                <w:rStyle w:val="IndexLink"/>
                <w:rtl w:val="true"/>
              </w:rPr>
              <w:tab/>
            </w:r>
            <w:r>
              <w:rPr>
                <w:rStyle w:val="IndexLink"/>
              </w:rPr>
              <w:t>159</w:t>
            </w:r>
          </w:hyperlink>
        </w:p>
        <w:p>
          <w:pPr>
            <w:pStyle w:val="Contents5"/>
            <w:tabs>
              <w:tab w:val="clear" w:pos="7892"/>
              <w:tab w:val="right" w:pos="9026" w:leader="dot"/>
            </w:tabs>
            <w:rPr/>
          </w:pPr>
          <w:hyperlink w:anchor="__RefHeading___Toc4623639_581953129">
            <w:r>
              <w:rPr>
                <w:webHidden/>
                <w:rStyle w:val="IndexLink"/>
                <w:rtl w:val="true"/>
              </w:rPr>
              <w:t>تقریر دوم</w:t>
            </w:r>
            <w:r>
              <w:rPr>
                <w:rStyle w:val="IndexLink"/>
                <w:rtl w:val="true"/>
              </w:rPr>
              <w:tab/>
            </w:r>
            <w:r>
              <w:rPr>
                <w:rStyle w:val="IndexLink"/>
              </w:rPr>
              <w:t>161</w:t>
            </w:r>
          </w:hyperlink>
        </w:p>
        <w:p>
          <w:pPr>
            <w:pStyle w:val="Contents6"/>
            <w:tabs>
              <w:tab w:val="clear" w:pos="7609"/>
              <w:tab w:val="right" w:pos="9026" w:leader="dot"/>
            </w:tabs>
            <w:rPr/>
          </w:pPr>
          <w:hyperlink w:anchor="__RefHeading___Toc4623641_581953129">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4623643_581953129">
            <w:r>
              <w:rPr>
                <w:webHidden/>
                <w:rStyle w:val="IndexLink"/>
                <w:rtl w:val="true"/>
              </w:rPr>
              <w:t>نقد نظریة علامه طباطبایی</w:t>
            </w:r>
            <w:r>
              <w:rPr>
                <w:rStyle w:val="IndexLink"/>
                <w:rtl w:val="true"/>
              </w:rPr>
              <w:t>(</w:t>
            </w:r>
            <w:r>
              <w:rPr>
                <w:rStyle w:val="IndexLink"/>
                <w:rtl w:val="true"/>
              </w:rPr>
              <w:t>ره</w:t>
            </w:r>
            <w:r>
              <w:rPr>
                <w:rStyle w:val="IndexLink"/>
                <w:rtl w:val="true"/>
              </w:rPr>
              <w:t xml:space="preserve">) </w:t>
            </w:r>
            <w:r>
              <w:rPr>
                <w:rStyle w:val="IndexLink"/>
                <w:rtl w:val="true"/>
              </w:rPr>
              <w:t>بر مبنای برگزیدة این نوشتار</w:t>
            </w:r>
            <w:r>
              <w:rPr>
                <w:rStyle w:val="IndexLink"/>
                <w:rtl w:val="true"/>
              </w:rPr>
              <w:tab/>
            </w:r>
            <w:r>
              <w:rPr>
                <w:rStyle w:val="IndexLink"/>
              </w:rPr>
              <w:t>162</w:t>
            </w:r>
          </w:hyperlink>
        </w:p>
        <w:p>
          <w:pPr>
            <w:pStyle w:val="Contents6"/>
            <w:tabs>
              <w:tab w:val="clear" w:pos="7609"/>
              <w:tab w:val="right" w:pos="9026" w:leader="dot"/>
            </w:tabs>
            <w:rPr/>
          </w:pPr>
          <w:hyperlink w:anchor="__RefHeading___Toc4623645_581953129">
            <w:r>
              <w:rPr>
                <w:webHidden/>
                <w:rStyle w:val="IndexLink"/>
                <w:rtl w:val="true"/>
              </w:rPr>
              <w:t>نقد نظریة علامه براساس مبنای مشهور</w:t>
            </w:r>
            <w:r>
              <w:rPr>
                <w:rStyle w:val="IndexLink"/>
                <w:rtl w:val="true"/>
              </w:rPr>
              <w:tab/>
            </w:r>
            <w:r>
              <w:rPr>
                <w:rStyle w:val="IndexLink"/>
              </w:rPr>
              <w:t>163</w:t>
            </w:r>
          </w:hyperlink>
        </w:p>
        <w:p>
          <w:pPr>
            <w:pStyle w:val="Contents4"/>
            <w:tabs>
              <w:tab w:val="clear" w:pos="8176"/>
              <w:tab w:val="right" w:pos="9026" w:leader="dot"/>
            </w:tabs>
            <w:rPr/>
          </w:pPr>
          <w:hyperlink w:anchor="__RefHeading___Toc4623647_581953129">
            <w:r>
              <w:rPr>
                <w:webHidden/>
                <w:rStyle w:val="IndexLink"/>
                <w:rtl w:val="true"/>
              </w:rPr>
              <w:t>دلیل چهارم</w:t>
            </w:r>
            <w:r>
              <w:rPr>
                <w:rStyle w:val="IndexLink"/>
                <w:rtl w:val="true"/>
              </w:rPr>
              <w:t xml:space="preserve">: </w:t>
            </w:r>
            <w:r>
              <w:rPr>
                <w:rStyle w:val="IndexLink"/>
                <w:rtl w:val="true"/>
              </w:rPr>
              <w:t>غیرتعبدی بودن امور اعتقادی</w:t>
            </w:r>
            <w:r>
              <w:rPr>
                <w:rStyle w:val="IndexLink"/>
                <w:rtl w:val="true"/>
              </w:rPr>
              <w:tab/>
            </w:r>
            <w:r>
              <w:rPr>
                <w:rStyle w:val="IndexLink"/>
              </w:rPr>
              <w:t>164</w:t>
            </w:r>
          </w:hyperlink>
        </w:p>
        <w:p>
          <w:pPr>
            <w:pStyle w:val="Contents5"/>
            <w:tabs>
              <w:tab w:val="clear" w:pos="7892"/>
              <w:tab w:val="right" w:pos="9026" w:leader="dot"/>
            </w:tabs>
            <w:rPr/>
          </w:pPr>
          <w:hyperlink w:anchor="__RefHeading___Toc4623649_58195312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4623651_581953129">
            <w:r>
              <w:rPr>
                <w:webHidden/>
                <w:rStyle w:val="IndexLink"/>
                <w:rtl w:val="true"/>
              </w:rPr>
              <w:t>نقد دلیل چهارم</w:t>
            </w:r>
            <w:r>
              <w:rPr>
                <w:rStyle w:val="IndexLink"/>
                <w:rtl w:val="true"/>
              </w:rPr>
              <w:tab/>
            </w:r>
            <w:r>
              <w:rPr>
                <w:rStyle w:val="IndexLink"/>
              </w:rPr>
              <w:t>165</w:t>
            </w:r>
          </w:hyperlink>
        </w:p>
        <w:p>
          <w:pPr>
            <w:pStyle w:val="Contents6"/>
            <w:tabs>
              <w:tab w:val="clear" w:pos="7609"/>
              <w:tab w:val="right" w:pos="9026" w:leader="dot"/>
            </w:tabs>
            <w:rPr/>
          </w:pPr>
          <w:hyperlink w:anchor="__RefHeading___Toc4623653_581953129">
            <w:r>
              <w:rPr>
                <w:webHidden/>
                <w:rStyle w:val="IndexLink"/>
                <w:rtl w:val="true"/>
              </w:rPr>
              <w:t>نقد اول</w:t>
            </w:r>
            <w:r>
              <w:rPr>
                <w:rStyle w:val="IndexLink"/>
                <w:rtl w:val="true"/>
              </w:rPr>
              <w:tab/>
            </w:r>
            <w:r>
              <w:rPr>
                <w:rStyle w:val="IndexLink"/>
              </w:rPr>
              <w:t>165</w:t>
            </w:r>
          </w:hyperlink>
        </w:p>
        <w:p>
          <w:pPr>
            <w:pStyle w:val="Contents6"/>
            <w:tabs>
              <w:tab w:val="clear" w:pos="7609"/>
              <w:tab w:val="right" w:pos="9026" w:leader="dot"/>
            </w:tabs>
            <w:rPr/>
          </w:pPr>
          <w:hyperlink w:anchor="__RefHeading___Toc4623655_581953129">
            <w:r>
              <w:rPr>
                <w:webHidden/>
                <w:rStyle w:val="IndexLink"/>
                <w:rtl w:val="true"/>
              </w:rPr>
              <w:t>نقد دوم</w:t>
            </w:r>
            <w:r>
              <w:rPr>
                <w:rStyle w:val="IndexLink"/>
                <w:rtl w:val="true"/>
              </w:rPr>
              <w:tab/>
            </w:r>
            <w:r>
              <w:rPr>
                <w:rStyle w:val="IndexLink"/>
              </w:rPr>
              <w:t>166</w:t>
            </w:r>
          </w:hyperlink>
        </w:p>
        <w:p>
          <w:pPr>
            <w:pStyle w:val="Contents6"/>
            <w:tabs>
              <w:tab w:val="clear" w:pos="7609"/>
              <w:tab w:val="right" w:pos="9026" w:leader="dot"/>
            </w:tabs>
            <w:rPr/>
          </w:pPr>
          <w:hyperlink w:anchor="__RefHeading___Toc4623657_581953129">
            <w:r>
              <w:rPr>
                <w:webHidden/>
                <w:rStyle w:val="IndexLink"/>
                <w:rtl w:val="true"/>
              </w:rPr>
              <w:t>نقد سوم</w:t>
            </w:r>
            <w:r>
              <w:rPr>
                <w:rStyle w:val="IndexLink"/>
                <w:rtl w:val="true"/>
              </w:rPr>
              <w:tab/>
            </w:r>
            <w:r>
              <w:rPr>
                <w:rStyle w:val="IndexLink"/>
              </w:rPr>
              <w:t>167</w:t>
            </w:r>
          </w:hyperlink>
        </w:p>
        <w:p>
          <w:pPr>
            <w:pStyle w:val="Contents6"/>
            <w:tabs>
              <w:tab w:val="clear" w:pos="7609"/>
              <w:tab w:val="right" w:pos="9026" w:leader="dot"/>
            </w:tabs>
            <w:rPr/>
          </w:pPr>
          <w:hyperlink w:anchor="__RefHeading___Toc4623659_581953129">
            <w:r>
              <w:rPr>
                <w:webHidden/>
                <w:rStyle w:val="IndexLink"/>
                <w:rtl w:val="true"/>
              </w:rPr>
              <w:t>نقد چهارم</w:t>
            </w:r>
            <w:r>
              <w:rPr>
                <w:rStyle w:val="IndexLink"/>
                <w:rtl w:val="true"/>
              </w:rPr>
              <w:tab/>
            </w:r>
            <w:r>
              <w:rPr>
                <w:rStyle w:val="IndexLink"/>
              </w:rPr>
              <w:t>167</w:t>
            </w:r>
          </w:hyperlink>
        </w:p>
        <w:p>
          <w:pPr>
            <w:pStyle w:val="Contents5"/>
            <w:tabs>
              <w:tab w:val="clear" w:pos="7892"/>
              <w:tab w:val="right" w:pos="9026" w:leader="dot"/>
            </w:tabs>
            <w:rPr/>
          </w:pPr>
          <w:hyperlink w:anchor="__RefHeading___Toc4623661_581953129">
            <w:r>
              <w:rPr>
                <w:webHidden/>
                <w:rStyle w:val="IndexLink"/>
                <w:rtl w:val="true"/>
              </w:rPr>
              <w:t>دیدگاه آیت‌الله مصباح یزدی</w:t>
            </w:r>
            <w:r>
              <w:rPr>
                <w:rStyle w:val="IndexLink"/>
                <w:rtl w:val="true"/>
              </w:rPr>
              <w:tab/>
            </w:r>
            <w:r>
              <w:rPr>
                <w:rStyle w:val="IndexLink"/>
              </w:rPr>
              <w:t>167</w:t>
            </w:r>
          </w:hyperlink>
        </w:p>
        <w:p>
          <w:pPr>
            <w:pStyle w:val="Contents6"/>
            <w:tabs>
              <w:tab w:val="clear" w:pos="7609"/>
              <w:tab w:val="right" w:pos="9026" w:leader="dot"/>
            </w:tabs>
            <w:rPr/>
          </w:pPr>
          <w:hyperlink w:anchor="__RefHeading___Toc4623663_581953129">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4623665_581953129">
            <w:r>
              <w:rPr>
                <w:webHidden/>
                <w:rStyle w:val="IndexLink"/>
                <w:rtl w:val="true"/>
              </w:rPr>
              <w:t>بررسی دیدگاه آیت الله مصباح</w:t>
            </w:r>
            <w:r>
              <w:rPr>
                <w:rStyle w:val="IndexLink"/>
                <w:rtl w:val="true"/>
              </w:rPr>
              <w:tab/>
            </w:r>
            <w:r>
              <w:rPr>
                <w:rStyle w:val="IndexLink"/>
              </w:rPr>
              <w:t>168</w:t>
            </w:r>
          </w:hyperlink>
        </w:p>
        <w:p>
          <w:pPr>
            <w:pStyle w:val="Contents5"/>
            <w:tabs>
              <w:tab w:val="clear" w:pos="7892"/>
              <w:tab w:val="right" w:pos="9026" w:leader="dot"/>
            </w:tabs>
            <w:rPr/>
          </w:pPr>
          <w:hyperlink w:anchor="__RefHeading___Toc4623667_581953129">
            <w:r>
              <w:rPr>
                <w:webHidden/>
                <w:rStyle w:val="IndexLink"/>
                <w:rtl w:val="true"/>
              </w:rPr>
              <w:t>معنای برگزیده از حجیت</w:t>
            </w:r>
            <w:r>
              <w:rPr>
                <w:rStyle w:val="IndexLink"/>
                <w:rtl w:val="true"/>
              </w:rPr>
              <w:tab/>
            </w:r>
            <w:r>
              <w:rPr>
                <w:rStyle w:val="IndexLink"/>
              </w:rPr>
              <w:t>168</w:t>
            </w:r>
          </w:hyperlink>
        </w:p>
        <w:p>
          <w:pPr>
            <w:pStyle w:val="Contents5"/>
            <w:tabs>
              <w:tab w:val="clear" w:pos="7892"/>
              <w:tab w:val="right" w:pos="9026" w:leader="dot"/>
            </w:tabs>
            <w:rPr/>
          </w:pPr>
          <w:hyperlink w:anchor="__RefHeading___Toc4623669_581953129">
            <w:r>
              <w:rPr>
                <w:webHidden/>
                <w:rStyle w:val="IndexLink"/>
                <w:rtl w:val="true"/>
              </w:rPr>
              <w:t>نکات تکمیلی</w:t>
            </w:r>
            <w:r>
              <w:rPr>
                <w:rStyle w:val="IndexLink"/>
                <w:rtl w:val="true"/>
              </w:rPr>
              <w:tab/>
            </w:r>
            <w:r>
              <w:rPr>
                <w:rStyle w:val="IndexLink"/>
              </w:rPr>
              <w:t>170</w:t>
            </w:r>
          </w:hyperlink>
        </w:p>
        <w:p>
          <w:pPr>
            <w:pStyle w:val="Contents4"/>
            <w:tabs>
              <w:tab w:val="clear" w:pos="8176"/>
              <w:tab w:val="right" w:pos="9026" w:leader="dot"/>
            </w:tabs>
            <w:rPr/>
          </w:pPr>
          <w:hyperlink w:anchor="__RefHeading___Toc4623671_581953129">
            <w:r>
              <w:rPr>
                <w:webHidden/>
                <w:rStyle w:val="IndexLink"/>
                <w:rtl w:val="true"/>
              </w:rPr>
              <w:t>دلیل پنجم</w:t>
            </w:r>
            <w:r>
              <w:rPr>
                <w:rStyle w:val="IndexLink"/>
                <w:rtl w:val="true"/>
              </w:rPr>
              <w:t xml:space="preserve">: </w:t>
            </w:r>
            <w:r>
              <w:rPr>
                <w:rStyle w:val="IndexLink"/>
                <w:rtl w:val="true"/>
              </w:rPr>
              <w:t>وجود روایات جعلی بسیار</w:t>
            </w:r>
            <w:r>
              <w:rPr>
                <w:rStyle w:val="IndexLink"/>
                <w:rtl w:val="true"/>
              </w:rPr>
              <w:tab/>
            </w:r>
            <w:r>
              <w:rPr>
                <w:rStyle w:val="IndexLink"/>
              </w:rPr>
              <w:t>171</w:t>
            </w:r>
          </w:hyperlink>
        </w:p>
        <w:p>
          <w:pPr>
            <w:pStyle w:val="Contents5"/>
            <w:tabs>
              <w:tab w:val="clear" w:pos="7892"/>
              <w:tab w:val="right" w:pos="9026" w:leader="dot"/>
            </w:tabs>
            <w:rPr/>
          </w:pPr>
          <w:hyperlink w:anchor="__RefHeading___Toc4623673_58195312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4623675_581953129">
            <w:r>
              <w:rPr>
                <w:webHidden/>
                <w:rStyle w:val="IndexLink"/>
                <w:rtl w:val="true"/>
              </w:rPr>
              <w:t>نقد دلیل پنجم</w:t>
            </w:r>
            <w:r>
              <w:rPr>
                <w:rStyle w:val="IndexLink"/>
                <w:rtl w:val="true"/>
              </w:rPr>
              <w:tab/>
            </w:r>
            <w:r>
              <w:rPr>
                <w:rStyle w:val="IndexLink"/>
              </w:rPr>
              <w:t>172</w:t>
            </w:r>
          </w:hyperlink>
        </w:p>
        <w:p>
          <w:pPr>
            <w:pStyle w:val="Contents4"/>
            <w:tabs>
              <w:tab w:val="clear" w:pos="8176"/>
              <w:tab w:val="right" w:pos="9026" w:leader="dot"/>
            </w:tabs>
            <w:rPr/>
          </w:pPr>
          <w:hyperlink w:anchor="__RefHeading___Toc4623677_581953129">
            <w:r>
              <w:rPr>
                <w:webHidden/>
                <w:rStyle w:val="IndexLink"/>
                <w:rtl w:val="true"/>
              </w:rPr>
              <w:t>دلیل ششم</w:t>
            </w:r>
            <w:r>
              <w:rPr>
                <w:rStyle w:val="IndexLink"/>
                <w:rtl w:val="true"/>
              </w:rPr>
              <w:t xml:space="preserve">: </w:t>
            </w:r>
            <w:r>
              <w:rPr>
                <w:rStyle w:val="IndexLink"/>
                <w:rtl w:val="true"/>
              </w:rPr>
              <w:t>اختصاص سیرة عقلا به امور رفتاری</w:t>
            </w:r>
            <w:r>
              <w:rPr>
                <w:rStyle w:val="IndexLink"/>
                <w:rtl w:val="true"/>
              </w:rPr>
              <w:tab/>
            </w:r>
            <w:r>
              <w:rPr>
                <w:rStyle w:val="IndexLink"/>
              </w:rPr>
              <w:t>172</w:t>
            </w:r>
          </w:hyperlink>
        </w:p>
        <w:p>
          <w:pPr>
            <w:pStyle w:val="Contents5"/>
            <w:tabs>
              <w:tab w:val="clear" w:pos="7892"/>
              <w:tab w:val="right" w:pos="9026" w:leader="dot"/>
            </w:tabs>
            <w:rPr/>
          </w:pPr>
          <w:hyperlink w:anchor="__RefHeading___Toc4623679_58195312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623681_581953129">
            <w:r>
              <w:rPr>
                <w:webHidden/>
                <w:rStyle w:val="IndexLink"/>
                <w:rtl w:val="true"/>
              </w:rPr>
              <w:t>نقد دلیل ششم</w:t>
            </w:r>
            <w:r>
              <w:rPr>
                <w:rStyle w:val="IndexLink"/>
                <w:rtl w:val="true"/>
              </w:rPr>
              <w:tab/>
            </w:r>
            <w:r>
              <w:rPr>
                <w:rStyle w:val="IndexLink"/>
              </w:rPr>
              <w:t>172</w:t>
            </w:r>
          </w:hyperlink>
        </w:p>
        <w:p>
          <w:pPr>
            <w:pStyle w:val="Contents4"/>
            <w:tabs>
              <w:tab w:val="clear" w:pos="8176"/>
              <w:tab w:val="right" w:pos="9026" w:leader="dot"/>
            </w:tabs>
            <w:rPr/>
          </w:pPr>
          <w:hyperlink w:anchor="__RefHeading___Toc4623683_581953129">
            <w:r>
              <w:rPr>
                <w:webHidden/>
                <w:rStyle w:val="IndexLink"/>
                <w:rtl w:val="true"/>
              </w:rPr>
              <w:t>دلیل هفتم</w:t>
            </w:r>
            <w:r>
              <w:rPr>
                <w:rStyle w:val="IndexLink"/>
                <w:rtl w:val="true"/>
              </w:rPr>
              <w:t xml:space="preserve">: </w:t>
            </w:r>
            <w:r>
              <w:rPr>
                <w:rStyle w:val="IndexLink"/>
                <w:rtl w:val="true"/>
              </w:rPr>
              <w:t>بی‌اعتنایی عقلا به خبر واحد در امور مهم</w:t>
            </w:r>
            <w:r>
              <w:rPr>
                <w:rStyle w:val="IndexLink"/>
                <w:rtl w:val="true"/>
              </w:rPr>
              <w:tab/>
            </w:r>
            <w:r>
              <w:rPr>
                <w:rStyle w:val="IndexLink"/>
              </w:rPr>
              <w:t>173</w:t>
            </w:r>
          </w:hyperlink>
        </w:p>
        <w:p>
          <w:pPr>
            <w:pStyle w:val="Contents5"/>
            <w:tabs>
              <w:tab w:val="clear" w:pos="7892"/>
              <w:tab w:val="right" w:pos="9026" w:leader="dot"/>
            </w:tabs>
            <w:rPr/>
          </w:pPr>
          <w:hyperlink w:anchor="__RefHeading___Toc4623685_581953129">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4623687_581953129">
            <w:r>
              <w:rPr>
                <w:webHidden/>
                <w:rStyle w:val="IndexLink"/>
                <w:rtl w:val="true"/>
              </w:rPr>
              <w:t>نقد دلیل هفتم</w:t>
            </w:r>
            <w:r>
              <w:rPr>
                <w:rStyle w:val="IndexLink"/>
                <w:rtl w:val="true"/>
              </w:rPr>
              <w:tab/>
            </w:r>
            <w:r>
              <w:rPr>
                <w:rStyle w:val="IndexLink"/>
              </w:rPr>
              <w:t>174</w:t>
            </w:r>
          </w:hyperlink>
        </w:p>
        <w:p>
          <w:pPr>
            <w:pStyle w:val="Contents3"/>
            <w:tabs>
              <w:tab w:val="clear" w:pos="8459"/>
              <w:tab w:val="right" w:pos="9026" w:leader="dot"/>
            </w:tabs>
            <w:rPr/>
          </w:pPr>
          <w:hyperlink w:anchor="__RefHeading___Toc4623689_581953129">
            <w:r>
              <w:rPr>
                <w:webHidden/>
                <w:rStyle w:val="IndexLink"/>
                <w:rtl w:val="true"/>
              </w:rPr>
              <w:t>منابع</w:t>
            </w:r>
            <w:r>
              <w:rPr>
                <w:rStyle w:val="IndexLink"/>
                <w:rtl w:val="true"/>
              </w:rPr>
              <w:tab/>
            </w:r>
            <w:r>
              <w:rPr>
                <w:rStyle w:val="IndexLink"/>
              </w:rPr>
              <w:t>175</w:t>
            </w:r>
          </w:hyperlink>
        </w:p>
        <w:p>
          <w:pPr>
            <w:pStyle w:val="Contents2"/>
            <w:tabs>
              <w:tab w:val="clear" w:pos="8743"/>
              <w:tab w:val="right" w:pos="9026" w:leader="dot"/>
            </w:tabs>
            <w:rPr/>
          </w:pPr>
          <w:hyperlink w:anchor="__RefHeading___Toc4623691_581953129">
            <w:r>
              <w:rPr>
                <w:webHidden/>
                <w:rStyle w:val="IndexLink"/>
                <w:rtl w:val="true"/>
              </w:rPr>
              <w:t xml:space="preserve">معرفت‌بخشیِ خبر واحد </w:t>
            </w:r>
            <w:r>
              <w:rPr>
                <w:rStyle w:val="IndexLink"/>
                <w:rtl w:val="true"/>
              </w:rPr>
              <w:t xml:space="preserve">/ </w:t>
            </w:r>
            <w:r>
              <w:rPr>
                <w:rStyle w:val="IndexLink"/>
                <w:rtl w:val="true"/>
              </w:rPr>
              <w:t>محمدتقی سهرابی‌فر</w:t>
            </w:r>
            <w:r>
              <w:rPr>
                <w:rStyle w:val="IndexLink"/>
                <w:rtl w:val="true"/>
              </w:rPr>
              <w:tab/>
            </w:r>
            <w:r>
              <w:rPr>
                <w:rStyle w:val="IndexLink"/>
              </w:rPr>
              <w:t>178</w:t>
            </w:r>
          </w:hyperlink>
        </w:p>
        <w:p>
          <w:pPr>
            <w:pStyle w:val="Contents3"/>
            <w:tabs>
              <w:tab w:val="clear" w:pos="8459"/>
              <w:tab w:val="right" w:pos="9026" w:leader="dot"/>
            </w:tabs>
            <w:rPr/>
          </w:pPr>
          <w:hyperlink w:anchor="__RefHeading___Toc4623693_58195312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623695_581953129">
            <w:r>
              <w:rPr>
                <w:webHidden/>
                <w:rStyle w:val="IndexLink"/>
                <w:rtl w:val="true"/>
              </w:rPr>
              <w:t>چکیده</w:t>
            </w:r>
            <w:r>
              <w:rPr>
                <w:rStyle w:val="IndexLink"/>
                <w:rtl w:val="true"/>
              </w:rPr>
              <w:tab/>
            </w:r>
            <w:r>
              <w:rPr>
                <w:rStyle w:val="IndexLink"/>
              </w:rPr>
              <w:t>178</w:t>
            </w:r>
          </w:hyperlink>
        </w:p>
        <w:p>
          <w:pPr>
            <w:pStyle w:val="Contents3"/>
            <w:tabs>
              <w:tab w:val="clear" w:pos="8459"/>
              <w:tab w:val="right" w:pos="9026" w:leader="dot"/>
            </w:tabs>
            <w:rPr/>
          </w:pPr>
          <w:hyperlink w:anchor="__RefHeading___Toc4623697_581953129">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4623699_581953129">
            <w:r>
              <w:rPr>
                <w:webHidden/>
                <w:rStyle w:val="IndexLink"/>
                <w:rtl w:val="true"/>
              </w:rPr>
              <w:t>اعتبار معرفتی خبر واحد در مرحلة ثبوت</w:t>
            </w:r>
            <w:r>
              <w:rPr>
                <w:rStyle w:val="IndexLink"/>
                <w:rtl w:val="true"/>
              </w:rPr>
              <w:tab/>
            </w:r>
            <w:r>
              <w:rPr>
                <w:rStyle w:val="IndexLink"/>
              </w:rPr>
              <w:t>180</w:t>
            </w:r>
          </w:hyperlink>
        </w:p>
        <w:p>
          <w:pPr>
            <w:pStyle w:val="Contents4"/>
            <w:tabs>
              <w:tab w:val="clear" w:pos="8176"/>
              <w:tab w:val="right" w:pos="9026" w:leader="dot"/>
            </w:tabs>
            <w:rPr/>
          </w:pPr>
          <w:hyperlink w:anchor="__RefHeading___Toc4623701_58195312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4623703_581953129">
            <w:r>
              <w:rPr>
                <w:webHidden/>
                <w:rStyle w:val="IndexLink"/>
                <w:rtl w:val="true"/>
              </w:rPr>
              <w:t>ظن در مرحلة صدور</w:t>
            </w:r>
            <w:r>
              <w:rPr>
                <w:rStyle w:val="IndexLink"/>
                <w:rtl w:val="true"/>
              </w:rPr>
              <w:tab/>
            </w:r>
            <w:r>
              <w:rPr>
                <w:rStyle w:val="IndexLink"/>
              </w:rPr>
              <w:t>180</w:t>
            </w:r>
          </w:hyperlink>
        </w:p>
        <w:p>
          <w:pPr>
            <w:pStyle w:val="Contents4"/>
            <w:tabs>
              <w:tab w:val="clear" w:pos="8176"/>
              <w:tab w:val="right" w:pos="9026" w:leader="dot"/>
            </w:tabs>
            <w:rPr/>
          </w:pPr>
          <w:hyperlink w:anchor="__RefHeading___Toc4623705_581953129">
            <w:r>
              <w:rPr>
                <w:webHidden/>
                <w:rStyle w:val="IndexLink"/>
                <w:rtl w:val="true"/>
              </w:rPr>
              <w:t>ظن در مرحلة دلالت</w:t>
            </w:r>
            <w:r>
              <w:rPr>
                <w:rStyle w:val="IndexLink"/>
                <w:rtl w:val="true"/>
              </w:rPr>
              <w:tab/>
            </w:r>
            <w:r>
              <w:rPr>
                <w:rStyle w:val="IndexLink"/>
              </w:rPr>
              <w:t>182</w:t>
            </w:r>
          </w:hyperlink>
        </w:p>
        <w:p>
          <w:pPr>
            <w:pStyle w:val="Contents4"/>
            <w:tabs>
              <w:tab w:val="clear" w:pos="8176"/>
              <w:tab w:val="right" w:pos="9026" w:leader="dot"/>
            </w:tabs>
            <w:rPr/>
          </w:pPr>
          <w:hyperlink w:anchor="__RefHeading___Toc4623707_581953129">
            <w:r>
              <w:rPr>
                <w:webHidden/>
                <w:rStyle w:val="IndexLink"/>
                <w:rtl w:val="true"/>
              </w:rPr>
              <w:t>ظن در مرحلة جهت صدور</w:t>
            </w:r>
            <w:r>
              <w:rPr>
                <w:rStyle w:val="IndexLink"/>
                <w:rtl w:val="true"/>
              </w:rPr>
              <w:tab/>
            </w:r>
            <w:r>
              <w:rPr>
                <w:rStyle w:val="IndexLink"/>
              </w:rPr>
              <w:t>182</w:t>
            </w:r>
          </w:hyperlink>
        </w:p>
        <w:p>
          <w:pPr>
            <w:pStyle w:val="Contents5"/>
            <w:tabs>
              <w:tab w:val="clear" w:pos="7892"/>
              <w:tab w:val="right" w:pos="9026" w:leader="dot"/>
            </w:tabs>
            <w:rPr/>
          </w:pPr>
          <w:hyperlink w:anchor="__RefHeading___Toc4623709_58195312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4623711_581953129">
            <w:r>
              <w:rPr>
                <w:webHidden/>
                <w:rStyle w:val="IndexLink"/>
                <w:rtl w:val="true"/>
              </w:rPr>
              <w:t>الف</w:t>
            </w:r>
            <w:r>
              <w:rPr>
                <w:rStyle w:val="IndexLink"/>
                <w:rtl w:val="true"/>
              </w:rPr>
              <w:t xml:space="preserve">) </w:t>
            </w:r>
            <w:r>
              <w:rPr>
                <w:rStyle w:val="IndexLink"/>
                <w:rtl w:val="true"/>
              </w:rPr>
              <w:t>تقیه</w:t>
            </w:r>
            <w:r>
              <w:rPr>
                <w:rStyle w:val="IndexLink"/>
                <w:rtl w:val="true"/>
              </w:rPr>
              <w:tab/>
            </w:r>
            <w:r>
              <w:rPr>
                <w:rStyle w:val="IndexLink"/>
              </w:rPr>
              <w:t>183</w:t>
            </w:r>
          </w:hyperlink>
        </w:p>
        <w:p>
          <w:pPr>
            <w:pStyle w:val="Contents5"/>
            <w:tabs>
              <w:tab w:val="clear" w:pos="7892"/>
              <w:tab w:val="right" w:pos="9026" w:leader="dot"/>
            </w:tabs>
            <w:rPr/>
          </w:pPr>
          <w:hyperlink w:anchor="__RefHeading___Toc4623713_581953129">
            <w:r>
              <w:rPr>
                <w:webHidden/>
                <w:rStyle w:val="IndexLink"/>
                <w:rtl w:val="true"/>
              </w:rPr>
              <w:t>ب</w:t>
            </w:r>
            <w:r>
              <w:rPr>
                <w:rStyle w:val="IndexLink"/>
                <w:rtl w:val="true"/>
              </w:rPr>
              <w:t xml:space="preserve">) </w:t>
            </w:r>
            <w:r>
              <w:rPr>
                <w:rStyle w:val="IndexLink"/>
                <w:rtl w:val="true"/>
              </w:rPr>
              <w:t>تفاوت گذاشتن بین کارهای عادی و طبیعی معصوم</w:t>
            </w:r>
            <w:r>
              <w:rPr>
                <w:rStyle w:val="IndexLink"/>
                <w:rtl w:val="true"/>
              </w:rPr>
              <w:t>(</w:t>
            </w:r>
            <w:r>
              <w:rPr>
                <w:rStyle w:val="IndexLink"/>
                <w:rtl w:val="true"/>
              </w:rPr>
              <w:t>ع</w:t>
            </w:r>
            <w:r>
              <w:rPr>
                <w:rStyle w:val="IndexLink"/>
                <w:rtl w:val="true"/>
              </w:rPr>
              <w:t xml:space="preserve">) </w:t>
            </w:r>
            <w:r>
              <w:rPr>
                <w:rStyle w:val="IndexLink"/>
                <w:rtl w:val="true"/>
              </w:rPr>
              <w:t>و کارهای دیگر</w:t>
            </w:r>
            <w:r>
              <w:rPr>
                <w:rStyle w:val="IndexLink"/>
                <w:rtl w:val="true"/>
              </w:rPr>
              <w:tab/>
            </w:r>
            <w:r>
              <w:rPr>
                <w:rStyle w:val="IndexLink"/>
              </w:rPr>
              <w:t>183</w:t>
            </w:r>
          </w:hyperlink>
        </w:p>
        <w:p>
          <w:pPr>
            <w:pStyle w:val="Contents5"/>
            <w:tabs>
              <w:tab w:val="clear" w:pos="7892"/>
              <w:tab w:val="right" w:pos="9026" w:leader="dot"/>
            </w:tabs>
            <w:rPr/>
          </w:pPr>
          <w:hyperlink w:anchor="__RefHeading___Toc4623715_581953129">
            <w:r>
              <w:rPr>
                <w:webHidden/>
                <w:rStyle w:val="IndexLink"/>
                <w:rtl w:val="true"/>
              </w:rPr>
              <w:t>ج</w:t>
            </w:r>
            <w:r>
              <w:rPr>
                <w:rStyle w:val="IndexLink"/>
                <w:rtl w:val="true"/>
              </w:rPr>
              <w:t xml:space="preserve">) </w:t>
            </w:r>
            <w:r>
              <w:rPr>
                <w:rStyle w:val="IndexLink"/>
                <w:rtl w:val="true"/>
              </w:rPr>
              <w:t>جدا کردن اخبار تبلیغی، اخبار حکومتی و قضایی</w:t>
            </w:r>
            <w:r>
              <w:rPr>
                <w:rStyle w:val="IndexLink"/>
                <w:rtl w:val="true"/>
              </w:rPr>
              <w:tab/>
            </w:r>
            <w:r>
              <w:rPr>
                <w:rStyle w:val="IndexLink"/>
              </w:rPr>
              <w:t>184</w:t>
            </w:r>
          </w:hyperlink>
        </w:p>
        <w:p>
          <w:pPr>
            <w:pStyle w:val="Contents5"/>
            <w:tabs>
              <w:tab w:val="clear" w:pos="7892"/>
              <w:tab w:val="right" w:pos="9026" w:leader="dot"/>
            </w:tabs>
            <w:rPr/>
          </w:pPr>
          <w:hyperlink w:anchor="__RefHeading___Toc4623717_581953129">
            <w:r>
              <w:rPr>
                <w:webHidden/>
                <w:rStyle w:val="IndexLink"/>
                <w:rtl w:val="true"/>
              </w:rPr>
              <w:t>د</w:t>
            </w:r>
            <w:r>
              <w:rPr>
                <w:rStyle w:val="IndexLink"/>
                <w:rtl w:val="true"/>
              </w:rPr>
              <w:t xml:space="preserve">) </w:t>
            </w:r>
            <w:r>
              <w:rPr>
                <w:rStyle w:val="IndexLink"/>
                <w:rtl w:val="true"/>
              </w:rPr>
              <w:t>جدا کردن اوامر مولوی از ارشادی</w:t>
            </w:r>
            <w:r>
              <w:rPr>
                <w:rStyle w:val="IndexLink"/>
                <w:rtl w:val="true"/>
              </w:rPr>
              <w:tab/>
            </w:r>
            <w:r>
              <w:rPr>
                <w:rStyle w:val="IndexLink"/>
              </w:rPr>
              <w:t>186</w:t>
            </w:r>
          </w:hyperlink>
        </w:p>
        <w:p>
          <w:pPr>
            <w:pStyle w:val="Contents5"/>
            <w:tabs>
              <w:tab w:val="clear" w:pos="7892"/>
              <w:tab w:val="right" w:pos="9026" w:leader="dot"/>
            </w:tabs>
            <w:rPr/>
          </w:pPr>
          <w:hyperlink w:anchor="__RefHeading___Toc4623719_581953129">
            <w:r>
              <w:rPr>
                <w:webHidden/>
                <w:rStyle w:val="IndexLink"/>
                <w:rtl w:val="true"/>
              </w:rPr>
              <w:t>ﻫ</w:t>
            </w:r>
            <w:r>
              <w:rPr>
                <w:rStyle w:val="IndexLink"/>
                <w:rtl w:val="true"/>
              </w:rPr>
              <w:t xml:space="preserve">) </w:t>
            </w:r>
            <w:r>
              <w:rPr>
                <w:rStyle w:val="IndexLink"/>
                <w:rtl w:val="true"/>
              </w:rPr>
              <w:t>جدا کردن روایات پزشکی</w:t>
            </w:r>
            <w:r>
              <w:rPr>
                <w:rStyle w:val="IndexLink"/>
                <w:rtl w:val="true"/>
              </w:rPr>
              <w:tab/>
            </w:r>
            <w:r>
              <w:rPr>
                <w:rStyle w:val="IndexLink"/>
              </w:rPr>
              <w:t>187</w:t>
            </w:r>
          </w:hyperlink>
        </w:p>
        <w:p>
          <w:pPr>
            <w:pStyle w:val="Contents5"/>
            <w:tabs>
              <w:tab w:val="clear" w:pos="7892"/>
              <w:tab w:val="right" w:pos="9026" w:leader="dot"/>
            </w:tabs>
            <w:rPr/>
          </w:pPr>
          <w:hyperlink w:anchor="__RefHeading___Toc4623721_581953129">
            <w:r>
              <w:rPr>
                <w:webHidden/>
                <w:rStyle w:val="IndexLink"/>
                <w:rtl w:val="true"/>
              </w:rPr>
              <w:t>و</w:t>
            </w:r>
            <w:r>
              <w:rPr>
                <w:rStyle w:val="IndexLink"/>
                <w:rtl w:val="true"/>
              </w:rPr>
              <w:t xml:space="preserve">) </w:t>
            </w:r>
            <w:r>
              <w:rPr>
                <w:rStyle w:val="IndexLink"/>
                <w:rtl w:val="true"/>
              </w:rPr>
              <w:t>جداسازی سخنان غیر دینی از دینی</w:t>
            </w:r>
            <w:r>
              <w:rPr>
                <w:rStyle w:val="IndexLink"/>
                <w:rtl w:val="true"/>
              </w:rPr>
              <w:tab/>
            </w:r>
            <w:r>
              <w:rPr>
                <w:rStyle w:val="IndexLink"/>
              </w:rPr>
              <w:t>187</w:t>
            </w:r>
          </w:hyperlink>
        </w:p>
        <w:p>
          <w:pPr>
            <w:pStyle w:val="Contents3"/>
            <w:tabs>
              <w:tab w:val="clear" w:pos="8459"/>
              <w:tab w:val="right" w:pos="9026" w:leader="dot"/>
            </w:tabs>
            <w:rPr/>
          </w:pPr>
          <w:hyperlink w:anchor="__RefHeading___Toc4623723_581953129">
            <w:r>
              <w:rPr>
                <w:webHidden/>
                <w:rStyle w:val="IndexLink"/>
                <w:rtl w:val="true"/>
              </w:rPr>
              <w:t>اعتبار معرفتی خبر واحد در مرحلة اثبات</w:t>
            </w:r>
            <w:r>
              <w:rPr>
                <w:rStyle w:val="IndexLink"/>
                <w:rtl w:val="true"/>
              </w:rPr>
              <w:tab/>
            </w:r>
            <w:r>
              <w:rPr>
                <w:rStyle w:val="IndexLink"/>
              </w:rPr>
              <w:t>188</w:t>
            </w:r>
          </w:hyperlink>
        </w:p>
        <w:p>
          <w:pPr>
            <w:pStyle w:val="Contents3"/>
            <w:tabs>
              <w:tab w:val="clear" w:pos="8459"/>
              <w:tab w:val="right" w:pos="9026" w:leader="dot"/>
            </w:tabs>
            <w:rPr/>
          </w:pPr>
          <w:hyperlink w:anchor="__RefHeading___Toc4623725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200</w:t>
            </w:r>
          </w:hyperlink>
        </w:p>
        <w:p>
          <w:pPr>
            <w:pStyle w:val="Contents3"/>
            <w:tabs>
              <w:tab w:val="clear" w:pos="8459"/>
              <w:tab w:val="right" w:pos="9026" w:leader="dot"/>
            </w:tabs>
            <w:rPr/>
          </w:pPr>
          <w:hyperlink w:anchor="__RefHeading___Toc4623727_581953129">
            <w:r>
              <w:rPr>
                <w:webHidden/>
                <w:rStyle w:val="IndexLink"/>
                <w:rtl w:val="true"/>
              </w:rPr>
              <w:t>منابع</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25_38164"/>
      <w:bookmarkStart w:id="1" w:name="pg5825_38164"/>
      <w:bookmarkEnd w:id="1"/>
    </w:p>
    <w:p>
      <w:pPr>
        <w:pStyle w:val="Heading2"/>
        <w:numPr>
          <w:ilvl w:val="1"/>
          <w:numId w:val="1"/>
        </w:numPr>
        <w:rPr/>
      </w:pPr>
      <w:bookmarkStart w:id="2" w:name="pg5825_38164"/>
      <w:bookmarkStart w:id="3" w:name="__RefHeading___Toc462330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فصلنامة تخصصی معرفت‌شناسی و حوزه‌های مرتبط</w:t>
      </w:r>
    </w:p>
    <w:p>
      <w:pPr>
        <w:pStyle w:val="BookText"/>
        <w:rPr/>
      </w:pPr>
      <w:r>
        <w:rPr>
          <w:rFonts w:ascii="IRNazanin" w:hAnsi="IRNazanin" w:eastAsia="IRNazanin"/>
          <w:color w:val="111111"/>
          <w:sz w:val="28"/>
          <w:sz w:val="28"/>
          <w:szCs w:val="28"/>
          <w:rtl w:val="true"/>
          <w:lang w:bidi="fa-IR"/>
        </w:rPr>
        <w:t>سال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اندیشۀ اسلامی</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قائمی‌نیا</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سواری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دبیریان</w:t>
      </w:r>
    </w:p>
    <w:p>
      <w:pPr>
        <w:pStyle w:val="BookText"/>
        <w:rPr/>
      </w:pPr>
      <w:r>
        <w:rPr>
          <w:rFonts w:ascii="IRNazanin" w:hAnsi="IRNazanin" w:eastAsia="IRNazanin"/>
          <w:color w:val="111111"/>
          <w:sz w:val="28"/>
          <w:sz w:val="28"/>
          <w:szCs w:val="28"/>
          <w:rtl w:val="true"/>
          <w:lang w:bidi="fa-IR"/>
        </w:rPr>
        <w:t>اعضای هیئت تحریریه و پژوهش</w:t>
      </w:r>
    </w:p>
    <w:p>
      <w:pPr>
        <w:pStyle w:val="BookText"/>
        <w:rPr/>
      </w:pPr>
      <w:r>
        <w:rPr>
          <w:rFonts w:ascii="IRNazanin" w:hAnsi="IRNazanin" w:eastAsia="IRNazanin"/>
          <w:color w:val="111111"/>
          <w:sz w:val="28"/>
          <w:sz w:val="28"/>
          <w:szCs w:val="28"/>
          <w:rtl w:val="true"/>
          <w:lang w:bidi="fa-IR"/>
        </w:rPr>
        <w:t xml:space="preserve">احمد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فیاضی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مؤسسۀ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آیت‌اللهی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قوام‌صفری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فرهنگ و اندیشۀ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کیاشمشکی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بهشتی، خیابان شهید احمد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88501064</w:t>
      </w:r>
      <w:r>
        <w:rPr>
          <w:rFonts w:eastAsia="IRNazanin" w:cs="IRNazanin"/>
          <w:color w:val="111111"/>
          <w:sz w:val="28"/>
          <w:szCs w:val="28"/>
          <w:rtl w:val="true"/>
          <w:lang w:bidi="fa-IR"/>
        </w:rPr>
        <w:t xml:space="preserve"> - </w:t>
      </w:r>
      <w:r>
        <w:rPr>
          <w:rFonts w:eastAsia="IRNazanin" w:cs="IRNazanin"/>
          <w:color w:val="111111"/>
          <w:sz w:val="28"/>
          <w:szCs w:val="28"/>
          <w:lang w:bidi="fa-IR"/>
        </w:rPr>
        <w:t>88735417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8784</w:t>
      </w:r>
      <w:r>
        <w:rPr>
          <w:rFonts w:eastAsia="IRNazanin" w:cs="IRNazanin"/>
          <w:color w:val="111111"/>
          <w:sz w:val="28"/>
          <w:szCs w:val="28"/>
          <w:rtl w:val="true"/>
          <w:lang w:bidi="fa-IR"/>
        </w:rPr>
        <w:t>-</w:t>
      </w:r>
      <w:r>
        <w:rPr>
          <w:rFonts w:eastAsia="IRNazanin" w:cs="IRNazanin"/>
          <w:color w:val="111111"/>
          <w:sz w:val="28"/>
          <w:szCs w:val="28"/>
          <w:lang w:bidi="fa-IR"/>
        </w:rPr>
        <w:t>15875</w:t>
      </w:r>
    </w:p>
    <w:p>
      <w:pPr>
        <w:pStyle w:val="BookText"/>
        <w:rPr/>
      </w:pPr>
      <w:r>
        <w:rPr>
          <w:rFonts w:eastAsia="Times New Roman" w:cs="Times New Roman" w:ascii="Times New Roman" w:hAnsi="Times New Roman"/>
          <w:color w:val="111111"/>
          <w:sz w:val="28"/>
          <w:szCs w:val="28"/>
          <w:lang w:val="en-US" w:bidi="en-US"/>
        </w:rPr>
        <w:t>E-mail: zehn@iict.ac.ir</w:t>
      </w:r>
    </w:p>
    <w:p>
      <w:pPr>
        <w:pStyle w:val="BookText"/>
        <w:rPr/>
      </w:pPr>
      <w:r>
        <w:rPr>
          <w:rFonts w:eastAsia="Times New Roman" w:cs="Times New Roman" w:ascii="Times New Roman" w:hAnsi="Times New Roman"/>
          <w:color w:val="111111"/>
          <w:sz w:val="28"/>
          <w:szCs w:val="28"/>
          <w:lang w:val="en-US" w:bidi="en-US"/>
        </w:rPr>
        <w:t>www.zehnmag.org</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مجاب</w:t>
      </w:r>
    </w:p>
    <w:p>
      <w:pPr>
        <w:pStyle w:val="BookText"/>
        <w:rPr/>
      </w:pPr>
      <w:r>
        <w:rPr>
          <w:rFonts w:ascii="IRNazanin" w:hAnsi="IRNazanin" w:eastAsia="IRNazanin"/>
          <w:color w:val="111111"/>
          <w:sz w:val="28"/>
          <w:sz w:val="28"/>
          <w:szCs w:val="28"/>
          <w:rtl w:val="true"/>
          <w:lang w:bidi="fa-IR"/>
        </w:rPr>
        <w:t>تلفن‌های مرکز توزیع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88730446</w:t>
      </w:r>
      <w:r>
        <w:rPr>
          <w:rFonts w:eastAsia="IRNazanin" w:cs="IRNazanin"/>
          <w:color w:val="111111"/>
          <w:sz w:val="28"/>
          <w:szCs w:val="28"/>
          <w:rtl w:val="true"/>
          <w:lang w:bidi="fa-IR"/>
        </w:rPr>
        <w:t>-</w:t>
      </w:r>
      <w:r>
        <w:rPr>
          <w:rFonts w:eastAsia="IRNazanin" w:cs="IRNazanin"/>
          <w:color w:val="111111"/>
          <w:sz w:val="28"/>
          <w:szCs w:val="28"/>
          <w:lang w:bidi="fa-IR"/>
        </w:rPr>
        <w:t>88503341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3311_58195312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مندرج در فصلنامة ذهن، مبین آرا و نظریات نویسندگان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فصلنامة ذهن از همکاری محققان، استادان و مترجمان استقبال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مقالات ارسالی برای ذهن، بر روی یک طرف کاغذ و با خط خوانا و سطرهای فاصله‌دار نگاشته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متن اصلی مقالات همراه ترجمه‌ها، کاملاً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فصلنامة ذهن در ویرایش مطالب دریافتی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دریافت شده، بازگردانده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تنظیم مقالات</w:t>
      </w:r>
    </w:p>
    <w:p>
      <w:pPr>
        <w:pStyle w:val="BookText"/>
        <w:rPr/>
      </w:pPr>
      <w:r>
        <w:rPr>
          <w:rFonts w:ascii="IRNazanin" w:hAnsi="IRNazanin" w:eastAsia="IRNazanin"/>
          <w:color w:val="111111"/>
          <w:sz w:val="28"/>
          <w:sz w:val="28"/>
          <w:szCs w:val="28"/>
          <w:rtl w:val="true"/>
          <w:lang w:bidi="fa-IR"/>
        </w:rPr>
        <w:t>لطفاً به هنگام تنظیم مقالات موارد زیر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نام خانوادگی، میزان تحصیلات، رتبة علمی نویسنده و مترجم، شغل، نشانی، کدپستی، و شماره تلفن خود را قید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را روی یک طرف هر برگ، با رعایت فاصله مناسب بین سطرها و خوانا، حتی‌الامکان حروف‌چینی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کیفیت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دیسکت آن ارسال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حجم هر مقاله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دست‌نویس یا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چکیدة فارسی مقاله، حداکثر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حتی‌الامکان همراه چکیدة انگلیسی آن به همین مقدار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کلیدی فارسی و معادل انگلیسی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در هیچ نشریة داخلی یا خارجی چاپ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مقالة ارسالی نباید هم‌زمان به سایر مجلات یا مجموعه‌ها فرستاده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معادل لاتین اسامی، و اصطلاحات مهجور، مقابل عبارت و در پرانتز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مورد استفاده، در متن به این شکل نوشته شود، نام خانوادگی نویسنده، تاریخ انتشار و شمارة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منابع در آخر مقاله برحسب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تاریخ انتشار، نام کتاب، نام مترجم، محل انتشار، نام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سال انتشار، عنوان مقاله، نام ناشر و شماره 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شمارة جلد و صفحه اکتفا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آثار منتشره در سال واحد از یک مؤلف، جهت نمایاندن ترتیب انتشار با حروف الف، ب، 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شود</w:t>
      </w:r>
      <w:r>
        <w:rPr>
          <w:rFonts w:eastAsia="IRNazanin" w:cs="IRNazanin"/>
          <w:color w:val="111111"/>
          <w:sz w:val="28"/>
          <w:szCs w:val="28"/>
          <w:rtl w:val="true"/>
          <w:lang w:bidi="fa-IR"/>
        </w:rPr>
        <w:t xml:space="preserve">. </w:t>
      </w:r>
      <w:bookmarkStart w:id="7" w:name="pg5825_38167"/>
    </w:p>
    <w:p>
      <w:pPr>
        <w:pStyle w:val="Heading2"/>
        <w:numPr>
          <w:ilvl w:val="1"/>
          <w:numId w:val="1"/>
        </w:numPr>
        <w:rPr/>
      </w:pPr>
      <w:bookmarkStart w:id="8" w:name="__RefHeading___Toc4623313_581953129"/>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تأسیسی بر فلسفۀ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و معانی انشایی در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حسنی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اهمیت زبان‌شناختی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قائمی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 سمیه کامرانی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نقد برهان همزاد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امامی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متن‌شناسی زیارت‌نامۀ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نظریۀ کنش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رجب‌زاده، محمدرضا پهلوان‌نژاد، محمدرضا فخر روحانی</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معرفت‌شناختی خبر واحد در اعتقادات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حسین‌زاده، عبدالله محمدی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معرفت‌بخشی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سهرابی‌فر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25_38170"/>
      <w:bookmarkStart w:id="11" w:name="pg5825_38170"/>
      <w:bookmarkEnd w:id="11"/>
    </w:p>
    <w:p>
      <w:pPr>
        <w:pStyle w:val="Heading2"/>
        <w:numPr>
          <w:ilvl w:val="1"/>
          <w:numId w:val="1"/>
        </w:numPr>
        <w:rPr/>
      </w:pPr>
      <w:bookmarkStart w:id="12" w:name="pg5825_38170"/>
      <w:bookmarkStart w:id="13" w:name="__RefHeading___Toc4623315_581953129"/>
      <w:bookmarkStart w:id="14" w:name="_Toc4"/>
      <w:bookmarkEnd w:id="12"/>
      <w:bookmarkEnd w:id="13"/>
      <w:r>
        <w:rPr>
          <w:rtl w:val="true"/>
        </w:rPr>
        <w:t xml:space="preserve">درآمدی تأسیسی بر فلسفه‌ی اصول فقه </w:t>
      </w:r>
      <w:r>
        <w:rPr>
          <w:rtl w:val="true"/>
        </w:rPr>
        <w:t xml:space="preserve">/ </w:t>
      </w:r>
      <w:r>
        <w:rPr>
          <w:rtl w:val="true"/>
        </w:rPr>
        <w:t>علی‌اکبر رشاد</w:t>
      </w:r>
      <w:bookmarkEnd w:id="14"/>
    </w:p>
    <w:p>
      <w:pPr>
        <w:pStyle w:val="Heading3"/>
        <w:numPr>
          <w:ilvl w:val="2"/>
          <w:numId w:val="1"/>
        </w:numPr>
        <w:rPr/>
      </w:pPr>
      <w:bookmarkStart w:id="15" w:name="__RefHeading___Toc4623317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علی‌اکبر رشاد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11/8/89</w:t>
      </w:r>
    </w:p>
    <w:p>
      <w:pPr>
        <w:pStyle w:val="Heading3"/>
        <w:numPr>
          <w:ilvl w:val="2"/>
          <w:numId w:val="1"/>
        </w:numPr>
        <w:rPr/>
      </w:pPr>
      <w:bookmarkStart w:id="17" w:name="__RefHeading___Toc4623319_581953129"/>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روزآمدی و کارآمدی فقه به موازات تحوّل و توسعة ظروف و زوایای حیات بشر، در گرو تحول و توسعة منطق استنباط شریعت است؛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شرط هرگونه تحولِ تکاملی در فقه نیز تحول و ارتقا در روش استنباط فقهی است؛ تحول و تکامل در روش استنباط نیز مبتنی است بر بازنگری و بسط مبانی و مبادی دانش اصول؛ توسعه و تعمیق مبانی اصول می‌تواند و می‌باید در قالب تأسیس فلسفه‌ی اصول فقه صورت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اصول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مطالعه‌ی عقلانی فرادانشی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فرامسئله‌ای اصول فقه، به منظور دست‌یابی به احکام کلی این دانش و مسائل آن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مقاله که از دغدغه‌مندان دیرین تحول در روش‌شناسی فهم دین و تحول در معرفت دینی است، و مطالعه و ارائه‌ی نظر در جهت توسعه و تکامل دانش اصول از دلمشغولی‌های اصلی وی قلمداد می‌شود، در این نوشته سعی کرده است با رویکردی تأسیسی به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دانشی مستقل از دانش‌های فقه و اصول فقه، بپردازد</w:t>
      </w:r>
      <w:r>
        <w:rPr>
          <w:rFonts w:eastAsia="IRNazanin" w:cs="IRNazanin"/>
          <w:color w:val="111111"/>
          <w:sz w:val="28"/>
          <w:szCs w:val="28"/>
          <w:rtl w:val="true"/>
          <w:lang w:bidi="fa-IR"/>
        </w:rPr>
        <w:t xml:space="preserve">. </w:t>
      </w:r>
      <w:bookmarkStart w:id="19" w:name="pg5825_38172"/>
    </w:p>
    <w:p>
      <w:pPr>
        <w:pStyle w:val="BookText"/>
        <w:rPr/>
      </w:pPr>
      <w:bookmarkEnd w:id="19"/>
      <w:r>
        <w:rPr>
          <w:rFonts w:ascii="IRNazanin" w:hAnsi="IRNazanin" w:eastAsia="IRNazanin"/>
          <w:color w:val="111111"/>
          <w:sz w:val="28"/>
          <w:sz w:val="28"/>
          <w:szCs w:val="28"/>
          <w:rtl w:val="true"/>
          <w:lang w:bidi="fa-IR"/>
        </w:rPr>
        <w:t xml:space="preserve">از نظر مؤلف، مسائل دانش فلسفه‌ی اصول،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اصول عهده‌دار تبیین و تحلیل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کلی علم اصول بماهو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به‌عنوان دستگاه روشگانی استنباط فقه، و نیز عهده‌دار بررسی مبادی قریبه و وسیطه‌ی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نخست به بررسی فرایند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تطورات مبادی اصول،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مبادی‌پژوهی اصحاب اصول و بیان بایستگی‌های تأسیس فلسفة اصول، پرداخته شده، سپس ضمن طبقه‌بندی و تقسیم مسائل، چیدمان کامل و فهرست تفصیلی مباحث دانش فلسفه‌ی اصول،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از نظرات انتقادی ارباب معرفت در باب مدعیات این مقاله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مضاف، اصول فقه، فلسفه‌ی اصول، مبادی اصول، فلسفه‌ی فقه، نقد اصول فقه، تحول علم اصول</w:t>
      </w:r>
      <w:r>
        <w:rPr>
          <w:rFonts w:eastAsia="IRNazanin" w:cs="IRNazanin"/>
          <w:color w:val="111111"/>
          <w:sz w:val="28"/>
          <w:szCs w:val="28"/>
          <w:rtl w:val="true"/>
          <w:lang w:bidi="fa-IR"/>
        </w:rPr>
        <w:t>.</w:t>
      </w:r>
    </w:p>
    <w:p>
      <w:pPr>
        <w:pStyle w:val="Heading3"/>
        <w:numPr>
          <w:ilvl w:val="2"/>
          <w:numId w:val="1"/>
        </w:numPr>
        <w:rPr/>
      </w:pPr>
      <w:bookmarkStart w:id="20" w:name="__RefHeading___Toc4623321_581953129"/>
      <w:bookmarkStart w:id="21" w:name="_Toc7"/>
      <w:bookmarkEnd w:id="20"/>
      <w:r>
        <w:rPr>
          <w:rtl w:val="true"/>
        </w:rPr>
        <w:t>مقدمه</w:t>
      </w:r>
      <w:r>
        <w:rPr>
          <w:rtl w:val="true"/>
        </w:rPr>
        <w:t xml:space="preserve">) </w:t>
      </w:r>
      <w:r>
        <w:rPr>
          <w:rtl w:val="true"/>
        </w:rPr>
        <w:t>سنت مدخل‌نگاری</w:t>
      </w:r>
      <w:bookmarkEnd w:id="21"/>
    </w:p>
    <w:p>
      <w:pPr>
        <w:pStyle w:val="Heading4"/>
        <w:numPr>
          <w:ilvl w:val="3"/>
          <w:numId w:val="1"/>
        </w:numPr>
        <w:rPr/>
      </w:pPr>
      <w:bookmarkStart w:id="22" w:name="__RefHeading___Toc4623323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ازجمله سنت‌های علمی عریق و انیق در تألیف و تصنیف آثار علمی، مدخل‌نگاری بر آنهاست؛ شاید فَرفُوریوس </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نخستین 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نگارش رساله‌ی ایساغوجی</w:t>
      </w:r>
      <w:r>
        <w:rPr>
          <w:rStyle w:val="FootnoteAnchor"/>
          <w:rtl w:val="true"/>
        </w:rPr>
        <w:footnoteReference w:id="3"/>
      </w:r>
      <w:r>
        <w:rPr>
          <w:rFonts w:ascii="IRNazanin" w:hAnsi="IRNazanin" w:eastAsia="IRNazanin"/>
          <w:color w:val="111111"/>
          <w:sz w:val="28"/>
          <w:sz w:val="28"/>
          <w:szCs w:val="28"/>
          <w:rtl w:val="true"/>
          <w:lang w:bidi="fa-IR"/>
        </w:rPr>
        <w:t xml:space="preserve">به‌مثابه مدخل منطق، این سنت علمی را بنا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ابن‌ندیم،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مدخل‌نویسی در گذشته، گاه در قالب دیباچه‌پردازی توأم با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براعت استهلال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صنعت براعت استهلال، به زیبایی تمام در قرآن کریم نیز رعایت شده‌است، بسا سایرین این صنعت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از وحی‌نامه‌ی الهی اقتباس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حمد، چنان‌که از برخی نام‌های این فصل از کتاب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فاﺗﺤﺔ الکتاب، سبع مثانی،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گویی دیباچه‌ی دیوان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به معارف اصلی قرآن کریم که توحید، نبوت، امامت، عدل، معاد، نسبت و رابطه‌ی عبد و رب، و گروه‌بندی جامعه براساس نحوه‌ی مواجهه‌ی آنان با دین الهی‌است، به خوبی تلویح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دقیقه را این کمترین، در قالب چند جلسه در تفسیر سوره‌ی فاﺗﺤﺔ الکتاب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شماری از طلاب بازگشوده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می‌بست، و گاه به صورت مبحث رئوس ثمانیه‌ی علم سامان می‌گرفت، و گهگاه نیز تحت عنوان تبیین و تحلیل مبادی علم، هیئت و هویت می‌یافت، اما رفته‌رفته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اجمالی و تفصیلی جایگزین دیباچه‌پردازی و براعت استهلال گشت، و بحث از رئوس ثمانیه نیز جای خود را به مبحث مبادی علم سپرد، و اینک در روزگار ما، فهرست‌نگاری‌های تفصیلی جای خود را به نمایه‌پردازی‌های فنی وا‌می‌سپارد، و فنّ مبادی‌پژوهی نیز در شرف فراافزایی و تبدیل‌شدن به فلسفه‌های مضاف به علم‌هاست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مطلب فلسفی و تاریخی معطوف به یک علم، که آگاهی از آنها موجب آمادگی فراگیران و پژوهشگران آن برای حسن تعلّم و تحقیق می‌گردید، رئوس ثمانیه نامیده می‌شدند؛ مباحث رئوس ثمانیه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bookmarkStart w:id="24" w:name="pg5825_38174"/>
    </w:p>
    <w:p>
      <w:pPr>
        <w:pStyle w:val="BookText"/>
        <w:rPr/>
      </w:pPr>
      <w:bookmarkEnd w:id="24"/>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فهرست ابواب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مدون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تعلیمیه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 تحلیل، و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مباحث زیرساختی را که تصور و تصدیق علم و مسائل اساسی آن متوقف بدانهاست، مبادی علم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مبادی‌پژوهی بخش قابل توجهی از مباحث اصول فقه کنونی را تشکیل می‌دهد، علی‌التقریب دست‌کم یک‌سوم حجم آثار اصولیان متأخر، معطوف به بحث از مبادی فرادانشی و فرامسئله‌ای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صنوف مختلف ارباب علوم در جهان اسلام، پس از فلاسفه، اصولیان بیش از هر صنف دیگری به مباحث مبادی علوم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اطلس تفصیلی‌ای که برای مباحث رایج در آثار اصولی در دست تهیه داریم، این درصد را به دقت نشان خواهیم داد،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موشکافی‌های اصولیان در زمینه‌ی مبادی‌پژوهی، نظرات شگفت و شگرفی پدید آمده است که در ادبیات علمی سایر دانش‌ها، نظیر برخی از آنها را هرگز نمی‌توان سراغ گرفت؛ در باب بسیاری از مسائل نیز که در زمره‌ی مبادی اصول‌اند، اما بحث از آنها اصالتاً به عهده‌ی دیگر دانش‌هاست، به موازات ارباب آن علوم، اصولیون به نظرات متفاوت و گهگاه دقیق‌تر و قویم‌تری دست یافته‌اند، نمونه‌های این نوع نظرات اختصاصی اصولیان را، به وفور می‌توان در حوزه‌ی مسائل علوم ادبی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ابتکارات و آرای اصحاب اصول که آنها را در گذشته‌های دور، در بخش مبادی‌شناسی این دانش مطرح کرده‌اند، به مراتب از نظرات نوآمد فرنگیان معاصر پیشرفته‌تر و مترقی‌تر است؛ آنان مباحث بسیار دقیقی را در زمینه‌های فلسفه‌ی علم، معرفت‌شناسی، معناشناسی، زبان‌شناسی،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خلال بحث از مبادی علم اصول ارائه کرده‌اند که اگر این مطالب بازشناسی و به زبان زمان بازآرایی و ارائه گردد، نظر صاحب‌نظران کنونی این حوزه‌های مطالعاتی را به خود معطوف خواهد کرد</w:t>
      </w:r>
      <w:r>
        <w:rPr>
          <w:rFonts w:eastAsia="IRNazanin" w:cs="IRNazanin"/>
          <w:color w:val="111111"/>
          <w:sz w:val="28"/>
          <w:szCs w:val="28"/>
          <w:rtl w:val="true"/>
          <w:lang w:bidi="fa-IR"/>
        </w:rPr>
        <w:t>.</w:t>
      </w:r>
    </w:p>
    <w:p>
      <w:pPr>
        <w:pStyle w:val="Heading4"/>
        <w:numPr>
          <w:ilvl w:val="3"/>
          <w:numId w:val="1"/>
        </w:numPr>
        <w:rPr/>
      </w:pPr>
      <w:bookmarkStart w:id="25" w:name="__RefHeading___Toc4623325_581953129"/>
      <w:bookmarkStart w:id="26" w:name="_Toc9"/>
      <w:bookmarkEnd w:id="25"/>
      <w:r>
        <w:rPr>
          <w:rtl w:val="true"/>
        </w:rPr>
        <w:t xml:space="preserve">سیر تاریخی </w:t>
      </w:r>
      <w:r>
        <w:rPr>
          <w:rtl w:val="true"/>
        </w:rPr>
        <w:t xml:space="preserve">- </w:t>
      </w:r>
      <w:r>
        <w:rPr>
          <w:rtl w:val="true"/>
        </w:rPr>
        <w:t>معرفتی تکون و تطور مبادی‌پژوهی در آثار اصحاب اصول</w:t>
      </w:r>
      <w:bookmarkEnd w:id="26"/>
    </w:p>
    <w:p>
      <w:pPr>
        <w:pStyle w:val="BookText"/>
        <w:rPr/>
      </w:pPr>
      <w:r>
        <w:rPr>
          <w:rFonts w:ascii="IRNazanin" w:hAnsi="IRNazanin" w:eastAsia="IRNazanin"/>
          <w:color w:val="111111"/>
          <w:sz w:val="28"/>
          <w:sz w:val="28"/>
          <w:szCs w:val="28"/>
          <w:rtl w:val="true"/>
          <w:lang w:bidi="fa-IR"/>
        </w:rPr>
        <w:t>هرچند اصولیان متأخر بیش از سلف خویش، به پژوهش در مبادی اصول پرداخته‌اند، اما این مسئله از دغدغه‌های اصولیان متقدم نیز بوده است و آنان از همان اوان تدوین این دانش، به تحلیل مبادی آن اهتمام ورزیده‌اند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قدیم و متقدم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علمی عهد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اصول را توأماً در </w:t>
      </w:r>
    </w:p>
    <w:p>
      <w:pPr>
        <w:pStyle w:val="BookText"/>
        <w:rPr/>
      </w:pPr>
      <w:r>
        <w:rPr>
          <w:rFonts w:ascii="IRNazanin" w:hAnsi="IRNazanin" w:eastAsia="IRNazanin"/>
          <w:color w:val="111111"/>
          <w:sz w:val="28"/>
          <w:sz w:val="28"/>
          <w:szCs w:val="28"/>
          <w:rtl w:val="true"/>
          <w:lang w:bidi="fa-IR"/>
        </w:rPr>
        <w:t>منابع فقهی برمی‌رسیدند، ازاین‌رو چندان به مبادی اصول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تفصیل و انفکاک اصول فقه از علم فقه، که در میان شیعه با تألیف التذکرة بأصول الفقه، از سوی شیخ مفید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بحث از مبادی اصول نیز رایج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آنچه به‌عنوان خلاصه‌ی التذّکرة بأصول الفقه شیخ مفید در دسترس ماست مطلب درخور اعتنایی درباره‌ی مبادی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باب نمونه، به برخی مطالب چند اثر تأثیرگذار از میان آثار پدیدآمده در ادوار مختلف اصول،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الذّرﻳﻌﺔ الی اصول الشرﻳﻌﺔ، ضمن انتقاد از آنان، که مبادی اصول را با مسائل آن درآمیخته‌اند و مبادی‌پژوهی را در متن خود این دانش گنجانده‌اند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براین نکته‌ی مهم تصریح می‌ورزد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عین امعان بنگریم خواهیم یافت که اصول فقه جملگی بر جمله‌ی اصول دین مبتنی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وی حتی به همگونی و همسانی مخالفت در اصول فقه با مخالفت در مبانی کلامی شیعه اذعان می‌دارد، سپس به اجمال به بیان نقش بنیادین مبادی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معرفت‌شناختی و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مسائل اصول فقه و بایستگی تحقیق در آنها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به‌رغم اینکه این اصولی سترگ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رفع نقیصه‌ی یادشده از اصول فقه و به انگیزه‌ی بازپیراست این دانش به تألیف الذرﻳﻌﺔ دست زده است، اما علاوه‌بر طرح و تبیین عمده‌ی مباحث فرادانشی درباره‌ی اصول، نظیر ارائه‌ی تعریف اصول، اشاره به موضوع آن، و بیان غایت و قلمرو علم اصول، در خلال مباحث کتاب، برحسب مورد به طرح و شرح مبادی اکثر مسائل این دانش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ذیل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الخطاب و أقسامه و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 المبادی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اﻟﺤﻘﻴﻘﺔ و المجاز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الاشتراک و وقوعه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استعمال اللفظ فی أکثر من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العلم و أقسامه، و ما یوجبه من الدّلاﻟﺔ</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و یحصل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 و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الخبر و مهمّ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ﺻﻔﺔ المتحمّل للخبر و المتحمّل عنه و ﻛﻴﻔﻴّﺔ ألفاظ الرّواﻳﺔ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حدّ الفعل و التّنبیه علی ﺟﻤﻠﺔ من مهمّ أحکامه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ﺟﻤﻠﺔ من تقسیمات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المحظور و المکروه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وارد بحث از مبادی فرامسئله‌ای علم اصول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تصریح و تلویح به ابتنای اصول فقه بر اصول دین، بر همان ممشای استاد خویش مشی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مبادی‌پژوهی اصول به مباحثی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ماﻫﻴﺔ أصول الفقه و إنقسامها و ﻛﻴﻔﻴﺔ ترتیب 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وأقسامه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حقیقة العلم و أقسامه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الدلاﻟﺔ و ما یتصرف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أفعال المکلف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ﺣﻘﻴﻘﺔ الکلام و أقسامه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ابتکاری ارزشمند،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یَجب معرفته من صفات الله تعالی، و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الأﺋﻤﺔ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یصحّ معرﻓﺔ مرادهم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نقش مبدأ مصدرشناختی دین در استکشاف شریعت را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کمین، اخیراً به این بیان شیخ‌الطائفه برخوردم، اما آن را مؤید اطمینان‌بخشی برای نظریه‌ی ابتنا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ﻏﻨﻴﺔ النزوع الی علمی الأصول و الفروع ابن زهره </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معارج الأصول محقق حلّی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مبادئ الوصول الی علم الأصول، و تهذیب الوصول 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معالم‌الدین حسن‌بن زین‌الدین شهید 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معتنابه جدیدی درباره‌ی مبادی مطرح نشده است، جز اینکه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نخستین‌بار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سرفصل مبادی‌پژوهی اصول بهره گرفته است،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التصورﻳﺔ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بخش تعاریف به کار برده است، و نیز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الحروف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نیز به اقتضای کلامی بودنش، در دو کتاب مبادئ الوصول الی علم الأصول، و تهذیب الوصول إلی علم الأصول، به مباحثی همچون حسن و قبح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المنعم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ﻋﺼﻤﺔ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وجوب التأسّی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تعبّد النبیّ بشرع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اصولیون متأخر شیخ اعظم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مطارح الأنظار، فاضل بشروی تونی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الواﻓﻴﺔ فی اصول الفقه، وحید بهبهانی </w:t>
      </w: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الفوائد الحائرﻳﺔ، میرزای قمّی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قوانین الأصول، شارح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هداﻳﺔ المسترشدین فی شرح معالم الدین، مدّقق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الفصول الغروﻳﺔ فی الأصول اﻟﻔﻘﻬﻴﺔ، آخوند خراسانی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دررالفوائد و کفاﻳﺔ الاصول، میرزای </w:t>
      </w:r>
      <w:bookmarkStart w:id="27" w:name="pg5825_38179"/>
    </w:p>
    <w:p>
      <w:pPr>
        <w:pStyle w:val="BookText"/>
        <w:rPr/>
      </w:pPr>
      <w:bookmarkEnd w:id="27"/>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الأصول، و محقق عراقی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تنقیح الأصول، و در مقالات الأصول، و در نهاﻳﺔ الأفکار فی مباحث الألفاظ، و همچنین از معاصرین اصولیانی چون حاج شیخ عبدالکریم حائری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درر الفوائد، میرزا حسن بجنوردی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منتهی‌الأصول، شارح فیروزآبادی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عناﻳﺔ الأصول، مدقق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لمحات الأصول، و در نهاﻳﺔ الأصول، محمدرضا مظفر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الفقه، شهید صدر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بحوث فی علم‌الأصول، امام خمینی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الأصول و مناهج، محقق خوئی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محاضراتٌ فی اصول الفقه و در دِراساتٌ فی علم الأصول، سیدمحمدتقی حکیم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الفقه المقارن، و آیت‌الله محمدتقی بهجت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الأصول،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در خلال مسائل اصول، و در ذیل عنوان‌ها و با سامانه‌ای 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احیاناً با آرای متفاوت و گهگاه با تفاوت کمی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مبادی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ادام‌الله اظلالهم علی رؤوس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تفکیک و تبویب مستقل مباحث مبادی پرهیخته‌اند</w:t>
      </w:r>
      <w:r>
        <w:rPr>
          <w:rFonts w:eastAsia="IRNazanin" w:cs="IRNazanin"/>
          <w:color w:val="111111"/>
          <w:sz w:val="28"/>
          <w:szCs w:val="28"/>
          <w:rtl w:val="true"/>
          <w:lang w:bidi="fa-IR"/>
        </w:rPr>
        <w:t>.</w:t>
      </w:r>
    </w:p>
    <w:p>
      <w:pPr>
        <w:pStyle w:val="Heading4"/>
        <w:numPr>
          <w:ilvl w:val="3"/>
          <w:numId w:val="1"/>
        </w:numPr>
        <w:rPr/>
      </w:pPr>
      <w:bookmarkStart w:id="28" w:name="__RefHeading___Toc4623327_581953129"/>
      <w:bookmarkStart w:id="29" w:name="_Toc10"/>
      <w:bookmarkEnd w:id="28"/>
      <w:r>
        <w:rPr>
          <w:rtl w:val="true"/>
        </w:rPr>
        <w:t>ابتکار تفکیک مبادی اصول از مسائل آن</w:t>
      </w:r>
      <w:bookmarkEnd w:id="29"/>
    </w:p>
    <w:p>
      <w:pPr>
        <w:pStyle w:val="BookText"/>
        <w:rPr/>
      </w:pPr>
      <w:r>
        <w:rPr>
          <w:rFonts w:ascii="IRNazanin" w:hAnsi="IRNazanin" w:eastAsia="IRNazanin"/>
          <w:color w:val="111111"/>
          <w:sz w:val="28"/>
          <w:sz w:val="28"/>
          <w:szCs w:val="28"/>
          <w:rtl w:val="true"/>
          <w:lang w:bidi="fa-IR"/>
        </w:rPr>
        <w:t xml:space="preserve">برای نخستین‌بار، مدقِّق 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نگارش زبدة الأصول، مبادی دانش اصول را به‌طور کامل از مسائل آن تفکیک کرده و به ارائه‌ی تعریفی روشن و توسعه و طبقه‌بندی روشمند و ابتکاری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عباراتی منقح چنان‌که دأب خاص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مبادی‌پژوهی اصول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اصول را به چهار گروه منطقیه، لغویه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کلامیه و احکامیه تقسیم کرده است، اما در مقام بحث، مبادی کلامی و احکامی را ادغام و تحت عنوان مبادی احکامیه بررسیده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متأخرین، علامه سیدعبدالله شُبّر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وارد بحث از مبادی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الأصول الأﺻﻠﻴﺔ را در دو بخش سامان‌دهی کرده است، بخش نخست را به مبحث مبادی اصول و بخش دوم را به مبحث ادله‌ی شرعیه، اختصاص داده است، و مبادی را به دو دسته ی مجزا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اللغوﻳﺔ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صص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الأحکاﻣﻴﺔ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صص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است؛ شبّر برخی از مباحث را که در کتب اصولی رایج، به‌عنوان مسائل دانش اصول مطرح می‌شود، در این دو </w:t>
      </w:r>
    </w:p>
    <w:p>
      <w:pPr>
        <w:pStyle w:val="BookText"/>
        <w:rPr/>
      </w:pPr>
      <w:r>
        <w:rPr>
          <w:rFonts w:ascii="IRNazanin" w:hAnsi="IRNazanin" w:eastAsia="IRNazanin"/>
          <w:color w:val="111111"/>
          <w:sz w:val="28"/>
          <w:sz w:val="28"/>
          <w:szCs w:val="28"/>
          <w:rtl w:val="true"/>
          <w:lang w:bidi="fa-IR"/>
        </w:rPr>
        <w:t>فصل بازرسیده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پاره‌ای از مباحث مطرح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الأدﻟﺔ الشرﻋﻴﺔ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سنخ مبادی اصول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محقق اصفهانی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تألیف رساله‌ی الأصول علی النّهج الحدیث، سعی کرده است طرحی نو در سازماندهی اصول دراندازد، دیدگاه‌های دقیقی را درباره‌ی مبادی علم اصول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مبادی را به دو گروه تصوریه و تصدیقیه، سپس هریک را به دو نوع لغویه و احکامیه تقسیم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المدخل الی عَذب المَنهَل علامه شعرانی طهرانی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واپسین و تنها اثری است که در تاریخ علم اصول، به‌طور مفصل و مستقل در مبادی علم اصول به سلک نگارش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علامه شعرانی در المدخل آشکارا از زبدة الأصول تأثیر پذیرفته است، اما وی با تألیف این اثر ارزشمند، برزخ تاریخی میان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فلسفه‌ی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قالب یک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اجمال رئوس ثمانیه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بخش با عنوان‌های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الکلاﻣﻴﺔ و اﻟﻤﻨﻄﻘﻴﺔ،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اللغوﻳﺔ،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المبادی الأحکاﻣﻴﺔ، سامان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عمده‌ی ایراداتی که بر مبادی‌پژوهی اصحاب اصول وارد است، بر این کتاب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در زمینه‌ی مسائل فرادانشی به بیان مختصر مباحث رئوس ثمانیه بسنده شده است، مباحث معرفت‌شناختی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چندان معطوف به علم اصول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المبادئ الکلاﻣﻴﺔ و اﻟﻤﻨﻄﻘﻴﺔ مورد بحث قرارگرفته است؛ به‌رغم اینکه صفحات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مبادی احکامی اختصاص یافته است، در ذیل مبادی کلامی،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گنجانده شده است، و از سوی دیگر، بخش المبادی الأحکاﻣﻴﺔ با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التحسین و التقبیح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بر کتب اصولی نشان می‌دهد که در نخستین آثار اصولی، بخش مبادی‌پژوهی، بیشتر وجه ادبی و زبان‌شناختی دارد، اما رفته‌رفته سهم مباحث کلامی افزون‌تر و افزون‌تر می‌گردد، و به‌تدریج مباحث عقلی، هم در بخش مبادی و هم در بخش مسائل فزونی می‌گیرد، تا جایی که در آثار اصولی معاصر پاره‌ای از مبادی و مسائل با فلسفه و آرای فلسفی درمی‌آمیزد</w:t>
      </w:r>
      <w:r>
        <w:rPr>
          <w:rFonts w:eastAsia="IRNazanin" w:cs="IRNazanin"/>
          <w:color w:val="111111"/>
          <w:sz w:val="28"/>
          <w:szCs w:val="28"/>
          <w:rtl w:val="true"/>
          <w:lang w:bidi="fa-IR"/>
        </w:rPr>
        <w:t xml:space="preserve">. </w:t>
      </w:r>
      <w:bookmarkStart w:id="30" w:name="pg5825_38182"/>
    </w:p>
    <w:p>
      <w:pPr>
        <w:pStyle w:val="Heading4"/>
        <w:numPr>
          <w:ilvl w:val="3"/>
          <w:numId w:val="1"/>
        </w:numPr>
        <w:rPr/>
      </w:pPr>
      <w:bookmarkStart w:id="31" w:name="__RefHeading___Toc4623329_581953129"/>
      <w:bookmarkStart w:id="32" w:name="_Toc11"/>
      <w:bookmarkEnd w:id="30"/>
      <w:bookmarkEnd w:id="31"/>
      <w:r>
        <w:rPr>
          <w:rtl w:val="true"/>
        </w:rPr>
        <w:t>درباره‌ی فلسفه‌ها‌ی مضاف</w:t>
      </w:r>
      <w:bookmarkEnd w:id="32"/>
    </w:p>
    <w:p>
      <w:pPr>
        <w:pStyle w:val="BookText"/>
        <w:rPr/>
      </w:pPr>
      <w:r>
        <w:rPr>
          <w:rFonts w:ascii="IRNazanin" w:hAnsi="IRNazanin" w:eastAsia="IRNazanin"/>
          <w:color w:val="111111"/>
          <w:sz w:val="28"/>
          <w:sz w:val="28"/>
          <w:szCs w:val="28"/>
          <w:rtl w:val="true"/>
          <w:lang w:bidi="fa-IR"/>
        </w:rPr>
        <w:t xml:space="preserve">فلسفه را می‌شود به اعتبارات گوناگون تقسیم کرد، ازجمله می‌توان از حیث اطلاق و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موضوع و مضاف‌الیه آن انگاشته می‌شود، به دو دسته‌ی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علم کلی را که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بماهو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فلسفه‌ی مطلق و اعلی نامید، و فلسفه‌هایی را که موضوع آنها وجودهای خاص‌اند، مانند فلسفه‌ی فیزیک و فلسفه‌ی علم فیزیک، فلسفه‌ی هنر و فلسفه‌ی معرفت، فلسفه‌های مضاف و ادنی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فلسفه‌ی مضاف عبارت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عهده‌دار مطالعه‌ی فرانگر عقلانی احکام کلی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دستگاهوار انگاشته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فلسفه‌های مضاف نیز به اعتبارات مختلف قابل طبقه‌بندی‌اند، ازجمله به فلسفه‌هایی که مضافٌ‌الیه و متعلق آنها معرفت است و طبعاً از زمره‌ی معرفت‌های درجه‌ی دو به‌شمار خواهند آمد، و فلسفه‌هایی که مضافٌ‌الیه آنها غیر معرفت است، و طبعاً معرفت درجه‌ی 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تعریف نیز تلویح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فلسفه‌های مضاف به اعتبار دیگر نیز به دو گروه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توانند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فلسفه‌های علم‌ها همگی از نوع معرفت درجه‌ی دو هستند، اما لزوماً همه‌ی فلسفه‌های مضاف به امور، معرفت درجه‌ی یک نیستند، فلسفه‌ی معرفت به‌رغم آنکه فلسفه‌ی مضاف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 معرفت درجه‌ی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می‌توان فلسفه‌های علوم و امور را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متعلق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فلسفه‌ی فلسفه، و فلسفه‌ی فیزیک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متعلق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فلسفه‌ی علم فقه، و فلسفه‌ی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دو دسته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چند نکته‌ی مهم درخور تذکر و تأکید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بایستگی توجه کافی داشتن به تفاوت‌های فلسفه‌های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مضاف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طبقه‌بندی فلسفه‌های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یک‌بار سخن از فلسفه‌ی علم حقوق است، که در آن بحث از یک نوع معرفت است، مثلاً می‌پرسیم آیا علم حقوق از علوم حقیقی است یا اعتباری؟ بار دیگر سخن از فلسفه‌ی مقوله‌ی حقوق در میان است، مثلاً می‌پرسیم تفاوت ماهوی گزاره‌های حقوقی با گزاره‌های اخلاقی در چیست؟ حضرات ارباب علوم غالباً بین این دو گونه از فلسفه‌های مضاف خلط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کتاب‌های نگاشته شده در فلسفه‌ها‌ی مضاف را ملاحظه کنید خواهید دید از اساتید </w:t>
      </w:r>
      <w:bookmarkStart w:id="33" w:name="pg5825_38184"/>
    </w:p>
    <w:p>
      <w:pPr>
        <w:pStyle w:val="BookText"/>
        <w:rPr/>
      </w:pPr>
      <w:bookmarkEnd w:id="33"/>
      <w:r>
        <w:rPr>
          <w:rFonts w:ascii="IRNazanin" w:hAnsi="IRNazanin" w:eastAsia="IRNazanin"/>
          <w:color w:val="111111"/>
          <w:sz w:val="28"/>
          <w:sz w:val="28"/>
          <w:szCs w:val="28"/>
          <w:rtl w:val="true"/>
          <w:lang w:bidi="fa-IR"/>
        </w:rPr>
        <w:t>پیشکسوت این حوزه‌ها‌ی مطالعاتی تا جوان‌ترها، این خلط را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فلسفه‌ی حقوق آقای ناصرکاتوزیان، میان فلسفه‌ی امر حقوق و علم حقوق خلط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کاتوزیان،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پرهیختن از خلط مسائل و بایستگی تفطن داشتن به سنخه‌ی مسائل قابل طرح در فصول فلسفه‌های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آثار عرضه شده از سوی بعضی فضلا در حوزه‌ی فلسفه‌های مضاف، مسائل و مباحث تاریخی یا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به‌مثابه مسائل آن رشته‌ی فلسفی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سطوح مباحث فلسفی و مبنایی‌ای که می‌توانند در شمار مسائل فلسفه‌های مضاف به معرفت‌ها و مقوله‌های مختلف قلمداد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 هر آن‌کو درصدد برمی‌آیند به بحث از فلسفه‌ی هر علم و امری بپردازند، از مباحث عمومی هستی‌شناسی و معرفت‌شناسی و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می‌کنند، ناصواب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مباحث در عداد مبانی 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فراپیش‌انگاره‌ها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علوم و امورند، نه مبادی دانش یا مقوله‌ای خاص؛ آن لایه از برایند مباحث هستی‌شناسی و معرفت‌شناسی و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مماس با علم و امر مضافٌ‌الیه‌اند و مولد آن علم و امر و مسائل مربوط بدانهایند، باید به‌عنوان مسائل فلسفه‌ی مضاف آنها تلقی شده و مورد بحث و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بی‌تردید علوم و امور بر مبانی فلسفی‌ای که مسائل اصلی فلسفه‌ی اولی و اعلی هستند، مبتنی‌اند، و اگر مبادی علوم و مبانی امور را ریشه‌کاوی و تبارشناسی کنیم، لاجرم نسب به آنها می‌برند، اما این بدان معنا نیست که مسائل فلسفه و علم کلی، رأساً و بلاواسطه مبدأ عزیمت معرفتی همه‌ی علوم و امورند، چیزی که همه‌کاره و همه‌جایی است، درواقع هیچ‌کاره و هیچ‌جایی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ابوالبقایی که می‌خواهد مبادی همه‌ی علوم و امور انگاشته شود در حقیقت مبادی هیچ‌کدام از آنها نیست</w:t>
      </w:r>
      <w:r>
        <w:rPr>
          <w:rFonts w:eastAsia="IRNazanin" w:cs="IRNazanin"/>
          <w:color w:val="111111"/>
          <w:sz w:val="28"/>
          <w:szCs w:val="28"/>
          <w:rtl w:val="true"/>
          <w:lang w:bidi="fa-IR"/>
        </w:rPr>
        <w:t>.</w:t>
      </w:r>
    </w:p>
    <w:p>
      <w:pPr>
        <w:pStyle w:val="Heading4"/>
        <w:numPr>
          <w:ilvl w:val="3"/>
          <w:numId w:val="1"/>
        </w:numPr>
        <w:rPr/>
      </w:pPr>
      <w:bookmarkStart w:id="34" w:name="__RefHeading___Toc4623331_581953129"/>
      <w:bookmarkStart w:id="35" w:name="_Toc12"/>
      <w:bookmarkEnd w:id="34"/>
      <w:r>
        <w:rPr>
          <w:rtl w:val="true"/>
        </w:rPr>
        <w:t>ماهیت و هویت فلسفه‌ی اصول</w:t>
      </w:r>
      <w:bookmarkEnd w:id="35"/>
    </w:p>
    <w:p>
      <w:pPr>
        <w:pStyle w:val="BookText"/>
        <w:rPr/>
      </w:pPr>
      <w:r>
        <w:rPr>
          <w:rFonts w:ascii="IRNazanin" w:hAnsi="IRNazanin" w:eastAsia="IRNazanin"/>
          <w:color w:val="111111"/>
          <w:sz w:val="28"/>
          <w:sz w:val="28"/>
          <w:szCs w:val="28"/>
          <w:rtl w:val="true"/>
          <w:lang w:bidi="fa-IR"/>
        </w:rPr>
        <w:t xml:space="preserve">براساس تعریفی که از فلسفه‌های مضاف ارائه شد، فلسفه‌ی اصول فقه نیز عبارت خواهد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مطالعه‌ی عقلانی فرادانشی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فرامسئله‌ای اصول فقه، به منظور دست‌یابی به احکام کلی این دانش و مسائلش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مؤلفه‌های تعریف، مختصات فلسفه‌ی اصول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دستگاهوار و دارای انسجام معرفتی است</w:t>
      </w:r>
      <w:r>
        <w:rPr>
          <w:rFonts w:eastAsia="IRNazanin" w:cs="IRNazanin"/>
          <w:color w:val="111111"/>
          <w:sz w:val="28"/>
          <w:szCs w:val="28"/>
          <w:rtl w:val="true"/>
          <w:lang w:bidi="fa-IR"/>
        </w:rPr>
        <w:t>.</w:t>
      </w:r>
      <w:bookmarkStart w:id="36" w:name="pg5825_38186"/>
    </w:p>
    <w:p>
      <w:pPr>
        <w:pStyle w:val="BookText"/>
        <w:rPr/>
      </w:pPr>
      <w:bookmarkEnd w:id="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روش عقلی است و در زمره‌ی علوم عقلی قلمداد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به‌شمار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رویکرد فرانگر و برونی به علم اصول و مسائل آن است، پس حائز شأن داورانه است، نه بازیگرانه و توصیه‌گرانه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مسائل آن به دولایه‌ی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وجود مقید است، پس از شمار فلسفه‌های دانی و لایه‌ی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و مضاف‌الیه فلسفه‌ی اصول یک دانش است، پس در شمار فلسفه‌های علوم و از سنخ معرفت درجه دو قلمداد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احکام کلی علم و مسائلش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آن کشف و وصف احکام و احوال کلی علم اصول و مسائل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آن احکام کلی مضاف‌الیه است، پس ازجمله‌ی علوم فلسفی است</w:t>
      </w:r>
      <w:r>
        <w:rPr>
          <w:rFonts w:eastAsia="IRNazanin" w:cs="IRNazanin"/>
          <w:color w:val="111111"/>
          <w:sz w:val="28"/>
          <w:szCs w:val="28"/>
          <w:rtl w:val="true"/>
          <w:lang w:bidi="fa-IR"/>
        </w:rPr>
        <w:t>.</w:t>
      </w:r>
    </w:p>
    <w:p>
      <w:pPr>
        <w:pStyle w:val="Heading4"/>
        <w:numPr>
          <w:ilvl w:val="3"/>
          <w:numId w:val="1"/>
        </w:numPr>
        <w:rPr/>
      </w:pPr>
      <w:bookmarkStart w:id="37" w:name="__RefHeading___Toc4623333_581953129"/>
      <w:bookmarkStart w:id="38" w:name="_Toc13"/>
      <w:bookmarkEnd w:id="37"/>
      <w:r>
        <w:rPr>
          <w:rtl w:val="true"/>
        </w:rPr>
        <w:t>انواع مسائل فلسفه‌ی اصول</w:t>
      </w:r>
      <w:bookmarkEnd w:id="38"/>
    </w:p>
    <w:p>
      <w:pPr>
        <w:pStyle w:val="BookText"/>
        <w:rPr/>
      </w:pPr>
      <w:r>
        <w:rPr>
          <w:rFonts w:ascii="IRNazanin" w:hAnsi="IRNazanin" w:eastAsia="IRNazanin"/>
          <w:color w:val="111111"/>
          <w:sz w:val="28"/>
          <w:sz w:val="28"/>
          <w:szCs w:val="28"/>
          <w:rtl w:val="true"/>
          <w:lang w:bidi="fa-IR"/>
        </w:rPr>
        <w:t>مسائل فلسفه‌های مضاف به علوم، ازجمله فلسفه‌ی اصول را به اعتبارات گونا‌گون می‌توان تقسیم کرد؛ در زیر، از باب نمونه به برخی تقسیمات و جهت تقسیم هریک از آنها به اجمال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فرادانشی و فرامسئله‌ای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مباحث فلسفه‌های مضاف به علم‌ها، معطوف به خود دانش مضاف‌الیه است، و غرض در آنها تحلیل احکام کلی خود آن دانش است، مانند ماهیت و تعریف علم، موضوع علم، غایت علم، روش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پاره‌ای دیگر از مسائل، عهده‌دار تحلیل احکام مسائل آن دانش‌اند، مانند مبانی زبانشناختی مباحث الفاظ اصول، مبادی کلامی مستقلات عقلیه؛ دسته‌ی اول را مسائل فرادانشی و دسته‌ی دوم را مسائل فرامسئله‌ای می‌نامیم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ماهوی و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مطرح‌شده در بخش مسائل فراعلمی فلسفه‌های مضاف به علم‌ها، از نوع مباحث ماهیت‌ساز دانش متعلق خویش‌اند، مانند موضوع، غایت، و روش علم، برخی دیگر از مباحث معطوف به امور هویتی و صوری دانش‌اند، مانند چیدمان دانش، و جایگاه علم در شبکه‌ی علوم هموند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نخست به مسائل ماهوی و </w:t>
      </w:r>
    </w:p>
    <w:p>
      <w:pPr>
        <w:pStyle w:val="BookText"/>
        <w:rPr/>
      </w:pPr>
      <w:r>
        <w:rPr>
          <w:rFonts w:ascii="IRNazanin" w:hAnsi="IRNazanin" w:eastAsia="IRNazanin"/>
          <w:color w:val="111111"/>
          <w:sz w:val="28"/>
          <w:sz w:val="28"/>
          <w:szCs w:val="28"/>
          <w:rtl w:val="true"/>
          <w:lang w:bidi="fa-IR"/>
        </w:rPr>
        <w:t>از گروه دوم به مسائل ساختاری فلسفه‌های مضاف تعبیر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تصوری و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همان تقسیم مشهور مبادی به تصوریه و تصدیقیه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بعضی تصور کرده‌اند مبادی تصوریه و مبادی تصدیقیه در عرض مبادی لغویه و احکامیه و منطقیه قرار دارند و مبادی اصول را به پنج قسم تصوریه، تصدیقیه، منطقیه، کلامیه و لغویه، تقسیم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همان مبادی لغویه یا منطقیه یا کلامیه، گاهی تصوریه است و گاهی تصدیقیه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وسیطه‌ی علم متعلق، و مبانی قریبه‌ی علم 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به سه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بعیده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وسیطه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 مبانی بعیده را نمی‌توان در زمره‌ی مبادی علم انگاشت، زیرا این دسته از انگاره‌ها مبدأ عزیمت به مسائل علم و مبنای مستقیم آنها به‌شمار نمی‌روند؛ تنها مبانی قریبه را باید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 مبادی وسیطه نیز با تحلیل، یا فرا رفته و به مبادی بعیده می‌پیوندند یا فروکاسته، به مبادی قریبه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در زمره‌ی مبادی بعیده، و در صورت دوم در حکم مبادی قریبه‌اند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ممتزجه‌ی دانش مضافٌ‌الیه و مبادی غیرممتزجه‌ی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مبادی قریبه‌ی علم که به جهتی موجه، از مسائل آن دانش قابل تفکیک نیستند مبادی ممتزجه اطلاق می‌کنیم، دسته‌ی دیگر از مبادی را که می‌توانند و بلکه می‌باید در دانش دیگری غیر از علم موضوع فلسفه‌ی مضاف، مطرح و حاصل بحث در آن، به‌مثابه اصل موضوعی انگاشته شده و در آن علم، مورد استناد و استفاده قرار گیرد، مبادی غیرممتزجه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نزاع‌های کهن و مزمن در فلسفه‌ی علم،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پرسش اصلی در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مبادی از اجزای علوم‌اند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دو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علم عبارت است از مبادی، موضوع و مسائل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أسامی العلوم إنما وضعت لنفس المسائل أو العلوم بها فکیف یجعل المسائل أحد أجزاء العلوم و یدرج الموضوع و المبادی فی أجزائها مع خروجها من نفس المسائل و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بالعلم فی المقام هو الفن الموضوع المشتمل علی إثبات المطالب النظرﻳﺔ المطلوب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أن الفنون الموضوﻋﺔ لا یقتصر فیها علی ذکر المطالب مجردﺓ عن الدلیل، إذ لا فائدﺓ یعتد بها فی ذلک، فاندرجت المقدمات التی یستدل بها علی تلک المطالب فی تلک الفنون و الصناعات و کذا غیرها مما یتوقف علیه التصدیق بمسائلها مما یذکر فی الفن، فصارت أجزاءً من الفن و إن کانت خارﺟﺔ عن المسائل؛ فظهر أن المراد بالعلوم فی المقام غیر ما وضعت تلک الأسامی بإزائها فهو إطلاق آخر مغایر لما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هداﻳﺔ المسترشدین،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از اجزای علوم نیست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حینئذ یشکل الحال فی عد المبادی من أجزاء العلوم کما هو المعروف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یلزم حینئذ جعل کثیر من مسائل سائر العلوم جزءاً من العلم الذی یتوقف علیها و هو خلاف المعهود و کان المعهود من أجزاء العلوم غیر المعنی المذکور، و لذا خص بعضهم المبادی التصدﻳﻘﻴﺔ بالقضایا التی یتألف منها قیاسات العلم و المبادی التصورﻳﺔ بحدود الموضوع و أجزائه و جزئیاته و عوارضه الذاﺗﻴﺔ، هداﻳﺔ‌المسترشدین، ص</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طهرانی،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هر دو قول مخدوش است، و سرّ اینکه مسئله لاینحل باقی مانده این است که هر دو طرف به نفع مدعای خود شواهدی را از مبادی ارائه می‌کنند که بسا صحیح باشد، اما یکی مثال‌هایی از مبادی را می‌آورد که از دانش تفکیک‌پذیر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ممتزجه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نمی‌تواند جزء علم نباشد، دیگری مثال هایی را می‌آورد که باید جدای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دیگری مورد بررسی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غیرممتزجه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از اجزای علم نیست، والا تمام علوم باید جزء علم مصب </w:t>
      </w:r>
      <w:bookmarkStart w:id="39" w:name="pg5825_38189"/>
    </w:p>
    <w:p>
      <w:pPr>
        <w:pStyle w:val="BookText"/>
        <w:rPr/>
      </w:pPr>
      <w:bookmarkEnd w:id="39"/>
      <w:r>
        <w:rPr>
          <w:rFonts w:ascii="IRNazanin" w:hAnsi="IRNazanin" w:eastAsia="IRNazanin"/>
          <w:color w:val="111111"/>
          <w:sz w:val="28"/>
          <w:sz w:val="28"/>
          <w:szCs w:val="28"/>
          <w:rtl w:val="true"/>
          <w:lang w:bidi="fa-IR"/>
        </w:rPr>
        <w:t>بحث به‌شمار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پاره‌ای از مبادی آن‌سان با مسئله امتزاج دارند که نمی‌توان آنها را از مسئله جدا کرد، و باید در همان حین که مسئله‌ی علم بحث می شود، مبدأ هم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مبادی را به مبادی ممتزجه تعبیر می‌کنیم و لاجرم از اجزای علم قلمداد می‌شوند، لهذا در مقابل دو قول مشهور انکار مطلق و اثبات مطلق در این نزاع تاریخی، ما قائل به تفصیل هستیم و می‌گوییم مبادی ممتزجه جزء اجزای علوم هستند، مبادی غیرممتزجه جزء علم متولی مسائل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مجال تبیین ملاکات این تفکیک و ذکر امثله‌ی هریک از آنها نیست، در فصل پنجم دروس اصول، ذیل قلمرو ساختاری دانش اصول با عنوان نظریه‌ی تفصیل، به شرح این مطلب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فلسفه‌های مضاف و نیز فلسفه‌ی اصول را به اشکال دیگر هم می‌شود تقسیم کرد، اکنون به همین مقدار بسنده کرده می‌گذریم و تفصیل و تکمیل را به فرصت مناسب آن احاله می‌کنیم</w:t>
      </w:r>
      <w:r>
        <w:rPr>
          <w:rFonts w:eastAsia="IRNazanin" w:cs="IRNazanin"/>
          <w:color w:val="111111"/>
          <w:sz w:val="28"/>
          <w:szCs w:val="28"/>
          <w:rtl w:val="true"/>
          <w:lang w:bidi="fa-IR"/>
        </w:rPr>
        <w:t>.</w:t>
      </w:r>
    </w:p>
    <w:p>
      <w:pPr>
        <w:pStyle w:val="Heading4"/>
        <w:numPr>
          <w:ilvl w:val="3"/>
          <w:numId w:val="1"/>
        </w:numPr>
        <w:rPr/>
      </w:pPr>
      <w:bookmarkStart w:id="40" w:name="__RefHeading___Toc4623335_581953129"/>
      <w:bookmarkStart w:id="41" w:name="_Toc14"/>
      <w:bookmarkEnd w:id="40"/>
      <w:r>
        <w:rPr>
          <w:rtl w:val="true"/>
        </w:rPr>
        <w:t>بایستگی‌های تأسیس فلسفه‌های مضاف</w:t>
      </w:r>
      <w:bookmarkEnd w:id="41"/>
    </w:p>
    <w:p>
      <w:pPr>
        <w:pStyle w:val="BookText"/>
        <w:rPr/>
      </w:pPr>
      <w:r>
        <w:rPr>
          <w:rFonts w:ascii="IRNazanin" w:hAnsi="IRNazanin" w:eastAsia="IRNazanin"/>
          <w:color w:val="111111"/>
          <w:sz w:val="28"/>
          <w:sz w:val="28"/>
          <w:szCs w:val="28"/>
          <w:rtl w:val="true"/>
          <w:lang w:bidi="fa-IR"/>
        </w:rPr>
        <w:t>این بحث را می‌توان در دو افق کاوی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ضرورت‌های تأسیس و توسعه‌ی فلسفه‌های مضاف اسلامی، و افق ضرورت‌های خاص تأسیس فلسفه‌ی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افق اول، به جهت اجتناب از اطاله‌ی کلام، به ارائه‌ی فهرست اجمالی مطالب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ادله‌ی بسیاری لزوم تأسیس و توسعه‌ی فلسفه‌های مضاف براساس حکمت و عقلانیت اسلامی را محرز می‌دارد،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عصریِ توسعه و تعمیق عقلانیت اسلامی، به اقتضای ظروف تاریخی کنونی جهان اسلام و حیات انسان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بایستگی برون‌برد فلسفه‌ی اسلامی از انزوا و انعطال کنونی و کاربردی کردن آن از رهگذر حاضر ساختن عقلانیت دینی در عرصه‌ها‌ی صفی معرفت و معیشت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بازخوانی داد‌ه‌های حکمت اسلامی معطوف به نیازها و نظرات جدید و بایستگی روزآمدسازی فلسفه‌ی اسلامی با بازپیراست و بازافزایی آن، و نیز بازآراست و بازارائه‌ی آن به زبان زمان، و معطوف به نیازها و نظرات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تقویت مبانی عقلانی معرفت دینی علی‌الاطلاق و علوم اسلامی علی‌الخصوص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بایستگی بازسازی برخی از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مطالعه‌ی </w:t>
      </w:r>
    </w:p>
    <w:p>
      <w:pPr>
        <w:pStyle w:val="BookText"/>
        <w:rPr/>
      </w:pPr>
      <w:r>
        <w:rPr>
          <w:rFonts w:ascii="IRNazanin" w:hAnsi="IRNazanin" w:eastAsia="IRNazanin"/>
          <w:color w:val="111111"/>
          <w:sz w:val="28"/>
          <w:sz w:val="28"/>
          <w:szCs w:val="28"/>
          <w:rtl w:val="true"/>
          <w:lang w:bidi="fa-IR"/>
        </w:rPr>
        <w:t>فرانگر عقلانی آن دانش؛ و چنین مطالعه‌ای وظیفه‌ی ذاتی فلسفه‌ی مضاف به هر علمی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تمهید و تأمین مبانی و مبادی حکمی برای تأسیس علوم انسانی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دستیابی به احکام کلی دانش‌های اسلامی و مسائل اساسی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بایستگی مقابله با سوءاستفاده از پاره ای فلسفه‌های مضاف مانند فلسفه‌ی دین، که برخی آن را به پایگاه تازش و یورش به مبانی و معارف دینی و اسلامی بدل کرده‌اند، تأسیس فلسفه‌های مضاف با مبنا و منطق درست و دقیق، راه را بر چنین سوءرفتارهایی خواهد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زدودن خلط و خطاهایی که از سوی بعضی معاصرین و برخی فضلای جوان، در باب برخی فلسفه‌های مضاف اسلامی صورت می‌گیرد، مانند اطلاق فلسفه‌ی دین به فلسفه‌ی دینی، و احیاناً دین‌پژوهی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مانند برابرانگاری یا خلط فلسفه‌ی فقه، و مقاصدالشریعه و علل‌الشرایع با فلسفه‌ی علم فقه و فلسفه‌ی علم اصول و فلسفه‌ی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نکات خاصی که بایایی یا شایایی تأسیس فلسفه‌ی اصول را تبیین و توجیه می‌کند؛ گرچه نکات بسیاری را در این باب می‌توان مطرح کرد، به جهت رعایت مجال مضیق مقال به طرح و توضیح برخی موارد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به‌عنوان مبادی‌پژوهی علم اصول از سو‌ی اصحاب اصول مطرح شده دارای اشکالات عدیده‌ای است که در فصل مبادی‌پژوهی دروس اصول تفصیلاً به طرح و شرح آنها پرداخته‌ایم؛ این‌جا در حد ضرورت در جهت تبیین مسئله‌ی محل بحث، برخی از اشکالات را همراه توضیح مختصری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اصولی به بسیاری از انواع مبادی پرداخته نشده است، لهذا مباحث مبادی‌پژوهی رایج، جامع همه‌ی انواع مبادی نیست، آنان مجموع مبادی را حداکثر در چهار گروه تحت عنوان مبادی کلامیه و لغویه و احکامیه و منطقیه، دسته‌بندی کرده‌اند و برخی مبادی مهم به‌کلی از نظر اصحاب اصول دور مانده یا به اشاره‌ای کوتاه به مسائل آنها در خلال دیگر مبادی بسنده کرده‌اند،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معرفت‌شناختی، که نوعاً به اندکی از مباحث آن در ضمن مبادی منطقیه یا مبادی کلامیه، اشاره کرده‌اند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زبانشناختی که در خلال مبادی لغویه، به بعضی از مطالب مرتبط بدان </w:t>
      </w:r>
    </w:p>
    <w:p>
      <w:pPr>
        <w:pStyle w:val="BookText"/>
        <w:rPr/>
      </w:pP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که چندان به آن توجه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نقطه نظر برآیند و تأثیر نوع تلقی‌های مجتهد از مسائل اساسی دین، در روش‌شناسی فهم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از مسائل آن آمیخته با مبادی کلامیه یا مبادی احکامیه مورد بحث اجمالی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صفحات اول الذّرﻳﻌﺔ صریحاً اذعان می‌کند که همه‌ی اصول دین جزو مبادی اصول فقه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مبادی کلامیه‌ی اصول این مایه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آنچه را که سلف تحت عنوان اصول دین مطرح می‌کردند امروز تجزیه شده و تفصیل یافته و بخشی از آن همچنان کلام نامیده می‌شود، اما بخش‌هایی از آن با افزوده‌های بسیار، دانش‌های دین‌پژوهی جدیدی مانند دانش فلسفه‌ی دین یا فلسفه‌ی معرفت دینی یا فلسفه‌ی منطق فهم دین را پدید آورده یا پدید می‌آورند که از پایگاه این دانش‌ها می‌توان مبادی جدید و وسیعی برای علم اصول تعریف و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به بیان سید مرتضی و شاگردش شیخ الطایفه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بورزیم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همگی مبادی اصول فقه‌اند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مشخص کنیم از هر گزاره‌ی کلامی و عقیدتی‌ای دقیقاً چه قاعده و ضابطه‌ی استنباطی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مبادی‌پژوهی اصول از نقطه‌نظر مبدأ دین‌شناختی کامل خواهد بود، و دانش اصول بسط بسیار خواهد یافت، و تناسب میان دو ضلع مهم عقاید و احکام در هندسه‌ی معرفتی دین به وضوح آشکار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نقطه‌نظر ترابط اخلاق و فقه، و نیز جایگاه زیرساختی ارزش‌های اخلاقی و برآیند روش‌شناختی آن در درک دین به‌ویژه حوزه‌ی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به‌کلی مغفول مانده است، اگر این نکته همچنان مغفول ماند تناسب میان دو ضلع مهم دیگر هندسه‌ی معرفتی دین یعنی حوزه‌ی اخلاق و حوزه‌ی احکام آشکار نخواهد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مختصات مصدر دین و برآیند آن در روش فهم دین و ازجمله استنباط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اشاره‌ای که شیخ طوسی در آغاز العدﺓ فرموده است، سخنی از کسی سراغ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مختصات انسان به‌مثابه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دین و برآیند روش‌شناختی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صریحی از هیچ‌یک از ارباب فن دیده نشده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بسیار تعیین‌کننده‌ی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مختصات حوزه‌ی شریعت </w:t>
      </w:r>
    </w:p>
    <w:p>
      <w:pPr>
        <w:pStyle w:val="BookText"/>
        <w:rPr/>
      </w:pPr>
      <w:r>
        <w:rPr>
          <w:rFonts w:ascii="IRNazanin" w:hAnsi="IRNazanin" w:eastAsia="IRNazanin"/>
          <w:color w:val="111111"/>
          <w:sz w:val="28"/>
          <w:sz w:val="28"/>
          <w:szCs w:val="28"/>
          <w:rtl w:val="true"/>
          <w:lang w:bidi="fa-IR"/>
        </w:rPr>
        <w:t xml:space="preserve">و قضایای تکلیفی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دین، و برآیند روش‌شناختی آن در فهم این حوزه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بخشی از مسائل بی‌شمار آن تحت عنوان مبادی احکامیه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متأخران و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محقق اصفهانی در الأصول علی النهج الحدیث،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مجدد بروجردی در لمحات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نهاﻳﺔ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الحاﺷﻴﺔ علی الکفاﻳﺔ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ذیل بحث اصولی بودن جواز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تهذیب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طرح پاره‌ای از مباحث بکر و بدیع یا چالش‌خیز و جدی، در این زمینه پرداخته‌اند، اما این مایه بحث، درخور و فراخور نقش تعیین‌کننده‌ی این مبدأ مهم در روش استنباط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اقتراح عافیت‌سوز و شجاعانه‌ی آیت‌الله سیستانی مبنی بر سازماندهی علم اصول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اعتنا و تفطن ارزشمند است، و هرچند که برخی جوانب و جزئیات نظرات ایشان خالی از اشکال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اجتهادشناختی، که باید بخش عمده‌ای از مبادی‌پژوهی را به خود اختصاص دهد، مورد توجه کافی واقع نشده است، و اندکی از مسائل بسیار آن، که تحت عنوان اجتهاد و تقلید مورد بحث قرار گرفته است، به جای سرآغاز اصول، در پایان این دانش و بیش‌تر در خلال مباحث فقهی مربوط بدان،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انصاری،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درباره‌ی برخی مبادی مانند مبادی کلامیه، منطقیه، احکامیه و لغویه، هرچند که بحث‌های عمیق و دقیقی در آثار اصحاب اصول یافت می‌شود، اما در حد کافی به مصادیق و موارد آنها پرداخته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بهجت،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نیز مورد بحث واقع شده به صورتی بی‌سامان در سراسر مباحث اصول پخش و پراکنده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کژی‌ها و کاستی‌ها، برخی رفتارها و تلقی‌های ناصواب دیگر نیز در مباحث مبادی‌پژوهی اصول راه یافته است که سزاوار نقد و نقض بسیار است، ازجمله‌ی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بعیده را مبادی علم انگاشتن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مسئله‌ی موضوع‌مندی علوم و عدم آن علی‌الإطلاق، تعریف موضوع علوم، مسئله‌ی اجزای علوم،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بی‌آنکه اشاره‌ای به عدم مبدئیت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سرآغاز دانش اصول مطرح شده، و گاه به تفصیل نیز مورد بحث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بروجردی،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خویی،</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مبانی مرتبط، هرچند با وسائط بی‌شمار و فواصل بسیار، نمی‌توانند مبدأ دانش انگاشته شوند، از میان انواع مبانی، تنها مبانی قریبه و مماس علم، باید در زمره‌ی مبادی آن قلمداد گردند، مبادی مماس نیز می‌توانند به دو گروه غیرقابل تفکیک از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تفکیک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غیرممتزجه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شوند؛ از میان مبادی قریبه تنها مبادی ممتزجه از اجزای علوم بشمار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اندراج مبانی و مبادی در زمره‌ی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آثار متأخرین، بخش قابل توجهی از مطالب مربوط به مبادی‌پژوهی، به‌ویژه آنچه مرتبط با مباحث الفاظ است، در آغاز اصول مطرح می‌شود، اما بسیاری از مباحث مبادی، بدون هیئت و هویت مستقل و به نحو تطفلی و استطرادی در خلال مسائل مورد بحث قرار می‌گیرند، و در جای‌جای این دانش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مبادی و مسائل چندان در هم آمیخته است که روشن نیست برخی مطالب آیا از مبادی اصولند یا از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آغاز الذریعهًْ به پیشینیان که در آثار خود مبادی را با مسائل درآمیخته‌اند به تندی انتقاد می‌کند و انگیزه‌ی تألیف کتاب خود را تنقیح و تفکیک مسائل اصول از مبادی اصول اعلام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خود چندان که باید بر این اساس استوار نمی‌ماند و در نقاط مختلف، در خلال کتاب خود، به مبادی‌پژوهی می‌پردازد، مانند طرح و بحث از برخی مطالب در مبحث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بحث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انواع مبادی با همدیگر، ازجمله و 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مبادی منطقی و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آثار، مبادی معرفت‌شناختی در مبادی منطقی درج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مبادی منطقی و کلامی؛ علامه شعرانی این دو گروه را تحت عنوان واحد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مبادی کلامی و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مثلاً محقق بهایی بحث وجوب شکر منعم را که مطلبی کلامی است در ذیل مبادی احکامیه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مبادی ممتزجه و غیرممتزجه، این خطا شایع‌ترین مسئله در مبادی‌پژوهی است و در اکثر آثار اصحاب اصول واقع شده است</w:t>
      </w:r>
      <w:r>
        <w:rPr>
          <w:rFonts w:eastAsia="IRNazanin" w:cs="IRNazanin"/>
          <w:color w:val="111111"/>
          <w:sz w:val="28"/>
          <w:szCs w:val="28"/>
          <w:rtl w:val="true"/>
          <w:lang w:bidi="fa-IR"/>
        </w:rPr>
        <w:t xml:space="preserve">. </w:t>
      </w:r>
      <w:bookmarkStart w:id="42" w:name="pg5825_38198"/>
    </w:p>
    <w:p>
      <w:pPr>
        <w:pStyle w:val="BookText"/>
        <w:rPr/>
      </w:pPr>
      <w:bookmarkEnd w:id="42"/>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تشتت در طبقه‌بندی و نحوه‌ی تقسیم انواع مبادی، مثلاً برخی اصولیان، مبادی تصوریه و تصدیقیه را در عرض دیگر مبادی انگاشته‌اند، چنان‌که گویی این گونه مبادی قسیم مبادی منطقیه، کلامیه، احکامیه، و لُغویه‌اند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بجنوردی،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فیروزآبادی،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 معیار و اضطراب در تعریف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کمابیش بحث‌های خوبی در باب تعریف مبادی علوم، و مباحث ارزنده‌ای درباره‌ی تعریف مسئله‌ی اصولیه و تعیین مناط اصولیت مسئله، در آثار اصولیون آمده است، اما تشویش و اضطراب در تلقی از این دو مبحث در متون اصولی همچنان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ابهام و اهمال در کاربردشناسی 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به وضوح به کاربرد مبادی در دانش توجه نشان داده نشده است، به‌رغم آنکه دانش‌پژوهان، مباحث گسترده‌ای را در مبادی‌پژوهی اصول فرامی‌گیرند، اما آن‌سان که باید با کاربرد آنها آشنا نمی‌شوند؛ رفتارهایی مانند نپرداختن به مبادی بسیار راهگشا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به فهرست عناوین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پاره‌ای مطالب کم‌کاربرد، به بهانه‌ی اینکه چنین مباحثی از مبادی دانش اصول‌اند، نشانه‌ی عدم توجه کافی به کارکردهای مبادی‌پژوهی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مجموعه‌ی مبادی را نام ببریم یا حتی آنها را به تفصیل وصف کنیم، اما اینکه برایند توجه به این مبادی در دانش اصول و دیگر دانش‌های روشگانی دین‌شناسی چیست، روشن نشود، مفید نیست؛ وقتی بحث مبادی را مطرح می‌کنیم باید روشن کنیم چه ربطی بین هر یک از این مبادی با مسائل اصول وجود دارد، و هرکدام از مبادی کدام‌یک از مسائل اصولیه را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در اغلب موارد سلف ما بدین نکته توجه کرده‌اند، اما چندان که باید بسط نداده‌اند و مدعا را بارور نکرده‌اند</w:t>
      </w:r>
      <w:r>
        <w:rPr>
          <w:rFonts w:eastAsia="IRNazanin" w:cs="IRNazanin"/>
          <w:color w:val="111111"/>
          <w:sz w:val="28"/>
          <w:szCs w:val="28"/>
          <w:rtl w:val="true"/>
          <w:lang w:bidi="fa-IR"/>
        </w:rPr>
        <w:t>.</w:t>
      </w:r>
    </w:p>
    <w:p>
      <w:pPr>
        <w:pStyle w:val="Heading3"/>
        <w:numPr>
          <w:ilvl w:val="2"/>
          <w:numId w:val="1"/>
        </w:numPr>
        <w:rPr/>
      </w:pPr>
      <w:bookmarkStart w:id="43" w:name="__RefHeading___Toc4623337_581953129"/>
      <w:bookmarkStart w:id="44" w:name="_Toc15"/>
      <w:bookmarkEnd w:id="43"/>
      <w:r>
        <w:rPr>
          <w:rtl w:val="true"/>
        </w:rPr>
        <w:t>تذکار</w:t>
      </w:r>
      <w:r>
        <w:rPr>
          <w:rtl w:val="true"/>
        </w:rPr>
        <w:t xml:space="preserve">) </w:t>
      </w:r>
      <w:r>
        <w:rPr>
          <w:rtl w:val="true"/>
        </w:rPr>
        <w:t>عذر قصور سلف</w:t>
      </w:r>
      <w:bookmarkEnd w:id="44"/>
    </w:p>
    <w:p>
      <w:pPr>
        <w:pStyle w:val="Heading4"/>
        <w:numPr>
          <w:ilvl w:val="3"/>
          <w:numId w:val="1"/>
        </w:numPr>
        <w:rPr/>
      </w:pPr>
      <w:bookmarkStart w:id="45" w:name="__RefHeading___Toc4623339_581953129"/>
      <w:bookmarkStart w:id="46" w:name="_Toc16"/>
      <w:bookmarkEnd w:id="45"/>
      <w:r>
        <w:rPr>
          <w:rtl w:val="true"/>
        </w:rPr>
        <w:t>اشاره</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این‌جا به برخی ایرادات در مبادی‌پژوهی اشاره کردیم، اما حقیقت این است که این اشکالات ناشی از مشکلات موجود در روزگاران پیشین است، و باید ظروف و شرایط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را در داوری راجع به این مطالب و این رفتارها منظور داشت، در این صورت مبرم خواهد گشت که سلف را که میراث معرفتی عظیمی چون دانش اصول را برای ما به ارث نهاده‌اند، نمی‌توان مقصر انگاشت، محاذیر و معاذیر بسیاری روش و رفتارهای علمی آنان را توجیه می‌کند، اینکه ما امروز قادر به تجزیه و توسعه‌ی مبانی و </w:t>
      </w:r>
    </w:p>
    <w:p>
      <w:pPr>
        <w:pStyle w:val="BookText"/>
        <w:rPr/>
      </w:pPr>
      <w:r>
        <w:rPr>
          <w:rFonts w:ascii="IRNazanin" w:hAnsi="IRNazanin" w:eastAsia="IRNazanin"/>
          <w:color w:val="111111"/>
          <w:sz w:val="28"/>
          <w:sz w:val="28"/>
          <w:szCs w:val="28"/>
          <w:rtl w:val="true"/>
          <w:lang w:bidi="fa-IR"/>
        </w:rPr>
        <w:t>مبادی و مسائل علوم ازجمله دانش اصول هستیم هنر ما نیست که هنر زمانه است، و استطاعت کنونی بر شانه‌های استعداد نسل پیش و رنج و رهاورد دانشمندان دیگر ملل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معاذیر مختلف می‌توان بر دو نکته انگشت تأکید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علوم پیشینی مستقل، برای طرح مبادی علم اصول، چنان‌که برخی بر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لها موضع آخر تبین فیه فبیانها من ﻭﻇﻴﻔﺔ العلم بالعرض علی أن ذلک خارج عن أصل الحد بناء علی تفسیر العلم بالتصدیق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غروی طهرانی،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نائینی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البحث عن المبادی بأقسامها، لیس من مباحث العلم، بل کان حقّها ان تذکر فی علم اخر، ممّا کانت المبادی من عوارض موضوعه، إلاّ انّه جرت سیرﺓ أرباب العلوم علی ذکر مبادئ کلّ علم فی نفس ذلک العلم، لعدم تدوینها فی علم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پیدایش ادبیات علمی رایج کنونی در برخی حوزه‌های معرفتی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آنان چیزی با عنوان معرفت‌شناسی، زبان‌شناسی، معناشناسی، علوم شناختی، هرمنوتیک، فلسفه‌های مضاف ازجمله‌ی فلسفه‌ی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و متداول نبوده تا این دست معارف از میان دیگر مطالب تفکیک شده در جایگاه خود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دیگری که بایستگی و شایستگی تأسیس فلسفه‌ی اصول فقه را مقرر می‌دارد، ظرفیت معرفتی انباشته و گران‌سنگی است که در آثار سلف در سنخ مسائل فلسفه‌ی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نه بدین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فراچنگ ماست که با افزوده‌هایی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افزوده‌هایی بسیار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سامان‌بخشی یک دستگاه معرفتی جدیدی در هیئت یک دانش مستقل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اصولیون به‌ویژه متأخرین مباحث بسیار قویم و غنیمی نهفته است که می‌تواند سرمایه ی اولیه این دانش نو را فراهم آورد؛ ما در خلال مباحث آتی، وسعت و کارسازی این سرمایه‌ی ثمین را در این تأسیس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نکته‌ای که تأسیس این دانش را موجه می‌دارد، ضرورت مواجهه‌ی مشرفانه‌ی معلم و متعلم، در مقام تعلیم و تعلم اصول است؛ هرچند که این نیاز فی‌الجمله از مبادی‌پژوهی رایج نیز برمی‌آید، اما به موازات کمال و جامعیت دانش فلسفه‌ی اصول در قیاس با مبحث مبادی‌پژوهی رایج، با تأسیس این دانش این کارکرد نیز ارتقا خواهد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بایستگی تقویت توان و توسعه‌ی امکان کاربست واقع‌بینانه‌ی دانش اصول و قواعد آن، در عملیات استنباط فروع، توجیه دیگر برای بایستگی پی‌افکنی فلسفه‌ی اصول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قلمروشناسی از مباحث اصلی فلسفه‌ی اصول به‌شمار است، در آن مبحث روشن خواهد شد که قلمرو کارکرد و کارآیی اصول کجاست؟ حوزه‌ی شریعت اما حداقلی یا گستره‌ی شریعت اما در مقیاسی گسترده؟ و بلکه همه‌ی حوزه‌های رفتاری، اعم از آموزه‌های تکلیفی، حقوقی، ارزشی، و تربیتی، و آیا علم اصول دانش عهده‌دار تولید قواعد و ابزارهای استنباط و اکتشاف تمام حوزه‌های معرفتی هندسه‌ی دین است؟ هندسه‌ی دین دست‌کم شامل چهار حوزه‌ی معرفتی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واقعمند و واقع‌نمای قدسی که متعلَق ایمانند و از آنها به عقاید دینی تعبیر می‌کنیم؛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واقعمند و واقع‌نمایی که بالاصاله و بالذات متعلَق ایمان نیستند و از آنها به علم دینی تعبیر می‌کنیم؛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الزامی و تکلیفی که عقاب و ثواب بر فعل و ترک آنها مترتب است که از آنها به شریعت تعبیر می‌کنیم؛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ارزشی و تهذیبی که احیاناً ممکن است تکلیفی نباشد، یعنی عقاب و عذاب و فعل و ترک آنها مترتب نباشد و از آنها به اخلاق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دسته قضایا مجموعاً هندسه‌ی معرفتی دین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آیا علم اصول می‌تواند یا می‌باید دانش منطق فهم همه‌ی گزاره‌ها و آموزه‌های دینی قلمداد شود؟</w:t>
      </w:r>
    </w:p>
    <w:p>
      <w:pPr>
        <w:pStyle w:val="BookText"/>
        <w:rPr/>
      </w:pPr>
      <w:r>
        <w:rPr>
          <w:rFonts w:ascii="IRNazanin" w:hAnsi="IRNazanin" w:eastAsia="IRNazanin"/>
          <w:color w:val="111111"/>
          <w:sz w:val="28"/>
          <w:sz w:val="28"/>
          <w:szCs w:val="28"/>
          <w:rtl w:val="true"/>
          <w:lang w:bidi="fa-IR"/>
        </w:rPr>
        <w:t>همچنین با توجه به مباحث قلمروشناسی اصول، آگاهی کافی از قلمرو ساختاری و هندسی این دانش نیز به دست می‌آید که دست‌آوردهای معرفتی ارزشمندی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فوق‌العاده‌ی دانش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سرمایه‌ی ثمین بازمانده از سلف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اشراف بر محاسن و معایب آن را دوچندان می‌سازد، زیرا تأمین اشراف فرانگر عقلانی مقدمه‌ی ضروری برای ارزشگذاری و شناساندن این میراث گران‌سنگ است، دانش اصول دربردارنده‌ی آرای بدیع و بی‌بدیل در حوزه‌های متنوعی است، برخی از حوزه‌های دانشی که نوظهور پنداشته می‌شوند، اما دانشوران پیشرو اصولی دهه ها و سده‌های پیش‌تر، آرای فاخر و فخیمی در آن زمینه‌ها ابراز داشته‌اند، اما قدر آنها شناخته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اصلاح و ارتقای این دانش و تنقیح، ترمیم، تکمیل، تنسیق، و توسعه‌ی درخور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کارآمدی و روزآمدیش اکنون در گرو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گرو نگاه فرادانشی و فرامسئله‌ای است، و این خاصیت و خصلت فلسفه‌های مضاف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حیاتی و مهم دیگر، وابستگی اجتهاد در فقه به اجتهاد در اصول، و </w:t>
      </w:r>
      <w:bookmarkStart w:id="47" w:name="pg5825_38204"/>
    </w:p>
    <w:p>
      <w:pPr>
        <w:pStyle w:val="BookText"/>
        <w:rPr/>
      </w:pPr>
      <w:bookmarkEnd w:id="47"/>
      <w:r>
        <w:rPr>
          <w:rFonts w:ascii="IRNazanin" w:hAnsi="IRNazanin" w:eastAsia="IRNazanin"/>
          <w:color w:val="111111"/>
          <w:sz w:val="28"/>
          <w:sz w:val="28"/>
          <w:szCs w:val="28"/>
          <w:rtl w:val="true"/>
          <w:lang w:bidi="fa-IR"/>
        </w:rPr>
        <w:t>سرسپردگی اجتهاد در مسائل اصول به اجتهاد در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هر قضیه‌ی علمی‌ای فرآورده‌ی فرایندی خاص و برونداده‌ی مبانی نظری مخصوصی است، هریک از قضایای اصولی نیز لزوماً برآمده‌ی فرآیندی ویژه و مبتنی بر مبدأ یا مبادی تصوری و تصدیقی معینّی است؛</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عزیمت فرایند اجتهاد و اتخاذ رأی در فروع فقهی، اجتهاد در مسائل منطق اجتهاد است، و به جهت ابتنای مسائل بر مبادی، اجتهاد در مسائل اصول و منطق اجتهاد نیز بر اجتهاد در مبادی و مبانی اصول برساخته است، از این‌روی غیراجتهادی بودن مبانی فقیه در باب هریک از مبادی اصول و مسائل اصولی مستلزم تقلیدی بودن آرای فقهی اوست؛ بدین‌سان هرآن‌کو در مبادی و به تبع آن در مسائل اصول مجتهد نباشد در فقه نیز مجتهد نخواهد بود؛</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 نکته‌ی پیش‌گفته است که دانشوران اصولی هرکدام خود رأساً و به طرز اجتهادی به بحث از مبادی نیز پرداخته‌اند، و ازآنجاکه دانش یا دانش‌های دیگری، مستقل از علم اصول وجود نداشته است تا به فراخور و درخور نیاز، عهده‌دار تحلیل مبادی اصول گردد، لاجرم این مباحث را در خلال مسائل علم اصول بازرسیده‌اند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 طهرانی،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نائینی،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 فلسفه توصیه نیست، که کار فلسفه تحلیل و تعلیل است، اما وقتی مطلبی به خوبی تحلیل و تعلیل شود، نقاط ضعف و قوت آن آشکار و تشخیص راه‌های تقویت و ارتقا نیز ممکن می‌گردد، هم از این‌روست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تحول و تکامل فقه از گذرگاه تحول و تکامل اصول می‌گذرد، تحول و تکامل اصول نیز در گرو تأسیس فلسفه‌ی اصول و اجتهاد در مبانی و مبادی است، و تحول در حلقات این زنجیره می‌تواند در حد درخور توجهی منشأ تحول در دیگر حوزه های معرفتی رایج دینی گردد، در اخلاق، کلام، تفسیر، حدیث و دیگر دانش‌ها و حوزه‌های معرفتی مؤثر خواهد افتاد</w:t>
      </w:r>
      <w:r>
        <w:rPr>
          <w:rFonts w:eastAsia="IRNazanin" w:cs="IRNazanin"/>
          <w:color w:val="111111"/>
          <w:sz w:val="28"/>
          <w:szCs w:val="28"/>
          <w:rtl w:val="true"/>
          <w:lang w:bidi="fa-IR"/>
        </w:rPr>
        <w:t>.</w:t>
      </w:r>
    </w:p>
    <w:p>
      <w:pPr>
        <w:pStyle w:val="Heading4"/>
        <w:numPr>
          <w:ilvl w:val="3"/>
          <w:numId w:val="1"/>
        </w:numPr>
        <w:rPr/>
      </w:pPr>
      <w:bookmarkStart w:id="48" w:name="__RefHeading___Toc4623341_581953129"/>
      <w:bookmarkStart w:id="49" w:name="_Toc17"/>
      <w:bookmarkEnd w:id="48"/>
      <w:r>
        <w:rPr>
          <w:rtl w:val="true"/>
        </w:rPr>
        <w:t>ساختار محورهای مهم طرح‌واره‌ی فلسفه‌ی اصول فقه</w:t>
      </w:r>
      <w:bookmarkEnd w:id="49"/>
    </w:p>
    <w:p>
      <w:pPr>
        <w:pStyle w:val="Heading5"/>
        <w:numPr>
          <w:ilvl w:val="4"/>
          <w:numId w:val="1"/>
        </w:numPr>
        <w:rPr/>
      </w:pPr>
      <w:bookmarkStart w:id="50" w:name="__RefHeading___Toc4623343_581953129"/>
      <w:bookmarkStart w:id="51" w:name="_Toc18"/>
      <w:bookmarkEnd w:id="50"/>
      <w:r>
        <w:rPr>
          <w:rtl w:val="true"/>
        </w:rPr>
        <w:t>درآمد</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کوته‌نگاشته، و با توجه به مباحثی که در فصول این مقال مطرح کردیم، ساختار اجمالی محورهای مهم طرح تأسیس فلسفه‌ی اصول را ارائه می‌کنیم؛ البته طرحی </w:t>
      </w:r>
    </w:p>
    <w:p>
      <w:pPr>
        <w:pStyle w:val="BookText"/>
        <w:rPr/>
      </w:pPr>
      <w:r>
        <w:rPr>
          <w:rFonts w:ascii="IRNazanin" w:hAnsi="IRNazanin" w:eastAsia="IRNazanin"/>
          <w:color w:val="111111"/>
          <w:sz w:val="28"/>
          <w:sz w:val="28"/>
          <w:szCs w:val="28"/>
          <w:rtl w:val="true"/>
          <w:lang w:bidi="fa-IR"/>
        </w:rPr>
        <w:t>که برای تدوین فلسفه‌ی علم اصول تنظیم کرده‌ایم بسیار مفصل و مطول است، این‌جا با اکتفا به حد ضرور، صورت خلاصه و ویراسته‌ی آن را درج می‌کنیم، و قبل از ارائه‌ی ساختار، چند نکته‌ی ضروری را مورد تصریح و تأکید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فلسفه‌های مضاف، در فرهنگ علمی ما، هنوز چندان که باید جایگاه شایان و شناخته، ساخته و پرداخته‌ای نیافته است، هم ازاین‌روس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بحث ضرورت‌های تأسیس فلسفه‌های مضاف، به برخی موارد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سامانه‌ی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سنخه‌ی مطالب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اضطراب و ابهام‌های بسیاری به چشم می‌خورد، و مباحث این قسم مطالعات فلسفی، بیش از آنکه از سنت علمی مقبول نخبگان مربوط و جامعه‌ی علمی مشخص خود تبعیت کند، دچار و درگیر سلایق و علایق بحاثان و پژوهشگران این حوزه است؛ ناگفته پیداست که اطروحه و انگاره‌ی پیشنهادی ما در فلسفه‌ی اصول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حصیله‌ی تأملات و اندیشیده‌های یک فرد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خصیصه و نقیصه بری نبوده، گرفتار عوارض این عویصه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آنچه به محضر ارباب معرفت، به‌عنوان ساختار محورهای طرح فلسفه‌ی علم اصول عرضه می‌شود، عصاره‌ی افزون بر پنج سال تأمل و توغل مقترِح بی‌بضاعت آن است، قهراً حاوی نکات و نقاط درخورد درای و درنگ فراخور است، و طبعاً ظرائف و طرائف منطوی در آن حاجتمند شرح و بسط لازم است، و باید در مقام تدوین این دانش نوآمد تفصیل بایان و شایان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این طرح‌واره،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دستگاه‌وار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انگاشته شده و از پایگاه فلسفه و معرفت‌شناسی و روش‌شناسی بدان نگریسته شده، اما به اقتضای این حقیقت که به‌هرحال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دانشی تمام‌عیار از سنخ علوم حقیقی و مباحث آن یکسره متشکل از مسائل حقیقی قلمداد نمی‌شود، و نیز توقع نمی‌رود پیشنهاده‌ی این کمین نیز سخنی چندان سخته و کاری چنان کارستان باشد، و این بنده هرگز چنین ادعایی را ندارد، بلکه وجود کژی و کاستی بسیار و بی‌شمار در آن را باید قهری و طبیعی انگاشت، هم ازاین‌رو دست نیاز به ساحت ارباب فضل و فضیلت دراز کرده، انتظار تفضل، هرچند به تذکر نکته‌ای خرد در ترمیم و تتمیم آن را، دارم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ساختار و سرفصل‌های پیشنهادی، سعی شده است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بعیده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علم اصول، و مطالبی که از سنخه‌ی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نقلی است، به‌مثابه مسائل فلسفه‌ی اصول، پرهیز گردد، و برخی مباحث که ممکن است از نوع مبانی وسیطه‌ی اصول قلمداد </w:t>
      </w:r>
    </w:p>
    <w:p>
      <w:pPr>
        <w:pStyle w:val="BookText"/>
        <w:rPr/>
      </w:pPr>
      <w:r>
        <w:rPr>
          <w:rFonts w:ascii="IRNazanin" w:hAnsi="IRNazanin" w:eastAsia="IRNazanin"/>
          <w:color w:val="111111"/>
          <w:sz w:val="28"/>
          <w:sz w:val="28"/>
          <w:szCs w:val="28"/>
          <w:rtl w:val="true"/>
          <w:lang w:bidi="fa-IR"/>
        </w:rPr>
        <w:t xml:space="preserve">شوند نیز به بهانه‌ی اینکه در مقام تفصیل به بحث از لایه‌ی قابل الحاق به مبادی قریبه، بسنده خواهد شد، در فهرست گنجانده شده است؛ البته پاره‌ای از مطالب، در بخش مباحث فراعلمی فلسفه‌ی اصول،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کبروی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مبادی مباحث فلسفه‌ی اصول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خواهد شد که ما هم به همان عذری اعتذار می‌کنیم که سلف در طرح یا درآمیختن مبادی اصول با اصول و مسائل آن، معتذر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علمی مختص و مستقل برای بحث از 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فلسفه‌های مضاف، دانش‌های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از حیث قلمرو هندسی و مسائل خود، تابع مضافٌ‌الیه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دیگرسو کمابیش فراخور زوایای نگاه فیلسوف به دانش مورد مطالعه، این فلسفه‌ها قابل توسعه و تضییق‌اند، مطالب درخور بحث در آنها نیز دچار قبض و بسط می‌گردد، ساختار پیشنهادی نیز نباید نهایی و غیر قابل کاهش و افزایش انگاشته شود، کما اینکه فصول آن در طول سنوات و به تدریج تکمیل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طرح‌واره، نخست دو فصل مقدماتی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فلسفه‌ی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سپس فصول اصلی دانش فلسفه‌ی اصول، در بیست‌وسه فصل پیشنهاد شده است، و آن‌گاه سه پیوست به‌مثابه متمم تحقیق و خاتمه‌ی کتابی که در دست تصنیف است منظور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بیست‌وسه‌گانه‌ی بخش اصلی، شامل گونه‌های مختلف از مباحث و مسائل فلسفه‌ی اصول است، مثلاً فصول یکم تا یازدهم آن مربوط به مباحث فراعلمی فلسفه‌ی اصول‌اند، باقی فصول عمدتاً مباحث فرامسئله‌ای این دانش را تشکیل می‌دهند، کما اینکه مباحثی مانند غایت‌شناسی و روش‌شناسی و هویت معرفتی دانش اصول، از زمره‌ی مسائل ماهوی بشمار‌اند و مباحث قلمروشناسی و ساختارشناسی اصول، از سنخ مسائل ساختاری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اکثر مسائل و مباحث مندرج در سامانه‌ی پیشنهادی از نوع مبانی تصدیقی است، اما علاوه‌بر مباحث تصوری که در خلال مسائل مطرح می‌گردد، در فصول مربوط به هر مسئله و مطلبی، تعریف آن نیز بررسی شده است</w:t>
      </w:r>
      <w:r>
        <w:rPr>
          <w:rFonts w:eastAsia="IRNazanin" w:cs="IRNazanin"/>
          <w:color w:val="111111"/>
          <w:sz w:val="28"/>
          <w:szCs w:val="28"/>
          <w:rtl w:val="true"/>
          <w:lang w:bidi="fa-IR"/>
        </w:rPr>
        <w:t xml:space="preserve">. </w:t>
      </w:r>
      <w:bookmarkStart w:id="52" w:name="pg5825_38210"/>
    </w:p>
    <w:p>
      <w:pPr>
        <w:pStyle w:val="Heading4"/>
        <w:numPr>
          <w:ilvl w:val="3"/>
          <w:numId w:val="1"/>
        </w:numPr>
        <w:rPr/>
      </w:pPr>
      <w:bookmarkStart w:id="53" w:name="__RefHeading___Toc4623345_581953129"/>
      <w:bookmarkStart w:id="54" w:name="_Toc19"/>
      <w:bookmarkEnd w:id="52"/>
      <w:bookmarkEnd w:id="53"/>
      <w:r>
        <w:rPr>
          <w:rtl w:val="true"/>
        </w:rPr>
        <w:t>اینک ساختار محورهای طرح‌واره</w:t>
      </w:r>
      <w:bookmarkEnd w:id="54"/>
    </w:p>
    <w:p>
      <w:pPr>
        <w:pStyle w:val="Heading5"/>
        <w:numPr>
          <w:ilvl w:val="4"/>
          <w:numId w:val="1"/>
        </w:numPr>
        <w:rPr/>
      </w:pPr>
      <w:bookmarkStart w:id="55" w:name="__RefHeading___Toc4623347_581953129"/>
      <w:bookmarkStart w:id="56" w:name="_Toc20"/>
      <w:bookmarkEnd w:id="55"/>
      <w:r>
        <w:rPr>
          <w:rtl w:val="true"/>
        </w:rPr>
        <w:t>فصل یکم</w:t>
      </w:r>
      <w:r>
        <w:rPr>
          <w:rtl w:val="true"/>
        </w:rPr>
        <w:t xml:space="preserve">) </w:t>
      </w:r>
      <w:r>
        <w:rPr>
          <w:rtl w:val="true"/>
        </w:rPr>
        <w:t>مبادی‌پژوهی</w:t>
      </w:r>
      <w:bookmarkEnd w:id="56"/>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مدخل‌نگاری و سیر تطور مبادی‌پژوهی در آثار اصحاب اصول، و نسبت مبادی با رئوس ثمانیه و فلسفه‌ی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و تعریف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کاربردهای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و ساختار مبادی در آثار و آرای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کارکردهای مبادی‌پژوهی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مسئله‌ی مبادی‌پژوهی در ساختار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اجزای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معرفتی مبادی اصول، و مناشی و مصادر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مبادی علم با مسائل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و نقد رأی و رویّه‌ی اصولیان در مبادی‌پژوهی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تعریف، تفکیک و طبقه‌بندی مبانی، مبادی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مختار در تقسیمات و اقسام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نظریه‌ی ابتناء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تفکیک و طبقه‌بندی مبانی، مبادی و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w:t>
      </w:r>
      <w:r>
        <w:rPr>
          <w:rFonts w:eastAsia="IRNazanin" w:cs="IRNazanin"/>
          <w:color w:val="111111"/>
          <w:sz w:val="28"/>
          <w:szCs w:val="28"/>
          <w:rtl w:val="true"/>
          <w:lang w:bidi="fa-IR"/>
        </w:rPr>
        <w:t>.</w:t>
      </w:r>
    </w:p>
    <w:p>
      <w:pPr>
        <w:pStyle w:val="Heading5"/>
        <w:numPr>
          <w:ilvl w:val="4"/>
          <w:numId w:val="1"/>
        </w:numPr>
        <w:rPr/>
      </w:pPr>
      <w:bookmarkStart w:id="57" w:name="__RefHeading___Toc4623349_581953129"/>
      <w:bookmarkStart w:id="58" w:name="_Toc21"/>
      <w:bookmarkEnd w:id="57"/>
      <w:r>
        <w:rPr>
          <w:rtl w:val="true"/>
        </w:rPr>
        <w:t>فصل دوم</w:t>
      </w:r>
      <w:r>
        <w:rPr>
          <w:rtl w:val="true"/>
        </w:rPr>
        <w:t xml:space="preserve">) </w:t>
      </w:r>
      <w:r>
        <w:rPr>
          <w:rtl w:val="true"/>
        </w:rPr>
        <w:t>درباره‌ی فلسفه‌ی علم اصول</w:t>
      </w:r>
      <w:bookmarkEnd w:id="58"/>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دشواری‌های تعریف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بر تعاریف ارائه شده در باب فلسفه‌ها‌ی مضاف و ازجمله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پیشنهادی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مطالعه‌ی عقلانی فرادانشی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فرامسئله‌ای علم اصول فقه، به منظور دست‌یابی به احکام کلی این دانش و مسائلش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مؤلفه‌های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امتناع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امکان فلسفه‌ی اصول، به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ابهامات 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هویتی فراوان درباره‌ی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 نظرات اصحاب اصول در زمینه های مبانی و مبادی، تعریف، هویت معرفتی، موضوع، مسائل، منطق و هندسه‌ی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اثبات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فلسفه‌ی اصول، و بررسی روند و فرایند تدوین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اصول فقه، مشتمل بر کلیات و اجزای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فائدت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غایت و فائده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مظان بحث از غایت فلسفه‌ی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مباحث مبادی، تعریف و غایت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 انواع غایات و فوائد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غایت فلسفه‌ی کلی و فلسفه‌های مضاف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فوائد و عوائد فلسفه‌ی اصول، 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فلسفه‌ی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فرانگر عقلانی و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معرفتی فلسفه‌ی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فلسفه‌ی علم اصول با معرفت‌ها و دانش‌های همگن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معرفت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اجتهاد،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اشتراکات امتیازات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اخلاق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علم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فلسفه‌ی منطق فهم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نمونه‌ی فلسفه های مضاف محقق، و ناظر به اصول فقه 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 تاریخی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الگوی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ابتنا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فلسفه‌ی علم اصول با معرفت‌ها و دانش‌های هموند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قرآنی، تفسیر، علوم حدیت، رجال، فقه، اخلاق، کلام،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مناشی فلسفه‌ی علم اصول</w:t>
      </w:r>
      <w:r>
        <w:rPr>
          <w:rFonts w:eastAsia="IRNazanin" w:cs="IRNazanin"/>
          <w:color w:val="111111"/>
          <w:sz w:val="28"/>
          <w:szCs w:val="28"/>
          <w:rtl w:val="true"/>
          <w:lang w:bidi="fa-IR"/>
        </w:rPr>
        <w:t xml:space="preserve">: </w:t>
      </w:r>
      <w:bookmarkStart w:id="59" w:name="pg5825_38213"/>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پیشینه‌ی مباحث فلسفه‌ی اصول در علوم دینی و آرای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مباحث و اقسام مسائل فلسفه‌ی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ماهوی و 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فرادانشی و فرامسئله‌ای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تصوری و تصدیقی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وسیطه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پیش‌انگاره‌ها، و مبادی 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مبادی ممتزجه و غیرممتزجه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مباحث فرادانشی براساس علل اربعه‌ی علم اصول، و مباحث فرامسئله‌ای براساس مبادی خمسه‌ی نظریه‌ی ابتناء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ماهیت مسائل و قضایای فلسفه‌ی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مسائل و مباحث فلسفه‌ی اصول</w:t>
      </w:r>
      <w:r>
        <w:rPr>
          <w:rFonts w:eastAsia="IRNazanin" w:cs="IRNazanin"/>
          <w:color w:val="111111"/>
          <w:sz w:val="28"/>
          <w:szCs w:val="28"/>
          <w:rtl w:val="true"/>
          <w:lang w:bidi="fa-IR"/>
        </w:rPr>
        <w:t>.</w:t>
      </w:r>
    </w:p>
    <w:p>
      <w:pPr>
        <w:pStyle w:val="Heading4"/>
        <w:numPr>
          <w:ilvl w:val="3"/>
          <w:numId w:val="1"/>
        </w:numPr>
        <w:rPr/>
      </w:pPr>
      <w:bookmarkStart w:id="60" w:name="__RefHeading___Toc4623351_581953129"/>
      <w:bookmarkStart w:id="61" w:name="_Toc22"/>
      <w:bookmarkEnd w:id="60"/>
      <w:r>
        <w:rPr>
          <w:rtl w:val="true"/>
        </w:rPr>
        <w:t>ساختار فصول و فروع فلسفه‌ی اصول</w:t>
      </w:r>
      <w:bookmarkEnd w:id="61"/>
    </w:p>
    <w:p>
      <w:pPr>
        <w:pStyle w:val="Heading5"/>
        <w:numPr>
          <w:ilvl w:val="4"/>
          <w:numId w:val="1"/>
        </w:numPr>
        <w:rPr/>
      </w:pPr>
      <w:bookmarkStart w:id="62" w:name="__RefHeading___Toc4623353_581953129"/>
      <w:bookmarkStart w:id="63" w:name="_Toc23"/>
      <w:bookmarkEnd w:id="62"/>
      <w:r>
        <w:rPr>
          <w:rtl w:val="true"/>
        </w:rPr>
        <w:t>فصل یکم</w:t>
      </w:r>
      <w:r>
        <w:rPr>
          <w:rtl w:val="true"/>
        </w:rPr>
        <w:t xml:space="preserve">) </w:t>
      </w:r>
      <w:r>
        <w:rPr>
          <w:rtl w:val="true"/>
        </w:rPr>
        <w:t>تعریف علم اصول</w:t>
      </w:r>
      <w:bookmarkEnd w:id="63"/>
    </w:p>
    <w:p>
      <w:pPr>
        <w:pStyle w:val="Heading6"/>
        <w:numPr>
          <w:ilvl w:val="5"/>
          <w:numId w:val="1"/>
        </w:numPr>
        <w:rPr/>
      </w:pPr>
      <w:bookmarkStart w:id="64" w:name="__RefHeading___Toc4623355_581953129"/>
      <w:bookmarkStart w:id="65" w:name="_Toc24"/>
      <w:bookmarkEnd w:id="64"/>
      <w:r>
        <w:rPr>
          <w:rtl w:val="true"/>
        </w:rPr>
        <w:t>درآمد</w:t>
      </w:r>
      <w:bookmarkEnd w:id="65"/>
    </w:p>
    <w:p>
      <w:pPr>
        <w:pStyle w:val="BookText"/>
        <w:rPr/>
      </w:pPr>
      <w:r>
        <w:rPr>
          <w:rFonts w:ascii="IRNazanin" w:hAnsi="IRNazanin" w:eastAsia="IRNazanin"/>
          <w:color w:val="111111"/>
          <w:sz w:val="28"/>
          <w:sz w:val="28"/>
          <w:szCs w:val="28"/>
          <w:rtl w:val="true"/>
          <w:lang w:bidi="fa-IR"/>
        </w:rPr>
        <w:t>فص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تعاریف ممکن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اعتبار جهت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پسینی و پیشینی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اعتبار گرانیگاه تعریف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به حد و 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تحلیلی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تعریف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تعریف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منظور‌داشت پیشینی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علم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مطلوب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تعریف و التزام به لوازم هریک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بر همه‌ی مصادیق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 از زیادت حد بر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تعریف برتر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جامع‌الوجوه والجهات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همه‌ی گرانیگاه‌ها و جهات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ارائه‌ی حداکثر اطلاعات با حداقل 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حداکثر وضوح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بودن از واژگان زائد، مبهم، مغلق، غریب، مشترک، مجاز،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تعریف، در گرو کشف و رعایت شروط سه‌گانه ی پیش‌گفته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امتناع تعریف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عدم امکان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وحدت موضوعی و انسجام 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وحدت نظر در میان اصحاب اصول در امهات امور این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تعریف علوم اعتباری و علوم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امکان تعریف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و انواع تعاریف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پیشینه‌کاوی تعریف علم اصول در نزد عامه،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تبارشناسی تعاریف شیعی، و واکاوی تطورات، و گونه‌شناسی و طبقه‌بندی تعاریف اصول در نزد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نقطه‌های عطف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من تبعه،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و من تبعه،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و من تبعه،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نایینی و من تبعه،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حائری،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تعابیر متفاوت دیگران در فواصل تاریخی بین تعاریف هشتگانه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آسیب‌شناسی تعاریف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مشروح تعاریف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نقدها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اختصاصی تعاریف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مشترک 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هر دو مقصود مورد اشاره در عنوان فوق، با منظورداشت عناصر سه‌گانه‌ی جهت، جامعیت، و مانعیت تعریف، و این امر با تحلیل چهار مطلب زیر دست‌یافتنی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اصول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نیست</w:t>
      </w:r>
      <w:r>
        <w:rPr>
          <w:rFonts w:eastAsia="IRNazanin" w:cs="IRNazanin"/>
          <w:color w:val="111111"/>
          <w:sz w:val="28"/>
          <w:szCs w:val="28"/>
          <w:rtl w:val="true"/>
          <w:lang w:bidi="fa-IR"/>
        </w:rPr>
        <w:t>».</w:t>
      </w:r>
      <w:bookmarkStart w:id="66" w:name="pg5825_38217"/>
    </w:p>
    <w:p>
      <w:pPr>
        <w:pStyle w:val="BookText"/>
        <w:rPr/>
      </w:pPr>
      <w:bookmarkEnd w:id="6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اصول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نباید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استقرایی اصول، و شرح مؤلفه‌ها و مزایای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الباحث عن المناهج العاﻣّﺔ لتحصیل اﻟﺤﺠﺔ فی نطاق الشّرﻳﻌﺔ</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 منهجی لتحصیل اﻟﺤﺠﺔ لتحصل الإنقیاد، فی الشّرﻳﻌﺔ</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آرمانی اصول، و شرح شروط و مؤلفه‌های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موکول به بعد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براساس نتایج مباحث فصل پنجم ارائه خواهد شد</w:t>
      </w:r>
      <w:r>
        <w:rPr>
          <w:rFonts w:eastAsia="IRNazanin" w:cs="IRNazanin"/>
          <w:color w:val="111111"/>
          <w:sz w:val="28"/>
          <w:szCs w:val="28"/>
          <w:rtl w:val="true"/>
          <w:lang w:bidi="fa-IR"/>
        </w:rPr>
        <w:t>.)</w:t>
      </w:r>
    </w:p>
    <w:p>
      <w:pPr>
        <w:pStyle w:val="Heading5"/>
        <w:numPr>
          <w:ilvl w:val="4"/>
          <w:numId w:val="1"/>
        </w:numPr>
        <w:rPr/>
      </w:pPr>
      <w:bookmarkStart w:id="67" w:name="__RefHeading___Toc4623357_581953129"/>
      <w:bookmarkStart w:id="68" w:name="_Toc25"/>
      <w:bookmarkEnd w:id="67"/>
      <w:r>
        <w:rPr>
          <w:rtl w:val="true"/>
        </w:rPr>
        <w:t>فصل دوم</w:t>
      </w:r>
      <w:r>
        <w:rPr>
          <w:rtl w:val="true"/>
        </w:rPr>
        <w:t xml:space="preserve">) </w:t>
      </w:r>
      <w:r>
        <w:rPr>
          <w:rtl w:val="true"/>
        </w:rPr>
        <w:t>موضوع علم اصول</w:t>
      </w:r>
      <w:bookmarkEnd w:id="68"/>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کبروی در باب هستی و چیستی موضوع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و مناسبات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با موضوع علوم و ضرورت تفکیک مسئله‌ی موضوع‌شناسی و معیار مسئله‌ی اصولیه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موضوع علوم، ناظر به انواع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غایت و کارکردهای موضوع‌شناسی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یا روش‌های موضوع‌شناسی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تفاوت‌های علوم حقیقی و اعتباری، علوم نظری و عملی، علوم آلی و عالی، در موضوع‌شناسی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طبقه‌بندی و نقد نظرات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عدم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موضوع علوم به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چیستی موضوع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امکان تعیین موضوع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ضرورت و خطورت موضوع‌شناسی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کلمات کلیدی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تعیین موضوع علوم با تأکید بر مناهج خاص اصول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تاریخی و پسینی</w:t>
      </w:r>
      <w:r>
        <w:rPr>
          <w:rFonts w:eastAsia="IRNazanin" w:cs="IRNazanin"/>
          <w:color w:val="111111"/>
          <w:sz w:val="28"/>
          <w:szCs w:val="28"/>
          <w:rtl w:val="true"/>
          <w:lang w:bidi="fa-IR"/>
        </w:rPr>
        <w:t xml:space="preserve">: </w:t>
      </w:r>
      <w:bookmarkStart w:id="69" w:name="pg5825_38218"/>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استقراء و تفحص در مباحث مطرح شده از سوی اصحاب اصول در زمینه‌ی متغیرها و عناصر رکنی دخیل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علوم، از قبیل تعریف، مسائل، قلمرو، غایت، هندسه، و هویت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اعتباری، نظری یا عملی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استقصاء نظرات اصولیون در زمینه‌ی موضوع‌شناسی علوم به‌ویژه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منطقی و پیشینی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رهگذر تحلیل نقش و سهم متغیرها و جهات دخیل در تشخص موضوع 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سازواری تام همه‌ی عناصر هویت‌ساز علم با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دسته‌بندی نظرات اصحاب اصول در باب هستی و چیستی موضوع این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تعابیر و آرا در موضوع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موضوع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دانش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موضوعات مسائل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نسبت در تمام علوم همسان است؟</w:t>
      </w:r>
      <w:r>
        <w:rPr>
          <w:rFonts w:eastAsia="IRNazanin" w:cs="IRNazanin"/>
          <w:color w:val="111111"/>
          <w:sz w:val="28"/>
          <w:szCs w:val="28"/>
          <w:rtl w:val="true"/>
          <w:lang w:bidi="fa-IR"/>
        </w:rPr>
        <w:t>).</w:t>
      </w:r>
    </w:p>
    <w:p>
      <w:pPr>
        <w:pStyle w:val="Heading5"/>
        <w:numPr>
          <w:ilvl w:val="4"/>
          <w:numId w:val="1"/>
        </w:numPr>
        <w:rPr/>
      </w:pPr>
      <w:bookmarkStart w:id="70" w:name="__RefHeading___Toc4623359_581953129"/>
      <w:bookmarkStart w:id="71" w:name="_Toc26"/>
      <w:bookmarkEnd w:id="70"/>
      <w:r>
        <w:rPr>
          <w:rtl w:val="true"/>
        </w:rPr>
        <w:t>فصل سوم</w:t>
      </w:r>
      <w:r>
        <w:rPr>
          <w:rtl w:val="true"/>
        </w:rPr>
        <w:t xml:space="preserve">) </w:t>
      </w:r>
      <w:r>
        <w:rPr>
          <w:rtl w:val="true"/>
        </w:rPr>
        <w:t>مسائل علم اصول</w:t>
      </w:r>
      <w:bookmarkEnd w:id="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مسئله‌ی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فوائد بحث از مسائل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های مسئله‌شناسی علوم و تعیین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طبقه‌بندی و نقد دیدگاه‌ها در ملاک مسئله‌ی اصولیه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مختار در ملاک اصولیت مسئله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و مناسبات مبادی علم اصول با مسائل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و نسبت مسئله‌ی اصولیه و مسائل علوم همگن ازجمله قواعد فقهیه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شناسی و تقسیم مسائل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تطورات مسائل اصول در ادوار گوناگون و علل و آثار آن</w:t>
      </w:r>
      <w:r>
        <w:rPr>
          <w:rFonts w:eastAsia="IRNazanin" w:cs="IRNazanin"/>
          <w:color w:val="111111"/>
          <w:sz w:val="28"/>
          <w:szCs w:val="28"/>
          <w:rtl w:val="true"/>
          <w:lang w:bidi="fa-IR"/>
        </w:rPr>
        <w:t>.</w:t>
      </w:r>
    </w:p>
    <w:p>
      <w:pPr>
        <w:pStyle w:val="Heading5"/>
        <w:numPr>
          <w:ilvl w:val="4"/>
          <w:numId w:val="1"/>
        </w:numPr>
        <w:rPr/>
      </w:pPr>
      <w:bookmarkStart w:id="72" w:name="__RefHeading___Toc4623361_581953129"/>
      <w:bookmarkStart w:id="73" w:name="_Toc27"/>
      <w:bookmarkEnd w:id="72"/>
      <w:r>
        <w:rPr>
          <w:rtl w:val="true"/>
        </w:rPr>
        <w:t>فصل چهارم</w:t>
      </w:r>
      <w:r>
        <w:rPr>
          <w:rtl w:val="true"/>
        </w:rPr>
        <w:t xml:space="preserve">) </w:t>
      </w:r>
      <w:r>
        <w:rPr>
          <w:rtl w:val="true"/>
        </w:rPr>
        <w:t>قلمروشناسی علم اصول</w:t>
      </w:r>
      <w:bookmarkEnd w:id="73"/>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قلمروپژوهی علم اصول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قلمروپژوهی اصول بر انگاره‌های علم‌شناختی مشخصی مبتنی است، ازجمله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دستگاه‌وارگی و هندسه‌مندی معرفت اصولی، به‌مثابه یک علم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تمایز و استقلال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دانش اصول از دانش‌های هموند و همگن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اصول از کارکردهای فی‌الجمله درخور در ساحت دین‌فهمی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افراز و احراز قلمرو معرفتی و کارکردی علم اصول، با کاربست روش‌های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اطلاقات قلمرو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قلمرو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قلمرو علوم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حوزه‌ی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ساختاری و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کارکردی که عناصر رکنی هویت‌ساز هر علمی، نظیر مبادی، موضوع، مسائل، روش، غایت و کارکردهای ذاتی و متوقع آن،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نفس‌الامر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نظر و فهم ما از دانش و عناصر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تعریفی که ارائه کردیم، و با عطف توجه به علم موضوع بحث ما که اصول است، در ذیل تعریف و اطلاقات قلمرو علم، دست‌کم سه بحث را می‌توان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ساختاری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هندسی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کارکردی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مسئله‌ی قلمروشناسی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نسبت و مناسبات قلمرو علم، با مسائل فرادانشی رکنی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کارکردهای قلمروشناسی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را در سه مقام و به شرح زیر می‌توان تبیین و طبقه‌بندی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ثبوت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اثبات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 روش‌های قلمروشناسی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چهارگانه‌ی برآمده از رویکرد و نگرش پسینی و استقرایی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برآمده از رویکرد و نگرش پیشینی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اقتضائات عناصر رکنی </w:t>
      </w:r>
      <w:bookmarkStart w:id="74" w:name="pg5825_38222"/>
    </w:p>
    <w:p>
      <w:pPr>
        <w:pStyle w:val="BookText"/>
        <w:rPr/>
      </w:pPr>
      <w:bookmarkEnd w:id="74"/>
      <w:r>
        <w:rPr>
          <w:rFonts w:ascii="IRNazanin" w:hAnsi="IRNazanin" w:eastAsia="IRNazanin"/>
          <w:color w:val="111111"/>
          <w:sz w:val="28"/>
          <w:sz w:val="28"/>
          <w:szCs w:val="28"/>
          <w:rtl w:val="true"/>
          <w:lang w:bidi="fa-IR"/>
        </w:rPr>
        <w:t>هر علم، آن‌سان که می‌باید و می‌شاید باشند، در باب گستره‌ی هندسی، کارکردی، و احیاناً کارآمدی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و نقد دیدگاه‌های مختلف در زمینه‌ی قلمرو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علل قبض و بسط احتمالی صورت‌بسته در قلمرو اصول، در ادوار مختلف</w:t>
      </w:r>
      <w:r>
        <w:rPr>
          <w:rFonts w:eastAsia="IRNazanin" w:cs="IRNazanin"/>
          <w:color w:val="111111"/>
          <w:sz w:val="28"/>
          <w:szCs w:val="28"/>
          <w:rtl w:val="true"/>
          <w:lang w:bidi="fa-IR"/>
        </w:rPr>
        <w:t>.</w:t>
      </w:r>
    </w:p>
    <w:p>
      <w:pPr>
        <w:pStyle w:val="Heading5"/>
        <w:numPr>
          <w:ilvl w:val="4"/>
          <w:numId w:val="1"/>
        </w:numPr>
        <w:rPr/>
      </w:pPr>
      <w:bookmarkStart w:id="75" w:name="__RefHeading___Toc4623363_581953129"/>
      <w:bookmarkStart w:id="76" w:name="_Toc28"/>
      <w:bookmarkEnd w:id="75"/>
      <w:r>
        <w:rPr>
          <w:rtl w:val="true"/>
        </w:rPr>
        <w:t>فصل پنجم</w:t>
      </w:r>
      <w:r>
        <w:rPr>
          <w:rtl w:val="true"/>
        </w:rPr>
        <w:t xml:space="preserve">) </w:t>
      </w:r>
      <w:r>
        <w:rPr>
          <w:rtl w:val="true"/>
        </w:rPr>
        <w:t>وحدت و تمایز علوم</w:t>
      </w:r>
      <w:bookmarkEnd w:id="76"/>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و تمایز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کارکردهای مسئله‌ی وحدت و 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تفاوت‌های علوم حقیقی و اعتباری، علوم نظری و عملی، علوم آلی و عالی، در مسئله‌ی وحدت و تمایز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طبقه‌بندی آرا و انظار مختلف به‌ویژه ارباب اصول در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تمایز علوم و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یا مناهج پیشنهادی برای تعیین و تشخیص ملاک یا ملاک‌های وحدت و تمایز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تناسق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تلائم و تعامل عناصر رکنی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معیارمندی ماﻧﻌﺔالخلوی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مسئله‌ی وحدت و تمایز با عناصر رکنی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مسئله‌ی وحدت و تمایز، و جایگاه آن در جغرافیای فلسفه‌ی اصول</w:t>
      </w:r>
      <w:r>
        <w:rPr>
          <w:rFonts w:eastAsia="IRNazanin" w:cs="IRNazanin"/>
          <w:color w:val="111111"/>
          <w:sz w:val="28"/>
          <w:szCs w:val="28"/>
          <w:rtl w:val="true"/>
          <w:lang w:bidi="fa-IR"/>
        </w:rPr>
        <w:t>.</w:t>
      </w:r>
    </w:p>
    <w:p>
      <w:pPr>
        <w:pStyle w:val="Heading5"/>
        <w:numPr>
          <w:ilvl w:val="4"/>
          <w:numId w:val="1"/>
        </w:numPr>
        <w:rPr/>
      </w:pPr>
      <w:bookmarkStart w:id="77" w:name="__RefHeading___Toc4623365_581953129"/>
      <w:bookmarkStart w:id="78" w:name="_Toc29"/>
      <w:bookmarkEnd w:id="77"/>
      <w:r>
        <w:rPr>
          <w:rtl w:val="true"/>
        </w:rPr>
        <w:t>فصل ششم</w:t>
      </w:r>
      <w:r>
        <w:rPr>
          <w:rtl w:val="true"/>
        </w:rPr>
        <w:t xml:space="preserve">) </w:t>
      </w:r>
      <w:r>
        <w:rPr>
          <w:rtl w:val="true"/>
        </w:rPr>
        <w:t>غایت و فائدت علم اصول</w:t>
      </w:r>
      <w:bookmarkEnd w:id="78"/>
    </w:p>
    <w:p>
      <w:pPr>
        <w:pStyle w:val="Heading6"/>
        <w:numPr>
          <w:ilvl w:val="5"/>
          <w:numId w:val="1"/>
        </w:numPr>
        <w:rPr/>
      </w:pPr>
      <w:bookmarkStart w:id="79" w:name="__RefHeading___Toc4623367_581953129"/>
      <w:bookmarkStart w:id="80" w:name="_Toc30"/>
      <w:bookmarkEnd w:id="79"/>
      <w:r>
        <w:rPr>
          <w:rtl w:val="true"/>
        </w:rPr>
        <w:t>درآمد</w:t>
      </w:r>
      <w:bookmarkEnd w:id="80"/>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غایت و فائدت علوم، و نسبت آن دو با همدیگر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کارکردهای غایت‌شناسی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غایت علوم با دیگر عناصر رکنی و مسئله‌ی کارکردسنجی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جایگاه غایت‌شناسی اصول فقه، در هندسه‌ی فلسفه‌ی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کارکردهای دانش اصول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طبقه‌بندی و 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تلقی‌های مختلف درباره‌ی غایت علم اصول</w:t>
      </w:r>
      <w:r>
        <w:rPr>
          <w:rFonts w:eastAsia="IRNazanin" w:cs="IRNazanin"/>
          <w:color w:val="111111"/>
          <w:sz w:val="28"/>
          <w:szCs w:val="28"/>
          <w:rtl w:val="true"/>
          <w:lang w:bidi="fa-IR"/>
        </w:rPr>
        <w:t xml:space="preserve">. </w:t>
      </w:r>
      <w:bookmarkStart w:id="81" w:name="pg5825_38223"/>
    </w:p>
    <w:p>
      <w:pPr>
        <w:pStyle w:val="BookText"/>
        <w:rPr/>
      </w:pPr>
      <w:bookmarkEnd w:id="81"/>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غایت‌شناسی علوم، ازجمله دانش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مؤلفه‌ها و مزایای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پسینی و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کنونی، چه هست و 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پیشینی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چه باید باشد و چه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تطورات احتمالی در غایت و کارکردهای علم اصول و علل و آثار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وضعیت موجود از زاویه‌ی غایت‌شناسی</w:t>
      </w:r>
      <w:r>
        <w:rPr>
          <w:rFonts w:eastAsia="IRNazanin" w:cs="IRNazanin"/>
          <w:color w:val="111111"/>
          <w:sz w:val="28"/>
          <w:szCs w:val="28"/>
          <w:rtl w:val="true"/>
          <w:lang w:bidi="fa-IR"/>
        </w:rPr>
        <w:t>.</w:t>
      </w:r>
    </w:p>
    <w:p>
      <w:pPr>
        <w:pStyle w:val="Heading5"/>
        <w:numPr>
          <w:ilvl w:val="4"/>
          <w:numId w:val="1"/>
        </w:numPr>
        <w:rPr/>
      </w:pPr>
      <w:bookmarkStart w:id="82" w:name="__RefHeading___Toc4623369_581953129"/>
      <w:bookmarkStart w:id="83" w:name="_Toc31"/>
      <w:bookmarkEnd w:id="82"/>
      <w:r>
        <w:rPr>
          <w:rtl w:val="true"/>
        </w:rPr>
        <w:t>فصل هفتم</w:t>
      </w:r>
      <w:r>
        <w:rPr>
          <w:rtl w:val="true"/>
        </w:rPr>
        <w:t xml:space="preserve">) </w:t>
      </w:r>
      <w:r>
        <w:rPr>
          <w:rtl w:val="true"/>
        </w:rPr>
        <w:t>روش‌شناسی علم اصول</w:t>
      </w:r>
      <w:bookmarkEnd w:id="83"/>
    </w:p>
    <w:p>
      <w:pPr>
        <w:pStyle w:val="Heading6"/>
        <w:numPr>
          <w:ilvl w:val="5"/>
          <w:numId w:val="1"/>
        </w:numPr>
        <w:rPr/>
      </w:pPr>
      <w:bookmarkStart w:id="84" w:name="__RefHeading___Toc4623371_581953129"/>
      <w:bookmarkStart w:id="85" w:name="_Toc32"/>
      <w:bookmarkEnd w:id="84"/>
      <w:r>
        <w:rPr>
          <w:rtl w:val="true"/>
        </w:rPr>
        <w:t>درآمد</w:t>
      </w:r>
      <w:bookmarkEnd w:id="85"/>
    </w:p>
    <w:p>
      <w:pPr>
        <w:pStyle w:val="BookText"/>
        <w:rPr/>
      </w:pPr>
      <w:r>
        <w:rPr>
          <w:rFonts w:ascii="IRNazanin" w:hAnsi="IRNazanin" w:eastAsia="IRNazanin"/>
          <w:color w:val="111111"/>
          <w:sz w:val="28"/>
          <w:sz w:val="28"/>
          <w:szCs w:val="28"/>
          <w:rtl w:val="true"/>
          <w:lang w:bidi="fa-IR"/>
        </w:rPr>
        <w:t xml:space="preserve">ضرورت و فائدت روش‌شناسی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کارکردهای روش‌شناسی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روش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اصول، به سه معنی قابل اطلاق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فرایند و سازِکار عمومی تکون معرفت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روشگانی مولد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تولید مسائل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 دستگاه روش‌شناختی علم اصول، به‌مثابه منطق اکتشاف و استظهار شریعت و تحصیل 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عمومی حل مسئله در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خرده‌روش‌هایی که برحسب تنوع مسئله‌ها، و مدارک و مدرکات، در این علم به استخدام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بخش‌های مختلف مباد‌ی‌پژوهی، مباحث الفاظ، مباحث عقلی، امارات و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روش‌های دارای کاربرد در علم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 مناسبات روش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رکنی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آرا و وجوه مختلف در روش‌شناسی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استقراء در آثار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روش یا روش‌های به کار رفته در این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استقصای آرا و اظهارات اصولیان در باب روش علم اصول</w:t>
      </w:r>
      <w:r>
        <w:rPr>
          <w:rFonts w:eastAsia="IRNazanin" w:cs="IRNazanin"/>
          <w:color w:val="111111"/>
          <w:sz w:val="28"/>
          <w:szCs w:val="28"/>
          <w:rtl w:val="true"/>
          <w:lang w:bidi="fa-IR"/>
        </w:rPr>
        <w:t xml:space="preserve">. </w:t>
      </w:r>
      <w:bookmarkStart w:id="86" w:name="pg5825_38225"/>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و تحلیل کارکرد متغیرهای دخیل در روش‌پردازی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تطور روش‌های اصول</w:t>
      </w:r>
      <w:r>
        <w:rPr>
          <w:rFonts w:eastAsia="IRNazanin" w:cs="IRNazanin"/>
          <w:color w:val="111111"/>
          <w:sz w:val="28"/>
          <w:szCs w:val="28"/>
          <w:rtl w:val="true"/>
          <w:lang w:bidi="fa-IR"/>
        </w:rPr>
        <w:t>.</w:t>
      </w:r>
    </w:p>
    <w:p>
      <w:pPr>
        <w:pStyle w:val="Heading5"/>
        <w:numPr>
          <w:ilvl w:val="4"/>
          <w:numId w:val="1"/>
        </w:numPr>
        <w:rPr/>
      </w:pPr>
      <w:bookmarkStart w:id="87" w:name="__RefHeading___Toc4623373_581953129"/>
      <w:bookmarkStart w:id="88" w:name="_Toc33"/>
      <w:bookmarkEnd w:id="87"/>
      <w:r>
        <w:rPr>
          <w:rtl w:val="true"/>
        </w:rPr>
        <w:t>فصل هشتم</w:t>
      </w:r>
      <w:r>
        <w:rPr>
          <w:rtl w:val="true"/>
        </w:rPr>
        <w:t xml:space="preserve">) </w:t>
      </w:r>
      <w:r>
        <w:rPr>
          <w:rtl w:val="true"/>
        </w:rPr>
        <w:t>مصادر علم اصول</w:t>
      </w:r>
      <w:bookmarkEnd w:id="88"/>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مصادر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بحث از مصادر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مصدرشناسی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در باب مصادر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عقل، و فطرت،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قواعد فقهیه، تفسیر و علوم قرآنی، علوم روایی، علوم عقلی، اخلاق، علوم زبانی و ادبی، عرف و سیره‌ی عقلا،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در مصادر علم اصول و علل آن</w:t>
      </w:r>
      <w:r>
        <w:rPr>
          <w:rFonts w:eastAsia="IRNazanin" w:cs="IRNazanin"/>
          <w:color w:val="111111"/>
          <w:sz w:val="28"/>
          <w:szCs w:val="28"/>
          <w:rtl w:val="true"/>
          <w:lang w:bidi="fa-IR"/>
        </w:rPr>
        <w:t>.</w:t>
      </w:r>
    </w:p>
    <w:p>
      <w:pPr>
        <w:pStyle w:val="Heading5"/>
        <w:numPr>
          <w:ilvl w:val="4"/>
          <w:numId w:val="1"/>
        </w:numPr>
        <w:rPr/>
      </w:pPr>
      <w:bookmarkStart w:id="89" w:name="__RefHeading___Toc4623375_581953129"/>
      <w:bookmarkStart w:id="90" w:name="_Toc34"/>
      <w:bookmarkEnd w:id="89"/>
      <w:r>
        <w:rPr>
          <w:rtl w:val="true"/>
        </w:rPr>
        <w:t>فصل نهم</w:t>
      </w:r>
      <w:r>
        <w:rPr>
          <w:rtl w:val="true"/>
        </w:rPr>
        <w:t xml:space="preserve">) </w:t>
      </w:r>
      <w:r>
        <w:rPr>
          <w:rtl w:val="true"/>
        </w:rPr>
        <w:t>چیدمان علم اصول</w:t>
      </w:r>
      <w:bookmarkEnd w:id="90"/>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چیدمان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فوائد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اکتشاف یا تنظیم چیدمان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چیدمان علوم با عناصر رکنی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گونه‌شناسی چیدمان‌های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تطورات چیدمان علم اصول، و علل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چیدمان رایج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مختلف در مورد گرانیگاه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پیشنهادی</w:t>
      </w:r>
      <w:r>
        <w:rPr>
          <w:rFonts w:eastAsia="IRNazanin" w:cs="IRNazanin"/>
          <w:color w:val="111111"/>
          <w:sz w:val="28"/>
          <w:szCs w:val="28"/>
          <w:rtl w:val="true"/>
          <w:lang w:bidi="fa-IR"/>
        </w:rPr>
        <w:t>.</w:t>
      </w:r>
    </w:p>
    <w:p>
      <w:pPr>
        <w:pStyle w:val="Heading5"/>
        <w:numPr>
          <w:ilvl w:val="4"/>
          <w:numId w:val="1"/>
        </w:numPr>
        <w:rPr/>
      </w:pPr>
      <w:bookmarkStart w:id="91" w:name="__RefHeading___Toc4623377_581953129"/>
      <w:bookmarkStart w:id="92" w:name="_Toc35"/>
      <w:bookmarkEnd w:id="91"/>
      <w:r>
        <w:rPr>
          <w:rtl w:val="true"/>
        </w:rPr>
        <w:t>فصل دهم</w:t>
      </w:r>
      <w:r>
        <w:rPr>
          <w:rtl w:val="true"/>
        </w:rPr>
        <w:t xml:space="preserve">) </w:t>
      </w:r>
      <w:r>
        <w:rPr>
          <w:rtl w:val="true"/>
        </w:rPr>
        <w:t>هویت معرفتی علم اصول</w:t>
      </w:r>
      <w:bookmarkEnd w:id="92"/>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حیث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بودن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حقیقی یا اعتباری یا ترکیبی بودن</w:t>
      </w:r>
      <w:r>
        <w:rPr>
          <w:rFonts w:eastAsia="IRNazanin" w:cs="IRNazanin"/>
          <w:color w:val="111111"/>
          <w:sz w:val="28"/>
          <w:szCs w:val="28"/>
          <w:rtl w:val="true"/>
          <w:lang w:bidi="fa-IR"/>
        </w:rPr>
        <w:t xml:space="preserve">. </w:t>
      </w:r>
      <w:bookmarkStart w:id="93" w:name="pg5825_38226"/>
    </w:p>
    <w:p>
      <w:pPr>
        <w:pStyle w:val="BookText"/>
        <w:rPr/>
      </w:pPr>
      <w:bookmarkEnd w:id="93"/>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نظری یا عملی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برون‌دینی یا درون‌دینی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عقلی یا نقلی یا ترکیبی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آلی یا اصالی بودن</w:t>
      </w:r>
      <w:r>
        <w:rPr>
          <w:rFonts w:eastAsia="IRNazanin" w:cs="IRNazanin"/>
          <w:color w:val="111111"/>
          <w:sz w:val="28"/>
          <w:szCs w:val="28"/>
          <w:rtl w:val="true"/>
          <w:lang w:bidi="fa-IR"/>
        </w:rPr>
        <w:t>.</w:t>
      </w:r>
    </w:p>
    <w:p>
      <w:pPr>
        <w:pStyle w:val="Heading5"/>
        <w:numPr>
          <w:ilvl w:val="4"/>
          <w:numId w:val="1"/>
        </w:numPr>
        <w:rPr/>
      </w:pPr>
      <w:bookmarkStart w:id="94" w:name="__RefHeading___Toc4623379_581953129"/>
      <w:bookmarkStart w:id="95" w:name="_Toc36"/>
      <w:bookmarkEnd w:id="94"/>
      <w:r>
        <w:rPr>
          <w:rtl w:val="true"/>
        </w:rPr>
        <w:t>فصل یازدهم</w:t>
      </w:r>
      <w:r>
        <w:rPr>
          <w:rtl w:val="true"/>
        </w:rPr>
        <w:t xml:space="preserve">) </w:t>
      </w:r>
      <w:r>
        <w:rPr>
          <w:rtl w:val="true"/>
        </w:rPr>
        <w:t>جایگاه اصول در جغرافیای علوم اسلامی</w:t>
      </w:r>
      <w:bookmarkEnd w:id="95"/>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جایگاه‌شناسی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مسئله‌ی جایگاه‌شناسی در فلسفه‌های مضاف به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فائدت جایگاه‌شناسی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جایگاه‌شناسی علم‌ها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در مورد جایگاه علم اصول در شبکه‌ی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مختلف در نسبت و مناسبات علم اصول با علوم هموند و همگن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نظرات عمده در جایگاه‌شناسی علم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pStyle w:val="Heading5"/>
        <w:numPr>
          <w:ilvl w:val="4"/>
          <w:numId w:val="1"/>
        </w:numPr>
        <w:rPr/>
      </w:pPr>
      <w:bookmarkStart w:id="96" w:name="__RefHeading___Toc4623381_581953129"/>
      <w:bookmarkStart w:id="97" w:name="_Toc37"/>
      <w:bookmarkEnd w:id="96"/>
      <w:r>
        <w:rPr>
          <w:rtl w:val="true"/>
        </w:rPr>
        <w:t>فصل دوازدهم</w:t>
      </w:r>
      <w:r>
        <w:rPr>
          <w:rtl w:val="true"/>
        </w:rPr>
        <w:t xml:space="preserve">) </w:t>
      </w:r>
      <w:r>
        <w:rPr>
          <w:rtl w:val="true"/>
        </w:rPr>
        <w:t>مبانی مصدر‌شناختی اصول</w:t>
      </w:r>
      <w:bookmarkEnd w:id="97"/>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مبدأ مصدرشناختی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آن در روش‌شناسی و قواعد و ضوابط فهم دین و شریعت به‌ویژه در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نگاه به مبدأ مصدرشناختی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توجه اصولیان به نقش و سهم مصدرشناسی در فهم شریعت و تأثیر نوع تلقی آنان از مبدأ مصدرشناختی بر اصول فعلی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پسینی نظریه‌ی ابتناء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ادله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و نقد تلقی و رفتار اصولیان و ارزیابی تأثر اصول از تلقی‌ها</w:t>
      </w:r>
      <w:r>
        <w:rPr>
          <w:rFonts w:eastAsia="IRNazanin" w:cs="IRNazanin"/>
          <w:color w:val="111111"/>
          <w:sz w:val="28"/>
          <w:szCs w:val="28"/>
          <w:rtl w:val="true"/>
          <w:lang w:bidi="fa-IR"/>
        </w:rPr>
        <w:t>.</w:t>
      </w:r>
    </w:p>
    <w:p>
      <w:pPr>
        <w:pStyle w:val="Heading5"/>
        <w:numPr>
          <w:ilvl w:val="4"/>
          <w:numId w:val="1"/>
        </w:numPr>
        <w:rPr/>
      </w:pPr>
      <w:bookmarkStart w:id="98" w:name="__RefHeading___Toc4623383_581953129"/>
      <w:bookmarkStart w:id="99" w:name="_Toc38"/>
      <w:bookmarkEnd w:id="98"/>
      <w:r>
        <w:rPr>
          <w:rtl w:val="true"/>
        </w:rPr>
        <w:t>فصل سیزدهم</w:t>
      </w:r>
      <w:r>
        <w:rPr>
          <w:rtl w:val="true"/>
        </w:rPr>
        <w:t xml:space="preserve">) </w:t>
      </w:r>
      <w:r>
        <w:rPr>
          <w:rtl w:val="true"/>
        </w:rPr>
        <w:t xml:space="preserve">مبانی دین‌شناختی </w:t>
      </w:r>
      <w:r>
        <w:rPr>
          <w:rtl w:val="true"/>
        </w:rPr>
        <w:t>(«</w:t>
      </w:r>
      <w:r>
        <w:rPr>
          <w:rtl w:val="true"/>
        </w:rPr>
        <w:t>فلسفه‌ی دین</w:t>
      </w:r>
      <w:r>
        <w:rPr>
          <w:rtl w:val="true"/>
        </w:rPr>
        <w:t>»</w:t>
      </w:r>
      <w:r>
        <w:rPr>
          <w:rtl w:val="true"/>
        </w:rPr>
        <w:t xml:space="preserve">ی </w:t>
      </w:r>
      <w:r>
        <w:rPr>
          <w:rtl w:val="true"/>
        </w:rPr>
        <w:t xml:space="preserve">- </w:t>
      </w:r>
      <w:r>
        <w:rPr>
          <w:rtl w:val="true"/>
        </w:rPr>
        <w:t>کلامی</w:t>
      </w:r>
      <w:r>
        <w:rPr>
          <w:rtl w:val="true"/>
        </w:rPr>
        <w:t xml:space="preserve">) </w:t>
      </w:r>
      <w:r>
        <w:rPr>
          <w:rtl w:val="true"/>
        </w:rPr>
        <w:t>اصول</w:t>
      </w:r>
      <w:bookmarkEnd w:id="9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مختصات ماهوی دین و برآیند آن در تکون منطق فهم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در اصول</w:t>
      </w:r>
      <w:r>
        <w:rPr>
          <w:rFonts w:eastAsia="IRNazanin" w:cs="IRNazanin"/>
          <w:color w:val="111111"/>
          <w:sz w:val="28"/>
          <w:szCs w:val="28"/>
          <w:rtl w:val="true"/>
          <w:lang w:bidi="fa-IR"/>
        </w:rPr>
        <w:t>).</w:t>
      </w:r>
      <w:bookmarkStart w:id="100" w:name="pg5825_38228"/>
    </w:p>
    <w:p>
      <w:pPr>
        <w:pStyle w:val="BookText"/>
        <w:rPr/>
      </w:pPr>
      <w:bookmarkEnd w:id="100"/>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دین و مقاصدالشریعه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گستره‌ی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 و زبان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فهم‌پذیری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ماهیت، حجیت، ارزش‌سنجی معرفت‌شناختی، قلمرو، غایت، سازکار و فرایند، شروط و شرایط،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اخباری‌گری و اخبارگرایی،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قرآنیون،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قرآن‌بسندگی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نص‌بسندگی،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مقاصدگرایی افراطی،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قرائت‌پذیرانگاری 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مسئله‌ی 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و جاودانه بودن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روزآمدی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وحیانیت و قدسیت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حکیمانگی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فطرت‌نمونی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جامع بروز و برآیند مبانی دین‌شناختی در ساختار و بافتار اصول</w:t>
      </w:r>
      <w:r>
        <w:rPr>
          <w:rFonts w:eastAsia="IRNazanin" w:cs="IRNazanin"/>
          <w:color w:val="111111"/>
          <w:sz w:val="28"/>
          <w:szCs w:val="28"/>
          <w:rtl w:val="true"/>
          <w:lang w:bidi="fa-IR"/>
        </w:rPr>
        <w:t>.</w:t>
      </w:r>
    </w:p>
    <w:p>
      <w:pPr>
        <w:pStyle w:val="Heading5"/>
        <w:numPr>
          <w:ilvl w:val="4"/>
          <w:numId w:val="1"/>
        </w:numPr>
        <w:rPr/>
      </w:pPr>
      <w:bookmarkStart w:id="101" w:name="__RefHeading___Toc4623385_581953129"/>
      <w:bookmarkStart w:id="102" w:name="_Toc39"/>
      <w:bookmarkEnd w:id="101"/>
      <w:r>
        <w:rPr>
          <w:rtl w:val="true"/>
        </w:rPr>
        <w:t>فصل چهاردهم</w:t>
      </w:r>
      <w:r>
        <w:rPr>
          <w:rtl w:val="true"/>
        </w:rPr>
        <w:t xml:space="preserve">) </w:t>
      </w:r>
      <w:r>
        <w:rPr>
          <w:rtl w:val="true"/>
        </w:rPr>
        <w:t xml:space="preserve">مبانی انسان </w:t>
      </w:r>
      <w:r>
        <w:rPr>
          <w:rtl w:val="true"/>
        </w:rPr>
        <w:t>(</w:t>
      </w:r>
      <w:r>
        <w:rPr>
          <w:rtl w:val="true"/>
        </w:rPr>
        <w:t>مخاطب</w:t>
      </w:r>
      <w:r>
        <w:rPr>
          <w:rtl w:val="true"/>
        </w:rPr>
        <w:t xml:space="preserve">/ </w:t>
      </w:r>
      <w:r>
        <w:rPr>
          <w:rtl w:val="true"/>
        </w:rPr>
        <w:t>مکلف</w:t>
      </w:r>
      <w:r>
        <w:rPr>
          <w:rtl w:val="true"/>
        </w:rPr>
        <w:t>)</w:t>
      </w:r>
      <w:r>
        <w:rPr>
          <w:rtl w:val="true"/>
        </w:rPr>
        <w:t>شناختی اصول</w:t>
      </w:r>
      <w:bookmarkEnd w:id="102"/>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مبانی انسان‌شناختی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سرشت، ساحات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ذاتیات و استعداد و استطاعت معرفتی معیشتی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بر روش‌شناسی فهم دین مؤثر است، و بر روش‌شناسی علم اصول نیز تأثیرگذار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استطاعت و استعداد معرفتی انسان، و برآیند آن در اصول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طاقت عملی انسان، و برآیند آن در اصول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حق و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نقش این بحث در فلسفه‌ی فقه و فلسفه‌ی اصول</w:t>
      </w:r>
      <w:r>
        <w:rPr>
          <w:rFonts w:eastAsia="IRNazanin" w:cs="IRNazanin"/>
          <w:color w:val="111111"/>
          <w:sz w:val="28"/>
          <w:szCs w:val="28"/>
          <w:rtl w:val="true"/>
          <w:lang w:bidi="fa-IR"/>
        </w:rPr>
        <w:t xml:space="preserve">). </w:t>
      </w:r>
      <w:bookmarkStart w:id="103" w:name="pg5825_38230"/>
    </w:p>
    <w:p>
      <w:pPr>
        <w:pStyle w:val="BookText"/>
        <w:rPr/>
      </w:pPr>
      <w:bookmarkEnd w:id="103"/>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نقش زمان و مکان و تطور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نقش این بحث در فلسفه‌ی فقه و فلسفه‌ی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جنسیت در قواعد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تفاوت‌های معرفتی و معیشتی دو جنس</w:t>
      </w:r>
      <w:r>
        <w:rPr>
          <w:rFonts w:eastAsia="IRNazanin" w:cs="IRNazanin"/>
          <w:color w:val="111111"/>
          <w:sz w:val="28"/>
          <w:szCs w:val="28"/>
          <w:rtl w:val="true"/>
          <w:lang w:bidi="fa-IR"/>
        </w:rPr>
        <w:t>).</w:t>
      </w:r>
    </w:p>
    <w:p>
      <w:pPr>
        <w:pStyle w:val="Heading5"/>
        <w:numPr>
          <w:ilvl w:val="4"/>
          <w:numId w:val="1"/>
        </w:numPr>
        <w:rPr/>
      </w:pPr>
      <w:bookmarkStart w:id="104" w:name="__RefHeading___Toc4623387_581953129"/>
      <w:bookmarkStart w:id="105" w:name="_Toc40"/>
      <w:bookmarkEnd w:id="104"/>
      <w:r>
        <w:rPr>
          <w:rtl w:val="true"/>
        </w:rPr>
        <w:t>فصل پانزدهم</w:t>
      </w:r>
      <w:r>
        <w:rPr>
          <w:rtl w:val="true"/>
        </w:rPr>
        <w:t xml:space="preserve">) </w:t>
      </w:r>
      <w:r>
        <w:rPr>
          <w:rtl w:val="true"/>
        </w:rPr>
        <w:t>مبانی معرفت‌شناختی اصول</w:t>
      </w:r>
      <w:bookmarkEnd w:id="1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مبانی و مسائل معرفت‌شناختی مؤثر بر منطق فهم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قطع و ظن و جایگاه هریک در معرفت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معرفت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و گستره‌ی کارکرد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معرفتی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معرفتی سنت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معرفتی سنت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معرفت‌شناختی امارات، استصحاب،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معرفت‌شناختی، شریعت‌شناختی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تخطئه و تصویب</w:t>
      </w:r>
      <w:r>
        <w:rPr>
          <w:rFonts w:eastAsia="IRNazanin" w:cs="IRNazanin"/>
          <w:color w:val="111111"/>
          <w:sz w:val="28"/>
          <w:szCs w:val="28"/>
          <w:rtl w:val="true"/>
          <w:lang w:bidi="fa-IR"/>
        </w:rPr>
        <w:t>.</w:t>
      </w:r>
    </w:p>
    <w:p>
      <w:pPr>
        <w:pStyle w:val="Heading5"/>
        <w:numPr>
          <w:ilvl w:val="4"/>
          <w:numId w:val="1"/>
        </w:numPr>
        <w:rPr/>
      </w:pPr>
      <w:bookmarkStart w:id="106" w:name="__RefHeading___Toc4623389_581953129"/>
      <w:bookmarkStart w:id="107" w:name="_Toc41"/>
      <w:bookmarkEnd w:id="106"/>
      <w:r>
        <w:rPr>
          <w:rtl w:val="true"/>
        </w:rPr>
        <w:t>فصل شانزدهم</w:t>
      </w:r>
      <w:r>
        <w:rPr>
          <w:rtl w:val="true"/>
        </w:rPr>
        <w:t xml:space="preserve">) </w:t>
      </w:r>
      <w:r>
        <w:rPr>
          <w:rtl w:val="true"/>
        </w:rPr>
        <w:t>مبانی زبان‌شناختی اصول</w:t>
      </w:r>
      <w:bookmarkEnd w:id="107"/>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خطاب؛ ماهیت و اقسام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متون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خطابات شرعیه</w:t>
      </w:r>
      <w:r>
        <w:rPr>
          <w:rFonts w:eastAsia="IRNazanin" w:cs="IRNazanin"/>
          <w:color w:val="111111"/>
          <w:sz w:val="28"/>
          <w:szCs w:val="28"/>
          <w:rtl w:val="true"/>
          <w:lang w:bidi="fa-IR"/>
        </w:rPr>
        <w:t>.</w:t>
      </w:r>
    </w:p>
    <w:p>
      <w:pPr>
        <w:pStyle w:val="Heading5"/>
        <w:numPr>
          <w:ilvl w:val="4"/>
          <w:numId w:val="1"/>
        </w:numPr>
        <w:rPr/>
      </w:pPr>
      <w:bookmarkStart w:id="108" w:name="__RefHeading___Toc4623391_581953129"/>
      <w:bookmarkStart w:id="109" w:name="_Toc42"/>
      <w:bookmarkEnd w:id="108"/>
      <w:r>
        <w:rPr>
          <w:rtl w:val="true"/>
        </w:rPr>
        <w:t>فصل هفدهم</w:t>
      </w:r>
      <w:r>
        <w:rPr>
          <w:rtl w:val="true"/>
        </w:rPr>
        <w:t xml:space="preserve">) </w:t>
      </w:r>
      <w:r>
        <w:rPr>
          <w:rtl w:val="true"/>
        </w:rPr>
        <w:t xml:space="preserve">مبانی متن </w:t>
      </w:r>
      <w:r>
        <w:rPr>
          <w:rtl w:val="true"/>
        </w:rPr>
        <w:t xml:space="preserve">- </w:t>
      </w:r>
      <w:r>
        <w:rPr>
          <w:rtl w:val="true"/>
        </w:rPr>
        <w:t>معناشناختی اصول</w:t>
      </w:r>
      <w:bookmarkEnd w:id="109"/>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معناشناختی متون عمومی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معنا‌شناختی اختصاصی متون قدسی</w:t>
      </w:r>
      <w:r>
        <w:rPr>
          <w:rFonts w:eastAsia="IRNazanin" w:cs="IRNazanin"/>
          <w:color w:val="111111"/>
          <w:sz w:val="28"/>
          <w:szCs w:val="28"/>
          <w:rtl w:val="true"/>
          <w:lang w:bidi="fa-IR"/>
        </w:rPr>
        <w:t xml:space="preserve">. </w:t>
      </w:r>
      <w:bookmarkStart w:id="110" w:name="pg5825_38231"/>
    </w:p>
    <w:p>
      <w:pPr>
        <w:pStyle w:val="Heading5"/>
        <w:numPr>
          <w:ilvl w:val="4"/>
          <w:numId w:val="1"/>
        </w:numPr>
        <w:rPr/>
      </w:pPr>
      <w:bookmarkStart w:id="111" w:name="__RefHeading___Toc4623393_581953129"/>
      <w:bookmarkStart w:id="112" w:name="_Toc43"/>
      <w:bookmarkEnd w:id="110"/>
      <w:bookmarkEnd w:id="111"/>
      <w:r>
        <w:rPr>
          <w:rtl w:val="true"/>
        </w:rPr>
        <w:t>فصل هجدهم</w:t>
      </w:r>
      <w:r>
        <w:rPr>
          <w:rtl w:val="true"/>
        </w:rPr>
        <w:t xml:space="preserve">) </w:t>
      </w:r>
      <w:r>
        <w:rPr>
          <w:rtl w:val="true"/>
        </w:rPr>
        <w:t xml:space="preserve">مبانی </w:t>
      </w:r>
      <w:r>
        <w:rPr>
          <w:rtl w:val="true"/>
        </w:rPr>
        <w:t>«</w:t>
      </w:r>
      <w:r>
        <w:rPr>
          <w:rtl w:val="true"/>
        </w:rPr>
        <w:t>موضوع</w:t>
      </w:r>
      <w:r>
        <w:rPr>
          <w:rtl w:val="true"/>
        </w:rPr>
        <w:t xml:space="preserve">/ </w:t>
      </w:r>
      <w:r>
        <w:rPr>
          <w:rtl w:val="true"/>
        </w:rPr>
        <w:t>متعلق</w:t>
      </w:r>
      <w:r>
        <w:rPr>
          <w:rtl w:val="true"/>
        </w:rPr>
        <w:t>»</w:t>
      </w:r>
      <w:r>
        <w:rPr>
          <w:rtl w:val="true"/>
        </w:rPr>
        <w:t>شناختی اصول</w:t>
      </w:r>
      <w:bookmarkEnd w:id="112"/>
    </w:p>
    <w:p>
      <w:pPr>
        <w:pStyle w:val="BookText"/>
        <w:rPr/>
      </w:pPr>
      <w:r>
        <w:rPr>
          <w:rFonts w:ascii="IRNazanin" w:hAnsi="IRNazanin" w:eastAsia="IRNazanin"/>
          <w:color w:val="111111"/>
          <w:sz w:val="28"/>
          <w:sz w:val="28"/>
          <w:szCs w:val="28"/>
          <w:rtl w:val="true"/>
          <w:lang w:bidi="fa-IR"/>
        </w:rPr>
        <w:t>بررسی اقتضائات مختصات شریعت و نیز هر یک از حوزه‌های آن در کاربرد اصول</w:t>
      </w:r>
      <w:r>
        <w:rPr>
          <w:rFonts w:eastAsia="IRNazanin" w:cs="IRNazanin"/>
          <w:color w:val="111111"/>
          <w:sz w:val="28"/>
          <w:szCs w:val="28"/>
          <w:rtl w:val="true"/>
          <w:lang w:bidi="fa-IR"/>
        </w:rPr>
        <w:t>.</w:t>
      </w:r>
    </w:p>
    <w:p>
      <w:pPr>
        <w:pStyle w:val="Heading5"/>
        <w:numPr>
          <w:ilvl w:val="4"/>
          <w:numId w:val="1"/>
        </w:numPr>
        <w:rPr/>
      </w:pPr>
      <w:bookmarkStart w:id="113" w:name="__RefHeading___Toc4623395_581953129"/>
      <w:bookmarkStart w:id="114" w:name="_Toc44"/>
      <w:bookmarkEnd w:id="113"/>
      <w:r>
        <w:rPr>
          <w:rtl w:val="true"/>
        </w:rPr>
        <w:t>فصل نوزدهم</w:t>
      </w:r>
      <w:r>
        <w:rPr>
          <w:rtl w:val="true"/>
        </w:rPr>
        <w:t xml:space="preserve">) </w:t>
      </w:r>
      <w:r>
        <w:rPr>
          <w:rtl w:val="true"/>
        </w:rPr>
        <w:t>مبانی حکم‌شناختی اصول</w:t>
      </w:r>
      <w:bookmarkEnd w:id="114"/>
    </w:p>
    <w:p>
      <w:pPr>
        <w:pStyle w:val="BookText"/>
        <w:rPr/>
      </w:pPr>
      <w:r>
        <w:rPr>
          <w:rFonts w:ascii="IRNazanin" w:hAnsi="IRNazanin" w:eastAsia="IRNazanin"/>
          <w:color w:val="111111"/>
          <w:sz w:val="28"/>
          <w:sz w:val="28"/>
          <w:szCs w:val="28"/>
          <w:rtl w:val="true"/>
          <w:lang w:bidi="fa-IR"/>
        </w:rPr>
        <w:t>بررسی ماهیت و مؤلفه‌ها، تقسیمات،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شرعی، برحسب مباحث مبادی احکامیه</w:t>
      </w:r>
      <w:r>
        <w:rPr>
          <w:rFonts w:eastAsia="IRNazanin" w:cs="IRNazanin"/>
          <w:color w:val="111111"/>
          <w:sz w:val="28"/>
          <w:szCs w:val="28"/>
          <w:rtl w:val="true"/>
          <w:lang w:bidi="fa-IR"/>
        </w:rPr>
        <w:t>.</w:t>
      </w:r>
    </w:p>
    <w:p>
      <w:pPr>
        <w:pStyle w:val="Heading5"/>
        <w:numPr>
          <w:ilvl w:val="4"/>
          <w:numId w:val="1"/>
        </w:numPr>
        <w:rPr/>
      </w:pPr>
      <w:bookmarkStart w:id="115" w:name="__RefHeading___Toc4623397_581953129"/>
      <w:bookmarkStart w:id="116" w:name="_Toc45"/>
      <w:bookmarkEnd w:id="115"/>
      <w:r>
        <w:rPr>
          <w:rtl w:val="true"/>
        </w:rPr>
        <w:t>فصل بیستم</w:t>
      </w:r>
      <w:r>
        <w:rPr>
          <w:rtl w:val="true"/>
        </w:rPr>
        <w:t xml:space="preserve">) </w:t>
      </w:r>
      <w:r>
        <w:rPr>
          <w:rtl w:val="true"/>
        </w:rPr>
        <w:t>تحلیل معرفت‌شناختی قضایای اصولی</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طبقه‌بندی قضایا و قیاسات اصولی و ملاک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سرشت و ارزش معرفتی انواع قضایای اصولی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انواع گزاره های اصولی</w:t>
      </w:r>
      <w:r>
        <w:rPr>
          <w:rFonts w:eastAsia="IRNazanin" w:cs="IRNazanin"/>
          <w:color w:val="111111"/>
          <w:sz w:val="28"/>
          <w:szCs w:val="28"/>
          <w:rtl w:val="true"/>
          <w:lang w:bidi="fa-IR"/>
        </w:rPr>
        <w:t>.</w:t>
      </w:r>
    </w:p>
    <w:p>
      <w:pPr>
        <w:pStyle w:val="Heading5"/>
        <w:numPr>
          <w:ilvl w:val="4"/>
          <w:numId w:val="1"/>
        </w:numPr>
        <w:rPr/>
      </w:pPr>
      <w:bookmarkStart w:id="117" w:name="__RefHeading___Toc4623399_581953129"/>
      <w:bookmarkStart w:id="118" w:name="_Toc46"/>
      <w:bookmarkEnd w:id="117"/>
      <w:r>
        <w:rPr>
          <w:rtl w:val="true"/>
        </w:rPr>
        <w:t>فصل بیست‌ویکم</w:t>
      </w:r>
      <w:r>
        <w:rPr>
          <w:rtl w:val="true"/>
        </w:rPr>
        <w:t xml:space="preserve">) </w:t>
      </w:r>
      <w:r>
        <w:rPr>
          <w:rtl w:val="true"/>
        </w:rPr>
        <w:t>تحلیل اصول عملیه</w:t>
      </w:r>
      <w:bookmarkEnd w:id="118"/>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تاریخی و معرفتی تکون و تطور اصول عملیه در فقه و دانش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مفهوم‌شناسی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کاربردهای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اصول عملیه، و نسبت و مناسبات هریک با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 کارکردهای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مناشی و مصادر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معرفتی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مناسبات اصول عملیه به مسائل اصولیه و امارات و استصحاب و قواعد فقهیه در فرایند عمل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مبحث اصول عملیه در هندسه‌ی علم اصول</w:t>
      </w:r>
      <w:r>
        <w:rPr>
          <w:rFonts w:eastAsia="IRNazanin" w:cs="IRNazanin"/>
          <w:color w:val="111111"/>
          <w:sz w:val="28"/>
          <w:szCs w:val="28"/>
          <w:rtl w:val="true"/>
          <w:lang w:bidi="fa-IR"/>
        </w:rPr>
        <w:t>.</w:t>
      </w:r>
    </w:p>
    <w:p>
      <w:pPr>
        <w:pStyle w:val="Heading5"/>
        <w:numPr>
          <w:ilvl w:val="4"/>
          <w:numId w:val="1"/>
        </w:numPr>
        <w:rPr/>
      </w:pPr>
      <w:bookmarkStart w:id="119" w:name="__RefHeading___Toc4623401_581953129"/>
      <w:bookmarkStart w:id="120" w:name="_Toc47"/>
      <w:bookmarkEnd w:id="119"/>
      <w:r>
        <w:rPr>
          <w:rtl w:val="true"/>
        </w:rPr>
        <w:t>فصل بیست‌ودوم</w:t>
      </w:r>
      <w:r>
        <w:rPr>
          <w:rtl w:val="true"/>
        </w:rPr>
        <w:t xml:space="preserve">) </w:t>
      </w:r>
      <w:r>
        <w:rPr>
          <w:rtl w:val="true"/>
        </w:rPr>
        <w:t>مبادی تطور، و سازِکار تحول و تکامل علم اصول</w:t>
      </w:r>
      <w:bookmarkEnd w:id="120"/>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طبقه‌بندی انواع و عوامل تحول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عوامل معرفتی و غیرمعرفتی مؤثر بر تحول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ثبوت و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تاریخی تطورات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وقوع و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1" w:name="pg5825_38233"/>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منطقی عوامل مؤثر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صلوح و توقع</w:t>
      </w:r>
      <w:r>
        <w:rPr>
          <w:rFonts w:eastAsia="IRNazanin" w:cs="IRNazanin"/>
          <w:color w:val="111111"/>
          <w:sz w:val="28"/>
          <w:szCs w:val="28"/>
          <w:rtl w:val="true"/>
          <w:lang w:bidi="fa-IR"/>
        </w:rPr>
        <w:t>).</w:t>
      </w:r>
    </w:p>
    <w:p>
      <w:pPr>
        <w:pStyle w:val="Heading5"/>
        <w:numPr>
          <w:ilvl w:val="4"/>
          <w:numId w:val="1"/>
        </w:numPr>
        <w:rPr/>
      </w:pPr>
      <w:bookmarkStart w:id="122" w:name="__RefHeading___Toc4623403_581953129"/>
      <w:bookmarkStart w:id="123" w:name="_Toc48"/>
      <w:bookmarkEnd w:id="122"/>
      <w:r>
        <w:rPr>
          <w:rtl w:val="true"/>
        </w:rPr>
        <w:t>فصل بیست‌وسوم</w:t>
      </w:r>
      <w:r>
        <w:rPr>
          <w:rtl w:val="true"/>
        </w:rPr>
        <w:t xml:space="preserve">) </w:t>
      </w:r>
      <w:r>
        <w:rPr>
          <w:rtl w:val="true"/>
        </w:rPr>
        <w:t>گونه‌شناسی تطبیقی مکاتب اصولی با رویکرد فلسفی</w:t>
      </w:r>
      <w:bookmarkEnd w:id="123"/>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ماهوی، هویتی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مدرسه‌شناختی مکاتب اصولی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اصولی شیعی،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اصولی عامه</w:t>
      </w:r>
      <w:r>
        <w:rPr>
          <w:rFonts w:eastAsia="IRNazanin" w:cs="IRNazanin"/>
          <w:color w:val="111111"/>
          <w:sz w:val="28"/>
          <w:szCs w:val="28"/>
          <w:rtl w:val="true"/>
          <w:lang w:bidi="fa-IR"/>
        </w:rPr>
        <w:t>.</w:t>
      </w:r>
    </w:p>
    <w:p>
      <w:pPr>
        <w:pStyle w:val="Heading3"/>
        <w:numPr>
          <w:ilvl w:val="2"/>
          <w:numId w:val="1"/>
        </w:numPr>
        <w:rPr/>
      </w:pPr>
      <w:bookmarkStart w:id="124" w:name="__RefHeading___Toc4623405_581953129"/>
      <w:bookmarkStart w:id="125" w:name="_Toc49"/>
      <w:bookmarkEnd w:id="124"/>
      <w:r>
        <w:rPr>
          <w:rtl w:val="true"/>
        </w:rPr>
        <w:t>خاتمه</w:t>
      </w:r>
      <w:r>
        <w:rPr>
          <w:rtl w:val="true"/>
        </w:rPr>
        <w:t xml:space="preserve">) </w:t>
      </w:r>
      <w:r>
        <w:rPr>
          <w:rtl w:val="true"/>
        </w:rPr>
        <w:t>پیوست‌ها</w:t>
      </w:r>
      <w:bookmarkEnd w:id="125"/>
    </w:p>
    <w:p>
      <w:pPr>
        <w:pStyle w:val="Heading4"/>
        <w:numPr>
          <w:ilvl w:val="3"/>
          <w:numId w:val="1"/>
        </w:numPr>
        <w:rPr/>
      </w:pPr>
      <w:bookmarkStart w:id="126" w:name="__RefHeading___Toc4623407_581953129"/>
      <w:bookmarkStart w:id="127" w:name="_Toc50"/>
      <w:bookmarkEnd w:id="126"/>
      <w:r>
        <w:rPr>
          <w:rtl w:val="true"/>
        </w:rPr>
        <w:t>پیوست یک</w:t>
      </w:r>
      <w:r>
        <w:rPr>
          <w:rtl w:val="true"/>
        </w:rPr>
        <w:t xml:space="preserve">: </w:t>
      </w:r>
      <w:r>
        <w:rPr>
          <w:rtl w:val="true"/>
        </w:rPr>
        <w:t>تعاملات علم اصول با علوم همگون و هموند نوپدید</w:t>
      </w:r>
      <w:bookmarkEnd w:id="127"/>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تعامل تکاملی علوم نوپدید و علم اصول</w:t>
      </w:r>
      <w:r>
        <w:rPr>
          <w:rFonts w:eastAsia="IRNazanin" w:cs="IRNazanin"/>
          <w:color w:val="111111"/>
          <w:sz w:val="28"/>
          <w:szCs w:val="28"/>
          <w:rtl w:val="true"/>
          <w:lang w:bidi="fa-IR"/>
        </w:rPr>
        <w:t>.</w:t>
      </w:r>
    </w:p>
    <w:p>
      <w:pPr>
        <w:pStyle w:val="Heading4"/>
        <w:numPr>
          <w:ilvl w:val="3"/>
          <w:numId w:val="1"/>
        </w:numPr>
        <w:rPr/>
      </w:pPr>
      <w:bookmarkStart w:id="128" w:name="__RefHeading___Toc4623409_581953129"/>
      <w:bookmarkStart w:id="129" w:name="_Toc51"/>
      <w:bookmarkEnd w:id="128"/>
      <w:r>
        <w:rPr>
          <w:rtl w:val="true"/>
        </w:rPr>
        <w:t>پیوست دو</w:t>
      </w:r>
      <w:r>
        <w:rPr>
          <w:rtl w:val="true"/>
        </w:rPr>
        <w:t xml:space="preserve">: </w:t>
      </w:r>
      <w:r>
        <w:rPr>
          <w:rtl w:val="true"/>
        </w:rPr>
        <w:t>کاستگی ها و بایستگی های اصول فقه</w:t>
      </w:r>
      <w:bookmarkEnd w:id="129"/>
    </w:p>
    <w:p>
      <w:pPr>
        <w:pStyle w:val="BookText"/>
        <w:rPr/>
      </w:pPr>
      <w:r>
        <w:rPr>
          <w:rFonts w:ascii="IRNazanin" w:hAnsi="IRNazanin" w:eastAsia="IRNazanin"/>
          <w:color w:val="111111"/>
          <w:sz w:val="28"/>
          <w:sz w:val="28"/>
          <w:szCs w:val="28"/>
          <w:rtl w:val="true"/>
          <w:lang w:bidi="fa-IR"/>
        </w:rPr>
        <w:t>فرع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حیث روش‌شناختی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معرفت‌شناختی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محتوایی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جنبه‌ی هندسی و 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زاویه‌ی کارآمدی و کارآیی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روزآمدی و پویایی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کاستی‌ها و کژی‌های اصول فقه در پویایی استنباط و کارایی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و اکمال علم اصول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نظریه‌ی ابتناء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توسعه‌ی اصول و تدوین روشگان‌های تخصصی، معطوف به نیاز حوزه‌های چهارگانه‌ی هندسه‌ی معرفتی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دینی، عقاید دینی، اخلاق دینی، احکام دینی، و احیاناً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اصلاح اصول، ازجمله به موارد زیر باید توجه شود</w:t>
      </w:r>
      <w:r>
        <w:rPr>
          <w:rFonts w:eastAsia="IRNazanin" w:cs="IRNazanin"/>
          <w:color w:val="111111"/>
          <w:sz w:val="28"/>
          <w:szCs w:val="28"/>
          <w:rtl w:val="true"/>
          <w:lang w:bidi="fa-IR"/>
        </w:rPr>
        <w:t xml:space="preserve">: </w:t>
      </w:r>
      <w:bookmarkStart w:id="130" w:name="pg5825_38235"/>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و بازپیراست مباحث و حذف مطالب قلیل‌الجدوی و فقید‌الجدوی،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مطالب غیراصولی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مرتبط به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ذی‌ربط علوم موجود یا تدوین دانش جدید لازم،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بازچینش مباحث، بر محور گرانیگاه کانونی و اصلی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استقراء و اصطیاد قواعد و ضوابط اصولی منتشر در متون فقهی و تفسیر و الحاق آنها به بخش‌های مرتبط در اصول و فلسفه‌ی 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از یافته‌های علوم و آرای جدید روش‌شناختی، معرفت‌شناختی، هرمنوتیک، زبان‌شناختی، و معناشناختی،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توسعه‌ی دانش اصول و فلسفه‌ی آن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4623411_581953129"/>
      <w:bookmarkStart w:id="132" w:name="_Toc52"/>
      <w:bookmarkEnd w:id="131"/>
      <w:r>
        <w:rPr>
          <w:rtl w:val="true"/>
        </w:rPr>
        <w:t>پیوست سه</w:t>
      </w:r>
      <w:r>
        <w:rPr>
          <w:rtl w:val="true"/>
        </w:rPr>
        <w:t xml:space="preserve">: </w:t>
      </w:r>
      <w:r>
        <w:rPr>
          <w:rtl w:val="true"/>
        </w:rPr>
        <w:t>اصطلاحنامه</w:t>
      </w:r>
      <w:bookmarkStart w:id="133" w:name="pg5825_38237"/>
      <w:bookmarkEnd w:id="132"/>
    </w:p>
    <w:p>
      <w:pPr>
        <w:pStyle w:val="Heading3"/>
        <w:numPr>
          <w:ilvl w:val="2"/>
          <w:numId w:val="1"/>
        </w:numPr>
        <w:rPr/>
      </w:pPr>
      <w:bookmarkStart w:id="134" w:name="__RefHeading___Toc4623413_581953129"/>
      <w:bookmarkStart w:id="135" w:name="_Toc53"/>
      <w:bookmarkEnd w:id="133"/>
      <w:bookmarkEnd w:id="134"/>
      <w:r>
        <w:rPr>
          <w:rtl w:val="true"/>
        </w:rPr>
        <w:t>منابع</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محمدکاظم‌بن حسین،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درر الفوائد فی الحاﺷﻴﺔ علی الفرائد 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وزارﺓ الثقافه و الارشاد الاسلامی، موﺳﺴﺔ الطبع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مظفر نجفی، شیخ محمدرضا بن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 اصول الفقه،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ابن‌زهره، حمزه بن علی، بی‌تا، ﻏﻨﻴﺔ النزوع الی علمی الأصول و الفروع،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ابن‌ندیم، محمدبن اسحاق،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الفهرست، ترجمه محمدرضا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محمدتقی الرازی،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هداﻳﺔ‌المسترشدین فی شرح اصول معالم‌الدین،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جما‌ﻋﺔ المدرسین الحوزﺓ اﻟﻌﻠﻤﻴﺔ بقم، مؤﺳﺴﺔ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محمدحسین،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 بحوث فی الاصول، یحتوی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علی النهج الحدیث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الطب و الاراده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جماﻋﺔ المدرسین بقم، مؤﺳﺴﺔ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مطارح الانظار،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حسن‌بن‌علی‌اصغر، </w:t>
      </w:r>
      <w:r>
        <w:rPr>
          <w:rFonts w:ascii="IRNazanin" w:hAnsi="IRNazanin" w:eastAsia="IRNazanin"/>
          <w:color w:val="111111"/>
          <w:sz w:val="28"/>
          <w:sz w:val="28"/>
          <w:szCs w:val="28"/>
          <w:lang w:bidi="fa-IR"/>
        </w:rPr>
        <w:t>۱۴۲۲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 منتهی‌الاصول،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تنظیم و نشر تراث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ﻣﻄﺒﻌﺔ البروج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حسین،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نهاﻳﺔ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الأبحاث حسین الطباطبائی البروجردی، به قلم حسینعلی المنتظری،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لمحات الاصول تقریرات درس آیت الله بروجردی، به قلم آیت‌العظمی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موﺳﺴﺔ تنظیم و نشر تراث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بهایی، محمدبن‌حسین،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زبدﺓ‌الاصول، تحقیق فارسی حسون کریم،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محمدباقر بن محمد اکمل،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 الفوائد الحائرﻳﺔ،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بهجت، محمدتقی،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مباحث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اشتهاردی، حسین،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تنقیح‌الاصول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قدس‌سره،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حسن‌ابن‌الشهید الثانی، بی‌تا، معالم‌الدین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کاظمینی،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سید عبدالله‌بن محمدرضا شبر، الأصول الأﺻﻠﻴﺔ و القواعد الشرﻋﻴﺔ،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محمدتقی،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الاصول العاﻣﺔ للفقه المقارن،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کفاﻳﺔ‌الاصول،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آل‌البیت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روح‌الله،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تهذیب‌الاصول، 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جماﻋﺔ المدرسین فی الحوزﺓ اﻟﻌﻠﻤﻴﺔ بقم، مؤﺳﺴﺔ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 محمد،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منطق صوری،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محاضرات فی اصول‌الفقه،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اجود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الابحاث محمدحسین الغرو‌ی النائینی،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الصاحب‌الامر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دراسات فی علم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دائرﺓ المعارف الفقه الاسلامی، طبقا لمذهب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فرهنگ علوم فلسفی و کلامی،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سیدعلی،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الرافد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آیت‌العظمی سیستانی، سید منیر سیدعدنان قطیفی،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ﻣﻜﺘﺒﺔ آیت‌اللّه العظمی 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شعرانی، ابوالحسن،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المدخل الی عذب المنهل فی اصول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الاماﻧﺔ العاﻣﺔ للموتمر </w:t>
      </w:r>
    </w:p>
    <w:p>
      <w:pPr>
        <w:pStyle w:val="BookText"/>
        <w:rPr/>
      </w:pPr>
      <w:r>
        <w:rPr>
          <w:rFonts w:ascii="IRNazanin" w:hAnsi="IRNazanin" w:eastAsia="IRNazanin"/>
          <w:color w:val="111111"/>
          <w:sz w:val="28"/>
          <w:sz w:val="28"/>
          <w:szCs w:val="28"/>
          <w:rtl w:val="true"/>
          <w:lang w:bidi="fa-IR"/>
        </w:rPr>
        <w:t>العالمی بمناﺳﺒﺔ الذکری المئوﻳﺔ الثاﻧﻴﺔ لمیلاد الشیخ الاعظم الانصاری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شمیسا، سیروس،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نگاهی تازه به بدیع،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الفتاوی الواﺿﺤﺔ و فقا لمذهب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 الدراسات اﻟﺘﺨﺼﺼﻴﺔ للشهید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بی‌تا، حاﺷﻴﺔ الکفایة،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شیخ‌الطاﺋﻔﺔ ابوجعفرمحمد‌بن‌حسن،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العدﺓ فی اصول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ضیا‌الدین،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نهاﻳﺔ الافکار فی مباحث الالفاظ،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جاﻣﻌﺔ المدرسین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مقالات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حسن‌بن‌یوسف،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تهذیب‌الوصول الی‌علم‌الاصول،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مبادی الوصول الی علم‌الاصول،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علم‌الهدی، سید مرتضی،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الذرﻳﻌﺔ الی اصول‌الشریعه،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 طهرانی، محمدحسین، بی‌تا، الفصول‌الغرویه فی الاصول اﻟﻔﻘﻬﻴﺔ،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تونی، عبدالله بن محمد بشروی خراسانی،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الواﻓﻴﺔ فی اصول الفقه،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فرفوریوس،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ایساغوجی و مقولات، ترجمه، مقدمه و توضیحات محمد خوانساری،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سید مرتضی،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عناﻳﺔ‌الاصول فی شرح کفاﻳﺔ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ابوالقاسم‌القمی،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قوانین الاصول، 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فلسفة حقوق،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جعفر‌بن‌حسن،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معارج‌الاصول،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مجتبی،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فلسفة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التذکرﺓ باصول‌الفقه،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نائینی، محمدحسین،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فوائد‌الاصول،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النشر الاسلامی التاﺑﻌﺔ لجماﻋﺔ المدرسین</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5825_38243"/>
      <w:bookmarkStart w:id="137" w:name="pg5825_38243"/>
      <w:bookmarkEnd w:id="137"/>
    </w:p>
    <w:p>
      <w:pPr>
        <w:pStyle w:val="Heading2"/>
        <w:numPr>
          <w:ilvl w:val="1"/>
          <w:numId w:val="1"/>
        </w:numPr>
        <w:rPr/>
      </w:pPr>
      <w:bookmarkStart w:id="138" w:name="pg5825_38243"/>
      <w:bookmarkStart w:id="139" w:name="__RefHeading___Toc4623415_581953129"/>
      <w:bookmarkStart w:id="140" w:name="_Toc54"/>
      <w:bookmarkEnd w:id="138"/>
      <w:bookmarkEnd w:id="139"/>
      <w:r>
        <w:rPr>
          <w:rtl w:val="true"/>
        </w:rPr>
        <w:t xml:space="preserve">جملات و معانی انشایی در علم اصول </w:t>
      </w:r>
      <w:r>
        <w:rPr>
          <w:rtl w:val="true"/>
        </w:rPr>
        <w:t xml:space="preserve">/ </w:t>
      </w:r>
      <w:r>
        <w:rPr>
          <w:rtl w:val="true"/>
        </w:rPr>
        <w:t>ابوالحسن حسنی</w:t>
      </w:r>
      <w:bookmarkEnd w:id="140"/>
    </w:p>
    <w:p>
      <w:pPr>
        <w:pStyle w:val="Heading3"/>
        <w:numPr>
          <w:ilvl w:val="2"/>
          <w:numId w:val="1"/>
        </w:numPr>
        <w:rPr/>
      </w:pPr>
      <w:bookmarkStart w:id="141" w:name="__RefHeading___Toc4623417_581953129"/>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ابوالحسن حسنی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20/5/89</w:t>
      </w:r>
    </w:p>
    <w:p>
      <w:pPr>
        <w:pStyle w:val="Heading3"/>
        <w:numPr>
          <w:ilvl w:val="2"/>
          <w:numId w:val="1"/>
        </w:numPr>
        <w:rPr/>
      </w:pPr>
      <w:bookmarkStart w:id="143" w:name="__RefHeading___Toc4623419_581953129"/>
      <w:bookmarkStart w:id="144" w:name="_Toc56"/>
      <w:bookmarkEnd w:id="143"/>
      <w:r>
        <w:rPr>
          <w:rtl w:val="true"/>
        </w:rPr>
        <w:t>چکیده</w:t>
      </w:r>
      <w:bookmarkEnd w:id="144"/>
    </w:p>
    <w:p>
      <w:pPr>
        <w:pStyle w:val="BookText"/>
        <w:rPr/>
      </w:pPr>
      <w:r>
        <w:rPr>
          <w:rFonts w:ascii="IRNazanin" w:hAnsi="IRNazanin" w:eastAsia="IRNazanin"/>
          <w:color w:val="111111"/>
          <w:sz w:val="28"/>
          <w:sz w:val="28"/>
          <w:szCs w:val="28"/>
          <w:rtl w:val="true"/>
          <w:lang w:bidi="fa-IR"/>
        </w:rPr>
        <w:t>یکی از مباحث مقدماتی علم اصول، تعریف انشاء است که نسبت به بخش معظمی از علم اصول یک لِم اساسی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در دو بخش معانی انشایی یا همان اعتباریات، و جملات انشایی این مسئله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معانی انشایی یا نظریة اعتباریات به نظریة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می‌کند؛ ولی آن را با استفاده از آرای آیتالله سیستانی و آیتالله صادق لاریجانی ضمن ابتکاراتی بسط می‌دهد و در بخش جملات انشایی سه مسئله را بررسی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جملات انشایی از جهت لفظ؛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جملات انشایی از جهت معنا؛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جملات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مسئلة اول، به نظر مشهور گرایش دارد و بر آن است که جملات انشایی از هر دو جهت مانند معانی حرفیه‌اند؛ اما در مسئلة سوم ضمن بررسی آرای مهم اصولیان متأخر، با نگاهی انتقادی به آنها، نظریه‌ای را ارائه می‌دهد که هم می‌توان آن را ابتکاری دانست و هم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آرای گوناگون با ارجاع هر رأی به جایگاه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انشای تام، مفاهیم قانونی، جملات انشایی</w:t>
      </w:r>
      <w:r>
        <w:rPr>
          <w:rFonts w:eastAsia="IRNazanin" w:cs="IRNazanin"/>
          <w:color w:val="111111"/>
          <w:sz w:val="28"/>
          <w:szCs w:val="28"/>
          <w:rtl w:val="true"/>
          <w:lang w:bidi="fa-IR"/>
        </w:rPr>
        <w:t xml:space="preserve">. </w:t>
      </w:r>
      <w:bookmarkStart w:id="145" w:name="pg5825_38245"/>
    </w:p>
    <w:p>
      <w:pPr>
        <w:pStyle w:val="Heading3"/>
        <w:numPr>
          <w:ilvl w:val="2"/>
          <w:numId w:val="1"/>
        </w:numPr>
        <w:rPr/>
      </w:pPr>
      <w:bookmarkStart w:id="146" w:name="__RefHeading___Toc4623421_581953129"/>
      <w:bookmarkStart w:id="147" w:name="_Toc57"/>
      <w:bookmarkEnd w:id="145"/>
      <w:bookmarkEnd w:id="146"/>
      <w:r>
        <w:rPr>
          <w:rtl w:val="true"/>
        </w:rPr>
        <w:t>مقدمه</w:t>
      </w:r>
      <w:bookmarkEnd w:id="147"/>
    </w:p>
    <w:p>
      <w:pPr>
        <w:pStyle w:val="BookText"/>
        <w:rPr/>
      </w:pPr>
      <w:r>
        <w:rPr>
          <w:rFonts w:ascii="IRNazanin" w:hAnsi="IRNazanin" w:eastAsia="IRNazanin"/>
          <w:color w:val="111111"/>
          <w:sz w:val="28"/>
          <w:sz w:val="28"/>
          <w:szCs w:val="28"/>
          <w:rtl w:val="true"/>
          <w:lang w:bidi="fa-IR"/>
        </w:rPr>
        <w:t>علمای اصول پیش از پرداختن به مباحث الفاظ، چند مسئلة اساسی زبان و معنا را به‌عنوان تمهید مباحث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مباحث مسئلة تفاوت موجود میان جملة انشایی و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پس از بحث از معانی حرفیه، با توجه به مسلک ویژه‌ای که در این مسئله اتخاذ می‌کند، می‌کوشد تا به همان شیوه مسائل دیگر در حوزة معناشناسی را حل کند که یکی از آنها مسئلة تفاوت موجود میان جملة اخباری و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برخی دیگر از اصولیان نیز، به این مسئله پرداخته و نظریه‌های متفاوتی را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اصولیان در این بحث چنین تقریر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میان جملة انشایی و جملة اخباری تفاوت جوهری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دیگری که علمای اصول در آنجا به بحث از معانی انشایی و نحوة ایجاد آنها می‌پردازند، ذیل بحث از معنای صیغة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در ذیل این بحث، نکته‌ای را با عنوان ایقاظ مطرح می‌کند و نظریه‌ای که دربارة صیغة امر می‌دهد، به دیگر صیغه‌های انشایی تعمیم می‌دهد و به دنبال بحث آخوند، دیگر اصولیان نیز به این بحث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در پی بحث اصولیان، این مسئله بررسی می‌شود که معنای جملات و صیغه‌های انشایی چیست و چه رابطه‌ای با معنا دارند؟ و برای اینکه بحث کامل شود، طبق نظریة اعتباریات، نحوة وجود و تکون معانی اعتباری نیز بررسی خواهد شد</w:t>
      </w:r>
      <w:r>
        <w:rPr>
          <w:rFonts w:eastAsia="IRNazanin" w:cs="IRNazanin"/>
          <w:color w:val="111111"/>
          <w:sz w:val="28"/>
          <w:szCs w:val="28"/>
          <w:rtl w:val="true"/>
          <w:lang w:bidi="fa-IR"/>
        </w:rPr>
        <w:t>.</w:t>
      </w:r>
    </w:p>
    <w:p>
      <w:pPr>
        <w:pStyle w:val="Heading3"/>
        <w:numPr>
          <w:ilvl w:val="2"/>
          <w:numId w:val="1"/>
        </w:numPr>
        <w:rPr/>
      </w:pPr>
      <w:bookmarkStart w:id="148" w:name="__RefHeading___Toc4623423_581953129"/>
      <w:bookmarkStart w:id="149" w:name="_Toc58"/>
      <w:bookmarkEnd w:id="148"/>
      <w:r>
        <w:rPr>
          <w:rtl w:val="true"/>
        </w:rPr>
        <w:t>مبادی بحث از جملات اخباری و انشایی</w:t>
      </w:r>
      <w:bookmarkEnd w:id="149"/>
    </w:p>
    <w:p>
      <w:pPr>
        <w:pStyle w:val="Heading4"/>
        <w:numPr>
          <w:ilvl w:val="3"/>
          <w:numId w:val="1"/>
        </w:numPr>
        <w:rPr/>
      </w:pPr>
      <w:bookmarkStart w:id="150" w:name="__RefHeading___Toc4623425_581953129"/>
      <w:bookmarkStart w:id="151" w:name="_Toc59"/>
      <w:bookmarkEnd w:id="150"/>
      <w:r>
        <w:rPr>
          <w:rtl w:val="true"/>
        </w:rPr>
        <w:t>تقسیم جملات به اخباری و انشایی</w:t>
      </w:r>
      <w:bookmarkEnd w:id="151"/>
    </w:p>
    <w:p>
      <w:pPr>
        <w:pStyle w:val="BookText"/>
        <w:rPr/>
      </w:pPr>
      <w:r>
        <w:rPr>
          <w:rFonts w:ascii="IRNazanin" w:hAnsi="IRNazanin" w:eastAsia="IRNazanin"/>
          <w:color w:val="111111"/>
          <w:sz w:val="28"/>
          <w:sz w:val="28"/>
          <w:szCs w:val="28"/>
          <w:rtl w:val="true"/>
          <w:lang w:bidi="fa-IR"/>
        </w:rPr>
        <w:t xml:space="preserve">تقسیم جملات به اخباری و انشایی، تقسیمی دیرینه است که هم علمای علم بلاغت و هم منطق‌دانان به آن توجه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مشهور، خبر و انشاء چنین تعریف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کلامی است که بدون ملاحظة امری خارج آن، به صدق یا کذب متصف می‌شود و انشاء کلامی است که با قطع نظر از لوازم معنا به این دو وصف متصف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مصباح یزدی،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ملکشاهی،</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تعریف دیگر نیز از خبر و انشاء آمده که به‌دلیل اهمیت آن در مباحث آینده لازم است تا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آن است که مدلول آن، بدون نطق به خبر، محقق </w:t>
      </w:r>
      <w:bookmarkStart w:id="152" w:name="pg5825_38247"/>
    </w:p>
    <w:p>
      <w:pPr>
        <w:pStyle w:val="BookText"/>
        <w:rPr/>
      </w:pPr>
      <w:bookmarkEnd w:id="15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آن است که مضمون آن جز هنگامی که به لفظ بیان شود، به دست نمی‌آید و محقق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مواردی از انشاء مانند تعجب و رجا از شمول این تعریف خارج می‌شوند؛ زیرا تحقق تعجب و امید وابسته به ابراز آنها نیست؛ بنابراین، این تعریف جامع نیست، ولی نکته‌ای که این تعریف بر آن بنا شده، مورد توجه برخی از اصولیان قرار گرفته‌است</w:t>
      </w:r>
      <w:r>
        <w:rPr>
          <w:rFonts w:eastAsia="IRNazanin" w:cs="IRNazanin"/>
          <w:color w:val="111111"/>
          <w:sz w:val="28"/>
          <w:szCs w:val="28"/>
          <w:rtl w:val="true"/>
          <w:lang w:bidi="fa-IR"/>
        </w:rPr>
        <w:t>.</w:t>
      </w:r>
    </w:p>
    <w:p>
      <w:pPr>
        <w:pStyle w:val="Heading4"/>
        <w:numPr>
          <w:ilvl w:val="3"/>
          <w:numId w:val="1"/>
        </w:numPr>
        <w:rPr/>
      </w:pPr>
      <w:bookmarkStart w:id="153" w:name="__RefHeading___Toc4623427_581953129"/>
      <w:bookmarkStart w:id="154" w:name="_Toc60"/>
      <w:bookmarkEnd w:id="153"/>
      <w:r>
        <w:rPr>
          <w:rtl w:val="true"/>
        </w:rPr>
        <w:t>مبنا در رابطة لفظ و معنا</w:t>
      </w:r>
      <w:bookmarkEnd w:id="154"/>
    </w:p>
    <w:p>
      <w:pPr>
        <w:pStyle w:val="BookText"/>
        <w:rPr/>
      </w:pPr>
      <w:r>
        <w:rPr>
          <w:rFonts w:ascii="IRNazanin" w:hAnsi="IRNazanin" w:eastAsia="IRNazanin"/>
          <w:color w:val="111111"/>
          <w:sz w:val="28"/>
          <w:sz w:val="28"/>
          <w:szCs w:val="28"/>
          <w:rtl w:val="true"/>
          <w:lang w:bidi="fa-IR"/>
        </w:rPr>
        <w:t>علمای علم اصول رابطة لفظ و معنا را اعتباری و محصول وضع لفظ بازای معنا می‌دانند و مباحث معناشناسی خود، از جمله مباحث مربوط به انشاء را بر آن بنا می‌کنند؛ اما در ماهیت فرایند یا عمل وضع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نقد و بررسی آرای اصولیان در حقیقت وضع نمی‌تواند باشد؛ اما معرفی کوتاه این نظریه‌ها و بیان نظر نگارنده در این مسئله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نائینی بر آن است که وضع فعل خداوند است، 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براساس مناسبت مجهولی که بین الفاظ و معانی وجود دارد، الفاظ را به معانی اختصاص داده‌است و این اختصاص نه اعتباری است و نه تکوینی؛ بلکه واسطة بین امور اعتباری و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وضع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گونه‌ای اختصاص لفظ به معنا و ارتباط ویژه‌ای است که گاهی ناشی از تخصیص لفظ به معنا و گاهی دیگر ناشی از کثرت استعمال لفظ در معناست و بنابر این تعریف، تقسیم وضع به تعیینی و تعینی درست است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مرحوم غروی اصفهانی وضع عبارت است از جعل اعتباری لفظ و نصب آن بر معانی نظیر نصب واقعی علایم راهنما و پرچم برای دلالت 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خویی وضع را چنین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عبارت از تعهد و التزام نفسانی به ابراز معنایی با لفظ مخصوص است که متکلم قصد تفهیم آن معنا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را جعل لفظ برای معنا و تعیین لفظ برای دلالت بر معنا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ایشان آن را انشای ربط میان الفاظ و معانی </w:t>
      </w:r>
    </w:p>
    <w:p>
      <w:pPr>
        <w:pStyle w:val="BookText"/>
        <w:rPr/>
      </w:pPr>
      <w:r>
        <w:rPr>
          <w:rFonts w:ascii="IRNazanin" w:hAnsi="IRNazanin" w:eastAsia="IRNazanin"/>
          <w:color w:val="111111"/>
          <w:sz w:val="28"/>
          <w:sz w:val="28"/>
          <w:szCs w:val="28"/>
          <w:rtl w:val="true"/>
          <w:lang w:bidi="fa-IR"/>
        </w:rPr>
        <w:t xml:space="preserve">تعریف می‌کند، انشایی که از طرق گوناگونی مانند تعهد، تبانی، گفتن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لفظ و این معنا علقة وضعیه انشاء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کردم و وضع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هوهویت، جمله‌های خبریة مفید انشاء، استعمال، کثرت استعمال و غیر اینها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وحید خراسانی نیز وضع را عبارت از عَلامیت و دلیلیت برای معنایی تعریف می‌کند که متکلم قصد تفهیم آن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بررسی رابطة موجود میان لفظ و معنا باید چند نکته را در نظر گرفت که برخی از آنها در مسلک وضع لحاظ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این نوشتار در پی بررسی این موضوع نیست، به ایجاز و اجمال به این چند نکته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موجود میان لفظ و معنا ماهیتی اعتباری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موجود میان لفظ و معنا پیچیده‌تر از آن است که بتوان زبان و اجزای آن را محصول عمل ارادی و آگاهانة انسان دانست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مفطور به زبان آفریده شده‌است و خود سازندة آن نیست، چنان‌که حق تعالی خود را معلم زبان انسان می‌داند و حتی گوناگونی زبان‌ها را آیت خود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را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اخْتِلافُ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آفرینش آسمان‌ها و زمین و گوناگونی زبان‌های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موجود میان لفظ و معنا، با اشارة حسی تفاوت اساسی دارد و با صِرفِ اشاره نمی‌توان معنای لفظی را به دیگری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تنها رابطة بسیط موجود میان الفاظ و معانی نیست و کارکردهای متعددی دارد؛ مثلاً آهنگ الفاظ و ترکیب الفاظ بار عاطفی دارد و شعر نتیجة همین کارکرد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رابطة موجود میان لفظ و معنا، علاوه بر معنای مطابقی، باید به معانی التزامی نیز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تکلم گونه‌ای عمل اجتماعی قاعده‌مند است؛ به عبارت تفصیلی، تکلم عبارت است از رابطة کنش واکنشی تفهیم و تفاهم میان دو یا چند فرد به‌وسیلة الفاظ؛ زیرا تکلم در روابط میان فردی معنا دارد و برای فردِ تنها مسئلة تفهیم و تفاهم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زبان یا همان رابطة میان الفاظ و معانی نیز ماهیتی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ماهیتی اجتماعی نداشت و امری فردی بود، کسی از مراد دیگری با خبر نمی‌شد؛ زیرا مکنونات </w:t>
      </w:r>
      <w:bookmarkStart w:id="155" w:name="pg5825_38250"/>
    </w:p>
    <w:p>
      <w:pPr>
        <w:pStyle w:val="BookText"/>
        <w:rPr/>
      </w:pPr>
      <w:bookmarkEnd w:id="155"/>
      <w:r>
        <w:rPr>
          <w:rFonts w:ascii="IRNazanin" w:hAnsi="IRNazanin" w:eastAsia="IRNazanin"/>
          <w:color w:val="111111"/>
          <w:sz w:val="28"/>
          <w:sz w:val="28"/>
          <w:szCs w:val="28"/>
          <w:rtl w:val="true"/>
          <w:lang w:bidi="fa-IR"/>
        </w:rPr>
        <w:t>ذهنی هر کس تنها برای خود او آشکار است و از همه پنهان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56" w:name="__RefHeading___Toc4623429_581953129"/>
      <w:bookmarkStart w:id="157" w:name="_Toc61"/>
      <w:bookmarkEnd w:id="156"/>
      <w:r>
        <w:rPr>
          <w:rtl w:val="true"/>
        </w:rPr>
        <w:t>معانی انشایی</w:t>
      </w:r>
      <w:bookmarkEnd w:id="157"/>
    </w:p>
    <w:p>
      <w:pPr>
        <w:pStyle w:val="Heading5"/>
        <w:numPr>
          <w:ilvl w:val="4"/>
          <w:numId w:val="1"/>
        </w:numPr>
        <w:rPr/>
      </w:pPr>
      <w:bookmarkStart w:id="158" w:name="__RefHeading___Toc4623431_581953129"/>
      <w:bookmarkStart w:id="159" w:name="_Toc62"/>
      <w:bookmarkEnd w:id="158"/>
      <w:r>
        <w:rPr>
          <w:rtl w:val="true"/>
        </w:rPr>
        <w:t>تعریف مفاهیم انشایی</w:t>
      </w:r>
      <w:bookmarkEnd w:id="159"/>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اولین‌بار معرفت‌شناسی اعتبارات را به‌صورت مدون عرضه کرد</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بی‌تا،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پس از وی دیگران نیز با وقوف به اهمیت آن، بدان پرداختند و به اصلاح و بسط نظریة وی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اعتباریات علامه واسطة میان حکمت نظری و حکمت عملی است و معرفت‌شناسی رئالیستی مبنای این نظریه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اعتبار، به اشتراک لفظی در دو معنا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وجود منحازی ندارند و به وجود موضوع خود موجودند؛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اعتباری که موضوع نظریة اعتباریات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یک تعریف تقریبی می‌توان گفت که ادراکات اعتباری، به ادراکاتی اطلاق می‌شود که به‌دلیل شیوة انتزاعشان، ارادة مدرِک در نحوة حکایت آنها از محکی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تقسیم تصور به دو قسم قضیه و مفهوم بالمعنی‌الاخص، ادراکات اعتباری نیز به دو قسم انشای تام و مفاهیم اعتباری قابل تقسیم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مفاهیم اعتباری، اعتبار اولاً و بالذات وصف تعمل عقلانی ادخال اراده در حکایت‌گری یک مفهوم است و ثانیاً و بالتبع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مفاهیم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مفهوم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سطور، تشریح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مفاهیم اعتباری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مجازی، مفهوم قانونی، مفهوم ماهوی</w:t>
      </w:r>
      <w:r>
        <w:rPr>
          <w:rStyle w:val="FootnoteAnchor"/>
          <w:rtl w:val="true"/>
        </w:rPr>
        <w:footnoteReference w:id="13"/>
      </w:r>
      <w:r>
        <w:rPr>
          <w:rFonts w:ascii="IRNazanin" w:hAnsi="IRNazanin" w:eastAsia="IRNazanin"/>
          <w:color w:val="111111"/>
          <w:sz w:val="28"/>
          <w:sz w:val="28"/>
          <w:szCs w:val="28"/>
          <w:rtl w:val="true"/>
          <w:lang w:bidi="fa-IR"/>
        </w:rPr>
        <w:t>، مفهوم عرضی، مفهوم اشاره‌ای، مفهوم عنوانی، مفهوم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مفاهیم قانونی در انشائات فقهی کاربرد اساسی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تمییز اقسام مفاهیم اعتباری وابسته به شناخت سه عامل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منشأ اعتبار نیازهای درونی و عوامل خارجی محرِّکی‌اند که عمل اعتبار واکنش در برابر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جای منشأ اعتبار از هدف اعتبار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اعتبار اثری واقعی است که از اعتبار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اعتبار، پاسخی است که اعتبارکننده در نظر دارد به منشأ اعتبار، یعنی نیازهای درونی و عوامل خارجی محرک،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وابسته به انگیزه‌ها و احساسات است و با بقای آنها باقی و</w:t>
      </w:r>
      <w:bookmarkStart w:id="160" w:name="pg5825_38252"/>
    </w:p>
    <w:p>
      <w:pPr>
        <w:pStyle w:val="BookText"/>
        <w:rPr/>
      </w:pPr>
      <w:bookmarkEnd w:id="160"/>
      <w:r>
        <w:rPr>
          <w:rFonts w:ascii="IRNazanin" w:hAnsi="IRNazanin" w:eastAsia="IRNazanin"/>
          <w:color w:val="111111"/>
          <w:sz w:val="28"/>
          <w:sz w:val="28"/>
          <w:szCs w:val="28"/>
          <w:rtl w:val="true"/>
          <w:lang w:bidi="fa-IR"/>
        </w:rPr>
        <w:t>با تغییر آنها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انگیزه‌ها و احساسات از عوامل خارجی برمی‌خیزند؛ اما تأثر از عوامل خارجی به نیاز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اعتبار به اعتباری این نیازهایند؛ به اعتبار دیگر، آن عوامل خارجی؛ و به اعتبار سوم، برآوردن نیاز و پاسخ به عوامل خارجی منشأ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اثر واقعی و سودی است که از اعتبار انتظار می‌رود که جلب مصلحت یا دفع مفسده‌ای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منشأ اعتبار همان هدف اعتبار است و تفاوت بین این دو اعتباری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عملیات عقلانی که عمل اعتبار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عملیاتی عقلانی و وابسته به امور حقیقی است که در ادامه بدان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صدق و کذب‌پذیری یا حق و باطل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در حکایت‌گری ادراکات اعتباری اراده دخیل است و مرآتیت این ادراکات نسبت به محکی‌شان تام نیست؛ تعریف صدق و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مفهوم بر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ادراکات با گونه‌ای تعمل عقلانی همراه خواهد بود؛ اما برای تعریف حق و باطل برای این ادراکات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واقع بر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وسیعی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وصف فرد محقق‌شدة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محقق‌شده متناسب با مبدأ و منشأ اعتبار باشد و در این دو معیار عقلانیّت لحاظ شده باشد، حق است و در غیر این صورت باطل است</w:t>
      </w:r>
      <w:r>
        <w:rPr>
          <w:rFonts w:eastAsia="IRNazanin" w:cs="IRNazanin"/>
          <w:color w:val="111111"/>
          <w:sz w:val="28"/>
          <w:szCs w:val="28"/>
          <w:rtl w:val="true"/>
          <w:lang w:bidi="fa-IR"/>
        </w:rPr>
        <w:t>.</w:t>
      </w:r>
    </w:p>
    <w:p>
      <w:pPr>
        <w:pStyle w:val="Heading4"/>
        <w:numPr>
          <w:ilvl w:val="3"/>
          <w:numId w:val="1"/>
        </w:numPr>
        <w:rPr/>
      </w:pPr>
      <w:bookmarkStart w:id="161" w:name="__RefHeading___Toc4623433_581953129"/>
      <w:bookmarkStart w:id="162" w:name="_Toc63"/>
      <w:bookmarkEnd w:id="161"/>
      <w:r>
        <w:rPr>
          <w:rtl w:val="true"/>
        </w:rPr>
        <w:t>انشای تام</w:t>
      </w:r>
      <w:bookmarkEnd w:id="162"/>
    </w:p>
    <w:p>
      <w:pPr>
        <w:pStyle w:val="Heading5"/>
        <w:numPr>
          <w:ilvl w:val="4"/>
          <w:numId w:val="1"/>
        </w:numPr>
        <w:rPr/>
      </w:pPr>
      <w:bookmarkStart w:id="163" w:name="__RefHeading___Toc4623435_581953129"/>
      <w:bookmarkStart w:id="164" w:name="_Toc64"/>
      <w:bookmarkEnd w:id="163"/>
      <w:r>
        <w:rPr>
          <w:rtl w:val="true"/>
        </w:rPr>
        <w:t>تعریف انشای تام</w:t>
      </w:r>
      <w:bookmarkEnd w:id="164"/>
    </w:p>
    <w:p>
      <w:pPr>
        <w:pStyle w:val="BookText"/>
        <w:rPr/>
      </w:pPr>
      <w:r>
        <w:rPr>
          <w:rFonts w:ascii="IRNazanin" w:hAnsi="IRNazanin" w:eastAsia="IRNazanin"/>
          <w:color w:val="111111"/>
          <w:sz w:val="28"/>
          <w:sz w:val="28"/>
          <w:szCs w:val="28"/>
          <w:rtl w:val="true"/>
          <w:lang w:bidi="fa-IR"/>
        </w:rPr>
        <w:t xml:space="preserve">انشای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اختصار همان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ارادی و بالقصد نفسانی است که لوازم خارجی دارد 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اعتباری نسبت تامه میان دو مفهوم؛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ایجاد اعتباری یک مفهوم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هویت خود آن نیز از سنخ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بالقصد بودن انشاء به این معناست که علت وجودی انشائیت هر انشایی ارادة فاعلی است؛ زیرا انشاء فعلی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تامه همچون مفاهیم دیگر بنفسه امری بسیط است؛ اما قابل تحلیل به اجزاست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ساده‌ترین انشائات، انشای تام به موضوع و حکم یا موضوع، متعلق موضوع و حکم تحلیل می‌شود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قانون انشای تام به شیوة قضیة حقیقیه و خارجیه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اما انشای </w:t>
      </w:r>
      <w:bookmarkStart w:id="165" w:name="pg5825_38254"/>
    </w:p>
    <w:p>
      <w:pPr>
        <w:pStyle w:val="BookText"/>
        <w:rPr/>
      </w:pPr>
      <w:bookmarkEnd w:id="165"/>
      <w:r>
        <w:rPr>
          <w:rFonts w:ascii="IRNazanin" w:hAnsi="IRNazanin" w:eastAsia="IRNazanin"/>
          <w:color w:val="111111"/>
          <w:sz w:val="28"/>
          <w:sz w:val="28"/>
          <w:szCs w:val="28"/>
          <w:rtl w:val="true"/>
          <w:lang w:bidi="fa-IR"/>
        </w:rPr>
        <w:t>تام به شیوة قضیة شخصیه قانون نامیده نمی‌شود</w:t>
      </w:r>
      <w:r>
        <w:rPr>
          <w:rFonts w:eastAsia="IRNazanin" w:cs="IRNazanin"/>
          <w:color w:val="111111"/>
          <w:sz w:val="28"/>
          <w:szCs w:val="28"/>
          <w:rtl w:val="true"/>
          <w:lang w:bidi="fa-IR"/>
        </w:rPr>
        <w:t>.</w:t>
      </w:r>
    </w:p>
    <w:p>
      <w:pPr>
        <w:pStyle w:val="Heading3"/>
        <w:numPr>
          <w:ilvl w:val="2"/>
          <w:numId w:val="1"/>
        </w:numPr>
        <w:rPr/>
      </w:pPr>
      <w:bookmarkStart w:id="166" w:name="__RefHeading___Toc4623437_581953129"/>
      <w:bookmarkStart w:id="167" w:name="_Toc65"/>
      <w:bookmarkEnd w:id="166"/>
      <w:r>
        <w:rPr>
          <w:rtl w:val="true"/>
        </w:rPr>
        <w:t>ویژگی‌های انشاء</w:t>
      </w:r>
      <w:bookmarkEnd w:id="167"/>
    </w:p>
    <w:p>
      <w:pPr>
        <w:pStyle w:val="BookText"/>
        <w:rPr/>
      </w:pPr>
      <w:r>
        <w:rPr>
          <w:rFonts w:ascii="IRNazanin" w:hAnsi="IRNazanin" w:eastAsia="IRNazanin"/>
          <w:color w:val="111111"/>
          <w:sz w:val="28"/>
          <w:sz w:val="28"/>
          <w:szCs w:val="28"/>
          <w:rtl w:val="true"/>
          <w:lang w:bidi="fa-IR"/>
        </w:rPr>
        <w:t>مفاهیم قانونی در سه موضع از قضیه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مادة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مادة فعل، چیزی جز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اعتباری بودن موضوع، یک قضیه را از اخباری بودن خارج نمی‌کند؛ اما قضایایی که محمول آنها اعتباری است، انشایی‌اند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انشایی بودن یک قضیه تنها وابسته به وجود یک مفهوم اعتباری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انشائات تام اعتباری سه قسم‌اند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انشائاتی که محمول آنها اعتباری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ولی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انشائاتی که در آنها حمل محمول بر موضوع اعتباری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انشائاتی که صیغة آنها انشایی است؛ مانند صیغة نذر و وقف و نکاح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انشائیت عبارت است از لحاظ اعتباریت در محمول یا لحاظ اعتباریت در حمل یا صیغة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اجزای انشای تام که اعتباری باشند، اعم از موضوع، متعلق موضوع، حکم و نسبت، منشئی دارند؛ یعنی به‌دلیل وجود نیازی و برای جلب مصلحت یا دفع مفسده‌ای اعتبار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اعتبار انشای تام، وابسته به مجموع منشأهای اعتبار آن اجزای تحلیلی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انشاء به اعتبار تطابق و عدم تطابق آن در مقام تحقق با هدف اعتبار، می‌توان صدق و کذبِ اعتباری تعریف کرد؛ اما صدق و کذب حقیقی در انشاء تعریف‌پذیر نیست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بااین‌حال، انشاء به حق و باطل قابل توصیف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بودن انشاء در مقام ثبوت وابسته به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منشأ اعتبار انشاء با نیازهای واقعی؛ زیرا ممکن است در اعتبارکننده در تشخیص نیاز خطا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هم‌سنخی انشای معتبره با منشأ اعتبار؛ زیرا ممکن است اعتبارکننده در اعتبار متناسب با منشأ خطا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باطل بودن انشاء، در مقام اثبات، نیز وابسته به ارجاع انشاء به منبع معرفتی مناسب است</w:t>
      </w:r>
      <w:r>
        <w:rPr>
          <w:rFonts w:eastAsia="IRNazanin" w:cs="IRNazanin"/>
          <w:color w:val="111111"/>
          <w:sz w:val="28"/>
          <w:szCs w:val="28"/>
          <w:rtl w:val="true"/>
          <w:lang w:bidi="fa-IR"/>
        </w:rPr>
        <w:t xml:space="preserve">. </w:t>
      </w:r>
      <w:bookmarkStart w:id="168" w:name="pg5825_38256"/>
    </w:p>
    <w:p>
      <w:pPr>
        <w:pStyle w:val="BookText"/>
        <w:rPr/>
      </w:pPr>
      <w:bookmarkEnd w:id="168"/>
      <w:r>
        <w:rPr>
          <w:rFonts w:ascii="IRNazanin" w:hAnsi="IRNazanin" w:eastAsia="IRNazanin"/>
          <w:color w:val="111111"/>
          <w:sz w:val="28"/>
          <w:sz w:val="28"/>
          <w:szCs w:val="28"/>
          <w:rtl w:val="true"/>
          <w:lang w:bidi="fa-IR"/>
        </w:rPr>
        <w:t>اگرچه بحث اصولیان در مسئلة اخبار و انشاء بیشتر ناظر بر انشاء به شیوة قضیة شخصیه است؛ اما مناسب است نکاتی نیز دربارة قانون، انشاء به شیوة قضیة حقیقیه و خارجیه نیز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سیستانی قانون را بر چهار پایه مبتنی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که همان مصلحت و مفسده موجود در متعلق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تصمیم برای تأسیس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الزام‌آور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تأثیر در فرد یا جامعه به گونه‌ای که عنوان برانگیزنده برای خیر و بازدارنده از شر بر آن صدق کند، این مصحح تابع ملاک موجود در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که همان به جریان انداختن قانون به شیوه‌ای کارامد در راهنمایی فرد یا جامعه به‌سوی متعلق امر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نظام‌سازی راهکار تحقق پایة 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قطیفی،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چهار پایه برای قانون کافی به نظر نمی‌آید و به جای آن در این نوشتار، چهار پایة عقلانیت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وضعی و 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شیوه جعل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شیوة قضایای حقیقیه که در آن خطاب قانون مقید به وجود بالفعل افراد نیست و بر هر فرد مقدرالوجود تعمیم می‌یابد؛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شیوة قضایای خارجیه که در آن خطاب قانون مقید به وجود بالفعل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فکری در قانون به صور گوناگونی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توجه به این اثر واقعی قانون و لغویت و سودمندی آن برای قانون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استدلال از خود اعتبارات قانونی به منشأ آنها محدود به بررسی لغویت و سودمندی اعتبار نمی‌شود و روابط بین منشأها را نیز می‌تواند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روابط بین دو انشاء را براساس روابط بین منشأهای آنها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آن، استنتاج منطقی نیز می‌تواند قوانین نیز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استنتاج منطقی منحصر به قضایای حقیقی نیست؛ هرچند این استنتاج منطقی در اصطلاح منطقیان برهان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با ارجاع قانون، به مرجع معتبر نیز می‌توان بر آن استدلال کرد</w:t>
      </w:r>
      <w:r>
        <w:rPr>
          <w:rFonts w:eastAsia="IRNazanin" w:cs="IRNazanin"/>
          <w:color w:val="111111"/>
          <w:sz w:val="28"/>
          <w:szCs w:val="28"/>
          <w:rtl w:val="true"/>
          <w:lang w:bidi="fa-IR"/>
        </w:rPr>
        <w:t>.</w:t>
      </w:r>
    </w:p>
    <w:p>
      <w:pPr>
        <w:pStyle w:val="Heading3"/>
        <w:numPr>
          <w:ilvl w:val="2"/>
          <w:numId w:val="1"/>
        </w:numPr>
        <w:rPr/>
      </w:pPr>
      <w:bookmarkStart w:id="169" w:name="__RefHeading___Toc4623439_581953129"/>
      <w:bookmarkStart w:id="170" w:name="_Toc66"/>
      <w:bookmarkEnd w:id="169"/>
      <w:r>
        <w:rPr>
          <w:rtl w:val="true"/>
        </w:rPr>
        <w:t>عقلانیت انشاء یا قانون</w:t>
      </w:r>
      <w:bookmarkEnd w:id="170"/>
    </w:p>
    <w:p>
      <w:pPr>
        <w:pStyle w:val="Heading4"/>
        <w:numPr>
          <w:ilvl w:val="3"/>
          <w:numId w:val="1"/>
        </w:numPr>
        <w:rPr/>
      </w:pPr>
      <w:bookmarkStart w:id="171" w:name="__RefHeading___Toc4623441_581953129"/>
      <w:bookmarkStart w:id="172" w:name="_Toc67"/>
      <w:bookmarkEnd w:id="171"/>
      <w:r>
        <w:rPr>
          <w:rtl w:val="true"/>
        </w:rPr>
        <w:t>مسئلة اصلی عقلانیت انشاء</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انسان، به‌دلیل سنخ ویژة هستی او، باید مقید به حقایقی باشد که در حیات انسانی </w:t>
      </w:r>
      <w:bookmarkStart w:id="173" w:name="pg5825_38258"/>
    </w:p>
    <w:p>
      <w:pPr>
        <w:pStyle w:val="BookText"/>
        <w:rPr/>
      </w:pPr>
      <w:bookmarkEnd w:id="173"/>
      <w:r>
        <w:rPr>
          <w:rFonts w:ascii="IRNazanin" w:hAnsi="IRNazanin" w:eastAsia="IRNazanin"/>
          <w:color w:val="111111"/>
          <w:sz w:val="28"/>
          <w:sz w:val="28"/>
          <w:szCs w:val="28"/>
          <w:rtl w:val="true"/>
          <w:lang w:bidi="fa-IR"/>
        </w:rPr>
        <w:t>حقایقی اساسی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انسان باید حیات خود را مقید به چنان حقایقی ببیند؛ در غیر این صورت زندگی برای او تحمل‌ناپذیر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عقلانیت، اصولی است که مبنای تقید به حقایق اساسی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که به حیات انسان می‌پردازد، ناچار از تعریف عقلانیت براساس مبانی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اموری است که آن مکتب آنها را، به‌عنوان حقایقی اساسی در حیات انسانی به او معرفی می‌کند و نحوة حیات انسانی مبتنی بر اعتراف و ایمان به آن امور را به انسان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اصلی عقلانیت در مقام اثبات، مناط عقلانیت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ملاکی عقلانیت یک قانون قابل شناخت است؟ این مناط مبتنی بر حقایقی است که عمل سیاسی انسان را در صورت تقید به آن، حقایق عقلانی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مفاهیم قانونی در چهار مرتبه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معرفت‌شناختی، عقلانیت معناشناختی، عقلانیت اخلاقی، عقلانیت ابزاری</w:t>
      </w:r>
      <w:r>
        <w:rPr>
          <w:rFonts w:eastAsia="IRNazanin" w:cs="IRNazanin"/>
          <w:color w:val="111111"/>
          <w:sz w:val="28"/>
          <w:szCs w:val="28"/>
          <w:rtl w:val="true"/>
          <w:lang w:bidi="fa-IR"/>
        </w:rPr>
        <w:t>.</w:t>
      </w:r>
    </w:p>
    <w:p>
      <w:pPr>
        <w:pStyle w:val="Heading4"/>
        <w:numPr>
          <w:ilvl w:val="3"/>
          <w:numId w:val="1"/>
        </w:numPr>
        <w:rPr/>
      </w:pPr>
      <w:bookmarkStart w:id="174" w:name="__RefHeading___Toc4623443_581953129"/>
      <w:bookmarkStart w:id="175" w:name="_Toc68"/>
      <w:bookmarkEnd w:id="174"/>
      <w:r>
        <w:rPr>
          <w:rtl w:val="true"/>
        </w:rPr>
        <w:t>عقلانیت معرفتی انشاء</w:t>
      </w:r>
      <w:bookmarkEnd w:id="175"/>
    </w:p>
    <w:p>
      <w:pPr>
        <w:pStyle w:val="BookText"/>
        <w:rPr/>
      </w:pPr>
      <w:r>
        <w:rPr>
          <w:rFonts w:ascii="IRNazanin" w:hAnsi="IRNazanin" w:eastAsia="IRNazanin"/>
          <w:color w:val="111111"/>
          <w:sz w:val="28"/>
          <w:sz w:val="28"/>
          <w:szCs w:val="28"/>
          <w:rtl w:val="true"/>
          <w:lang w:bidi="fa-IR"/>
        </w:rPr>
        <w:t xml:space="preserve">هر نظام معرفتی باید به شیوة قضایای حقیقیه تدوین شود تا تعمیم‌پذیر باشد؛ به عبارت منطق‌دانان قضایای معتبر در علوم نظری قضایای حقیقیه‌اند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پایة عقلانیت معرفت‌شناختی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انشایی باید به یک انشاء به شیوة قضیة حقیقیه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منبع معرفتی عقل و وحی می‌توانند مستند حقیقیه بودن گزاره‌ها باشند و منابع معرفتی دیگر در این زمینه کارساز نیستند؛ اما ازآنجاکه نظام‌ها و گزاره‌های اعتباری اساساً برهان عقلی را پذیرا نیستند؛ عقل نیز نقشی در حقیقی بودن این نظام‌ها و گزاره‌ها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حقیقیه بودن هر قانونی مستلزم وابستگی آن به وحی‌ای فراگیر بر همة پهنة زمین و بر همة درازای زمان است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عقلانیت معرفت‌شناختی انشاء وابستگی اعتبار آن به وحی است</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76" w:name="__RefHeading___Toc4623445_581953129"/>
      <w:bookmarkStart w:id="177" w:name="_Toc69"/>
      <w:bookmarkEnd w:id="176"/>
      <w:r>
        <w:rPr>
          <w:rtl w:val="true"/>
        </w:rPr>
        <w:t>عقلانیت معناشناختی انشاء</w:t>
      </w:r>
      <w:bookmarkEnd w:id="17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معنای زندگی، پرسش اساسی حیات انسانی است؛ زیرا زندگی پوچ برای انسان تحمل‌ناپذیر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معنا تنها به کلیت زندگی پایان نمی‌پذیرد و انسان بالفطره در پی معنادار کردن جزئیات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معناداری در این اصطلاح عکس پوچی است و پوچی چیزی نیست جز بی‌فایدگی پایان‌ناپذیر</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ویگینز،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انسانی بهره‌مند از عقل است و به‌دلیل بهره‌مندی از عقل، پرسش از معنای حیات برای انسان، اساسی است </w:t>
      </w:r>
      <w:bookmarkStart w:id="178" w:name="pg5825_38260"/>
    </w:p>
    <w:p>
      <w:pPr>
        <w:pStyle w:val="BookText"/>
        <w:rPr/>
      </w:pPr>
      <w:bookmarkEnd w:id="178"/>
      <w:r>
        <w:rPr>
          <w:rFonts w:ascii="IRNazanin" w:hAnsi="IRNazanin" w:eastAsia="IRNazanin"/>
          <w:color w:val="111111"/>
          <w:sz w:val="28"/>
          <w:sz w:val="28"/>
          <w:szCs w:val="28"/>
          <w:rtl w:val="true"/>
          <w:lang w:bidi="fa-IR"/>
        </w:rPr>
        <w:t>و ازاین‌رو می‌توان این مسئله را پایة عقلانیت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معناشناختی قانون وابسته به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باید استعلایی باشد؛ به این معنا که قانون از ناحیة امری باشد که مخاطب اعتبار حکم از آن ناحیه را بر خود نافذ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برانگیزنده بوده و مخاطب حکم احساس خواهد کرد که تن دادن به حکم برای او می‌ارزد؛ اما در غیر این صورت، حکم برای او بی‌ارزش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استعلای مبدأ قانون باید حقیقی یا مستند به یک استعلای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انسانی از پذیرش سلطة کسی که برتری او تنها به حسب فرض یا قرارداد است، ابا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اثبات استعلایی بودن مبدأ قانون باید دلیل کافی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معناشناختی انشائات شخصی نیز با اسناد آن به قانون معنادار حاصل می‌شود</w:t>
      </w:r>
      <w:r>
        <w:rPr>
          <w:rFonts w:eastAsia="IRNazanin" w:cs="IRNazanin"/>
          <w:color w:val="111111"/>
          <w:sz w:val="28"/>
          <w:szCs w:val="28"/>
          <w:rtl w:val="true"/>
          <w:lang w:bidi="fa-IR"/>
        </w:rPr>
        <w:t>.</w:t>
      </w:r>
    </w:p>
    <w:p>
      <w:pPr>
        <w:pStyle w:val="Heading4"/>
        <w:numPr>
          <w:ilvl w:val="3"/>
          <w:numId w:val="1"/>
        </w:numPr>
        <w:rPr/>
      </w:pPr>
      <w:bookmarkStart w:id="179" w:name="__RefHeading___Toc4623447_581953129"/>
      <w:bookmarkStart w:id="180" w:name="_Toc70"/>
      <w:bookmarkEnd w:id="179"/>
      <w:r>
        <w:rPr>
          <w:rtl w:val="true"/>
        </w:rPr>
        <w:t>عقلانیت اخلاقی انشاء</w:t>
      </w:r>
      <w:bookmarkEnd w:id="180"/>
    </w:p>
    <w:p>
      <w:pPr>
        <w:pStyle w:val="BookText"/>
        <w:rPr/>
      </w:pPr>
      <w:r>
        <w:rPr>
          <w:rFonts w:ascii="IRNazanin" w:hAnsi="IRNazanin" w:eastAsia="IRNazanin"/>
          <w:color w:val="111111"/>
          <w:sz w:val="28"/>
          <w:sz w:val="28"/>
          <w:szCs w:val="28"/>
          <w:rtl w:val="true"/>
          <w:lang w:bidi="fa-IR"/>
        </w:rPr>
        <w:t>عقلانیت اخلاقی یک عمل با اتصاف آن به حسن یا قبح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حُسن و قبح یا خیر و شر تنها محدود به حوزة عمل انسانی نیست؛ بلکه به هر ذی‌علم ذی‌اراده‌ای تعمیم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می‌توان حق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تنها به حوزة ملکات یا تنها به حوزة افعال محدود نمی‌شود؛ بلکه اعم از هر دوست و حتی از آن دو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برای هر امری که از ذی‌علم ذی‌اراده صادر شود و جهت صدور آن از چنین مصدر، حیث علم و اراده باشد، عقلانیت اخلاقی تعریف‌پذیر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عقلانیت اخلاقی برای هر آنچه موجود آگاهِ مختار با آگاهی و به اختیار خویش برمی‌گزیند، تعریف می‌شود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اما موضوع فقه فعل مکلف است و بنابراین موضوع عقلانیت اخلاقی در پژوهش‌های اصولی به فعل انسانی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عقلانیت اخلاقی انشاء نیاز به تحلیل معنای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حُسن مفهومی بسیط و بدیهی به نظر می‌رسد؛ اما این نکته باید بررسی شود که این مفهوم از مفاهیم اعتباری است یا از مفاهیم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را دو مفهوم اعتباری می‌داند که از ملائمت و عدم ملائمت با قوای ادراکی اعتبار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خوبی و بدی که در یک خاصة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 و 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ملائمت و موافقت یا عدم ملائمت و موافقت وی با قوة مدرکه می‌باشد، و چون هر فعل اختیاری ما با استعمال نسبت وجوب انجام می‌گیرد، پس ما هر فعلی را که انجام می‌دهیم، به اعتقاد اینکه به </w:t>
      </w:r>
    </w:p>
    <w:p>
      <w:pPr>
        <w:pStyle w:val="BookText"/>
        <w:rPr/>
      </w:pPr>
      <w:r>
        <w:rPr>
          <w:rFonts w:ascii="IRNazanin" w:hAnsi="IRNazanin" w:eastAsia="IRNazanin"/>
          <w:color w:val="111111"/>
          <w:sz w:val="28"/>
          <w:sz w:val="28"/>
          <w:szCs w:val="28"/>
          <w:rtl w:val="true"/>
          <w:lang w:bidi="fa-IR"/>
        </w:rPr>
        <w:t>مقتضای قوة فعاله است انجام می‌دهیم؛ یعنی فعل خود را پیوسته ملایم و سازگار با قوة فعاله می‌دانیم و همچنین ترک را ناسازگار می‌دانیم؛ در مورد فعل، فعل را خوب می‌دانیم و در مورد ترک، فعل را بد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نتیجه گرفته می‌شود 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 دو صفت اعتباری می‌باشند که در هر فعل صادر و کار انجام گرفته اعم از فعل انفرادی و اجتماعی معتبرند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بی‌تا،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علامه تحلیلی طبیعی از ملائمت و عدم ملائمت ارائه می‌کند، به نسبیت اخلاق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صفت خوبی و بدی که خواص طبیعی حسی پیش ما دارند نسبی بوده و مربوط به کیفیت ترکیب سلسله اعصاب یا مغز ما مثلاً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بی‌تا،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علامه به تأمل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طبیعی از حسن و قبح با درک وجدانی ما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بالفطره به معنا و جهت زندگی نیاز دارد و این امر مستلزم ارزش‌گذاری ملکات نفسانی و افعال انسانی است؛ بنابراین، حتی اگر حسن و قبح اعتباری باشند، این اعتبار براساس نیازهای فطری بوده و کاملاً انسانی است، نه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اخلاقی ملکات نفسانی و افعال انسانی با تغییر وضعیت فیزیولوژیکی یا امور دیگر طبیعی تغییر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قول به اینکه این دو مفهوم اعتباری‌اند و منشأ اعتبارشان نیازهای طبیعی انسانی‌اند، بالوجدان خطا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عبارات علامه قابل تفسیر و توجیه به این نیز است که انسان با توجه به ملائمت فعل با قوة فعاله و تمایلش به انجام آن برای فعلی که می‌خواهد انجام دهد، اعتبار حسن می‌کند؛ نه اینکه تمام حقیقت حُسن همین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توجیه نیز قابل مناقشه است؛ زیرا چنین اعتباری متأخر بر تمایل به انجام فعل خواهد بود و فایده‌ای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حُسن از کمالات وجودی و مفهومی فلسفی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بالوجدان وقتی آن را بر موضوعش حمل می‌کنیم، کمالی را از آن اراده کرده‌ایم؛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تنها در نسبت آن موضوع با نیازهای انسان تعریف نمی‌شود؛ حسن و قبح به اوصاف و افعال هر ذی‌علم ذی‌اراده حمل می‌شود، بی‌آنکه نیاز آن موجود مورد ملاحظه باشد و حمل حسن بر افعال واجب یک نمونة آشکار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ازآنجاکه کمالات وجودی فرد بالذات خارجی دارند، مفهوم حُسن باید یک مصداق </w:t>
      </w:r>
      <w:bookmarkStart w:id="181" w:name="pg5825_38263"/>
    </w:p>
    <w:p>
      <w:pPr>
        <w:pStyle w:val="BookText"/>
        <w:rPr/>
      </w:pPr>
      <w:bookmarkEnd w:id="181"/>
      <w:r>
        <w:rPr>
          <w:rFonts w:ascii="IRNazanin" w:hAnsi="IRNazanin" w:eastAsia="IRNazanin"/>
          <w:color w:val="111111"/>
          <w:sz w:val="28"/>
          <w:sz w:val="28"/>
          <w:szCs w:val="28"/>
          <w:rtl w:val="true"/>
          <w:lang w:bidi="fa-IR"/>
        </w:rPr>
        <w:t>مطلق یا فرد بالذات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مجال پژوهش این موضوع نیست؛ ولی می‌توان مستدل کرد که این فرد بالذات مقام رضا از اسمای فعلیة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بودن امور دیگر به انتساب آنها به رضای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انتساب عمل انسانی به رضای حق به دو صورت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منشأ یک نسبت واقعی بوده و عمل انسانی در مرتبه‌ای از مراتب رضا یا سخط حق قرار گرفته باشد که در این صورت حُسن یا قبح عمل انسانی،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منشأ یک نسبت اعتباری به‌واسطة تناسبی در آثار رضای حق تعالی و عمل انسانی باشد که در این صورت حُسن یا قبح عمل انسانی شرعی</w:t>
      </w:r>
      <w:r>
        <w:rPr>
          <w:rStyle w:val="FootnoteAnchor"/>
          <w:rtl w:val="true"/>
        </w:rPr>
        <w:footnoteReference w:id="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انتساب واقعی یا اعتباری عمل انسانی به رضای حق تعالی مناط عقلانیت اخلاقی در مقام ثبوت است؛ بنابراین در انشاء نیز، مناط اجمالی حُسن اعتبار، چه در مقام جعل مفهوم، چه در مقام محقق‌سازی، تناسب بالذات یا بالعرض انشاء با رضای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اعتبار انشاء با رضای حق مناط عقلانیت اخلاقی است</w:t>
      </w:r>
      <w:r>
        <w:rPr>
          <w:rFonts w:eastAsia="IRNazanin" w:cs="IRNazanin"/>
          <w:color w:val="111111"/>
          <w:sz w:val="28"/>
          <w:szCs w:val="28"/>
          <w:rtl w:val="true"/>
          <w:lang w:bidi="fa-IR"/>
        </w:rPr>
        <w:t>.</w:t>
      </w:r>
    </w:p>
    <w:p>
      <w:pPr>
        <w:pStyle w:val="Heading4"/>
        <w:numPr>
          <w:ilvl w:val="3"/>
          <w:numId w:val="1"/>
        </w:numPr>
        <w:rPr/>
      </w:pPr>
      <w:bookmarkStart w:id="182" w:name="__RefHeading___Toc4623449_581953129"/>
      <w:bookmarkStart w:id="183" w:name="_Toc71"/>
      <w:bookmarkEnd w:id="182"/>
      <w:r>
        <w:rPr>
          <w:rtl w:val="true"/>
        </w:rPr>
        <w:t>عقلانیت ابزاری انشاء</w:t>
      </w:r>
      <w:bookmarkEnd w:id="183"/>
    </w:p>
    <w:p>
      <w:pPr>
        <w:pStyle w:val="BookText"/>
        <w:rPr/>
      </w:pPr>
      <w:r>
        <w:rPr>
          <w:rFonts w:ascii="IRNazanin" w:hAnsi="IRNazanin" w:eastAsia="IRNazanin"/>
          <w:color w:val="111111"/>
          <w:sz w:val="28"/>
          <w:sz w:val="28"/>
          <w:szCs w:val="28"/>
          <w:rtl w:val="true"/>
          <w:lang w:bidi="fa-IR"/>
        </w:rPr>
        <w:t>عقلانیت ابزاری مساوق با رعایت مصلحت در عمل است و مصلحت نیز مساوق با تناسب غرض و نیاز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اوامر و نواهی مولای حکیم براساس مصالح و مفاسد واقعی است، به معنای این است که اوامر و نواهی او در جهت رفع نیازهای مأمورٌبه است و رفع نیازهای مأمورٌبه، همان کمال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توجه به جایگاه یک عمل نسبت به شبکة حاصل از نیاز یا نیازهای مورد نظر در راه‌های برآوردن آن نیازهاست؛ به تعبیر دیگر، عقلانیت ابزاری پاسخگویی درست به نیاز و برآوردن آن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تعریف از عقلانیت ابزاری ویژگی‌هایی را می‌توان برای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هر عملی با توجه به حوزه‌ای از نیازها و اغراضی تعریف می‌شود که آن عمل با آن اغراض و نیازها تناسب کارامدی دارد؛ مثلاً عقلانیت ابزاری حکمی مانند قاعدة نفی سبیل به کارامدی آن در حوزة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و مفسدة رعایت‌شده در انشاء یکی از پایه‌های چنین اعتباراتی است و از این حیث هر انشای عقلانی به عقلانیت ابزاری در مرحلة ثبوت انشایی مصلحتی است؛ البته شناخت نیازها و تعیین اغراض، به عبارت دیگر، حوزة مصالح و مفاسد، وابسته به جهان‌بینی و مکتب پذیرفته‌شده است و مثلاً در یک نگرش دینی تنها به مصالح این‌جهانی محدود نمی‌شود؛ البته اگرچه عقلانیت ابزاری در </w:t>
      </w:r>
      <w:bookmarkStart w:id="184" w:name="pg5825_38265"/>
    </w:p>
    <w:p>
      <w:pPr>
        <w:pStyle w:val="BookText"/>
        <w:rPr/>
      </w:pPr>
      <w:bookmarkEnd w:id="184"/>
      <w:r>
        <w:rPr>
          <w:rFonts w:ascii="IRNazanin" w:hAnsi="IRNazanin" w:eastAsia="IRNazanin"/>
          <w:color w:val="111111"/>
          <w:sz w:val="28"/>
          <w:sz w:val="28"/>
          <w:szCs w:val="28"/>
          <w:rtl w:val="true"/>
          <w:lang w:bidi="fa-IR"/>
        </w:rPr>
        <w:t>نگرش دینی تنها به مصالح این‌جهانی محدود نمی‌شود؛ اما ظرف تحقق مصلحت در این مسئله باید همین جهان باشد، در غیر این صورت، مسئله به مسئلة عقلانیت معناشناختی تحویل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جهان‌بینی دینی، مبدأ همة نیازهای انسانی، همان فقر ذاتی اوست؛ زیرا هر امر عرضی باید به امری ذاتی ختم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انسانی با اموری برآورده می‌شوند که در نیاز مربوط به آن از غنای کافی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نیاز در نهایت باید به غنی بالذات منتهی شود؛ زیرا هر امر عرضی باید به امری ذاتی ختم شود</w:t>
      </w:r>
      <w:r>
        <w:rPr>
          <w:rFonts w:eastAsia="IRNazanin" w:cs="IRNazanin"/>
          <w:color w:val="111111"/>
          <w:sz w:val="28"/>
          <w:szCs w:val="28"/>
          <w:rtl w:val="true"/>
          <w:lang w:bidi="fa-IR"/>
        </w:rPr>
        <w:t>.</w:t>
      </w:r>
    </w:p>
    <w:p>
      <w:pPr>
        <w:pStyle w:val="Heading3"/>
        <w:numPr>
          <w:ilvl w:val="2"/>
          <w:numId w:val="1"/>
        </w:numPr>
        <w:rPr/>
      </w:pPr>
      <w:bookmarkStart w:id="185" w:name="__RefHeading___Toc4623451_581953129"/>
      <w:bookmarkStart w:id="186" w:name="_Toc72"/>
      <w:bookmarkEnd w:id="185"/>
      <w:r>
        <w:rPr>
          <w:rtl w:val="true"/>
        </w:rPr>
        <w:t>مفاهیم قانونی</w:t>
      </w:r>
      <w:bookmarkEnd w:id="186"/>
    </w:p>
    <w:p>
      <w:pPr>
        <w:pStyle w:val="Heading4"/>
        <w:numPr>
          <w:ilvl w:val="3"/>
          <w:numId w:val="1"/>
        </w:numPr>
        <w:rPr/>
      </w:pPr>
      <w:bookmarkStart w:id="187" w:name="__RefHeading___Toc4623453_581953129"/>
      <w:bookmarkStart w:id="188" w:name="_Toc73"/>
      <w:bookmarkEnd w:id="187"/>
      <w:r>
        <w:rPr>
          <w:rtl w:val="true"/>
        </w:rPr>
        <w:t>فرایند تولید مفاهیم قانونی</w:t>
      </w:r>
      <w:bookmarkEnd w:id="188"/>
    </w:p>
    <w:p>
      <w:pPr>
        <w:pStyle w:val="BookText"/>
        <w:rPr/>
      </w:pPr>
      <w:r>
        <w:rPr>
          <w:rFonts w:ascii="IRNazanin" w:hAnsi="IRNazanin" w:eastAsia="IRNazanin"/>
          <w:color w:val="111111"/>
          <w:sz w:val="28"/>
          <w:sz w:val="28"/>
          <w:szCs w:val="28"/>
          <w:rtl w:val="true"/>
          <w:lang w:bidi="fa-IR"/>
        </w:rPr>
        <w:t>این نکته‌ای آشکار است که میان معانی مناسبات خارجی و ذهنی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مناسبات برای قوة متخیلة انسان گیرا بوده، او را به فعالیت وامی‌دارد تا در زبان خود از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هدف از بیان سخنی، تأثیر احساسی در مخاطب باشد، ذهن با کمک قوة متخیله که متوجه مناسبات میان دو معناست، یکی از دو مفهوم را بر مصادیق شأنی</w:t>
      </w:r>
      <w:r>
        <w:rPr>
          <w:rStyle w:val="FootnoteAnchor"/>
          <w:rtl w:val="true"/>
        </w:rPr>
        <w:footnoteReference w:id="24"/>
      </w:r>
      <w:r>
        <w:rPr>
          <w:rFonts w:ascii="IRNazanin" w:hAnsi="IRNazanin" w:eastAsia="IRNazanin"/>
          <w:color w:val="111111"/>
          <w:sz w:val="28"/>
          <w:sz w:val="28"/>
          <w:szCs w:val="28"/>
          <w:rtl w:val="true"/>
          <w:lang w:bidi="fa-IR"/>
        </w:rPr>
        <w:t xml:space="preserve">معنای دیگر حمل می‌کند؛ به تعبیر دیگر، قوة متخیله در عمل مجاز موضوعی را در ظرف فرض فرد یا مصداق مفهوم حقیقی دوم قرار می‌دهد؛ درحالی‌که آن موضوع در ظرف واقع مصداق یا فرد آن مفهوم نیست؛ برای مثال به‌دلیل تناسبی که میان معنای زیبا و ماه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یک مصداق جذاب از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زیبا را ماه می‌خوانند تا مخاطب از وصف زیبایی وی به وجد آید؛ یا به‌دلیل تناسبی که میان معنای شیر و شجاعت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 و کوپال شیر و ابهت راه رفتنش و ترس جانوران از شیر یادآور مفهوم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را شیر می‌خوانند تا مخاطب از وصف شجاعت وی ترسان شود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این حال، این مفهوم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مجاز و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مجازی گویند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زندة ذی‌شعوری است که همچون همة موجودات زندة ذی‌شعور دیگر باید برای کنش و واکنش در برابر در امور مختلفی که برایش پیش می‌آید،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غریزی حیوانات دیگر برای هدایت در اخذ تصمیم در این امور کافی هستند؛ اما انسان موجودی مختار است و اختیار او توان اخذ تصمیم را در او از غریزة وی فراتر </w:t>
      </w:r>
    </w:p>
    <w:p>
      <w:pPr>
        <w:pStyle w:val="BookText"/>
        <w:rPr/>
      </w:pP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او را ناچار می‌کند تا قواعدی وضعی برای شیوة زندگی فردی و اجتماعی‌اش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اولیة وضع چنین قواعدی، اعتبار مفاهیم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مصحح این گونه اعتبار، اهداف عقلایی در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به‌دلیل همین اهمیت، این قسم از اعتبارات در علوم رفتاری و اجتماعی، علامه در نظریة اعتباریات خود، تنها به همین قسم توجه داشته که به نظر شهید مطهری اساس آنها به دو اصل کوشش برای حیات و انطباق با احتیاجات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بی‌تا،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اهمیت این قسم اعتبار در بحث انشاء، از جهت قرار گرفتن در موضوع، محمول و مادة فعل انشاء، لازم است مفصل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 اعتبار قانونی وابسته به مفهوم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این توانایی را دارد که اسناد مجازی خود را منشأ انتزاع مفهومی جدید قرار دهد که در این صورت این مفهوم جدید مفهومی اعتباری خواهد بود؛ برای مثال یک انسان موقعیت برتری نسبت به قوم خود می‌یابد، به مناسبت این موقعیت و موقعیت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این شخص فرد مفهوم حقیقی رأس اعتبار شده و رأس قوم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گفته می‌شود که اعتبارات قانونی در ظرف تخیل و توهم مطابق دارند، نه در ظرف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اعتبار در مرحلة دوم مفهوم اعتباری ریاست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اصول دیگر از مفهوم اعتباری سخن به میان می‌آید، نتیجة این انتزاع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صادق لاریجانی،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اعتباری در بسیاری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کلمات خود علامه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وصف مفاهیم به کار برده شده و لذا این تعبیر شایع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عندالتأمل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وصف مفاهیم است و نه وصف مصادیق؛ بلکه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یک مفهوم است بر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مصداقیت یک شیء برای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آنکه در هنگام اعتبار، مفهوم هیچ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خارجی هم از آن جهت که شیئی از اشیاست،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برخلاف خارج فرض و اعتبار می‌گردد، تطبیق یک مفهوم است بر غیر مصداق آن؛ مثل مفهوم شیر که برخلاف واقع فرض و اعتبار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این فرض و اعتبار نه مفهوم بما هوهو است و مصداق بما هوهو؛ بلکه تطبیق مفهوم بر مصداق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غیرواقعی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مصداقیت شئی برای آن مفهوم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دربارة مفاهیم مجازی درست است و اطلاق عنوان مجازی یا اعتباری به آن </w:t>
      </w:r>
      <w:bookmarkStart w:id="189" w:name="pg5825_38269"/>
    </w:p>
    <w:p>
      <w:pPr>
        <w:pStyle w:val="BookText"/>
        <w:rPr/>
      </w:pPr>
      <w:bookmarkEnd w:id="189"/>
      <w:r>
        <w:rPr>
          <w:rFonts w:ascii="IRNazanin" w:hAnsi="IRNazanin" w:eastAsia="IRNazanin"/>
          <w:color w:val="111111"/>
          <w:sz w:val="28"/>
          <w:sz w:val="28"/>
          <w:szCs w:val="28"/>
          <w:rtl w:val="true"/>
          <w:lang w:bidi="fa-IR"/>
        </w:rPr>
        <w:t xml:space="preserve">مفاهیم،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یک مفهوم بر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قرار دادن یک شیء برای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قضیة حینیه است و در این حال آن مفهوم را مجازاً مجازی می‌خوانیم؛ اما به نظر می‌رسد که این نکته دربارة مفاهیم قانونی قابل تأمل باشد و مفاهیم قانونی حاصل انتزاع دوم هستند و تعبیر شایع مفاهیم قانونی ناظر به همین نکته است؛ بنابراین، مفاهیم قانونی، به تبع عملیات اعتبار، مفهوم اعتباری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در عمل مجاز، موضوعی را در ظرف فرض، فرد یا مصداق مفهومی حقیقی قرار می‌دهیم که آن موضوع در ظرف واقع مصداق یا فرد آن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مفهوم حقیقی را مبدأ اعتبارِ اعتبارِ قانونی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مبدأ اعتبار باید ناب و تهی از عوارض لحاظ شود؛ یعنی باید فرد بالذاتِ مبدأ اعتبار در عمل اعتبار مورد ملاحظه باشد؛ تا بتوان با اعطای این حد به مفهوم اعتباری، آن را فردی از مبدأ اعتبار دانست؛ در غیر این صورت مفهوم اعتباری فردی از مفهوم دیگری اعتبار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قانونی برای مصلحت فردی یا اجتماعی ساخته می‌شود و با جنبة رفتاری فرد یا جامعه پیوند دارد؛ پس هدف اعتبار قانونی هدایت فرد یا جامعه به‌سوی تحقق مصلحت یا دور کردن از مفسده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هدف از اعتبار قانونی ایجاد آثارِ واقعیِ از قبل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مترتب بر اعتبارند، باید هم با منشأ اعتبار و هم با آثار مبدأ اعتبار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اثر اعتبار قانونی ایجاد یک فرد اعتباری در وعای واقعیت برای مبدأ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اثری از اساس موجود نگردد، اعتبار دروغ حقیقی شمرده شده، و لغو و بی‌اثر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نیز اشاره شد، این نکته می‌تواند ملاک مناسبی برای تعریف گونه‌ای صدق و کذب اعتباری برای اعتبارات قانونی باشد</w:t>
      </w:r>
      <w:r>
        <w:rPr>
          <w:rFonts w:eastAsia="IRNazanin" w:cs="IRNazanin"/>
          <w:color w:val="111111"/>
          <w:sz w:val="28"/>
          <w:szCs w:val="28"/>
          <w:rtl w:val="true"/>
          <w:lang w:bidi="fa-IR"/>
        </w:rPr>
        <w:t>.</w:t>
      </w:r>
    </w:p>
    <w:p>
      <w:pPr>
        <w:pStyle w:val="Heading4"/>
        <w:numPr>
          <w:ilvl w:val="3"/>
          <w:numId w:val="1"/>
        </w:numPr>
        <w:rPr/>
      </w:pPr>
      <w:bookmarkStart w:id="190" w:name="__RefHeading___Toc4623455_581953129"/>
      <w:bookmarkStart w:id="191" w:name="_Toc74"/>
      <w:bookmarkEnd w:id="190"/>
      <w:r>
        <w:rPr>
          <w:rtl w:val="true"/>
        </w:rPr>
        <w:t>اقسام مفاهیم قانونی</w:t>
      </w:r>
      <w:bookmarkEnd w:id="191"/>
    </w:p>
    <w:p>
      <w:pPr>
        <w:pStyle w:val="BookText"/>
        <w:rPr/>
      </w:pPr>
      <w:r>
        <w:rPr>
          <w:rFonts w:ascii="IRNazanin" w:hAnsi="IRNazanin" w:eastAsia="IRNazanin"/>
          <w:color w:val="111111"/>
          <w:sz w:val="28"/>
          <w:sz w:val="28"/>
          <w:szCs w:val="28"/>
          <w:rtl w:val="true"/>
          <w:lang w:bidi="fa-IR"/>
        </w:rPr>
        <w:t>مفاهیم قانونی به دو قسم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مخترعه و 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مخترعه، مفهومی مفرد بوده و بر امری دلالت دارد که براساس حکم قانونی در خارجی محقق می‌گردد و موضوع حکم قرار می‌گیرد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ماهیت مخترعه به اعتبار سنخ موضوع می‌تواند عبادی، اقتصادی، سیاسی و مانند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اعتباری است که به نحو مباشر یا غیر مباشر به عمل انسان تعلق دارد و در انشای تام به‌عنوان محمول یا مادۀ فعل به کار می‌رود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نیز در یک تقسیم اولی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و حکم وضعی</w:t>
      </w:r>
      <w:r>
        <w:rPr>
          <w:rFonts w:eastAsia="IRNazanin" w:cs="IRNazanin"/>
          <w:color w:val="111111"/>
          <w:sz w:val="28"/>
          <w:szCs w:val="28"/>
          <w:rtl w:val="true"/>
          <w:lang w:bidi="fa-IR"/>
        </w:rPr>
        <w:t xml:space="preserve">: </w:t>
      </w:r>
      <w:bookmarkStart w:id="192" w:name="pg5825_38270"/>
    </w:p>
    <w:p>
      <w:pPr>
        <w:pStyle w:val="BookText"/>
        <w:rPr/>
      </w:pPr>
      <w:bookmarkEnd w:id="19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تکلیفی که پیوند بی‌واسطه با عمل برای تصمیم در جهت انجام آن دارد و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تصمیم دربارة ارزش‌سنجی قانونی موضوع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فساد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تأکید تصمیم که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استحباب، اباحه، کراهت و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وضعی که به هر گونه حکم غیر تکلیفی اطلاق می‌شود که به دو قسم لازم و متعدی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متعدی علاوه بر موضوع، مضافٌ‌الیه نیز لازم دارد و بیانگر رابطة موضوع و مضافٌ‌الیه است؛ مانند جزئیت، شرطیت، زوجیت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لازم که تنها موضوع لازم دارد و بر چیزی اضافه نمی‌شود؛ مانند طهارت، نجاست،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وضعی در یک تقسیم دیگر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وضعی وابسته به حکم دیگر که تا حکمی پیش‌تر نباشد، این سنخ از احکام وضعی معنایی نخواهند داشت و بیانگر اموری است که قانون‌گذار به‌عنوان مقوم وجود موضوع حکم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تکلیفی و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شرطیت، جزئیت، سببیت، مانعیت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ترتیب اجزای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وضعی مستقل که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Style w:val="FootnoteAnchor"/>
          <w:rtl w:val="true"/>
        </w:rPr>
        <w:footnoteReference w:id="28"/>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بیانگر امتیاز یا برتری‌ای است که برای موضوعش اعتبار شده‌است؛ مانند مالکیت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حق یا انسان است یا امری که به منزلة انسان اعتبار شده‌است؛ مانند شخصیت حقوقی یا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بیانگر اموری است که قانون‌گذار به‌عنوان مقوم ماهیت موضوع اعتبار کرده‌است؛ مانند استطاعت در مکلف جهاد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حد ممکن است عمل یا متعلق عمل یا عامل باشد</w:t>
      </w:r>
      <w:r>
        <w:rPr>
          <w:rFonts w:eastAsia="IRNazanin" w:cs="IRNazanin"/>
          <w:color w:val="111111"/>
          <w:sz w:val="28"/>
          <w:szCs w:val="28"/>
          <w:rtl w:val="true"/>
          <w:lang w:bidi="fa-IR"/>
        </w:rPr>
        <w:t>.</w:t>
      </w:r>
    </w:p>
    <w:p>
      <w:pPr>
        <w:pStyle w:val="Heading4"/>
        <w:numPr>
          <w:ilvl w:val="3"/>
          <w:numId w:val="1"/>
        </w:numPr>
        <w:rPr/>
      </w:pPr>
      <w:bookmarkStart w:id="193" w:name="__RefHeading___Toc4623457_581953129"/>
      <w:bookmarkStart w:id="194" w:name="_Toc75"/>
      <w:bookmarkEnd w:id="193"/>
      <w:r>
        <w:rPr>
          <w:rtl w:val="true"/>
        </w:rPr>
        <w:t>عقلانیت مفاهیم قانونی</w:t>
      </w:r>
      <w:bookmarkEnd w:id="1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ویژگی‌های عقل معرفت‌شناختی، به نظر می‌رسد که این عقل در تکوین مفاهیم قانونی نقشی نداشته باشد؛ زیرا مفاهیم قانونی حاکی از واقع نیستند؛ اما با توجه به برخی از ویژگی‌های ادرکات اعتباری می‌توان برای آنها نیز معقولیت معرفتی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w:t>
      </w:r>
      <w:bookmarkStart w:id="195" w:name="pg5825_38272"/>
    </w:p>
    <w:p>
      <w:pPr>
        <w:pStyle w:val="BookText"/>
        <w:rPr/>
      </w:pPr>
      <w:bookmarkEnd w:id="195"/>
      <w:r>
        <w:rPr>
          <w:rFonts w:ascii="IRNazanin" w:hAnsi="IRNazanin" w:eastAsia="IRNazanin"/>
          <w:color w:val="111111"/>
          <w:sz w:val="28"/>
          <w:sz w:val="28"/>
          <w:szCs w:val="28"/>
          <w:rtl w:val="true"/>
          <w:lang w:bidi="fa-IR"/>
        </w:rPr>
        <w:t>گفته شد که آثار ناشی از اعتبار باید متناسب با آثار مبدأ اعتبار بما هو هو باشد، در غیر این صورت اخذ این مفهوم به‌عنوان مبدأ اعتبار هیچ ترجیحی به اخذ مفهوم دیگر به‌عنوان مبدأ اعتبار نخواهد داشت و بنابراین در تعیین مبدأ اعتبار باید فرد بالذات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یک نکتة معرفت‌شناختی است و می‌تواند به‌عنوان پایة مناط معقولیت معرفت‌شناختی مفاهیم قانونی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معناداری مفاهیم قانونی وابسته به سه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اعتبار، یک نیاز واقعی در حیاتی معنادار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اعتبار پاسخ به آن نیاز واقعی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در مرحلة تحقق؛ واقعاً آن هدف را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عقلانیت اخلاقی با توجه به حسن مبدأ اعتبار و حسن قانونی که این مفهوم در آن نقشی ایفا می‌کند،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ابزاری یک مفهوم قانونی نیز با توجه به رفع نیازهایی که در فرایند اعتبار آن لحاظ شده‌است، تعریف می‌شود</w:t>
      </w:r>
      <w:r>
        <w:rPr>
          <w:rFonts w:eastAsia="IRNazanin" w:cs="IRNazanin"/>
          <w:color w:val="111111"/>
          <w:sz w:val="28"/>
          <w:szCs w:val="28"/>
          <w:rtl w:val="true"/>
          <w:lang w:bidi="fa-IR"/>
        </w:rPr>
        <w:t>.</w:t>
      </w:r>
    </w:p>
    <w:p>
      <w:pPr>
        <w:pStyle w:val="Heading3"/>
        <w:numPr>
          <w:ilvl w:val="2"/>
          <w:numId w:val="1"/>
        </w:numPr>
        <w:rPr/>
      </w:pPr>
      <w:bookmarkStart w:id="196" w:name="__RefHeading___Toc4623459_581953129"/>
      <w:bookmarkStart w:id="197" w:name="_Toc76"/>
      <w:bookmarkEnd w:id="196"/>
      <w:r>
        <w:rPr>
          <w:rtl w:val="true"/>
        </w:rPr>
        <w:t>وضع صیغه‌های انشایی</w:t>
      </w:r>
      <w:bookmarkEnd w:id="197"/>
    </w:p>
    <w:p>
      <w:pPr>
        <w:pStyle w:val="Heading4"/>
        <w:numPr>
          <w:ilvl w:val="3"/>
          <w:numId w:val="1"/>
        </w:numPr>
        <w:rPr/>
      </w:pPr>
      <w:bookmarkStart w:id="198" w:name="__RefHeading___Toc4623461_581953129"/>
      <w:bookmarkStart w:id="199" w:name="_Toc77"/>
      <w:bookmarkEnd w:id="198"/>
      <w:r>
        <w:rPr>
          <w:rtl w:val="true"/>
        </w:rPr>
        <w:t>وضع صیغه‌ها و مواد انشاء از جهت لفظ</w:t>
      </w:r>
      <w:bookmarkEnd w:id="199"/>
    </w:p>
    <w:p>
      <w:pPr>
        <w:pStyle w:val="BookText"/>
        <w:rPr/>
      </w:pPr>
      <w:r>
        <w:rPr>
          <w:rFonts w:ascii="IRNazanin" w:hAnsi="IRNazanin" w:eastAsia="IRNazanin"/>
          <w:color w:val="111111"/>
          <w:sz w:val="28"/>
          <w:sz w:val="28"/>
          <w:szCs w:val="28"/>
          <w:rtl w:val="true"/>
          <w:lang w:bidi="fa-IR"/>
        </w:rPr>
        <w:t>دربارة نحوة وضع از دو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لفظ و از جهت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لفظ، وضع یا شخصی یا 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شخصی بودن وضع این است که واضع شخص لفظ را با وحدت طبیعی و شخصیت ذاتی که با آن از غیر خود ممتاز می‌شود، تصور کند و ملاک نوعی بودن لفظ این است که چنین تصوری دربارة آن ممکن نباشد و لفظ با جامع عنوانی لحاظ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دربارة نحوة وضع از جهت لفظ، نیز از دو حیث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ماده و حیث صورت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وضع ماده و هیئت مفردات از وضع هیئت جمله‌ها، چه خبری و چه انشایی، برای تشکیل جملات انشایی کفایت نمی‌کند و وضع هیئت جمله‌ها جداگانه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انشایی بودن ناشی از هیئت واژه است و مادة آن لابشرط نسبت به این امور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بنابر مشهور در بحث مشتق، وضع هیئت از جهت لفظ، نوعی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ماده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جمله‌ها، چه </w:t>
      </w:r>
    </w:p>
    <w:p>
      <w:pPr>
        <w:pStyle w:val="BookText"/>
        <w:rPr/>
      </w:pPr>
      <w:r>
        <w:rPr>
          <w:rFonts w:ascii="IRNazanin" w:hAnsi="IRNazanin" w:eastAsia="IRNazanin"/>
          <w:color w:val="111111"/>
          <w:sz w:val="28"/>
          <w:sz w:val="28"/>
          <w:szCs w:val="28"/>
          <w:rtl w:val="true"/>
          <w:lang w:bidi="fa-IR"/>
        </w:rPr>
        <w:t xml:space="preserve">اخباری و چه انشایی، به اصطلاح اصولی مشتق نیستند، اما در این مسئله، مشتق اصولی و نحوی فرقی با هم ندارند و مسئله به‌طور مشترک در هر دو قابل 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سیدمصطفی،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آیت‌الله سیستانی نیز از اساس امکان وقوعی وضع نوعی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این است که وضع نوعی ادعاشده در مواد و هیئات از ذهن سادة واضعِ بَدَویِ اول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قطیفی،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دلیل ایشان در مبنای این نوشتار، که زبان را محصول عمل کاملاً ارادی و آگاهانة انسان نمی‌داند،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نکته که علم به ماده و جهل به هیئت یا بالعکس ممکن است، نشان می‌دهد که وضع ماده و هیئت مستقل از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مشکل مطرح شود که ماده به تنهایی و بدون هیئت معین و نیز هیئت به تنهایی و بدون مادة معین قابل تلفظ نیست و به‌هرحال لفظ یکی از دو طرف اصلی در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وضع مستقل هر یک برای یک معنا چگونه ممکن است و چه توجیهی دارد؟ پاسخ امام‌خمینی این است که مواد به وضع تهیُّئی وضع شده‌اند، به این معنا که اگر به‌صورت هیئت موضوعه‌ای درآیند، به معنا دلالت کنند و نیازی به وجود لفظ مستقل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پاسخی را در مورد هیئات نیز می‌توان داد؛ اما پاسخ کامل‌تر این است که از توانایی‌های ذهن انسانی است که الفاظ را می‌تواند به اجزای تحلیلی تجزیه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ماده، بنابر مشهور، شخصی است، زیرا مادة مستقل از هیئت قابل تصور است و با حروف اصلی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بیان است و این همان جامع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خراسانی بر آن است که وضع هیئات نیز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دلیل بر رأی خود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نکته توجه می‌دهد که ملاک قابلیت لحاظ استقلالی و عدم آن شایستگی قرار گرفتن به‌عنوان طرف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 را که شایستگی قرار گرفتن در طرف نسبت را ندارد، مانند معنای ربطی، با لحاظ استقلالی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هیئات شایستگی وقوع در طرف نسبت را دارند؛ زیرا جملاتی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مقتول عارض بر ماده‌ی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ضارب عارض بر مادۀ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معنادار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هیئتی از سایر هیئات قابل تمییز است، مثلاً هیئت فاعل را در قبال سایر هیئات </w:t>
      </w:r>
      <w:bookmarkStart w:id="200" w:name="pg5825_38275"/>
    </w:p>
    <w:p>
      <w:pPr>
        <w:pStyle w:val="BookText"/>
        <w:rPr/>
      </w:pPr>
      <w:bookmarkEnd w:id="200"/>
      <w:r>
        <w:rPr>
          <w:rFonts w:ascii="IRNazanin" w:hAnsi="IRNazanin" w:eastAsia="IRNazanin"/>
          <w:color w:val="111111"/>
          <w:sz w:val="28"/>
          <w:sz w:val="28"/>
          <w:szCs w:val="28"/>
          <w:rtl w:val="true"/>
          <w:lang w:bidi="fa-IR"/>
        </w:rPr>
        <w:t>لحاظ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بر وزن فاعل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بر وزن مفعول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قول‌اند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گوینده ماده را لحاظ کرده و سپس حکم می‌کند که اگر در هیئت کذا درآید، بر کذا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براساس این سه دلیل نتیجه می‌گیرد که لحاظ استقلالی هیئات ممکن است و حکم آنها با معانی حرفیه ناهمسان است و وضع هیئات و مواد، هر دو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سه دلیل ایشان محل تأمل‌اند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آنچه لحاظ استقلالی شده است، جامع عنوانی هیئت است، نه خود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که نظیر هر سه مورد، در معانی حرفیه نیز برقرار است؛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اضافۀ فی بر اسم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فی غیر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حرف فی بر آن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ایشان در معانی حرفیه لحاظ استقلالی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اصولیان پیش‌تر مثال‌هایی از این گونه را ذکر کرده‌اند تا نشان دهند هیئت تنها با عنوان جامع قابل لحاظ استقلالی‌اند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عجیب است که ایشان به این نکتۀ آنان پاسخ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عدم امکان لحاظ استقلالی هیئت، نکته‌ای وجدانی باشد و بنابراین، به‌سادگی می‌توان پذیرفت که از جهت لفظ، وضع هیئت نوعی است و به‌تبع آن می‌توان گفت که وضع هیئات انشایی، از جهت لفظ، نوعی است و از این جهت به معانی حرفیه می‌مانند</w:t>
      </w:r>
      <w:r>
        <w:rPr>
          <w:rFonts w:eastAsia="IRNazanin" w:cs="IRNazanin"/>
          <w:color w:val="111111"/>
          <w:sz w:val="28"/>
          <w:szCs w:val="28"/>
          <w:rtl w:val="true"/>
          <w:lang w:bidi="fa-IR"/>
        </w:rPr>
        <w:t>.</w:t>
      </w:r>
    </w:p>
    <w:p>
      <w:pPr>
        <w:pStyle w:val="Heading3"/>
        <w:numPr>
          <w:ilvl w:val="2"/>
          <w:numId w:val="1"/>
        </w:numPr>
        <w:rPr/>
      </w:pPr>
      <w:bookmarkStart w:id="201" w:name="__RefHeading___Toc4623463_581953129"/>
      <w:bookmarkStart w:id="202" w:name="_Toc78"/>
      <w:bookmarkEnd w:id="201"/>
      <w:r>
        <w:rPr>
          <w:rtl w:val="true"/>
        </w:rPr>
        <w:t>نحوة وضع هیئات انشایی از جهت معنا</w:t>
      </w:r>
      <w:bookmarkEnd w:id="202"/>
    </w:p>
    <w:p>
      <w:pPr>
        <w:pStyle w:val="BookText"/>
        <w:rPr/>
      </w:pPr>
      <w:r>
        <w:rPr>
          <w:rFonts w:ascii="IRNazanin" w:hAnsi="IRNazanin" w:eastAsia="IRNazanin"/>
          <w:color w:val="111111"/>
          <w:sz w:val="28"/>
          <w:sz w:val="28"/>
          <w:szCs w:val="28"/>
          <w:rtl w:val="true"/>
          <w:lang w:bidi="fa-IR"/>
        </w:rPr>
        <w:t>نحوة وضع از جهت معنا، بنابر مشهور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موضوع‌له خاص و وضع عام موضوع‌له عام و وضع عام موضوع‌له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سه قسم نیاز به بیان یک مقدمه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لفظ برای امری ممکن است که علم بدان باشد؛ بنابراین صور ذهنی، به تعبیر دیگر مفاهیم، لازمة وضع لفظ برای معانی‌اند</w:t>
      </w:r>
      <w:r>
        <w:rPr>
          <w:rStyle w:val="FootnoteAnchor"/>
          <w:rtl w:val="true"/>
        </w:rPr>
        <w:footnoteReference w:id="30"/>
      </w:r>
      <w:r>
        <w:rPr>
          <w:rFonts w:ascii="IRNazanin" w:hAnsi="IRNazanin" w:eastAsia="IRNazanin"/>
          <w:color w:val="111111"/>
          <w:sz w:val="28"/>
          <w:sz w:val="28"/>
          <w:szCs w:val="28"/>
          <w:rtl w:val="true"/>
          <w:lang w:bidi="fa-IR"/>
        </w:rPr>
        <w:t>و به حسب اقسام مفاهیم، نحوة وضع از جهت معنا تنوع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ذاتی مفاهیم، نشانگری مرآتی مصداق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مصداق می‌تواند شخصی یا سنخی باشد و به این اعتبار می‌توان مفاهیم را به دو قسم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نشانگری واحد سنخی نیز تنها محدود به مفاهیم کلی نیست؛ بلکه قِسم‌های دیگری از مفاهیم را نیز شامل می‌شود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گروه دیگری از </w:t>
      </w:r>
    </w:p>
    <w:p>
      <w:pPr>
        <w:pStyle w:val="BookText"/>
        <w:rPr/>
      </w:pPr>
      <w:r>
        <w:rPr>
          <w:rFonts w:ascii="IRNazanin" w:hAnsi="IRNazanin" w:eastAsia="IRNazanin"/>
          <w:color w:val="111111"/>
          <w:sz w:val="28"/>
          <w:sz w:val="28"/>
          <w:szCs w:val="28"/>
          <w:rtl w:val="true"/>
          <w:lang w:bidi="fa-IR"/>
        </w:rPr>
        <w:t>مفاهیم فراگیر که می‌توان آنها را مفاهیم سِعی نامید، از قبیل مفاهیم مصدری و اسم مصدری از اقسام مفاهیم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این مفاهیم با مفاهیم کلی این است که این قسم از مفاهیم حمل‌ناپذیرند؛ درحالی‌که مفاهیم کلی بر افراد خود حمل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از مفاهیم فراگیر، عناوین جامع‌اند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جامع، نشانگر واحد سنخی به سنخ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گروهی از مفاهیم، حمل‌ناپذیرند و به این جهت نه جزئی و نه کلی‌اند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خود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محمول‌پذیرند؛ مانند معانی ضمایر و اسمای اشاره که مفاهیم ضَیِّق‌اند و مصدر و اسم مصدر که مفاهیم سِعی‌اند؛ و گروه دیگر که محمول‌ناپذیر نیز هستند، مانند معانی حرفیه و 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جامع، می‌توانند نشانگر سنخی از مفاهیم ضیق یا مفاهیم محمول‌ناپذیر باشند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در فرایند وضع، مفهوم عام لحاظ شده باشد، وضع عام نامیده می‌شود و اگر مفهوم خاص لحاظ شده باشد، وضع خاص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وضع خاص باشد، آشکار است که لفظ بر همان مصداق خاص وضع خواهد شد و به این جهت موضوعٌ‌له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این قسم تنها اسمای خاص یا عَلَم می‌تواند باشد و بنابراین صیغه‌های انشایی از این قسم نیستند؛ اما اگر وضع عام باشد، دو حالت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موضوعٌ‌له همان واحد سنخی باشد؛ که در این صورت موضوعٌ‌له عام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مشهور این قسم اسم عام یا اسم جنس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موضوعٌ‌له مصادیق شخصی آن واحد سنخی باشد؛ که در این صورت موضوعٌ‌له خاص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موضوعٌ‌له عام باشد، لفظ بر همان واحد سنخی دلالت می‌کند و استعمال آن در خود اشخاص آن سنخ، به نحو اسمای خاص یا عَلَم، با قرینه باید همراه باشد و مجازی خواهد بود؛ اما صیغه‌های انشایی در مقام استعمال، نه بر سنخ، بلکه بر اشخاص سنخ دلالت می‌کنند و این دلالت بدون قرینه است؛ درحالی‌که دلالت آن بر سنخ نیاز به قرینه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بنابراین، آشکار است که وضع صیغه‌های انشایی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کمی دقت روشن می‌شود همة صیغه‌ها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وضع عام موضوعٌ‌له خاص خواهد بود و از این جهت نیز به معانی حرفیه می‌مانند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وضع صیغه‌های انشایی، هم از جهت لفظ و هم از جهت معنا، همچون معانی حرفیه است</w:t>
      </w:r>
      <w:r>
        <w:rPr>
          <w:rFonts w:eastAsia="IRNazanin" w:cs="IRNazanin"/>
          <w:color w:val="111111"/>
          <w:sz w:val="28"/>
          <w:szCs w:val="28"/>
          <w:rtl w:val="true"/>
          <w:lang w:bidi="fa-IR"/>
        </w:rPr>
        <w:t xml:space="preserve">. </w:t>
      </w:r>
      <w:bookmarkStart w:id="203" w:name="pg5825_38279"/>
    </w:p>
    <w:p>
      <w:pPr>
        <w:pStyle w:val="Heading3"/>
        <w:numPr>
          <w:ilvl w:val="2"/>
          <w:numId w:val="1"/>
        </w:numPr>
        <w:rPr/>
      </w:pPr>
      <w:bookmarkStart w:id="204" w:name="__RefHeading___Toc4623465_581953129"/>
      <w:bookmarkStart w:id="205" w:name="_Toc79"/>
      <w:bookmarkEnd w:id="203"/>
      <w:bookmarkEnd w:id="204"/>
      <w:r>
        <w:rPr>
          <w:rtl w:val="true"/>
        </w:rPr>
        <w:t>موضوعٌ‌له صیغه‌های انشایی</w:t>
      </w:r>
      <w:bookmarkEnd w:id="205"/>
    </w:p>
    <w:p>
      <w:pPr>
        <w:pStyle w:val="Heading4"/>
        <w:numPr>
          <w:ilvl w:val="3"/>
          <w:numId w:val="1"/>
        </w:numPr>
        <w:rPr/>
      </w:pPr>
      <w:bookmarkStart w:id="206" w:name="__RefHeading___Toc4623467_581953129"/>
      <w:bookmarkStart w:id="207" w:name="_Toc80"/>
      <w:bookmarkEnd w:id="206"/>
      <w:r>
        <w:rPr>
          <w:rtl w:val="true"/>
        </w:rPr>
        <w:t>موضوعٌ‌له جمله‌های انشایی</w:t>
      </w:r>
      <w:bookmarkEnd w:id="207"/>
    </w:p>
    <w:p>
      <w:pPr>
        <w:pStyle w:val="BookText"/>
        <w:rPr/>
      </w:pPr>
      <w:r>
        <w:rPr>
          <w:rFonts w:ascii="IRNazanin" w:hAnsi="IRNazanin" w:eastAsia="IRNazanin"/>
          <w:color w:val="111111"/>
          <w:sz w:val="28"/>
          <w:sz w:val="28"/>
          <w:szCs w:val="28"/>
          <w:rtl w:val="true"/>
          <w:lang w:bidi="fa-IR"/>
        </w:rPr>
        <w:t>جملات انشایی برای دلالت بر همان انشای تام که در بخش اول نوشتار تعریف شد، وضع می‌شوند؛ اما در این بخش از نوشتار، لازم است این نکته از دو جهت بیشتر شکافته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رابطة الفاظ و معانی انشایی؛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موضوعٌ‌له جملات اخباری و انشایی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این مسئله متضمن بررسی آرای اصولیان نیز با رویکرد انتقادی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نیازمند سه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جملاتی وجود دارد که مشترکاً می‌توانند هم به‌عنوان انشاء و هم به‌عنوان اخبار به کار روند؛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طلاق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 در صیغ عقود و ایقاعات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 انشایی از جهت وضع لفظ و معنا نظیر معانی حرفیه‌اند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مشهور میان اصولیان این است که موضوعٌ‌له هیئت جملة خبری ثبوت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خارجی باشد، از ثبوت نسبت در عالم خارج حکایت می‌کند و اگر نسبت ذهنی باشد، از ثبوت نسبت در عالم ذهن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اعتباری باشد، از ثبوت نسبت در وعای اعتبار حکایت می‌کند؛ اما موضوعٌ‌له جملة انشایی ایجاد نسبت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مقدمه، دو پرسش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جملات مشترک نیز موضوعٌ‌له دو جمله مختلف است، درحالی‌که هم صیغه و هم ماده یکسانند؟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جمله‌های مشترکه‌ای هم از جهت ماده و هم از جهت صورت وجود دارند که هم در مقام انشاء و اخبار به کار می‌روند، آیا نظریة ناهمسانی موضوعٌ‌له جملات اخباری و انشایی پذیرفتنی است؟</w:t>
      </w:r>
    </w:p>
    <w:p>
      <w:pPr>
        <w:pStyle w:val="BookText"/>
        <w:rPr/>
      </w:pPr>
      <w:r>
        <w:rPr>
          <w:rFonts w:ascii="IRNazanin" w:hAnsi="IRNazanin" w:eastAsia="IRNazanin"/>
          <w:color w:val="111111"/>
          <w:sz w:val="28"/>
          <w:sz w:val="28"/>
          <w:szCs w:val="28"/>
          <w:rtl w:val="true"/>
          <w:lang w:bidi="fa-IR"/>
        </w:rPr>
        <w:t>آخوند خراسانی براساس مسلکی که در معانی حرفیه اختیار می‌کند، چنین می‌آورد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بعید نیست اختلاف در خبر و انشاء نیز نظیر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خبر وضع شده باشد تا در حکایت از ثبوت معنایش در موطن خود به کار رود و انشاء برای این که در قصد تحقق و ثبوت آن به کار رود و اگرچه در مستعملٌ فیه متفق باشند، پس تأمل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منظور آخوند این است که مدلول جملة خبریه و انشائیه یک امر است و اختلاف معانی دو جمله، وابسته به دواعی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ایروانی این عبارت را ناظر به پرسش اول می‌داند و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ناظر به بیان فرق میان انشاء و اخبار در صیغ مشترکه است که در هر دو مقام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صیغ مختص به انشاء مانند صیغة افعل، جهت مشترکی میان انشاء و اخبار نیست تا از جهت مایز میان آن دو بحث شود، بنابراین به تمام مدلول از اخبار متمایز و بیگانه از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نمی‌رسد این نحوة تقیید عبارت آخوند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اینکه در عبارت آخوند مطلبی دال بر چنین قیدی نیست؛ نظریة آخوند در باب معانی حرفیه نیز با چنین تقییدی همساز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براساس آن،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موضوع به یک معنا می‌داند، درحالی‌که چه در صیغه و چه در ماده مشترک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آخوند از مقدمات یادشده به پرسش دوم هدایت شده باشد و نه به پرسش اول و حتی به نظر نمی‌رسد که در این پرسش به مقدمة اول از مقدمات سه‌گانة یادشده توجهی داشته باشد؛ اما نکتة مرحوم ایروانی نیز بی‌وجه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اقسام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تحققی، مانند ضَرَبَ؛ نسبت تلبّسی، مانند ضارب؛ نسبت ایجادی، مانند ضَرَبتُ؛ نسبت توقعی، مانند یَضرِبُ و نسبت بعثی، مانند إضرِب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آخوند بر مبنای غمض عین از اقسام نسبت و اهمال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آخوند می‌گوید فقط دربارة نسبت ایجادی می‌تواند مطرح شود که میان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انشای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 نه دربارة باقی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افعالی مانند بِعتُ در هر دوی این معانی به کار می‌روند، مرحوم ایروانی نظریة آخوند را چنان مقید می‌کند و آیت‌الله روحانی نیز با این قید نظریة آخوند را پذیرفتنی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بی‌تا،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آخوند در اسم و حرف، موضوعٌ‌له و مستعمل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فیه واحد است و تفاوت آن دو از جهت لحاظ آلی حرف و استقلالی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معنا، معرا از نحوة لحاظ خود وضع می‌کند؛ اما در علقة وضعیة خود چنین لحاظ می‌کند که هرگاه در مقام استعمال این معنا را مستقل لحاظ کند،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و هرگاه به‌عنوان حالت مفهومی دیگر لحاظ کند،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انشاء نظیر همین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انشاء، هر دو برای دلالت بر نسبت وضع شده‌اند؛ اما در مقام استعمال، اگر قصد ایجاد آن نسبت را </w:t>
      </w:r>
    </w:p>
    <w:p>
      <w:pPr>
        <w:pStyle w:val="BookText"/>
        <w:rPr/>
      </w:pPr>
      <w:r>
        <w:rPr>
          <w:rFonts w:ascii="IRNazanin" w:hAnsi="IRNazanin" w:eastAsia="IRNazanin"/>
          <w:color w:val="111111"/>
          <w:sz w:val="28"/>
          <w:sz w:val="28"/>
          <w:szCs w:val="28"/>
          <w:rtl w:val="true"/>
          <w:lang w:bidi="fa-IR"/>
        </w:rPr>
        <w:t xml:space="preserve">داشت، جملات انشایی را به کار می‌گیرد و اگر قصد حکایت از معنا را داشت، جملات خبری را به کار می‌گیرد؛ برای مثال، صیغة مشترکه‌ای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نسبت بین مادة نکاح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متکلم در مقام حکایت از تحقق این نسبت بود، این صیغه، خبری است و اگر در مقام ایجاد این نسبت به سبب خود این استعمال بود، انشایی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دربارة دو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خود آخوند نظریه‌اش را به صیغه‌های مشترکه محدود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فرق که برای هر یک از دو مقام صیغة ویژه‌ای برای استعمال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با اشکالات متعددی روبه‌رو شده‌است که در اینجا تنها به سه مورد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مبنای این نظریه این است که معانی حرفیه و هیئات، همچون اسمای عام به نحو وضع عام موضوعٌ‌له خاص وضع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نظر مشهور و مبنای این پژوهش، این خلاف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موضوعٌ‌له اخبار و انشاء آشکار است و اسناد تفاوت آن دو به مقام دیگری جز ایجاد و حکایت، گریز از امر وجدانی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لحاظ در وضع واژه مدنظر بوده‌است، ناچاریم آن را جزء موضوعٌ‌له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آخوند خود می‌پذیرد که موطن این لحاظ علقة وضعیه است، نشانگر این ناچاری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وضع واژه مدنظر نبوده‌است، استعمال هر یک از دو واژه به جای دیگری باید بی‌اشکال باشد که آشکارا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موضوعٌ‌له اخبار و انشاء، چه در همة صیغه‌ها و چه در صیغة مشترکه، یکسان نیستند؛ چنان‌که نظر مشهور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آرای گوناگونی در تبیین اختلاف این دو ارائه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بخش دیگری از نظر مشهور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مشهور، جملة خبری برای دلالت بر ثبوت یا عدم ثبوت نسبت و جملة انشایی برای ایجاد نسبت وضع شده‌است؛ اما به نظر ایشان، جملة خبری برای ابراز قصد حکایت از واقع و نفس‌الامر وضع شده و جملة انشایی برای ابراز امر نفسانی غیر از قصد حکایت وضع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نظریه به چند دلیل پذیرفتنی به نظر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جملة اخباری بر قصد حکایت، دلالت وضعی نیست؛ بلکه دلالت طبعی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دلالت جملة خبری بر ثبوت یا عدم ثبوت نسبت امری بدیهی است و انکار آن بسیار عجیب به 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مدلول جملة اخباری قصد لحاظ شد‌ه است، به چه دلیل در مدلول جملة انشایی قصد لحاظ نمی‌شود؟ زیرا از این جهت، هر دو جمله یک حکم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انشائات قانونی، صرف اعتبار نفسانی، انشاء را ایجاد نمی‌کند و برای تحقق انشاء، ابراز لفظ نیاز است؛ بنابراین، ناچاریم برای الفاظ انشایی نحوه‌ای موجِدیت معنا، حقیقی یا اعتباری،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به هر حال، همة انشائات، از سنخ موجد معنا نیستند و برخی مانند امر ابراز یک حالت نفسانی‌اند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روحانی در اعتراض به نظریة مرحوم خویی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صیغه بر خود صفت نفسانی وضع شده باشد، و آن مثلاً اعتبار قائم به نفس باشد، به جهت فرض وجود صفت، وجود صیغة کاشف از این واقع و موجب علم به آن می‌گردد؛ بی‌آنکه در ذهن خطور کند و اصلاً وجود در ذهن را پذیرا نمی‌شود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بنابراین، در جملة انشائیه چیزی که به آن تصور و انتقال تعلق پیدا کند، جز ماده یافت نمی‌شود و آن همان است که اعتبار به آن تعلق گرفته‌است؛ مثلاً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با هیئت خود اعتبار نماز برعهدة مکلف را کشف می‌کند و موجب علم به آن می‌شود و ماده موجب انتقال به مفهوم نماز و تصور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جملة انشایی مفهوم جملی تام نخواهد داشت</w:t>
      </w:r>
      <w:r>
        <w:rPr>
          <w:rStyle w:val="FootnoteAnchor"/>
          <w:rtl w:val="true"/>
        </w:rPr>
        <w:footnoteReference w:id="35"/>
      </w:r>
      <w:r>
        <w:rPr>
          <w:rFonts w:ascii="IRNazanin" w:hAnsi="IRNazanin" w:eastAsia="IRNazanin"/>
          <w:color w:val="111111"/>
          <w:sz w:val="28"/>
          <w:sz w:val="28"/>
          <w:szCs w:val="28"/>
          <w:rtl w:val="true"/>
          <w:lang w:bidi="fa-IR"/>
        </w:rPr>
        <w:t>و بلکه جز مفهوم افرادی نخواهد داشت و درنتیجه از قبیل استعمال الفاظ نمی‌شود که موجب خطور معنا در ذهن و انتقال به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همانند کاشف تکوینی از صفت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اشکال صحیح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ظاهراً حال متکلم با مخاطب خلط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توجه به امور زیر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صیغه با صفت نفسانی رابطة وضعی است و نه طبعی یا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کاشف تکوینی، چه طبعی و چه عقلی،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انشاء، تصور معنا برای استعمال لفظ لازم نیست؛ زیرا خود معنا حاضر است و علم حضوری مضاعف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معلوم و علم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 کفایت از علم حصولی در این مقام می‌کند و بلکه در چنین حالی اساساً از تصور معنا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استعمال اصوات، مانند آخ در هنگام درد، نیز این گونه است و بعید است مرحوم روحانی دربارة اصوات اشکال مذکور را بپذیرد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عدم لزوم تصور لفظ تنها دربارة متکلم است؛ نه دربارة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چون لفظ را بشنود به معنای آن منتقل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جملة انشایی چیزی را دربارة مخاطب کشف نمی‌کنند؛ بلکه از حال متکلم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اعتبار نماز برعهدة مکلف دلالت نمی‌کند؛ بلکه صیغة آن بر طلب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هر آنچه صیغة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آن بر نماز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صیغة امر، مادة امر را برعهدة مکلف ایجاد می‌کند؛ اما این ایجاد خارج از علقة وضعیه است و از لوازم خارجی معناست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معنای لفظ همان مفهوم باشد، در این صورت اشکال نبود معنای جملی تام برای جملات انشایی درست خواهد بود؛ اما معنای جملات، همان مفهوم نیست؛ بلکه مفهوم واسطه در وضع و استعمال است و اگر علم حضوری مضاعف به معنا باشد، این وساطت نیز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نظریة مرحوم خویی دربارة انشاء به نحو موجبة جزئیه درست است و در بعضی موارد جملة انشایی ابراز یک حال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آن با اصوات این است که اولاً اصوات به ماده و صیغه تحلیل نمی‌شوند و ثانیاً نسبت در آنها متصور نیست؛ اما جملات انشایی به ماده و صیغه تحلیل می‌شوند و نسبت در آنها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 نظریة مشهور دربارة انشاء، رابطة ایجادی لفظ انشاء با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اصل چنین رابطه‌ای را نمی‌پذیرد؛ اما مشهور لفظ انشاء را موجِد معنا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تقریر از موجِدیت لفظ نسبت به معنا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معنا را در عالم واقع ایجاد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معنا را در عالم اعتبار ایجاد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لفظ در عالم اعتبار موجد معنا به‌شمار می‌آید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خویی نظر آخوند و مشهور را به دو تقریر اول برگردانده‌است و از این جهت، آن را ناپذیرفتنی به‌شمار آورده‌است؛ زیرا ایجاد معنا در عالم واقع وابسته به علل تکوینی‌اش است و در عالم اعتبار نیز اعتبار نفسانی معنا ایجاد می‌کند و نیازی به لفظ نیست و بر این اساس لفظ انشایی را تنها ابراز معنا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دفاع از این دو نظر، تقریر سوم عرضه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روحانی، 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208" w:name="pg5825_38289"/>
    </w:p>
    <w:p>
      <w:pPr>
        <w:pStyle w:val="BookText"/>
        <w:rPr/>
      </w:pPr>
      <w:bookmarkEnd w:id="208"/>
      <w:r>
        <w:rPr>
          <w:rFonts w:ascii="IRNazanin" w:hAnsi="IRNazanin" w:eastAsia="IRNazanin"/>
          <w:color w:val="111111"/>
          <w:sz w:val="28"/>
          <w:sz w:val="28"/>
          <w:szCs w:val="28"/>
          <w:rtl w:val="true"/>
          <w:lang w:bidi="fa-IR"/>
        </w:rPr>
        <w:t>به نظر می‌آید حل مسئله نیاز به تفصیل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انشائات، مانند تمنی، لفظ تنها ابراز معناست و هیچ گونه رابطة ایجادی با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از انشائات، مانند ندا، لفظ خود معنا را در عالم واقع پدید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انشائات قانونی، اگرچه لفظ تنها ابراز معناست، اما موجِد معنا اعتبار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صیغة امر، ابراز طلب است و طلب سابق بر ابراز لفظ وجود دارد؛ اما تا شارع مقدس این لفظ را بیان نکرده باشد، به جهت نبود علم مکلف، چیزی برعهدة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در وعای اعتبار، موجد تکلیف برعهدة مکلف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انشائات قانونی متعلق به اعتبارات اجتماعی، لفظ موجِد معنا در عالم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معانی یا از سنخ روابط میان فردی‌اند یا در این روابط معنادار می‌شوند؛ مانند خرید و فروش، نکاح و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این گونه از معانی، ارادة فردی و اعتبار نفسانی کفایت نمی‌کند؛ زیرا وعای تحقق و اعتبار این معانی جامعه است و تا جامعه اعتبار چنین معنایی را نپذیرد، اثری بر آن مترتب نخواهد شد و نیز تا جامعه نباشد، این معنا در وعای اعتبار اجتماعی محقق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باید یک جامعة دونفره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وعای اعتبار اجتماعی می‌تواند عامل تحقق معنایی باشد، چیزی از سنخ یک امر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زبان هویت اجتماعی دارد، یک امر اجتماعی است و از این جهت می‌تواند در وعای اعتبار اجتماعی یک معنا را ایجاد نماید</w:t>
      </w:r>
      <w:r>
        <w:rPr>
          <w:rFonts w:eastAsia="IRNazanin" w:cs="IRNazanin"/>
          <w:color w:val="111111"/>
          <w:sz w:val="28"/>
          <w:szCs w:val="28"/>
          <w:rtl w:val="true"/>
          <w:lang w:bidi="fa-IR"/>
        </w:rPr>
        <w:t>.</w:t>
      </w:r>
    </w:p>
    <w:p>
      <w:pPr>
        <w:pStyle w:val="Heading3"/>
        <w:numPr>
          <w:ilvl w:val="2"/>
          <w:numId w:val="1"/>
        </w:numPr>
        <w:rPr/>
      </w:pPr>
      <w:bookmarkStart w:id="209" w:name="__RefHeading___Toc4623469_581953129"/>
      <w:bookmarkStart w:id="210" w:name="_Toc81"/>
      <w:bookmarkEnd w:id="209"/>
      <w:r>
        <w:rPr>
          <w:rtl w:val="true"/>
        </w:rPr>
        <w:t>نتیجه</w:t>
      </w:r>
      <w:r>
        <w:rPr>
          <w:rtl w:val="true"/>
        </w:rPr>
        <w:softHyphen/>
      </w:r>
      <w:r>
        <w:rPr>
          <w:rtl w:val="true"/>
        </w:rPr>
        <w:t>گیری</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رابطة میان لفظ و معنا اعتباری است؛ اما کاملاً ارادی و آگاهانه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 کلامی است که با قطع نظر از لوازم معنا، به صدق و کذب متصف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ادراکات اعتباری ادراکاتی‌اند که به‌دلیل شیوة انتزاعشان، ارادة مدرِک در نحوة حکایت آنها از محکی دخیل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تبع تقسیم تصور به دو قسم قضیه و مفهوم بالمعنی‌الاخص، ادراکات اعتباری نیز به دو قسم انشای تام و مفاهیم اعتباری قابل تقسیم‌اند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اختصار همان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ارادی و بالقصد نفسانی است که لوازم خارجی دارد و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اعتباری نسبت تامه میان دو مفهوم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ایجاد اعتباری یک مفهوم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انشائیت عبارت است از لحاظ اعتباریت در محمول یا لحاظ اعتباریت در حمل یا صیغة انشاء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مفاهیم قانونی در چهار مرتبه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عقلانیت معرفت‌شناختی، عقلانیت معناشناختی، عقلانیت اخلاقی، عقلانیت ابزاری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عمل مجاز، موضوعی را در ظرف فرض، فرد یا مصداق مفهومی حقیقی قرار می‌دهیم که آن موضوع در ظرف واقع مصداق یا فرد آن مفهوم نیست، سپس از این عملیات مجاز، مفهوم قانونی انتزاع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 وضع صیغه‌های انشایی، هم از جهت لفظ و هم از جهت معنا، همچون معانی حرفیه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انشاء چهار گونه رابطه با معنی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معنا در عالم واقع، ایجاد معنا در عالم اعتبار، ایجاد اعتباری معنا، ابراز حالت نفسانی</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825_38293"/>
      <w:bookmarkStart w:id="212" w:name="pg5825_38293"/>
      <w:bookmarkEnd w:id="212"/>
    </w:p>
    <w:p>
      <w:pPr>
        <w:pStyle w:val="Heading3"/>
        <w:numPr>
          <w:ilvl w:val="2"/>
          <w:numId w:val="1"/>
        </w:numPr>
        <w:rPr/>
      </w:pPr>
      <w:bookmarkStart w:id="213" w:name="pg5825_38293"/>
      <w:bookmarkStart w:id="214" w:name="__RefHeading___Toc4623471_581953129"/>
      <w:bookmarkStart w:id="215" w:name="_Toc82"/>
      <w:bookmarkEnd w:id="213"/>
      <w:bookmarkEnd w:id="214"/>
      <w:r>
        <w:rPr>
          <w:rtl w:val="true"/>
        </w:rPr>
        <w:t>منابع</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 مهدی،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تعلیقة علی شرح المنظومة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علی،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نهایةالنهایة،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کفایة‌الأصول،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 الله،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مناهج الوصول الی علم الاصول،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امام‌خمینی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مصطفی،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تحریرات فی 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امام‌خمینی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أجود التقریرات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محمدحسین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مصطفوی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سیدمحمدصادق، بی‌تا، زبدة الاصول، نسخة اول، مرکز تحقیقات کامپیوتری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سیدمحمدحسین،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منتقی الاصول، چاپخانة امیر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تهذیب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حاج ملاهادی،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شرح المنظومه، تعلیقات آیت‌الله حسن حسن‌زادة آملی،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بی‌تا، اصول فلسفه و روش رئالیسم،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نهایة الحکمة، چ</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نصیرالدین محمد بن حسن،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اساس الاقتباس،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نهایة‌الدرایة،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سیدالشهدا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محمداسحاق،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محاضرات فی اصول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آیت‌الله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جلال‌الدین أبو عبدالله محمد بن سعدالدین بن عمر،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الإیضاح فی علوم البلاغه،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قطیفی، سیدمنیر سید عدنان،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الرافد فی علم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 آیت‌الله العظمی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لگنهاوسن، محمد،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تحقیق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 و ترجمه و نشر آلاء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ملکشاهی، حسن،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ترجمه و تفسیر تهذیب المنطق تفتازانی،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صادق،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معرفت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سیداحمد،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جواهر البلاغه،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اصول الفقه،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ویگینز، دیوید،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جعل و معنای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ترجمة مصطفی ملکیان، ش</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محمد بن ابراهیم،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الحکمة المتعالیة فی الاسفار العقلیة الاربعة،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تعلیقة علی نهایة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فی طریق الحق</w:t>
      </w:r>
      <w:r>
        <w:rPr>
          <w:rFonts w:eastAsia="IRNazanin" w:cs="IRNazanin"/>
          <w:color w:val="111111"/>
          <w:sz w:val="28"/>
          <w:szCs w:val="28"/>
          <w:rtl w:val="true"/>
          <w:lang w:bidi="fa-IR"/>
        </w:rPr>
        <w:t xml:space="preserve">. </w:t>
      </w:r>
      <w:bookmarkStart w:id="216" w:name="pg5825_38296"/>
    </w:p>
    <w:p>
      <w:pPr>
        <w:pStyle w:val="Heading2"/>
        <w:numPr>
          <w:ilvl w:val="1"/>
          <w:numId w:val="1"/>
        </w:numPr>
        <w:rPr/>
      </w:pPr>
      <w:bookmarkStart w:id="217" w:name="__RefHeading___Toc4623473_581953129"/>
      <w:bookmarkStart w:id="218" w:name="_Toc83"/>
      <w:bookmarkEnd w:id="216"/>
      <w:bookmarkEnd w:id="217"/>
      <w:r>
        <w:rPr>
          <w:rtl w:val="true"/>
        </w:rPr>
        <w:t xml:space="preserve">بحث ظهور و اهمیت زبان‌شناختی آن </w:t>
      </w:r>
      <w:r>
        <w:rPr>
          <w:rtl w:val="true"/>
        </w:rPr>
        <w:t xml:space="preserve">/ </w:t>
      </w:r>
      <w:r>
        <w:rPr>
          <w:rtl w:val="true"/>
        </w:rPr>
        <w:t>علیرضا قائمی نیا، سمیه کامرانی</w:t>
      </w:r>
      <w:bookmarkEnd w:id="218"/>
    </w:p>
    <w:p>
      <w:pPr>
        <w:pStyle w:val="Heading3"/>
        <w:numPr>
          <w:ilvl w:val="2"/>
          <w:numId w:val="1"/>
        </w:numPr>
        <w:rPr/>
      </w:pPr>
      <w:bookmarkStart w:id="219" w:name="__RefHeading___Toc4623475_581953129"/>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رضا قائمی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سمیه کامرانی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9/4/89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29/6/89</w:t>
      </w:r>
    </w:p>
    <w:p>
      <w:pPr>
        <w:pStyle w:val="Heading3"/>
        <w:numPr>
          <w:ilvl w:val="2"/>
          <w:numId w:val="1"/>
        </w:numPr>
        <w:rPr/>
      </w:pPr>
      <w:bookmarkStart w:id="221" w:name="__RefHeading___Toc4623477_581953129"/>
      <w:bookmarkStart w:id="222" w:name="_Toc85"/>
      <w:bookmarkEnd w:id="221"/>
      <w:r>
        <w:rPr>
          <w:rtl w:val="true"/>
        </w:rPr>
        <w:t>چکیده</w:t>
      </w:r>
      <w:bookmarkEnd w:id="222"/>
    </w:p>
    <w:p>
      <w:pPr>
        <w:pStyle w:val="BookText"/>
        <w:rPr/>
      </w:pPr>
      <w:r>
        <w:rPr>
          <w:rFonts w:ascii="IRNazanin" w:hAnsi="IRNazanin" w:eastAsia="IRNazanin"/>
          <w:color w:val="111111"/>
          <w:sz w:val="28"/>
          <w:sz w:val="28"/>
          <w:szCs w:val="28"/>
          <w:rtl w:val="true"/>
          <w:lang w:bidi="fa-IR"/>
        </w:rPr>
        <w:t xml:space="preserve">از مباحث مهم و پرکاربرد علم اصول که مطمح نظر زبان‌شناسان نیز قرار گرفته، بحث از ظهور، اصالت و حجیت آن است و اینکه اساساً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یا نه؟ و چه تأثیری در زبان‌شناختی دارد؟ نگارنده در این مقاله این مسئله را با بررسی اقوال مختلف علمای اصول کاویده‌است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حجیّت، زبان‌شناختی، اصول، دلالت، اصالت ظهور</w:t>
      </w:r>
      <w:r>
        <w:rPr>
          <w:rFonts w:eastAsia="IRNazanin" w:cs="IRNazanin"/>
          <w:color w:val="111111"/>
          <w:sz w:val="28"/>
          <w:szCs w:val="28"/>
          <w:rtl w:val="true"/>
          <w:lang w:bidi="fa-IR"/>
        </w:rPr>
        <w:t>.</w:t>
      </w:r>
    </w:p>
    <w:p>
      <w:pPr>
        <w:pStyle w:val="Heading3"/>
        <w:numPr>
          <w:ilvl w:val="2"/>
          <w:numId w:val="1"/>
        </w:numPr>
        <w:rPr/>
      </w:pPr>
      <w:bookmarkStart w:id="223" w:name="__RefHeading___Toc4623479_581953129"/>
      <w:bookmarkStart w:id="224" w:name="_Toc86"/>
      <w:bookmarkEnd w:id="223"/>
      <w:r>
        <w:rPr>
          <w:rtl w:val="true"/>
        </w:rPr>
        <w:t>مقدمه</w:t>
      </w:r>
      <w:bookmarkEnd w:id="2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روزگاران دیرین بحث حجیت ظهور، بیشتر توجه علمای علم اصول را به خود جلب نموده‌است؛ به گونه‌ای که معتقدند سایر اصول همچون اصالة‌العموم، اصالة‌الاطلاق و </w:t>
      </w:r>
      <w:bookmarkStart w:id="225" w:name="pg5825_38298"/>
    </w:p>
    <w:p>
      <w:pPr>
        <w:pStyle w:val="BookText"/>
        <w:rPr/>
      </w:pPr>
      <w:bookmarkEnd w:id="225"/>
      <w:r>
        <w:rPr>
          <w:rFonts w:ascii="IRNazanin" w:hAnsi="IRNazanin" w:eastAsia="IRNazanin"/>
          <w:color w:val="111111"/>
          <w:sz w:val="28"/>
          <w:sz w:val="28"/>
          <w:szCs w:val="28"/>
          <w:rtl w:val="true"/>
          <w:lang w:bidi="fa-IR"/>
        </w:rPr>
        <w:t>اصالة‌الحقیقه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این اصل برمی‌گردند و درواقع وجوه مختلف همین اصل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اهمیّت بی‌شائبة این اصل بر آن شدیم تا به بحث از حجیت ظهور و اهمیت زبان‌شناختی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بحث مذکور از دو منظر و چشم‌انداز قابل واکاوی است؛ به عبارتی دارای دو جنبه است که یک جنبة آن به بحث کبروی و در اصل حجت بودن یا نبودن ظواهر ارتباط می‌یابد و جنبة دیگر به بحث صغروی که در آن از شیوه‌های احراز اصل ظهور سخن به میان می‌آید،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ما درصدد جستار و بررسی از چشم‌انداز نخست می‌باشیم و بررسی این مسئله که قاعدة اصالت ظهور در مباحث زبانی چه جایگاهی داشته و اساساً مباحث زبانی و مباحث الفاظ در اصول چگونه از هم اثرپذیر هستند</w:t>
      </w:r>
      <w:r>
        <w:rPr>
          <w:rFonts w:eastAsia="IRNazanin" w:cs="IRNazanin"/>
          <w:color w:val="111111"/>
          <w:sz w:val="28"/>
          <w:szCs w:val="28"/>
          <w:rtl w:val="true"/>
          <w:lang w:bidi="fa-IR"/>
        </w:rPr>
        <w:t>.</w:t>
      </w:r>
    </w:p>
    <w:p>
      <w:pPr>
        <w:pStyle w:val="Heading3"/>
        <w:numPr>
          <w:ilvl w:val="2"/>
          <w:numId w:val="1"/>
        </w:numPr>
        <w:rPr/>
      </w:pPr>
      <w:bookmarkStart w:id="226" w:name="__RefHeading___Toc4623481_581953129"/>
      <w:bookmarkStart w:id="227" w:name="_Toc87"/>
      <w:bookmarkEnd w:id="226"/>
      <w:r>
        <w:rPr>
          <w:rtl w:val="true"/>
        </w:rPr>
        <w:t>مباحث زبانی</w:t>
      </w:r>
      <w:bookmarkEnd w:id="227"/>
    </w:p>
    <w:p>
      <w:pPr>
        <w:pStyle w:val="BookText"/>
        <w:rPr/>
      </w:pPr>
      <w:r>
        <w:rPr>
          <w:rFonts w:ascii="IRNazanin" w:hAnsi="IRNazanin" w:eastAsia="IRNazanin"/>
          <w:color w:val="111111"/>
          <w:sz w:val="28"/>
          <w:sz w:val="28"/>
          <w:szCs w:val="28"/>
          <w:rtl w:val="true"/>
          <w:lang w:bidi="fa-IR"/>
        </w:rPr>
        <w:t>در مباحث زبانی در گسترة علوم اسلامی دو پیش‌فرض و اصل مسلم در نظر گرفته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پدیدة اجتماعی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زبان که طبق آن انسان موجودی اجتماعی است و گریز از تعامل با دیگران ندارد و برای رفع حوایج خود محتاج برقراری ارتباط و انتقال افکار خود به دیگران است و ازآنجاکه احضار همة اشیا امکان ندارد، این امر موجب وضع الفاظی از سوی بشر شد، و اصل دیگر مربوط به رابطة تفکر و زبان است که پس از وضع لفظ برای معنا و نتیجتاً پیدایش رابطه و علاقه، به‌دلیل شدت و حدّت علاقه، بسان شیء واحدی می‌گردند؛ آن‌گونه که به محض شنود لفظ، معنا به ذهن خطور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ارتباط بین لفظ و معنا گویای تأثیر وافر این ارتباط بر نظام اندیشه و فکر بشر است و از همین روست که اگر صاحب اندیشه، در الفاظ ذهنی به خطا رود، بر افکار و انتقالات ذهنی او تأثیر خواهد داشت؛ بنابراین زبان وسیلة اظهار و ابراز افکار و اندیشه‌های کنه وجود انسان است و هرگونه انحراف در آن موجب کج‌اندیشی و انحراف در تفکر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اصولی هم علما مباحث الفاظ را به دو دسته تقسیم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که ملاک اصولی آنها را دربرمی‌گیرد، مانند بحث معانی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ملاک اصولی آنها را دربرنمی‌گیرد، امّا برای مباحث اصولی جنبة مقدمی داشته و زمینه‌ساز فهم مباحث الفاظ است، مانند وضع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انگارة برخی از علمای اصول مباحث دستة دوم </w:t>
      </w:r>
      <w:bookmarkStart w:id="228" w:name="pg5825_38299"/>
    </w:p>
    <w:p>
      <w:pPr>
        <w:pStyle w:val="BookText"/>
        <w:rPr/>
      </w:pPr>
      <w:bookmarkEnd w:id="228"/>
      <w:r>
        <w:rPr>
          <w:rFonts w:ascii="IRNazanin" w:hAnsi="IRNazanin" w:eastAsia="IRNazanin"/>
          <w:color w:val="111111"/>
          <w:sz w:val="28"/>
          <w:sz w:val="28"/>
          <w:szCs w:val="28"/>
          <w:rtl w:val="true"/>
          <w:lang w:bidi="fa-IR"/>
        </w:rPr>
        <w:t>تفکیکشان از سایر مباحث الفاظ بی‌وجه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روش اثبات مدعیات زبانی در فلسفة تحلیلی و فلسفة زبان مطرح است و در این‌جا تنها به یک دیدگاه آن هم به اجمال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دیدگاه مباحث علم اصول به دو دسته تقسیم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لغوی مطرح در علم اصول دو نوع‌اند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اکتشافی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مباحث اطلاق می‌شود که در آنها معنا و مدلول عرفی یک واژة معین می‌شود؛ مثلاً عالمان اصول مدعی‌اند که هیئت صیغة امر، ظهور در وجوب دارد و استنادشان به تبادر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مباحثی است که در آنها معنا معلوم است، امّا تفسیر دلالت، مورد بحث است</w:t>
      </w:r>
      <w:r>
        <w:rPr>
          <w:rFonts w:eastAsia="IRNazanin" w:cs="IRNazanin"/>
          <w:color w:val="111111"/>
          <w:sz w:val="28"/>
          <w:szCs w:val="28"/>
          <w:rtl w:val="true"/>
          <w:lang w:bidi="fa-IR"/>
        </w:rPr>
        <w:t>.</w:t>
      </w:r>
    </w:p>
    <w:p>
      <w:pPr>
        <w:pStyle w:val="Heading3"/>
        <w:numPr>
          <w:ilvl w:val="2"/>
          <w:numId w:val="1"/>
        </w:numPr>
        <w:rPr/>
      </w:pPr>
      <w:bookmarkStart w:id="229" w:name="__RefHeading___Toc4623483_581953129"/>
      <w:bookmarkStart w:id="230" w:name="_Toc88"/>
      <w:bookmarkEnd w:id="229"/>
      <w:r>
        <w:rPr>
          <w:rtl w:val="true"/>
        </w:rPr>
        <w:t xml:space="preserve">معنای ظهور </w:t>
      </w:r>
      <w:r>
        <w:rPr>
          <w:rtl w:val="true"/>
        </w:rPr>
        <w:t>(</w:t>
      </w:r>
      <w:r>
        <w:rPr>
          <w:rtl w:val="true"/>
        </w:rPr>
        <w:t>دلالت</w:t>
      </w:r>
      <w:r>
        <w:rPr>
          <w:rtl w:val="true"/>
        </w:rPr>
        <w:t>)</w:t>
      </w:r>
      <w:bookmarkEnd w:id="230"/>
    </w:p>
    <w:p>
      <w:pPr>
        <w:pStyle w:val="BookText"/>
        <w:rPr/>
      </w:pPr>
      <w:r>
        <w:rPr>
          <w:rFonts w:ascii="IRNazanin" w:hAnsi="IRNazanin" w:eastAsia="IRNazanin"/>
          <w:color w:val="111111"/>
          <w:sz w:val="28"/>
          <w:sz w:val="28"/>
          <w:szCs w:val="28"/>
          <w:rtl w:val="true"/>
          <w:lang w:bidi="fa-IR"/>
        </w:rPr>
        <w:t xml:space="preserve">از جمله مباحث زبانی که در علم اصول هم مورد بحث و فحص جدی است، بحث از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 میباشد که وقوف بر آنها به‌خصوص برای فهم دقیق کتاب و متون حدیثی لازم می‌باشد که ذیلاً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دلیل، دلالت بر یکی از دو امر می‌کند و درعین‌حال دلالتش بر یکی از آن دو اولاست، به گونه‌ای که آن طرف ترجیح، به نحو تصوری و تصدیقی به ذهن سبقت می‌گیرد؛ امّا درعین‌حال معنای دیگر هم ممکن و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بیان دیگر ظهور، تجلی معنا از لفظ و انسباقش به ذهن است و براساس اصالت ظهور مراد متکلم همان است که کلامش می‌فهماند و براساس این قانون که مقتضای ظاهر، حال متکلم است می‌توان هر دلیل لفظی را تغییر داد و گفت مراد متکلم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گوینده باید از ظاهر عبارت فهمیده شود، زیرا شارع و قانون‌گذار نیز طبق عرف متداول مردم و جامعه سخن می‌گوید، و انتظار این است که منظور و مقصودشان از ظاهر کلمات و جملاتی که استعمال کرده‌اند،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داماد،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مقصود بالذات ما دست‌یابی به مقصود شارع و نهایتاً ادای تکلیف است، نخست باید به سراغ مدلول تصوری و سپس مدلول تصدیقی و کشف مراد متکلم برویم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میرزای نائینی ظهور یا دلالت را به سه قسم تقسیم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خراسانی، </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مظفر،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تصوری؛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تصدیقی غیر کاشف یا مراد به ارادة استعمالی؛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تصدیقی کاشف از مراد واقعی 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دلالت مفردات و هیئات الفاظ و کلمات کلام متکلم بر معانی حقیقیة خودشان؛ مثلاً هنگامی که مولی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هیئت، معنایی دارد که وجوب است و از لحاظ ماده معنایی دارد که اکرام کردن و گرامی داشتن است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الف و لام معنایی دارد و با الف و لام دلالت بر عموم و شمول جمیع علما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و سرچشمة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واضع این کلمات را برای معانی خاصی وضع کند یا ظهور این الفاظ نزد عرف در معانی خودشان، خواه وضع تعیینی باشد و خواه تعیّنی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وضع واضع و دیگری علم به وضع است؛ یعنی در صورتی که سامع بداند که فلان لفظ برای چه معنایی وضع شده، به مجرد شنیدن آن لفظ علم به معنای آن پیدا می‌کند، حال چه گوینده آن معنا را اراده کرده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تصدیقی غیر کاشف از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مجموع کلام بر معنایی که از ظاهر کلام متکلم فهمیده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وجوب اکرام همة علما و ظهور در عموم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از کل کلام متکلم سرچشمه می‌گیرد، نه از تک تک مفردات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تصدیقی که از مجموع کلام سرچشمه می‌گیرد،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مطابق و موافق با دلالت مفردات کلام است و آن در صورتی است که متکلم در کلامش قرینة متصله نیاورد،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علماء را اکرام 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مغایر با مدلول مفردات است و آن در صورتی است که کلام محفوف به قرینة متصله باشد که با آمدن قرینة متصله ظهور بدوی کلام عوض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اکرم‌العلماء إلّا الفاسقین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علماء غیرفاسق را اکرام کن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دلالت متوقف بر فارغ شدن متکلم از تکلّم و عدم قرینة بر خلاف است و الّا تا زمانی که متکلم در حال سخن گفتن است، ظهور تصدیقی برای کلام او محقق نمی‌شود و نمی‌توان به نحو جزمی حکم کرد که مرادش از رأیت اسداً حیوان مفترس است؛ چرا که افزایش هر قیدی ظهور جدیدی به دنبال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تصدیقی کاشف از مراد واقعی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کلام بر اینکه همین ظاهر کلام، مراد واقعی گوینده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قسم از دلالت یا ظهور آن است که قرینة متصله یا منفصله هیچ کدام نباشد و فقدان این دو قرینه، کاشف از این است که واقعاً ظاهر کلام مراد مولی بوده‌است، ولی وجود هر یک از قرینة متصله یا منفصله ظهور را به هم می‌زند و کاشف از این است که این ظهور اراده نشده؛ بلکه مراد واقعی، غیر این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مرحوم مظفر این تقسیم را قبول ندارند و دواشکال برآن وارد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تقسیم دلالت یا ظهور را به تصور و تصدیق از باب تسامح می‌دانند و نظرشان بر این است که دلالت تصوری اصلاً دلالت نیست، تداعی معانی است، یعنی ذهن در اثر کثرت استعمال این لفظ در آن معنی با آن معنی مأنوس شده، به گونه‌ای که به محض شنیدن آن لفظ، این معنا در ذهنش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منحصر در دلالت تصدیقی است و تنها، تعریف دلالت که عبارت از کشف معنا از لفظ است، بر این نوع دلالت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دلالت تصوری تنها حضور ذهنی و انتقال ذهن است و کاشف از وجود مدلول نیست به خلاف دلالت تصدیقی که مثلاً از علم به صدای زنگ درب منزل به وجود شخصی در پشت درب علم پیدا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ظهور تصدیقی به دو قسم از باب مسامحه است، تنها یک ظهور تصدیقی داریم و آن ظهور تصدیقی کاشف است و غیر کاشف را ظهور نامیدن از باب مسامحه است و آن ظهور بدوی است که به محض آمدن قرینة متصّله یا منفصله آن ظهور بدوی کنار می‌رود و مراد جدی نمایان می‌شود؛ بنابراین، تنها ظهور تصدیقی کاشف است که به‌واسطه آن مولی بر عبد احتجاج می‌کند و عبد بر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می‌فرمایند که در مباحث حجیت ظواهر آنچه مورد بحث است، ظهوری است که کاشف از مراد واقعی متکلم باشد و از عبد بر مولا و بالعکس حجت باشد، منتها کاشفیت نوعیه ملاک است؛ یعنی اگر برای نوع مردم این ظهور کاشف از مراد بود، حجت است ولو برای شخص مخاطب کاشف از مراد جدّی نباشد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نظر مرحوم مظفر ما فقط یک ظهور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یک قسم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 کاشف از مراد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به هر حال روشن کردن ابعاد ظهور تصدیقی و جدا کردن آن از ظهور تصوری و ظهور تصدیقیِ اول، برای روشن </w:t>
      </w:r>
    </w:p>
    <w:p>
      <w:pPr>
        <w:pStyle w:val="BookText"/>
        <w:rPr/>
      </w:pPr>
      <w:r>
        <w:rPr>
          <w:rFonts w:ascii="IRNazanin" w:hAnsi="IRNazanin" w:eastAsia="IRNazanin"/>
          <w:color w:val="111111"/>
          <w:sz w:val="28"/>
          <w:sz w:val="28"/>
          <w:szCs w:val="28"/>
          <w:rtl w:val="true"/>
          <w:lang w:bidi="fa-IR"/>
        </w:rPr>
        <w:t>شدن ابعاد بحث مفید است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به آن توجه کنیم حتی اگر این دو را دلالت نام نگذاریم، لذا تفکیک آیت‌الله نائینی و سه مرحله قایل شدن برای ظهور، تفکیک قابل توجه و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کلام سه ظهور دارد و تفاوت در این است که ظهور تصوری لفظ در معنای حقیقی از بین نمی‌رود حتی با وجود قرینة متصله؛ امّا ظهور تصدیقی با وجود آن از بین می‌رود و برخی از مصادیق حجیت ظهور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اصالة‌الحقیقه؛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اصالة‌العموم؛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اصالة‌الاطلاق؛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اوّلی عقلایی، اتحاد بین مراد استعمالی و مراد جدی است؛ یعنی اگر متکلمی در مقام جد و افادة مطلبی بود، اصل اولی آن است که همان شیئی را ارادة جدی نموده که لفظ را در معنای آن به کار برده‌است این اصل نیز در پایة ظهور و حجیت آن استوار است، چون در هر کلامی دو گونه ظهور طولی وجود دارد و هر دو ظهور حجت‌اند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 دلالتهای مذکور، سه نوع دلالت سیاقیة دیگر نیز در مباحث زبانی و اصولی یافت میشود که ساز و کار آن به‌طور موردی با سبک و سیاق متن پیشرو است که شایستة ذکر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کلام است بر معنایی که گوینده اراده کرده و لفظی برای آن ذکر نکرده، ولی به لحاظ اینکه صدق و صحت عقلی یا شرعی یا لغوی کلام بر آن متوقف است، از نظر عرف این دلالت مقصود متکلم است؛ مانند این قسمت از آیة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جا صحّت کلام عقلاً متوقف است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در و دیوار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سؤال از اهل قریه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که مقصود مراد متکلم است؛ اما صحت و صدق کلام بر آن توقف ندارد و درعین‌حال، از سیاق کلام متکلم یقین می‌کنیم که آن دلالت را اراده کرده‌است، همچون مواردی که بین دو امر، ملازمه هست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این است که زید خاکستر منزلش زیاد است و لازمه‌اش وجود سخاوت و مهمان‌داری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دلالت اشاره، لازمة مدلول کلام است به لزوم غیربیّن که محتاج به استدلال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آیة 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کَامِلَیْنِ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ضمیمه می‌کنیم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که کمترین مدت بارداری زن شش ماه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مدلول اشاری دو آیة مذکور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حجیت دلالت اقتضاء و تنبیه از باب حجیّت ظواهر و حجیت دلالت اشاره از باب </w:t>
      </w:r>
    </w:p>
    <w:p>
      <w:pPr>
        <w:pStyle w:val="BookText"/>
        <w:rPr/>
      </w:pPr>
      <w:r>
        <w:rPr>
          <w:rFonts w:ascii="IRNazanin" w:hAnsi="IRNazanin" w:eastAsia="IRNazanin"/>
          <w:color w:val="111111"/>
          <w:sz w:val="28"/>
          <w:sz w:val="28"/>
          <w:szCs w:val="28"/>
          <w:rtl w:val="true"/>
          <w:lang w:bidi="fa-IR"/>
        </w:rPr>
        <w:t>حجیت ملازمة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کاربردشناسی معاصر اصول خاصی در تفسیر و فهم سخنان دیگران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اهمیت خاصی در تفسیر و تحلیل متن دارند و برای تشخیص مراد جدّی نویسنده و گوینده ضروری‌اند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 گرایس</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خاصی به این مسئله معطوف کرد که شنوندگان در گفت‌وگو چه اصولی را برای فهم مراد جدّی و تفسیر سخن گوینده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دست‌یابی به معانی ضمنی غیر از لوازم منطقی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نکته تأکید می‌کرد که آدمیان به این علت به نحوی مؤثر ارتباط برقرار می‌کنند که طبیعتاً می‌خواهند به یکدیگر کمک کنند و در گفت‌وگو مشارکت داشته باشند؛ لذا او به این نکته پی برد که گفت‌وگوها معمولاً با اصلی هدایت می‌شوند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اصل مذکور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گفت‌وگو تا آنجا که نیاز است مشارکت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این اصل مستلزم پای‌بندی به تعدادی از اصول فرعی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 باید کمیت خاصی را از لحاظ اطلاع‌رسانی در نظر داشت؛ بدین معنا که اوّلاً، به اندازه‌ای اطلاعات بدهید که اکنون مورد نیاز است؛ یعنی اطلاعاتی که می‌دهید کمتر از حد نیاز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اطلاعات بیشتر از حد نیاز، ندهید؛ به‌عنوان مثال، فرض کنید شما فرد جدیدی را با یکی از دوستان خود می‌بینید و از دوست دیگری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جدید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پاسخ صحیح این بود که او، آن فرد را معرفی کند، ولی او اصل کمیت را رعایت نکرده و اطلاعات کافی در پاسخ نداده‌است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اصل کیفیت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 مشارکتتان صادقانه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اوّلاً، آنچه را که باور دارید دروغ است، نگویید؛ ثانیاً، آنچه را که دلیلی کافی بر آن در اختیار ندارید، نگویید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اصل ارتباط این است که مرتبط با موضوع سخن بگویید و از آن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گوینده را ملزم می‌سازد که تا آنجا که ممکن است از موضوع سخن خارج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شیوه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سفارش می‌کند که روشن سخن بگویید، بدین معنا که اوّلاً، از ابهام‌گویی اجتناب کنید؛ ثانیاً، از ایهام و دوپهلوگویی اجتناب کنید؛ ثالثاً، تا آنجا که ممکن است به اختصار سخن بگویید؛ رابعاً، منظم سخن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همة این اصول اصل اوّلی‌اند؛ بدین معنا که در صورت اوّلی و فقدان شرایط خاص باید رعایت شوند، امّا در شرایط ثانوی ممکن است رعایت نشوند؛ مثلاً، در حالت اوّلی اصل بر این است که گوینده اطلاعات مورد نیاز را بدهد و اگر در موردی، مانند مثالِ اصل کیفیت، به قدر کافی اطلاعاتی ارائه نداد، می‌توانیم نتیجه بگیریم که او اطلاعات دقیقی در اختیار ندارد و فرد مورد نظر را نمی‌شناسد یا به دلایلی نمی‌خواهد اطلاعاتی دقیق را در اختیار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او مرتبط با موضوع سخن نمی‌گوید، می‌توانیم نتیجه بگیریم که او نسبت به موضوع آگاهی ندارد یا نمی‌خواهد اطلاعاتی دراین‌باره به ما بدهد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اصول مدرک حجیّت کلیة اصول لفظیه یک امر است و آن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عقلای عالم، بر این است که در خطابات و گفتگوهای معمول و متداول میان خودشان، از این اصول استفاده می‌کنند و به تعبیر کامل‌تر،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کلام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می‌کنند و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خلاف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عقلای عالم نسبت به کلام هر گوینده‌ای غیر معصوم احتمال غفلت، خطا، شوخی، اهمال‌گویی یا اجمال‌گویی می‌دهند، ولی به هیچ‌کدام از این احتمالات اعتنا نمی‌کنند یا هنگامی که گوینده کلام را مطلق به کار می‌برد، باید بدانیم که گوینده در مقام بیان بوده‌است نه در مقام اهمال و اجمال‌گویی، چون بنا بر اصل همکاری است، اقتضای اصل همکاری این است که قرینه‌ای برای آن معنا بیاورد و چون قرینه‌ای نیاورده پس منظورش همین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اصل این است که مولی در مقام بیان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می‌توان براساس اصل همکاری بنا کرد، چون اصل این است که گوینده بنایش بر همکاری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نمونه‌ای از موارد کاربرد اصل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دیگر اینکه بنا بر اصل همکاری، همان چیزی که گوینده به زبان آورده، مراد جدّی گوینده تلقی می‌شود و بنابر آن است که قواعد چهارگانة محاوره مراعات شده و با توجه به آن استنتاج صورت گیرد؛ البته بنا به نظر گرایس این اصول به دلایل و اهدافی خاصی همیشه مراعات نمی‌شوند، بلکه نقض هم می‌شوند؛ ولی در این صورت هم، چون بنا بر اصل همکاری است و اصل این است که گویندة سخن، بنا دارد همکاری و مشارکت کند و در صورتی که اصول چهارگانة محاوره را رعایت کرده باشد، مراد جدی تلقی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اصول هم روند شکل‌گیری مراد جدی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جدی بستگی و ارتباط با دلالت سمانتیکی و دلالت تصوری دارد، به علاوه دلالت تصدیقی هم </w:t>
      </w:r>
    </w:p>
    <w:p>
      <w:pPr>
        <w:pStyle w:val="BookText"/>
        <w:rPr/>
      </w:pPr>
      <w:r>
        <w:rPr>
          <w:rFonts w:ascii="IRNazanin" w:hAnsi="IRNazanin" w:eastAsia="IRNazanin"/>
          <w:color w:val="111111"/>
          <w:sz w:val="28"/>
          <w:sz w:val="28"/>
          <w:szCs w:val="28"/>
          <w:rtl w:val="true"/>
          <w:lang w:bidi="fa-IR"/>
        </w:rPr>
        <w:t>حاصل می‌شود که منشأ آن حال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می‌توان براساس اصل همکاری تصحیح کرد، چون اگر گوینده، اصل همکاری را در مرحلة تصوری مراعات نکند، نمی‌توان در مرحلة دلالت تصدیقی ارادة جدی را کشف کرد؛ بنابراین اصل همکاری هم در اصول لفظیه و هم برای تحصیل مراد جدی مبنا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محاوره‌ای گرایس، اختصاص به زبان خاصی ندارند، لذا در علم اصول هم مورد استفاده قرار می‌گیرند، منتها برخی از مبادی کلامی استنباط به حساب می‌آیند؛ مثلاً شرط کیفیت، چون مفاد کیفیت این است که گفته‌های ما باید راست باشند یا دست‌کم به صدقشان باور داشته باشیم، این شرط صداقت، از مبانی کلامی به حساب می‌آید و ویژگی‌های لاینفک شارع صادق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است که برای فهم کلام او قواعد استخراج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ظهور ناشی از علایق و ارتباط تنگاتنگ میان الفاظ و معانی است، دلالتی که از این طریق به دست می‌آید، دلالت تصوری نامیده می‌شود و هیچ امر دیگری غیر از وضع مثل گوینده، شنونده، زمان و مکان القای سخن در آن دخیل نیست؛ بنابراین برای تحصیل معنای یک عبارت، باید دید لفظ در عرف در چه معنایی ظهور دارد و تفهیم و تفاهم هم براساس همین نکته صورت می‌گیرد و همین ظهور که ظهور نوعی کلام است، در نزد عرف، منعقد می‌شود و موضوع اصالت ظهور است و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دو دانش اصول و معناشناسی، دلالت و صورت معنا، به محض کاربرد لفظ، در ذهن پدیدار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تبادل و ارتباط واقعی مسئله‌ای که مورد نظر مخاطب است و گوینده هم آن را قصد می‌کند، اینکه او با اظهار این کلام چه چیزی را قصد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مرحلة معنا که در معناشناسی اظهار نامیده می‌شود و توجه به بافت و گوینده و مخاطب، در زمان و مکان تولید سخن دخیل است با مرحلة دلالت تصدیقی ثانوی قرابت دارد؛ امّا در اصول، بین مراد استعمالی و جدی تفکیک می‌شود؛ یعنی دو ظهور استعمالی و جدی داریم و مراد استعمالی تغییر نمی‌کند، تنها چیزی که تغییر می‌کند مراد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حالیه و مقالیه در همین مرحله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آیات و روایات و احوال و زمان نزول آنها اهمیت زیادی دارد و در همین مرحله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بافت و قراین در معناشناسی و اصول در این مرحله نقش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دیگر اینکه خطابات شرعیه آیا فقط موجودین در زمان خطاب را شامل می‌شود یا اعم است؟ </w:t>
      </w:r>
    </w:p>
    <w:p>
      <w:pPr>
        <w:pStyle w:val="BookText"/>
        <w:rPr/>
      </w:pPr>
      <w:r>
        <w:rPr>
          <w:rFonts w:ascii="IRNazanin" w:hAnsi="IRNazanin" w:eastAsia="IRNazanin"/>
          <w:color w:val="111111"/>
          <w:sz w:val="28"/>
          <w:sz w:val="28"/>
          <w:szCs w:val="28"/>
          <w:rtl w:val="true"/>
          <w:lang w:bidi="fa-IR"/>
        </w:rPr>
        <w:t>مرحوم محقق قمی مخاطبان و شنوندگان ظواهر را به سه گروه تقسیم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مستقیماً مقصود به افهامند، یعنی قصد اصلی گوینده آن است که مراد و مقصودش را به اینها بفهماند؛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مستقیماً مقصود گوینده افهام مراد به آنان است و نه منظورش عدم تفهیم به آنان است، بلکه نسبت به آنها بی‌تفاوت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نه تنها هدف متکلم فهمیدن آنان نیست، بلکه غرض این است که آنان متوجه نشوند و مراد متکلم را نفهمند؛ مثلاً زید نزد دوستش اعتراف می‌کرد که یکی از او مبلغی طلبکار است و به‌صورت نجوا با او سخن می‌گفت و نمی‌خواست فرد ثالثی که کنار آن دو نشسته بفهمد، ولی اتفاقاً فرد ثالث این اقرار را شنید؛ درحالی‌که مقصود عدم افهام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نسبت به غیر مقصودین بالافهام حجیت ندارد و دو مثال 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قرآن نسبت به ما و امثال ما که در آن عصر موجود نبودیم، این خطابات قرآن خطاب شفاهی است و مختص به موجودین است و مقصودین بالافهام آنها بوده‌اند، پس ما نمی‌توانیم ظاهر قرآن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به‌صورت سؤال و جواب می‌باشد که سائل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و او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عظیمی از روایات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تنها سائل حق دارد به ظاهر جواب اکتفا کند و چون مقصود بالافهام او بوده، اما دیگران حق ندارند به ظاهر تمسک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دانشمندان علم اصول بر این سخن میرزا و تفصیل وی اعتراض داشته، آن را مورد مناقشه قرار داده‌اند و از فحوای سخن ایشان چنین فهمیده می‌شود که نسبت به کلمات معمولی و عرفی و متداول موجود میان عقلا و نیز مکتوبات آنها و کتب دانشمندان؛ مقصودین بالافهام همگان هستند، ولی نسبت به خطابات قرآن و آن دسته از روایات که در جواب سؤال داده شده، مقصود به افهام خصوص مشافهین و حاضرین جلسه هستند، نه دیگران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تفصیلی که محقق قمی بین مقصود بالافهام و غیر مقصود بالافهام قائل شده، ظهور نسبت به اولی حجّت است، زیرا وجود قرینة متصله‌ای که مورد التفات قرار نگرفته در حق مقصود بالافهام احتمال نمی‌رود، مگر از باب غفلت، که در این صورت با اصالت </w:t>
      </w:r>
    </w:p>
    <w:p>
      <w:pPr>
        <w:pStyle w:val="BookText"/>
        <w:rPr/>
      </w:pPr>
      <w:r>
        <w:rPr>
          <w:rFonts w:ascii="IRNazanin" w:hAnsi="IRNazanin" w:eastAsia="IRNazanin"/>
          <w:color w:val="111111"/>
          <w:sz w:val="28"/>
          <w:sz w:val="28"/>
          <w:szCs w:val="28"/>
          <w:rtl w:val="true"/>
          <w:lang w:bidi="fa-IR"/>
        </w:rPr>
        <w:t xml:space="preserve">عدم غفلت که یک اصل عقلایی است نفی می‌شود، زیرا غفلت خلاف طبع عقلایی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نسبت به غیر مقصود بالافهام، احتمال وجود قرینة متصله منشأش تنها غفلت نیست، بلکه منشأ دیگری دارد و آن احتمال اعتماد متکلم بر قرینه است، سپس توافق بر قرینة بین خودش و مقصود بالافهام، و این احتمال شایستة اصالت و عدم غفلت نیست تا نفیش کند، پس ظهور در حق آن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اصولیون مثل محقق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خراسانی،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تفصیل، جواب داده‌اند که اصالت عدم قرینه اصل عقلایی مستقل در قبال اصالت عدم غفلت است که برای نفی احتمال قرینه در حالت مذکور جاری می‌شود و به اصالت عدم غفلت برنمی‌گردد؛ لذا غیر مقصود بالافهام اصالت عدم قرینه را مانند مقصود بالافهام جاری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پاسخ به معترضان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از بیان کافی نیست به اینکه اصل عقلایی نزد عقلا از باب کاشفیت نوعیة حجت است نه از باب تعبّد صرف، و اصالت عدم قرینه هیچ کاشفیتی ندارد، مگر از ناحیة اصالت عدم غفلت، پس اگر قرینة متصل از ناحیة سمع سامع احتمال داشته باشد، اصالت عدم قرینه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بین مقصود بالافهام و غیرمقصود بالافهام مخدوش است، و آن را به معنی مخاطب و غیر مخاطب تفسیر می‌کنیم و می‌گوییم منشا شک برای غیر مخاطب در مراد متکلم و احتمال اراده‌اش برخلاف ظاهر منحصر در پنج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شخص غیر مقصود بالافهام در ارادة متکلم برای معنای ظاهر یکی از امور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اینکه متکلم مقصودش را پنهان کند و غیرمرید برای تفهیم مقصودش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اینکه متکلم اعتماد کند بر قرینة منفصله؛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اینکه متکلم اعتماد کند بر قرینة متصله‌ای که سامع از آن غافل شده‌است؛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اینکه متکلم اعتماد کند بر قرینة دارای دلالت خاصّی که بر آن قرینه بین </w:t>
      </w:r>
    </w:p>
    <w:p>
      <w:pPr>
        <w:pStyle w:val="BookText"/>
        <w:rPr/>
      </w:pPr>
      <w:r>
        <w:rPr>
          <w:rFonts w:ascii="IRNazanin" w:hAnsi="IRNazanin" w:eastAsia="IRNazanin"/>
          <w:color w:val="111111"/>
          <w:sz w:val="28"/>
          <w:sz w:val="28"/>
          <w:szCs w:val="28"/>
          <w:rtl w:val="true"/>
          <w:lang w:bidi="fa-IR"/>
        </w:rPr>
        <w:t>متکلم و شخص دیگر که نظر متکلم به آن بود اتفاق شده‌است؛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وجود قرینة متصله‌ای که سامع به آن توجه دارد ولیکن برای ما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هر یک از احتمالات پنج‌گانه چنین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نفی می‌شود به اینکه حال متکلم ظهور در این دارد که در مقام بیان و تفهیم مرادش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نفی می‌شود به ظهور حال متکلم در اینکه ما یقوله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می‌گوید اراده کرده، یعنی او در مقام تفهیم مرادش است به شخص آن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نفی می‌شود به اصالت عدم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نفی می‌شود به ظهور حال متکلم عرفی در استعمال ادوات عرفی برای تفهیم و جاری کردن بر وفق اسالیب تعبیر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پنجم نفی می‌شود به شهادت ناقل به عدم حذف قرائن خاصه‌ای که در فهم مرادش نقش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هاشمی،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احتمالات پنج‌گانه به دست می‌آید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احتمالات مذکور صلاحیت ندارند که ملاک برای تفصیل بین مخاطب و غیر مخاطب باشند؛ لذا فرقی بین مخاطب و غیر مخاطب نیست و نتیجتاً هیچ اساسی در تفصیل بین مقصود بالافهام و غیر مقصود بالافهام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از باب مماشات و همراهی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پذیرش تفصیل مذکور، نوبت به بحث از این می‌رسد که آیا ما مقصود به افهام در کلمات ائمه هستیم یا نه؟ اینکه ما مقصودین بالافهام هستیم از واضحات است، زیرا ادله فقط درصدد بیان احکام مشترک بین ما و مثلاً زراره هست، نه درصدد بیان احکام خاصّ به زراره، پس زمانی که حکم عام باشد، قصد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کتاب کریم هم شکی نیست که ما مقصود به افهام هستیم، و این کتاب برای عالم نازل شده و در آن بر قرینة حالیه برای عصر نزول اعتماد نمی‌شود، پس ظاهرش برای ما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حائری،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مظفر هم پس از تسلیم نسبت به تفصیل مذکور تطبیق این کبرای کلی را که ظواهر نزد مقصودین به افهام حجت است، در خصوص کتاب و سنت ناتمام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مجزّا کتاب و سنت را از نظر ایشان بررسی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چه مقصودین بالافهام خصوص مشافهین باشند و چه نباشند، برای ما به حکم آیات و روایات و اجماع علما ثابت شده تکالیفی که در قرآن بیان شده عام است و اختصاص به مشافهین ندارد و به حکم عقل لازم است که این تکالیف مقرون به یک سلسله قرائنی نباشد که بر غیر مشافهین مخفی باشد، و الّا نقض غرض است و قبیح و مولای حکیم کار قبیح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بر این غیر مقبول است که در خطابات قرآن مقصودین بالافهام، خصوص مشافهین باشند، درست است که مشافهین مخاطبین این آیات بوده‌اند؛ امّا اینکه مقصود بالافهام فقط آنها باشند، ادعایی بی‌اساس و کلی است و مسلم است که مقصودین بالافهام همة مکلفین و مسلمین تا روز قیامت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اکثراً شامل تکالیف عامی هستند که برای همة مکلفین صادر شده و مقصود به آنها احتمال همه حتی غیر مشافهین است، و تعداد روایاتی که مقصود آنها افهام مشافهین بوده، قلیل است که آن هم جواب‌هایی است که در پاسخ به سؤالات خاص صادر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یادشده این نکته به دست می‌آید که وقتی غور در روایات صادره از ائمه می‌نماییم، اکثراً روایاتی هستند که در جواب سؤال سائلی نبوده‌اند و امام با توجه به آن موقعیت و شرایطی که در آن قرار داشته‌اند، یک مطلب کلی را تفهیم نموده‌اند؛ به گونه‌ای که قابل سرایت و جریان در تمام زمان‌ها و مکان‌هاست؛ مثل کل شیء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آن قلیل روایات هم که در پاسخ به مسائل، صادر شده می‌توانند بنا به دلایل خاص علمای اصول افادة عموم کنند، خصوصاً با توجه اینکه ما در راوی وثاقت و امانتداری و عدم خیانت را شرط نمودیم و اگر قرائنی در کلام بوده باشد که دخیل در ظهور کلام باشد، حتماً راوی می‌آورد؛ علت انسدادی شدن مرحوم میرزای قمی در این است که ایشان ظواهر کتاب و سنت را نسبت به ما که مقصود افهام نمی‌باشیم، حجت نمی‌داند؛ لذا قائل به انسداد باب علم و علمی شده و نهایتاً ظن انسدادی را حجّت می‌داند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به این مسئله براساس تحلیل زبانی، خود خطاب است بدین صورت که اصلاً منظور از خطاب موجه بودن به دیگری است با رساندن پیام به‌سوی آن شخص به هر وسیله که باشد این مسئله تحقق مییابد خواه آن دیگر حاضر باشد یا غایب، حقیقت خطاب تشافه نیست تا اختصاص به حاضر در مجلس داشته باشد</w:t>
      </w:r>
      <w:r>
        <w:rPr>
          <w:rFonts w:eastAsia="IRNazanin" w:cs="IRNazanin"/>
          <w:color w:val="111111"/>
          <w:sz w:val="28"/>
          <w:szCs w:val="28"/>
          <w:rtl w:val="true"/>
          <w:lang w:bidi="fa-IR"/>
        </w:rPr>
        <w:t xml:space="preserve">. </w:t>
      </w:r>
      <w:bookmarkStart w:id="231" w:name="pg5825_38318"/>
    </w:p>
    <w:p>
      <w:pPr>
        <w:pStyle w:val="Heading3"/>
        <w:numPr>
          <w:ilvl w:val="2"/>
          <w:numId w:val="1"/>
        </w:numPr>
        <w:rPr/>
      </w:pPr>
      <w:bookmarkStart w:id="232" w:name="__RefHeading___Toc4623485_581953129"/>
      <w:bookmarkStart w:id="233" w:name="_Toc89"/>
      <w:bookmarkEnd w:id="231"/>
      <w:bookmarkEnd w:id="232"/>
      <w:r>
        <w:rPr>
          <w:rtl w:val="true"/>
        </w:rPr>
        <w:t>تشخیص ظهور</w:t>
      </w:r>
      <w:bookmarkEnd w:id="233"/>
    </w:p>
    <w:p>
      <w:pPr>
        <w:pStyle w:val="BookText"/>
        <w:rPr/>
      </w:pPr>
      <w:r>
        <w:rPr>
          <w:rFonts w:ascii="IRNazanin" w:hAnsi="IRNazanin" w:eastAsia="IRNazanin"/>
          <w:color w:val="111111"/>
          <w:sz w:val="28"/>
          <w:sz w:val="28"/>
          <w:szCs w:val="28"/>
          <w:rtl w:val="true"/>
          <w:lang w:bidi="fa-IR"/>
        </w:rPr>
        <w:t>بعد از تبیین حجیّت ظهورات الفاظ، طرق تشخیص ظهورات الفاظ بیان می‌شود تا فقیه با کنار هم نهادن صغریات و کبرای اصالة ظهور به نتیجة مطلوب برسد و این استدلال در قالب شکل اوّل قیاس منطقی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لفظ ظاهر در این معنی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ظاهر لفظی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 لفظ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صیغة فعل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صیغه افعل ظاهر در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ظاهری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افعل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عالم شرعیات تطبیقش بدین شکل است؛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فعل امری ظاهر در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ظاهر در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کلیت ظهور را به آن ضمیمه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ظاهر در وجوب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ظاهری حجّت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حجّت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تشخیص ظهور در دو مجال محقق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معنای موضوعٌ‌له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معنای حقیقی که متکلم اراده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قرینه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صارفه، زمانی که متکلم معنای مجازی را اراده کند، باعث انصراف لفظ از معنای حقیقی به معنای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معینه، زمانی که لفظ مثل الفاظ مشترکه بر بیش از یک معنا دلالت کند،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زمانی که مراد متکلم را شناخت از طریق وضع یا قرینه با دو قسمش به نتیجة مطلوب دست می‌یازد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زمانی که در هر یک از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موضوعٌ‌له و وجود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طرقی در این صورت اخذ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استعمالات اهل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اجتهادات لغویین و اقوال و ادّله‌شان را جمع می‌کند و با تأنّی و نظر به معنای مقصود در آیه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علامات حقیقت مثل تبادر و صحت حمل و عدم 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ظهور تصوری و تصدیقی، شهید صدر ظهور را به ظهور حالی و تضمنی تقسیم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وزان حجیت ظهور لفظی، ظهور حال هم گرچه از نوع لفظ نیست،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برای حال، مدلول عرفی باشد که به ذهن شخص سبقت گیرد، آن را اخذ می‌کند؛ اما اثبات حجیّت برای ظواهر غیر لفظی از طریق سیرة متشرعه ممکن نیست؛ چون طریق اثبات سیرة متشرعه در ظواهر لفظی قابل تطبیق با این مقام نیست، بدان رو که ظواهر حالیة مجرد از الفاظ آن‌قدر شیوع ندارند که بتوان سیره را از حالات مختلف انتزاع کرد، همچنان‌که اثبات حجیت برای ظواهر غیر لفظی به‌وسیلة ادلة لفظی هم امکان ندارد؛ چراکه این ظواهر از سنخ کتاب و حدیث و لفظ نیست و تنها دلیل آن سیرة عقلائیه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کلام در مطلبی ظهور داشته باشد، ظهورش در آن مطلب ظهور استقلالی است و در هر جزء از اجزای آن مطلب هم ظهور تضمنی دارد؛ مثلاً ادات عموم در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مَنْ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می‌کنیم که در خانه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است، ادات عموم ظهور در شمول برای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دارد، به اعتبار اینکه دلالت بر استیعاب می‌کنند و همچنین این ادات، ظهور ضمنی برای هر فرد از این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دارند و شکی در حجیت همة این ظواهر ضمنی نیست؛ اما زمانی که مخصص منفصلی بیاید، بر عدم وجوب بعضی افراد عام دلالت می‌کند و فرض می‌کنیم این بعض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شامل می‌شود، در این صورت این بعض ظواهر ضمنی به خاطر ورود مخصص، از حجیّت ساقط می‌شوند و این سؤال مطرح می‌شود که آیا ظواهر ضمنی دیگر که شامل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باقی‌مانده هستند، بر حجیت باقی می‌مانند یا نه؟</w:t>
      </w:r>
    </w:p>
    <w:p>
      <w:pPr>
        <w:pStyle w:val="BookText"/>
        <w:rPr/>
      </w:pPr>
      <w:r>
        <w:rPr>
          <w:rFonts w:ascii="IRNazanin" w:hAnsi="IRNazanin" w:eastAsia="IRNazanin"/>
          <w:color w:val="111111"/>
          <w:sz w:val="28"/>
          <w:sz w:val="28"/>
          <w:szCs w:val="28"/>
          <w:rtl w:val="true"/>
          <w:lang w:bidi="fa-IR"/>
        </w:rPr>
        <w:t>قول به اوّلی بدین معناست که ظهور تضمنی در حجیّت تابع ظهور استقلالی نیست و قول به دوّمی معنایش تبعیّت است، همچنان‌که دلالت التزامی در حجیت تابع دلالت مطابقی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علمی بین این دو قول در این است که بنا به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عدم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حکم برای تمام کسانی که تخصیص شاملشان می‌شود، به عام تمسک می‌جوییم و بنا به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همة ظواهر تضمنی ساقط می‌شود و دیگر دلیلی بر اینکه آیا حکم شامل می‌شود یا نه، نمی‌ماند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اصولیون همچون بلخی قائل به سقوط حجیت تمام ظواهر و دلالات تضمنّی </w:t>
      </w:r>
      <w:bookmarkStart w:id="234" w:name="pg5825_38321"/>
    </w:p>
    <w:p>
      <w:pPr>
        <w:pStyle w:val="BookText"/>
        <w:rPr/>
      </w:pPr>
      <w:bookmarkEnd w:id="234"/>
      <w:r>
        <w:rPr>
          <w:rFonts w:ascii="IRNazanin" w:hAnsi="IRNazanin" w:eastAsia="IRNazanin"/>
          <w:color w:val="111111"/>
          <w:sz w:val="28"/>
          <w:sz w:val="28"/>
          <w:szCs w:val="28"/>
          <w:rtl w:val="true"/>
          <w:lang w:bidi="fa-IR"/>
        </w:rPr>
        <w:t xml:space="preserve">شدند، ازآن‌رو که ظهور کلام برای هر یک نفر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اعتبار نکتة واحدی است که همان ظهور تصدیقی استعمال ادات عموم در معنای حقیقی استیعاب است؛ لذا کشف می‌کنیم که متکلم با ظهور حالش مخالفت می‌کند و لفظ را در معنای مجازی به کار می‌برد؛ بنابراین همة ظواهر ضمنی ساقط از حجّت می‌شوند، زیرا متّکای آنها ظهور حالی است که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چنین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مخصص منفصل، کاشف از مخالفت متکلم با ظهور حالش در استعمال ادات در معنای حقیقی نیست و تنها کاشف از عدم تعلّق ارادة جدیّ‌اش به اکرام افرادی است که مخصص به آنها رسیده، و این ظهور را که ظهور تصدیقی اول می‌نامیم، محفوظ است و در ظهور تصدیقی ثانی تصرف می‌کنیم که همان ظهور حال متکلم است که آنچه می‌گوید و ابراز می‌کند در لفظ، همان مراد جدّی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خراسانی،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نظر شهید صدر را در خصوص ظهور تضمنی می‌آوریم،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نکتة واحد‌ی که بر آن تأکید نمودیم، همان ظهور حال متکلم است که لفظ را در معنای حقیقی استعمال کند و نکتة هر یک از این ظواهر مستقل از نکتة بقیه است؛ زیرا هر جزء از اجزای مدلول کلام، ظهور در حجیت دارد، پس زمانی که علم به بطلان این ظهور در برخی از اجزای کلام پیدا کنیم، رفع ید از ظهور جدی اجزای دیگر از مدلول کلام جایز نیست و لذا ثابت می‌شود که عام در بقیه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235" w:name="__RefHeading___Toc4623487_581953129"/>
      <w:bookmarkStart w:id="236" w:name="_Toc90"/>
      <w:bookmarkEnd w:id="235"/>
      <w:r>
        <w:rPr>
          <w:rtl w:val="true"/>
        </w:rPr>
        <w:t>نتیجه</w:t>
      </w:r>
      <w:r>
        <w:rPr>
          <w:rtl w:val="true"/>
        </w:rPr>
        <w:softHyphen/>
      </w:r>
      <w:r>
        <w:rPr>
          <w:rtl w:val="true"/>
        </w:rPr>
        <w:t>گیری</w:t>
      </w:r>
      <w:bookmarkEnd w:id="23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نوشتار حاضر روشن میشود که ارتباط دوسویه و نقطة مشترکی بین مباحث زبانشناسی و مباحث الفاظ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مبحث اصالت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مثلاً بحث از قراین حالیه و مقالیه، بحث از حجیت ظهور، اصل صدق در سخن، اصل همکاری یا ارادة جدی و استعمالی جملگی از مباحثی است که در زبانشناسی مورد اهتمام قرار گرفته‌است؛ بنابراین برای تحصیل معنای یک عبارت، باید دید لفظ در عرف در چه معنایی ظهور دارد و تفهیم و تفاهم هم براساس همین نکته صورت میگیرد و همین ظهور که ظهور نوعی کلام است، در نزد عرف، منعقد میشود و موضوع اصالت ظهور است و اثبات شد که حجیت دارد؛ لذا نقطة ثقل فهم آیات و روایات در همین حجیت ظهور و توجه به </w:t>
      </w:r>
      <w:bookmarkStart w:id="237" w:name="pg5825_38323"/>
    </w:p>
    <w:p>
      <w:pPr>
        <w:pStyle w:val="BookText"/>
        <w:rPr/>
      </w:pPr>
      <w:bookmarkEnd w:id="237"/>
      <w:r>
        <w:rPr>
          <w:rFonts w:ascii="IRNazanin" w:hAnsi="IRNazanin" w:eastAsia="IRNazanin"/>
          <w:color w:val="111111"/>
          <w:sz w:val="28"/>
          <w:sz w:val="28"/>
          <w:szCs w:val="28"/>
          <w:rtl w:val="true"/>
          <w:lang w:bidi="fa-IR"/>
        </w:rPr>
        <w:t xml:space="preserve">بافت و قراین حالیه و مقالیه در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زبانشناسی میباشد و با تکیه بر این مباحث به ضرس قاطع میتوان گفت که ظهورات کلام و خطابات قرآنی نه تنها نسبت به مقصودین بالافهام، بلکه نسبت به غیر مقصودین بالافهام و غابیین نیز حجت است</w:t>
      </w:r>
      <w:r>
        <w:rPr>
          <w:rFonts w:eastAsia="IRNazanin" w:cs="IRNazanin"/>
          <w:color w:val="111111"/>
          <w:sz w:val="28"/>
          <w:szCs w:val="28"/>
          <w:rtl w:val="true"/>
          <w:lang w:bidi="fa-IR"/>
        </w:rPr>
        <w:t>.</w:t>
      </w:r>
    </w:p>
    <w:p>
      <w:pPr>
        <w:pStyle w:val="Heading3"/>
        <w:numPr>
          <w:ilvl w:val="2"/>
          <w:numId w:val="1"/>
        </w:numPr>
        <w:rPr/>
      </w:pPr>
      <w:bookmarkStart w:id="238" w:name="__RefHeading___Toc4623489_581953129"/>
      <w:bookmarkStart w:id="239" w:name="_Toc91"/>
      <w:bookmarkEnd w:id="238"/>
      <w:r>
        <w:rPr>
          <w:rtl w:val="true"/>
        </w:rPr>
        <w:t>منابع</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الحائری، السیدکاظم،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مباحث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فضلی، عبدالهادی،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دروس فی اصول الفقه،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اصول الفقه،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شیخ‌مرتضی،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محمدکاظم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کفاﻳﺔ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مصباح الاصول، الجزء الثانی،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ﻣﻜﺘﺒﺔ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سیدمحمدباقر،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 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الابحاث و الدراسات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قائمی‌نیا، علیرضا،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بیولوژی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نشانه‌شناسی و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میرزاابوالقاسم،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قوانین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عملیة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خراسانی، محمدعلی،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 فوائد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سیدمصطفی،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مباحثی از اصول فقه، دفتر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علوم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خراسانی، علی،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شرح کفایة الاصول،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شرح اصول فقه،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سیدمحمود،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بحوث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العلمی للشهید الصدر</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5825_38326"/>
      <w:bookmarkStart w:id="241" w:name="pg5825_38326"/>
      <w:bookmarkEnd w:id="241"/>
    </w:p>
    <w:p>
      <w:pPr>
        <w:pStyle w:val="Heading2"/>
        <w:numPr>
          <w:ilvl w:val="1"/>
          <w:numId w:val="1"/>
        </w:numPr>
        <w:rPr/>
      </w:pPr>
      <w:bookmarkStart w:id="242" w:name="pg5825_38326"/>
      <w:bookmarkStart w:id="243" w:name="__RefHeading___Toc4623491_581953129"/>
      <w:bookmarkStart w:id="244" w:name="_Toc92"/>
      <w:bookmarkEnd w:id="242"/>
      <w:bookmarkEnd w:id="243"/>
      <w:r>
        <w:rPr>
          <w:rtl w:val="true"/>
        </w:rPr>
        <w:t xml:space="preserve">تبیین و نقد برهان همزاد زمین </w:t>
      </w:r>
      <w:r>
        <w:rPr>
          <w:rtl w:val="true"/>
        </w:rPr>
        <w:t xml:space="preserve">/ </w:t>
      </w:r>
      <w:r>
        <w:rPr>
          <w:rtl w:val="true"/>
        </w:rPr>
        <w:t>احمد امامی</w:t>
      </w:r>
      <w:bookmarkEnd w:id="244"/>
    </w:p>
    <w:p>
      <w:pPr>
        <w:pStyle w:val="Heading3"/>
        <w:numPr>
          <w:ilvl w:val="2"/>
          <w:numId w:val="1"/>
        </w:numPr>
        <w:rPr/>
      </w:pPr>
      <w:bookmarkStart w:id="245" w:name="__RefHeading___Toc4623493_581953129"/>
      <w:bookmarkStart w:id="246" w:name="_Toc9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تبیین و نقد برهان همزاد زمین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احمد امامی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7/8/89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p>
    <w:p>
      <w:pPr>
        <w:pStyle w:val="Heading3"/>
        <w:numPr>
          <w:ilvl w:val="2"/>
          <w:numId w:val="1"/>
        </w:numPr>
        <w:rPr/>
      </w:pPr>
      <w:bookmarkStart w:id="247" w:name="__RefHeading___Toc4623495_581953129"/>
      <w:bookmarkStart w:id="248" w:name="_Toc94"/>
      <w:bookmarkEnd w:id="247"/>
      <w:r>
        <w:rPr>
          <w:rtl w:val="true"/>
        </w:rPr>
        <w:t>چکیده</w:t>
      </w:r>
      <w:bookmarkEnd w:id="248"/>
    </w:p>
    <w:p>
      <w:pPr>
        <w:pStyle w:val="BookText"/>
        <w:rPr/>
      </w:pPr>
      <w:r>
        <w:rPr>
          <w:rFonts w:ascii="IRNazanin" w:hAnsi="IRNazanin" w:eastAsia="IRNazanin"/>
          <w:color w:val="111111"/>
          <w:sz w:val="28"/>
          <w:sz w:val="28"/>
          <w:szCs w:val="28"/>
          <w:rtl w:val="true"/>
          <w:lang w:bidi="fa-IR"/>
        </w:rPr>
        <w:t>در این نوشتار، نخست به نظریة دلالت مستقیم در اسامی خاص اشاره شده، سپس نظر هیلاری پاتنم دربارة دلالت مستقیم کلمات دال بر انواع طبیعی بیان می‌شود و در ادامه، برداشت پاتنم از نظریة معناشناسی سنتی، به‌ویژه نظریة معناشناختی فرگه، و نقدهای وی نسبت به آن، موضوع بحث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برهان همزاد زمین، و نقد تفصیلی آن، پایان‌بخش مقاله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بیرونی‌گرایی معناشناختی، نظریة دلالت مستقیم، نظریة علّی دلالت، برهان همزاد زمین</w:t>
      </w:r>
      <w:r>
        <w:rPr>
          <w:rFonts w:eastAsia="IRNazanin" w:cs="IRNazanin"/>
          <w:color w:val="111111"/>
          <w:sz w:val="28"/>
          <w:szCs w:val="28"/>
          <w:rtl w:val="true"/>
          <w:lang w:bidi="fa-IR"/>
        </w:rPr>
        <w:t>.</w:t>
      </w:r>
    </w:p>
    <w:p>
      <w:pPr>
        <w:pStyle w:val="Heading3"/>
        <w:numPr>
          <w:ilvl w:val="2"/>
          <w:numId w:val="1"/>
        </w:numPr>
        <w:rPr/>
      </w:pPr>
      <w:bookmarkStart w:id="249" w:name="__RefHeading___Toc4623497_581953129"/>
      <w:bookmarkStart w:id="250" w:name="_Toc95"/>
      <w:bookmarkEnd w:id="249"/>
      <w:r>
        <w:rPr>
          <w:rtl w:val="true"/>
        </w:rPr>
        <w:t>مقدمه</w:t>
      </w:r>
      <w:bookmarkEnd w:id="2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همزاد زمین، یک آزمایش فکری، مبتنی بر فرضی تخیلی است که به‌وسیلة هیلاری پاتنم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Hilary Putnam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فیلسوف تحلیلی معاصر، برای اثبات گونه‌ای از دیدگاه بیرونی‌گرایی معنا‌شناختی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 Externalism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اقامه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حقیقت، نقدی بر نظام معناشناسی فرگه‌ای و رد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پاتنم، معناشناسی </w:t>
      </w:r>
      <w:bookmarkStart w:id="251" w:name="pg5825_38328"/>
    </w:p>
    <w:p>
      <w:pPr>
        <w:pStyle w:val="BookText"/>
        <w:rPr/>
      </w:pPr>
      <w:bookmarkEnd w:id="251"/>
      <w:r>
        <w:rPr>
          <w:rFonts w:ascii="IRNazanin" w:hAnsi="IRNazanin" w:eastAsia="IRNazanin"/>
          <w:color w:val="111111"/>
          <w:sz w:val="28"/>
          <w:sz w:val="28"/>
          <w:szCs w:val="28"/>
          <w:rtl w:val="true"/>
          <w:lang w:bidi="fa-IR"/>
        </w:rPr>
        <w:t xml:space="preserve">سنتی که مبتنی بر دوگانگی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یا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است، دو خصیصة ذهن‌گرایانه و فردگرایانه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معناشناختی پاتنم، درست در نقطة مقابل این نظرگاه قرار دارد و به دنبال اثبات وجهی اجتماعی و برونی برای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وی مقدمه‌ای برای رد رئالیسم متافیزیکی از سوی او و دفاع از نظریة رئالیسم درونی وی قرار گرفته‌است، و پایة تقریر او از رئالیسم علمی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محوری‌ترین و اثر‌گذارترین مسئله در اندیشة پاتنم، نظریة بیرونی‌گرایی معناشناختی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دیدگاه معناشناختی پاتنم، نیازمند مجال گسترده‌ای است؛ لکن مهم‌ترین استدلالی که به نفع این دیدگاه اقامه شده و می‌توان آن را مغز دیدگاه معناشناختی پاتنم نامید، برهان همزاد زمین است که ما آن را موضوع بررسی خود قرار داده‌ایم</w:t>
      </w:r>
      <w:r>
        <w:rPr>
          <w:rFonts w:eastAsia="IRNazanin" w:cs="IRNazanin"/>
          <w:color w:val="111111"/>
          <w:sz w:val="28"/>
          <w:szCs w:val="28"/>
          <w:rtl w:val="true"/>
          <w:lang w:bidi="fa-IR"/>
        </w:rPr>
        <w:t>.</w:t>
      </w:r>
    </w:p>
    <w:p>
      <w:pPr>
        <w:pStyle w:val="Heading3"/>
        <w:numPr>
          <w:ilvl w:val="2"/>
          <w:numId w:val="1"/>
        </w:numPr>
        <w:rPr/>
      </w:pPr>
      <w:bookmarkStart w:id="252" w:name="__RefHeading___Toc4623499_581953129"/>
      <w:bookmarkStart w:id="253" w:name="_Toc96"/>
      <w:bookmarkEnd w:id="252"/>
      <w:r>
        <w:rPr>
          <w:rtl w:val="true"/>
        </w:rPr>
        <w:t>نظریة دلالت مستقیم</w:t>
      </w:r>
      <w:bookmarkEnd w:id="253"/>
    </w:p>
    <w:p>
      <w:pPr>
        <w:pStyle w:val="BookText"/>
        <w:rPr/>
      </w:pPr>
      <w:r>
        <w:rPr>
          <w:rFonts w:ascii="IRNazanin" w:hAnsi="IRNazanin" w:eastAsia="IRNazanin"/>
          <w:color w:val="111111"/>
          <w:sz w:val="28"/>
          <w:sz w:val="28"/>
          <w:szCs w:val="28"/>
          <w:rtl w:val="true"/>
          <w:lang w:bidi="fa-IR"/>
        </w:rPr>
        <w:t>نظریة دلالت مستقیم، دیدگاهی دربارة نحوة دلالت اسامی خاص بر مصادیق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معتقدند این اسامی، صرفاً نشانه و اداتی برای نشان دادن مصداق خود هستند؛ به عبارت دیگر، این اسامی مانند یک انگ، یا برچسب‌اند، به نحوی که میان آنها و مصداقشان به نحو تعیینی یا تعینی رابطه‌ای برقرار شده‌است تا این اسامی، مشخص‌کننده و نشانگر آن مصداق‌ها باشند و جز این، هیچ شأن و نقشی ندارند؛ برخلاف وصف‌های مختص که لزوماً با واسطگی وصف و مفهوم بر مصادیقشان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نقطة مقابل، طرفداران نظریة دلالت غیرمستقیم در اسامی خاص، معتقدند که این اسامی با واسطگی وصف و مفهوم بر مصادیقشان دلالت می‌کنند؛ از همین روی، این دیدگاه به نظریة توصیفی دلالت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 Theory Of Reference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شده‌است؛ بنابراین به‌طور کلی، نظریة دلالت مستقیم، مدعی آن است که محتوای معنایی یک اسم خاص، متضمن هیچ وصفی به‌عنوان معنای آن اسم نیست و آن اسم بدون واسطة معنا، یعنی مستقیماً بر مصداق خود دلالت دارد و به تعبیر دیگر، محتوای معنایی یک اسم خاص، عبارت است از مصداق آن اسم و بنابراین معنا در این اسامی، بیرونی و عینی است، نه ذهنی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استوارت میل، نخستین کسی است که از نظریة دلالت مستقیم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فرگه، با رد نظر او معتقد به نظریة توصیفی دلالت شد و بعد از وی نیز راسل دیدگاه خاصی را دراین‌باره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کریپکی و برخی از فیلسوفان دیگر نیز نظریة خاصی در مسئلة دلالت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پاتنم در موضوع نظریة دلالت، تا حد بسیاری همراه و هم‌رأی با </w:t>
      </w:r>
    </w:p>
    <w:p>
      <w:pPr>
        <w:pStyle w:val="BookText"/>
        <w:rPr/>
      </w:pPr>
      <w:r>
        <w:rPr>
          <w:rFonts w:ascii="IRNazanin" w:hAnsi="IRNazanin" w:eastAsia="IRNazanin"/>
          <w:color w:val="111111"/>
          <w:sz w:val="28"/>
          <w:sz w:val="28"/>
          <w:szCs w:val="28"/>
          <w:rtl w:val="true"/>
          <w:lang w:bidi="fa-IR"/>
        </w:rPr>
        <w:t>کریپکی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کریپکی که معتقد به دلالت مستقیم اسامی خاص بر مصادیق خود است، نظریة خود را به واژه‌های دال بر انواع طبیعی نیز تعمیم 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Kripke: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پاتنم نیز به پیروی از وی، برای دفاع از این دیدگاه، کوشش‌های بسیاری نمود که از جملة آنها آزمایش فکری همزاد زمین است؛ البته وی به بحث دربارة اسامی خاص نپرداخته‌است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انواع طبیعی، انواع یا جوهرهای موجود در طبیعت‌اند که دست‌ساز بشر نیستند؛ به عبارت دیگر، تمام جواهر مادی موجود در عالم عین که دست‌ساز بشر نیستند و ویژگی‌های مشترکی دارند که براساس آنها می‌توان آنها را تحت یک طبقه یا گروه از اشیا گنجاند، در این اصطلاح، انواع طبیعی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کریپکی در نوشته‌ای به نام هویت و ضرورت که نخست در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ضمن کتاب نام‌گذاری و ضرورت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استدلال‌هایی طرح کرد تا نشان دهد واژه‌های دال بر انواع طبیعی نیز مانند اسامی خاص، دال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نشانگر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پاتنم در دو مقالۀ آیا معناشناسی ممکن است؟ و معنا و دلالت خود که به‌ترتیب در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شدند، از همین حکم هواداری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کریپکی و پاتنم هر دو معتقدند معنایی که ما از واژه‌ها داریم، به ماهیت واقعی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ازآنجاکه ماهیت واقعی چیزها را بررسی‌های علمی تعیین می‌کنند، ممکن است در پرتو کشفیات علمی، معنای واژه‌های دال بر انواع طبیعی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نظر کریپکی، پاتنم و دیگر رئالیست‌های علمی، معنای واقعی واژه‌ها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مراد از جوهرهای علمی، ماهیت واقعی اشیا آن‌گونه که علم آشکار ساخته‌است،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به‌جد با این اندیشه و ایده که اندیشه‌ها را می‌توان به‌واسطة فرایندهای ذهنی بازشناخت، و معنای واژه‌ها را می‌توان با استعمال واژه‌ها یا تحلیل مفاهیم درون ذهنی فهمید، به مخالفت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در سر قرار ندارند؛ این شعار اوست که برای اثبات آن، بسیار قلم زده و سخن رانده و برهان برپا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این تلاش‌ها او می‌کوشد تا معنا را از وابستگی به ذهن و حالات روانی و فردیت انسان برهاند و به بیرون و صحن واقعیت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دغدغة واقع‌گرایی دارد؛ از این روست که بر این نکته پای می‌فشرد که معانی در سر نیستند و شعار خود را گاه نیز با عباراتی مطایبه‌گونه 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بروید پایین بروید، معانی در سر نیستند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1977: 124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نظریة دلالت پاتنم، کاملاً ناظر به تحولات چند دهة نظریه‌های دلالت از فرگه به بعد </w:t>
      </w:r>
      <w:bookmarkStart w:id="254" w:name="pg5825_38332"/>
    </w:p>
    <w:p>
      <w:pPr>
        <w:pStyle w:val="BookText"/>
        <w:rPr/>
      </w:pPr>
      <w:bookmarkEnd w:id="254"/>
      <w:r>
        <w:rPr>
          <w:rFonts w:ascii="IRNazanin" w:hAnsi="IRNazanin" w:eastAsia="IRNazanin"/>
          <w:color w:val="111111"/>
          <w:sz w:val="28"/>
          <w:sz w:val="28"/>
          <w:szCs w:val="28"/>
          <w:rtl w:val="true"/>
          <w:lang w:bidi="fa-IR"/>
        </w:rPr>
        <w:t>است و به‌ویژه وی دیدگاه خود را بر مبنای نقد فرگه بیان می‌کند و پا به پا، با طرح و نقد نظر وی، دیدگاه خود را جایگزین می‌سازد</w:t>
      </w:r>
      <w:r>
        <w:rPr>
          <w:rFonts w:eastAsia="IRNazanin" w:cs="IRNazanin"/>
          <w:color w:val="111111"/>
          <w:sz w:val="28"/>
          <w:szCs w:val="28"/>
          <w:rtl w:val="true"/>
          <w:lang w:bidi="fa-IR"/>
        </w:rPr>
        <w:t>.</w:t>
      </w:r>
    </w:p>
    <w:p>
      <w:pPr>
        <w:pStyle w:val="Heading3"/>
        <w:numPr>
          <w:ilvl w:val="2"/>
          <w:numId w:val="1"/>
        </w:numPr>
        <w:rPr/>
      </w:pPr>
      <w:bookmarkStart w:id="255" w:name="__RefHeading___Toc4623501_581953129"/>
      <w:bookmarkStart w:id="256" w:name="_Toc97"/>
      <w:bookmarkEnd w:id="255"/>
      <w:r>
        <w:rPr>
          <w:rtl w:val="true"/>
        </w:rPr>
        <w:t>در جست‌وجوی معنای معنا؛ نگاهی بر معناشناسی سنتی</w:t>
      </w:r>
      <w:bookmarkEnd w:id="256"/>
    </w:p>
    <w:p>
      <w:pPr>
        <w:pStyle w:val="BookText"/>
        <w:rPr/>
      </w:pPr>
      <w:r>
        <w:rPr>
          <w:rFonts w:ascii="IRNazanin" w:hAnsi="IRNazanin" w:eastAsia="IRNazanin"/>
          <w:color w:val="111111"/>
          <w:sz w:val="28"/>
          <w:sz w:val="28"/>
          <w:szCs w:val="28"/>
          <w:rtl w:val="true"/>
          <w:lang w:bidi="fa-IR"/>
        </w:rPr>
        <w:t>پاتنم بیشتر در دو مقالة معنای معنا و آیا معناشناسی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جلد دوم مجموعة رسائل پاتنم با عنوان ذهن، زبان و واقعیت</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University Press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دیدگاه‌های خود دربارة معناشناسی و رد و نقد دیدگاه سنتی و نظرگاه‌های فرگه می‌پردازد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همزاد زمین نیز در مقالة معنای معنا 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مقاله، ضمن بررسی نسبت میان معنا و مصداق، و مفهوم و مصداق، بر مشکلات و اشکالات و ابهاماتی که دربارة آنها وجود دارد، انگشت می‌گذارد و تصریح می‌کند که معنا نه مصداق است و نه مفهوم یا تصورات ذهنی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1975: 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او نتیجة ابهام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معانی، هویاتی ذهنی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این دیدگاه را روان‌شناسی‌گرایی می‌نامد، می‌افزاید که البته فرگه و کارنپ و پیروانش، با این استدلال که معنا امری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معنا می‌تواند هم‌زمان، به‌وسیلة فرد دیگری درک شود یا یک معنا می‌تواند موضوع ادراک افراد مختلف در زمان‌های گوناگون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معنا هویتی شخصی و ذهنی داشت، چنین چیزی ممکن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نگرش روان‌شناسی‌گرایانه شوریده‌اند و بنابراین، تصورات یا مفاهیم یا معانی را هویاتی انتزاعی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Abstract Entities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شناخته‌اند نه هویاتی ذهنی، بااین‌حال، آنها فراچنگ آوردن این هویات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همچنان فعالیتی فردی و روان‌شناختی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فلاسفه شک نداشتند که فهم معنای یک کلمه، به معنای قرار گرفتن در یک حالت روان‌شناختی خاص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218-219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پاتنم ضمن رد این انگارة سنتی که مفهوم باید همیشه شرایط ضروری و کافی برای قرار گرفتن تحت مصادیق آن اصطلاح را تأمین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می‌کند که براساس تلقی سنتی از سازوکار فهم معنا، درک معنای یک کلمه، بودن در یک حالت روان‌شناختی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پاتنم، نظریة معنا‌شناسی سنتی، بر دو فرض بی‌چون و چرا تکیه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دانستن معنای یک کلمه، صرفاً بودن در یک حالت روان‌شناختی معین، و مسئله‌ای درون‌ذهنی است، نه بیرونی؛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 یا مفهوم یک کلمه، مصادیق خود را تعیین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معنا که یگانگی در </w:t>
      </w:r>
      <w:bookmarkStart w:id="257" w:name="pg5825_38334"/>
    </w:p>
    <w:p>
      <w:pPr>
        <w:pStyle w:val="BookText"/>
        <w:rPr/>
      </w:pPr>
      <w:bookmarkEnd w:id="257"/>
      <w:r>
        <w:rPr>
          <w:rFonts w:ascii="IRNazanin" w:hAnsi="IRNazanin" w:eastAsia="IRNazanin"/>
          <w:color w:val="111111"/>
          <w:sz w:val="28"/>
          <w:sz w:val="28"/>
          <w:szCs w:val="28"/>
          <w:rtl w:val="true"/>
          <w:lang w:bidi="fa-IR"/>
        </w:rPr>
        <w:t>مفهوم، مستلزم یگانگی در مصداق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219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4623503_581953129"/>
      <w:bookmarkStart w:id="259" w:name="_Toc98"/>
      <w:bookmarkEnd w:id="258"/>
      <w:r>
        <w:rPr>
          <w:rtl w:val="true"/>
        </w:rPr>
        <w:t>حالت روان‌شناختی و خود‌مداری روش‌شناختی</w:t>
      </w:r>
      <w:bookmarkEnd w:id="259"/>
    </w:p>
    <w:p>
      <w:pPr>
        <w:pStyle w:val="BookText"/>
        <w:rPr/>
      </w:pPr>
      <w:r>
        <w:rPr>
          <w:rFonts w:ascii="IRNazanin" w:hAnsi="IRNazanin" w:eastAsia="IRNazanin"/>
          <w:color w:val="111111"/>
          <w:sz w:val="28"/>
          <w:sz w:val="28"/>
          <w:szCs w:val="28"/>
          <w:rtl w:val="true"/>
          <w:lang w:bidi="fa-IR"/>
        </w:rPr>
        <w:t xml:space="preserve">پاتنم مقصود 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می‌کند، و معتقد است وقتی فلاسفة سنتی دربارة حالت روان‌شناختی یا ذهنی، سخن می‌گویند، فرضی را در نظر می‌گیرند که می‌توان آن را خودمداری روش‌شناختی نامید؛ بنابراین فرض، هیچ حالت روان‌شناختی واقعی، وجود هیچ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بدن اندیشنده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پیش‌فرض نمی‌گیرد؛ یعنی حتی یک ذهن بدون بدن می‌تواند حالت روان‌شناختی بدین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در دکارت، آشکارا و در کلیت روان‌شناسی فلسفی سنتی، به‌صورت ضمنی هست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219-222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پاتنم معتقد است براساس تلقی سنتی،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معنا، بودن در یک حالت روان‌شناختی خاص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حالات روان‌شناختی مبتنی بر پیش‌فرضی‌اند که براساس آن، مستلزم وجود هیچ کس جز ذهن فاعل شناسا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پاتنم، فرض خودمداری روش‌شناختی، موجب نوعی محدودسازی دایرة روان‌شناسی در حلقة تنگ ذهنیت و محصور ماندن در آن می‌شود، و همچنین نوعی تجدیدنظر ناگزیر در فهم از حالات روان‌شناختی را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تجدیدنظری فقط در صورتی بجاست که فرض بگیریم حالات روان‌شناختی به معنای خاص آن، دچار بستگی علّی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Causal Closure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اند؛ اما به نظر پاتنم، سه قرن شکست روان‌شناسی ذهنیت‌گرا، گواه شگرفی علیه این فرایند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عبارت دیگر، از دیدگاه پاتنم، خودمداری روش‌شناختی، انسان را داخل فردیت خود زندانی می‌کند، و مجالی برای پذیرش تأثیر علت بیرونی بر معلول‌ها و حوادث ذهنی، و اساساً وجود هستی‌های خارج از محدوده ذهن، باقی نمی‌گذارد</w:t>
      </w:r>
      <w:r>
        <w:rPr>
          <w:rFonts w:eastAsia="IRNazanin" w:cs="IRNazanin"/>
          <w:color w:val="111111"/>
          <w:sz w:val="28"/>
          <w:szCs w:val="28"/>
          <w:rtl w:val="true"/>
          <w:lang w:bidi="fa-IR"/>
        </w:rPr>
        <w:t>.</w:t>
      </w:r>
    </w:p>
    <w:p>
      <w:pPr>
        <w:pStyle w:val="Heading3"/>
        <w:numPr>
          <w:ilvl w:val="2"/>
          <w:numId w:val="1"/>
        </w:numPr>
        <w:rPr/>
      </w:pPr>
      <w:bookmarkStart w:id="260" w:name="__RefHeading___Toc4623505_581953129"/>
      <w:bookmarkStart w:id="261" w:name="_Toc99"/>
      <w:bookmarkEnd w:id="260"/>
      <w:r>
        <w:rPr>
          <w:rtl w:val="true"/>
        </w:rPr>
        <w:t>روان‌شناسی‌گری معناشناسی سنتی</w:t>
      </w:r>
      <w:bookmarkEnd w:id="2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پاتنم می‌گوید طبق فرض معناشناسی سنتی، دانستن معنای یک کلمه، بودن در یک حالت روان‌شناختی خاص است، و از طرف دیگر، مفهوم نیز مصداق را مشخص می‌کند، پس امکان ندارد، دو کس دقیقاً در یک حالت روان‌شناختی باشند، اما مفاهیمی درک کنند که ناظر به مصادیق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ذهن‌گروانه و فردگروانه معناشناسی فرگه‌ای از اینجا کاملاً مشخص است؛ چراکه در این الگو، معنا فقط از طریق تجربة درون ذهنی فرد تعین </w:t>
      </w:r>
      <w:bookmarkStart w:id="262" w:name="pg5825_38335"/>
    </w:p>
    <w:p>
      <w:pPr>
        <w:pStyle w:val="BookText"/>
        <w:rPr/>
      </w:pPr>
      <w:bookmarkEnd w:id="262"/>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ادعای وی دو سخنگو ممکن است دقیقاً در یک حالت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 وجود این، مصداق کلمة الف در گفتار یکی، با مصداق کلمة الف در گفتار دیگری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به‌وسیلة حالت روان‌شناختی تعیین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درست باشد، در آن صورت دو راه پیش روی کسی که می‌خواهد دست کم از یکی از فرض‌های دوگانه سنتی رهایی یابد،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این نظر که حالت روان‌شناختی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را تعیین می‌کند، دست بکشد، یا اینکه از این ایده که مفهوم مصداق را تعیین می‌کند، منصرف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4623507_581953129"/>
      <w:bookmarkStart w:id="264" w:name="_Toc100"/>
      <w:bookmarkEnd w:id="263"/>
      <w:r>
        <w:rPr>
          <w:rtl w:val="true"/>
        </w:rPr>
        <w:t>آیا معانی در سر قرار دارند؟</w:t>
      </w:r>
      <w:bookmarkEnd w:id="2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سؤالی است که پاتنم آن را به نحو انکاری، طرح می‌کند و می‌کوشد از طریق دادن پاسخ منفی به آن، با استفاده از برخی براهین و آزمایش‌های فکری، بنیاد ذهن‌اندیشی معناشناسی سنتی را بر باد دهد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رئالیستی‌اش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دیدگاه، معنای واژه، نه براساس آنچه در ذهن یا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رخ می‌دهد، بلکه به‌واسطة ماهیت واقعی اشیا تثبیت می‌شود و این، واقعیات صحنة عالم عین است که معنای واژه‌ها را تعیین می‌کند نه حالات روان‌شناختی و فرایندهای مغزی و ذهنی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هم‌آوا با کریپکی، مثال‌ها یا به عبارت بهتر، آزمایش‌های فکری متنوعی را با استفاده از تقابل میان مفهوم و مصداق، برای رد ذهن‌گرایی و فرداندیشی معناشناسی سنتی طراحی و بیان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از این استدلال‌ها، در حقیقت، یک واژه با مفهومی واحد، بر چیزهایی که ماهیتاً متفاوتند، اطلاق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استدلال‌ها در حقیقت برای به زیر کشیدن ذهن‌گروی معناشناسی سنتی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استدلال، اثبات این نکته است که معنا به‌وسیلة ماهیت واقعی اشیا تعیین می‌شود، نه مفاهیم، و ازاین‌رو، شرط دانستن معنا، کشف علمی و آگاهی از ماهیت علمی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همزاد زمین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شاید مهم‌ترین استدلال به نفع بیرونی‌گرایی باشد که ما در این نوشتار کوتاه، به نقل و نقد آن بسنده می‌کنیم</w:t>
      </w:r>
      <w:r>
        <w:rPr>
          <w:rFonts w:eastAsia="IRNazanin" w:cs="IRNazanin"/>
          <w:color w:val="111111"/>
          <w:sz w:val="28"/>
          <w:szCs w:val="28"/>
          <w:rtl w:val="true"/>
          <w:lang w:bidi="fa-IR"/>
        </w:rPr>
        <w:t xml:space="preserve">. </w:t>
      </w:r>
      <w:bookmarkStart w:id="265" w:name="pg5825_38337"/>
    </w:p>
    <w:p>
      <w:pPr>
        <w:pStyle w:val="Heading3"/>
        <w:numPr>
          <w:ilvl w:val="2"/>
          <w:numId w:val="1"/>
        </w:numPr>
        <w:rPr/>
      </w:pPr>
      <w:bookmarkStart w:id="266" w:name="__RefHeading___Toc4623509_581953129"/>
      <w:bookmarkStart w:id="267" w:name="_Toc101"/>
      <w:bookmarkEnd w:id="265"/>
      <w:bookmarkEnd w:id="266"/>
      <w:r>
        <w:rPr>
          <w:rtl w:val="true"/>
        </w:rPr>
        <w:t xml:space="preserve">برهان همزاد زمین </w:t>
      </w:r>
      <w:r>
        <w:rPr>
          <w:rtl w:val="true"/>
        </w:rPr>
        <w:t>(</w:t>
      </w:r>
      <w:r>
        <w:rPr/>
        <w:t>The Twin Earth Argument</w:t>
      </w:r>
      <w:r>
        <w:rPr>
          <w:rtl w:val="true"/>
        </w:rPr>
        <w:t>)</w:t>
      </w:r>
      <w:bookmarkEnd w:id="267"/>
    </w:p>
    <w:p>
      <w:pPr>
        <w:pStyle w:val="BookText"/>
        <w:rPr/>
      </w:pPr>
      <w:r>
        <w:rPr>
          <w:rFonts w:ascii="IRNazanin" w:hAnsi="IRNazanin" w:eastAsia="IRNazanin"/>
          <w:color w:val="111111"/>
          <w:sz w:val="28"/>
          <w:sz w:val="28"/>
          <w:szCs w:val="28"/>
          <w:rtl w:val="true"/>
          <w:lang w:bidi="fa-IR"/>
        </w:rPr>
        <w:t xml:space="preserve">چنان‌که رفت، این برهان برای مقابله با ذهن‌گرایی نظریة سنتی طرح می‌شود تا نشان دهد ممکن نیست مصداق به‌وسیلة حالات روانی و فرایندهای مغزی تعیین شود؛ چراکه امکان دارد دو متکلم دقیقاً در یک حالت روانی و ذهنی باشند؛ اما مصداق یک کلمه در زبان فردی یکی از این دو متکلم، با مصداق همان کلمه در زبان فردی متکلم دیگری متفاوت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علمی تخیلی پاتنم بدین صورت است که از ما می‌خواهد تصور کنیم در جایی دوردست در کهکشان، سیاره‌ای همتای زمین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هر لحاظ درست مثل زمین است و حتی مردم آن زمین همتا نیز مانند کرة ما به همان زبان‌های ما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یک ویژگی از زمین ما متفاوت است و آن اینکه در آنجا به جای آب، مایع دیگری وجود دارد که در ظاهر از آب روی زمین تمییزناپذیر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مایع، فرمول بزرگ و پیچیده‌ای دارد و پاتنم برای سهولت در بحث، آن را به شکل اختصاری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ما باید تصور کنیم که برای هر متکلم در روی زمین یک همتا یا دابل‌گنگر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Doppelganger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زمین همتا وجود دارد که بیوگرافی ذهنی این متکلمین همتا، معادل بیوگرافی ذهنی متکلمان همسان آنها بر روی زمین است و حتی اگر بخواهیم دقیق‌تر بگوییم، باید بگوییم همان جریان تداعی‌ها، پدیده‌ها و تصاویر غیر مرتبط ذهنی در ذهن متکلمان زمین و همتایان آنها در زمین همتا نیز وجود دارد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Salmon, 1982: 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اگر یک سفینة زمینی به زمین همتا برود، مسافران در ابتدا گمان خواهند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یکسانی در روی زمین و زمین همتا دارد؛ اما بعد از تشخیص دادن تفاوت فرمول شیمیایی آب زمین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آب زمین همتا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زمینی‌ها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زمین همتا به معنای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معنای دیگری غیر از آب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اگر سفینه‌ای از زمین همتا به زمین سفر کند، مسافران آن مشاهده خواهند کرد که در روی زمین، آب به معنای دیگر و غیر از آن معنایی است که آنها می‌شناسند، یعنی به معنای</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پاتنم تأکید می‌کند که در اینجا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معنای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معنایی که در زمین همتا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می‌شود، آنچه ما در زمین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آب نیست، و همچنین چیزی که آن را در زمین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همان معنا که ما در </w:t>
      </w:r>
    </w:p>
    <w:p>
      <w:pPr>
        <w:pStyle w:val="BookText"/>
        <w:rPr/>
      </w:pPr>
      <w:r>
        <w:rPr>
          <w:rFonts w:ascii="IRNazanin" w:hAnsi="IRNazanin" w:eastAsia="IRNazanin"/>
          <w:color w:val="111111"/>
          <w:sz w:val="28"/>
          <w:sz w:val="28"/>
          <w:szCs w:val="28"/>
          <w:rtl w:val="true"/>
          <w:lang w:bidi="fa-IR"/>
        </w:rPr>
        <w:t>زمین آب را می‌نامیم،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مصداق آب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مولکول‌های</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در زمین همتا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متشکل از مولکول‌های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البته وی تأکید می‌کند که مقصودش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کاربرد معناشناختی آن نیست؛ بلکه مقصود وی این است که وقتی در زمین همتا، کلمة آب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کلمه را به کار می‌برند، مایعی با ساختار شیمیایی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روشن نمی‌سازد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مقاله می‌کوشد آن را بیرونی بداند،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نظریه‌های پیشرفتة شیمی کنونی، ساکنان زمین و زمین همتا قادرند داوری‌های پیش‌گفته را در مورد آب صورت دهند؛ اما اگر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آوریم که ترکیب شیمیایی آب در زمین و زمین همتا ناشناخته بود، باز هم مصداق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همزاد زمین، مانند امروز،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مصداق این کلمه در روی زمین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احمد و همزادش با اینکه در حالت روان‌شناختی یکسانی قرار داشتند، کلمة آب را به‌طور متفاوتی می‌فهمیدند؛ بنابراین مصداق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کاربرد حسی پیش‌تحلیلی آن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 The Intuitive Preanalytical Usage Of That Term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تابعی از حالت روان‌شناختی سخنگو فی‌نفسه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1975: 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نکتة اصلی استدلال پاتنم این است که نشان دهد در این حالت، متکلمان زمین تنها با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متکلمان همتای زمین تنها با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 زمینی احمد، و همزاد او در همتای زمین، کلمة آب را به کار می‌برند، هر دو در یک حالت روانی به سر می‌برند و بازنمودهای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ذهن دارند، و همة تداعی‌های ذهنی که برای یکی حاصل می‌شود، عیناً مشابه تداعی‌هایی است که برای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کلمة آب را به کار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آب را براساس خصیصه‌های غیر قابل تمییزش می‌فهمند؛ چرا که در آن زمان، امکانات پیشرفتة شیمی برای تعیین هویت علمی اشیا موجود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مصادیق این دو نوع آب در روی زمین و همتای زمین متفاوت است؛ چون دو مایع، به لحاظ علمی و ماهیت از 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می‌شود که معنا را حالت روانی فرد و محتویات ذهنی گوینده تعیین نمی‌کند، وگرنه این دو فرد که در حالت روانیِ عیناً همانند قرار دارند، نمی‌بایست دربارة دو عنصر متفاوت، کلمة یکسانی را به کار می‌بردند؛ پس معنا امری ذهنی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صورت‌بندی این برهان در حقیقت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زمین و ساکنان زمین همتا از آب تصور یکسانی در ذهن دارند و آن اینکه آب ماده‌ای است که خواص مشهودی از قبیل </w:t>
      </w:r>
      <w:bookmarkStart w:id="268" w:name="pg5825_38340"/>
    </w:p>
    <w:p>
      <w:pPr>
        <w:pStyle w:val="BookText"/>
        <w:rPr/>
      </w:pPr>
      <w:bookmarkEnd w:id="268"/>
      <w:r>
        <w:rPr>
          <w:rFonts w:ascii="IRNazanin" w:hAnsi="IRNazanin" w:eastAsia="IRNazanin"/>
          <w:color w:val="111111"/>
          <w:sz w:val="28"/>
          <w:sz w:val="28"/>
          <w:szCs w:val="28"/>
          <w:rtl w:val="true"/>
          <w:lang w:bidi="fa-IR"/>
        </w:rPr>
        <w:t>سیال بودن، شفافیت، مایع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مفهوم، مایعی است که در زمین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همتای زمین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متفاوت‌اند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مایع‌هایی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می‌شود، مواد متفاوتی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فرگه‌ای اشتباه است و معنا امری ذهنی و قائم به فرایندهای مغزی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ساکنان زمین و همتای زمین یک مفهوم را درک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یگانه‌ای را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مفهوم، دو مصداق متفاوت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برچین می‌کند، نتیجه می‌شود که معنا مدلول را تعیین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پاتنم ما را در برابر یک دوراهی قرار می‌دهد که هر کدام را برگزینیم، یکی از دو پیش‌فرض پیش‌گفتة معناشناسی سنتی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آزمایش تخیلی همتای زمین پیش می‌آید، گزینة اول این است که بگوییم آب در هر دو جهان، یک معنا دارد؛ اما مصداق آن، در عین یکسانی معنا،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مصداق را معنا تعیین نمی‌کند، و یگانگی در مفهوم، مستلزم یگانگی در مصداق نیست؛ چرا که دیدیم حالتی ممکن است پیش آید که دو کلمه یک معنا داشته باشند، اما به مصداق یگانه‌ای دلالت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گزینة ممکن دوم این است که بگوییم آب در هر جهان ممکنی ضرورتاً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بنابراین مایعی که در جهان دیگر، آب نامیده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 نیست؛ بنابراین آب، در این دو جهان به یک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درست است که مصداق را معنا یا مفهوم تعیین می‌کند، اما اینکه می‌بینیم مصداق آب در دو جهان مفروض، متفاوت است، بدان علت است که این دو کلمه معنای یکسانی ندارند تا مصداق یکسانی را برچین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نفر زمانی که کلمه‌ای را به کار می‌برند، در حالت روان‌شناختی دقیقاً یکسانی باشند، اما یک معنا را درک نکنند؛ بنابراین بودن در حالت روان‌شناختی یکسان، لزوماً به فهم یکسان از معنا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دانستن معنای یک کلمه امری درون‌ذهنی نیست، بلکه معنای کلمه، وابسته به هویت واقعی شیء است، و امری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پیش‌فرض اول معناشناسی سنتی،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گزینه‌ای است که پاتنم در آزمایش فوق انتخاب می‌کند؛ البته با اضافاتی که در ادامه بدانها اشاره خواهیم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1975: 245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4623511_581953129"/>
      <w:bookmarkStart w:id="270" w:name="_Toc102"/>
      <w:bookmarkEnd w:id="269"/>
      <w:r>
        <w:rPr>
          <w:rtl w:val="true"/>
        </w:rPr>
        <w:t>شعبده یا برهان؟</w:t>
      </w:r>
      <w:bookmarkEnd w:id="2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که در فضای فکر و فلسفة اسلامی نفس کشیده‌ایم، با چنین برهان‌های تخیلی شبه </w:t>
      </w:r>
      <w:bookmarkStart w:id="271" w:name="pg5825_38342"/>
    </w:p>
    <w:p>
      <w:pPr>
        <w:pStyle w:val="BookText"/>
        <w:rPr/>
      </w:pPr>
      <w:bookmarkEnd w:id="271"/>
      <w:r>
        <w:rPr>
          <w:rFonts w:ascii="IRNazanin" w:hAnsi="IRNazanin" w:eastAsia="IRNazanin"/>
          <w:color w:val="111111"/>
          <w:sz w:val="28"/>
          <w:sz w:val="28"/>
          <w:szCs w:val="28"/>
          <w:rtl w:val="true"/>
          <w:lang w:bidi="fa-IR"/>
        </w:rPr>
        <w:t>شعبده‌ای روبه‌رو می‌شویم، نخستین پرسش و ابهامی که بر ذهنمان سایه می‌افکند، این است که واقعاً چه نیازی به این بیان‌های پیچیده و فرض‌های دور و دشوار است، و آیا این نحوة بیان با شعار فلسفة تحلیلی که ابهام‌زدایی و رفع دشواری و پیچیدگی از ساحت زبان بود، سازگار است؟ آیا ممکن و محتمل نیست که این پیچیده‌سازی‌ها سبب ابهام‌آفرینی و زمینه‌سازی برای غفلت از برخی زوایای بحث و دوری از حقایق شود؟ آیا احتمال ندارد فیلسوف با طرح چنین معماهایی، دچار فریب ابهام زبانی و بیانی شود؟ به نظر می‌رسد اتفاقاً همین اتفاق در برهان همزاد زمین افتاده‌است و طراح آن، در تار و پود طرح خود پاگیر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سخاوتمندانه و بی‌ضابطة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 یکی از همان تار و پودهای چسبیده به پای استدلال پاتنم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همتا به چه معنا معانی مختلفی دارند؟ اگر از پاتنم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چه چیزی میان زمین و همتای زمین، متفاوت است؛ معنای آب، مصداق آب؟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پاتنم پاسخ مضطربی بدان خواهد داد، زیرا گاه می‌گوید که مصداق آب زمینی با آب همتای زمین متفاوت است، و گاه می‌گوید معنای آنها، و در توضیح معنا گاه می‌گوید منظور از معنا، منظور است و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کاربرد حسی پیش‌تحلیلی آن کلمه، میان آب زمینی و همتای زمینی تفاوت دارد</w:t>
      </w:r>
      <w:r>
        <w:rPr>
          <w:rFonts w:eastAsia="IRNazanin" w:cs="IRNazanin"/>
          <w:color w:val="111111"/>
          <w:sz w:val="28"/>
          <w:szCs w:val="28"/>
          <w:rtl w:val="true"/>
          <w:lang w:bidi="fa-IR"/>
        </w:rPr>
        <w:t>.</w:t>
      </w:r>
    </w:p>
    <w:p>
      <w:pPr>
        <w:pStyle w:val="Heading3"/>
        <w:numPr>
          <w:ilvl w:val="2"/>
          <w:numId w:val="1"/>
        </w:numPr>
        <w:rPr/>
      </w:pPr>
      <w:bookmarkStart w:id="272" w:name="__RefHeading___Toc4623513_581953129"/>
      <w:bookmarkStart w:id="273" w:name="_Toc103"/>
      <w:bookmarkEnd w:id="272"/>
      <w:r>
        <w:rPr>
          <w:rtl w:val="true"/>
        </w:rPr>
        <w:t>خلط بعد معناشناختی و معرفت‌شناختی</w:t>
      </w:r>
      <w:bookmarkEnd w:id="273"/>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یک کلمه،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روان‌شناختی دانستن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 کلمه نیست و نادرستی ادعای تساوی آنها بسیار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روان‌شناختی دانستن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پاتنم می‌خواهد از اینکه طبق معناشناسی فرگه‌ای،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معنای یک کلمه، صرفاً بودن در یک حالت روان‌شناختی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بگیرد که از دیدگاه معناشناسی سنتی، معنا امری ذهنی است و به اصطلاحِ او، در سر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فقط براساس این پیش‌فرض باطل ممکن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روان‌شناختی دانستن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معنای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بودن در یک حالت روان‌شناختی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یک حالت روان‌شناختی معین، </w:t>
      </w:r>
      <w:bookmarkStart w:id="274" w:name="pg5825_38344"/>
    </w:p>
    <w:p>
      <w:pPr>
        <w:pStyle w:val="BookText"/>
        <w:rPr/>
      </w:pPr>
      <w:bookmarkEnd w:id="274"/>
      <w:r>
        <w:rPr>
          <w:rFonts w:ascii="IRNazanin" w:hAnsi="IRNazanin" w:eastAsia="IRNazanin"/>
          <w:color w:val="111111"/>
          <w:sz w:val="28"/>
          <w:sz w:val="28"/>
          <w:szCs w:val="28"/>
          <w:rtl w:val="true"/>
          <w:lang w:bidi="fa-IR"/>
        </w:rPr>
        <w:t>و یک حالت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دانستن، حالتی ذهنی و روان‌شناختی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حتی اگر معنا امری بیرونی باشد، دانستن معنا لزوماً امری ذهنی، و بودن در یک حالت روان‌شناختی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معنا، مسئلة معرفت و معرفت‌شناسی است و هر گونه خلط میان آن دو، خلط میان جنبة معناشناختی و معرفت‌شناختی مسئله است</w:t>
      </w:r>
      <w:r>
        <w:rPr>
          <w:rFonts w:eastAsia="IRNazanin" w:cs="IRNazanin"/>
          <w:color w:val="111111"/>
          <w:sz w:val="28"/>
          <w:szCs w:val="28"/>
          <w:rtl w:val="true"/>
          <w:lang w:bidi="fa-IR"/>
        </w:rPr>
        <w:t>.</w:t>
      </w:r>
    </w:p>
    <w:p>
      <w:pPr>
        <w:pStyle w:val="Heading3"/>
        <w:numPr>
          <w:ilvl w:val="2"/>
          <w:numId w:val="1"/>
        </w:numPr>
        <w:rPr/>
      </w:pPr>
      <w:bookmarkStart w:id="275" w:name="__RefHeading___Toc4623515_581953129"/>
      <w:bookmarkStart w:id="276" w:name="_Toc104"/>
      <w:bookmarkEnd w:id="275"/>
      <w:r>
        <w:rPr>
          <w:rtl w:val="true"/>
        </w:rPr>
        <w:t>مصادره به مطلوب در معنای معنا</w:t>
      </w:r>
      <w:bookmarkEnd w:id="276"/>
    </w:p>
    <w:p>
      <w:pPr>
        <w:pStyle w:val="BookText"/>
        <w:rPr/>
      </w:pPr>
      <w:r>
        <w:rPr>
          <w:rFonts w:ascii="IRNazanin" w:hAnsi="IRNazanin" w:eastAsia="IRNazanin"/>
          <w:color w:val="111111"/>
          <w:sz w:val="28"/>
          <w:sz w:val="28"/>
          <w:szCs w:val="28"/>
          <w:rtl w:val="true"/>
          <w:lang w:bidi="fa-IR"/>
        </w:rPr>
        <w:t>به عقیدة پاتنم چون هویت واقعی دو شیء مفروض، متفاوت است، پس معنای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کار می‌برد، توضیح می‌دهد که منظور از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فردی زمینی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منظورش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وقتی همزادش می‌گوید، منظورش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شبیه تهمتی است که به کاربران عادی زبان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چگونه ممکن است کسانی که هیچ آگاهی‌ای از هویت علمی و ساختار شیمیایی اشیا ندارند، منظورشان از کلمه‌ای، ساختار شیمیایی مابازای آن باشد؟ افزون بر آن، باید پرسید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مقصود، مصداق است، بر فرض که چنین باشد، این، چگونه دلالت بر بیرونی بودن معنا دارد؟ و اگر مراد، معناست، این استدلال عین تکرار مدعا، و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او وقتی می‌گوید، احمد و همزاد زمینی‌اش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 به کار نمی‌برند، او پیش‌فرض گرفته‌است که معنا همان ساختار واقعی و ماهیت فیزیکی یا شیمیایی و بیرونی شیء است یا این ساختار، جزئی از معناست، و چون ساختار این دو مایع، یکی نیست، بنابراین معنای آن دو یکی نیست، با توجه به اینکه این دو فرد، حالت روان‌شناختی یکسانی داشتند، داشتن حالت روان‌شناختی یکسان لزوماً به داشتن معنای یکسان نمی‌انجامد، پس حالت روان‌شناختی نمی‌تواند معنا را تعیین کند، و نتیجة این حالت، این است که پیش‌فرض اول معناشناسی سنتی درست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پاتنم در تمثیل خود بگوید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همتای زمین، متفاوت است، به‌دلیل اینکه ساختار شیمیایی اینها با هم تفاوت دارند، پیش‌فرض او باید یکی از این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همان ساختار شیمایی و هویت علمی شیء است؛ یا اینکه معنا را ساختار شیمیایی شیء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 پاتنم هر کدام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ملاک‌هایی که برای تعیین معنا می‌دهد، برمی‌آید که مقصودش دومی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او دچار مغالطة مصادره به </w:t>
      </w:r>
      <w:bookmarkStart w:id="277" w:name="pg5825_38345"/>
    </w:p>
    <w:p>
      <w:pPr>
        <w:pStyle w:val="BookText"/>
        <w:rPr/>
      </w:pPr>
      <w:bookmarkEnd w:id="277"/>
      <w:r>
        <w:rPr>
          <w:rFonts w:ascii="IRNazanin" w:hAnsi="IRNazanin" w:eastAsia="IRNazanin"/>
          <w:color w:val="111111"/>
          <w:sz w:val="28"/>
          <w:sz w:val="28"/>
          <w:szCs w:val="28"/>
          <w:rtl w:val="true"/>
          <w:lang w:bidi="fa-IR"/>
        </w:rPr>
        <w:t>مطلوب، یا مفروض گرفتن نتیجه پیش از اثبات آن است</w:t>
      </w:r>
      <w:r>
        <w:rPr>
          <w:rFonts w:eastAsia="IRNazanin" w:cs="IRNazanin"/>
          <w:color w:val="111111"/>
          <w:sz w:val="28"/>
          <w:szCs w:val="28"/>
          <w:rtl w:val="true"/>
          <w:lang w:bidi="fa-IR"/>
        </w:rPr>
        <w:t>.</w:t>
      </w:r>
    </w:p>
    <w:p>
      <w:pPr>
        <w:pStyle w:val="Heading3"/>
        <w:numPr>
          <w:ilvl w:val="2"/>
          <w:numId w:val="1"/>
        </w:numPr>
        <w:rPr/>
      </w:pPr>
      <w:bookmarkStart w:id="278" w:name="__RefHeading___Toc4623517_581953129"/>
      <w:bookmarkStart w:id="279" w:name="_Toc105"/>
      <w:bookmarkEnd w:id="278"/>
      <w:r>
        <w:rPr>
          <w:rtl w:val="true"/>
        </w:rPr>
        <w:t>معنا و جهان شناخت</w:t>
      </w:r>
      <w:bookmarkEnd w:id="279"/>
    </w:p>
    <w:p>
      <w:pPr>
        <w:pStyle w:val="BookText"/>
        <w:rPr/>
      </w:pPr>
      <w:r>
        <w:rPr>
          <w:rFonts w:ascii="IRNazanin" w:hAnsi="IRNazanin" w:eastAsia="IRNazanin"/>
          <w:color w:val="111111"/>
          <w:sz w:val="28"/>
          <w:sz w:val="28"/>
          <w:szCs w:val="28"/>
          <w:rtl w:val="true"/>
          <w:lang w:bidi="fa-IR"/>
        </w:rPr>
        <w:t>به نظر ما آن دو همزاد، دقیقاً یک معنا و مفهوم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مصداق مفاهیم آنها دقیقاً با هم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درک، در محدودة ابزار و امکانات شناخت و دیدرس قوای شناختی یک فرد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 محدوده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که دو همزاد قصة پاتنم، معنا و مفهوم و مصداق را درک می‌کنند، همه چیز تا آنجا که آنها می‌توانند بفهمند، دقیقاً یکسان است و هیچ تفاوتی میان یافته‌های این دو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 یکی است، هم مصداق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روست که اساساً دایره و جهان فهم معانی الفاظ و حتی مصادیق مفاهیم، امری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زبانی در دایره و امکانات فهم مفاهیم برای اهل آن زبان، معنادار و معتبر است، و هر فهمی از مصادیق نیز در همان محدودة امکانات فهم مصادیق، تکون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برای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مصداق بودگی مصداق به این است که مصداقِ یک مفهومِ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مصداق را ازآن‌رو مصداق نامیده‌اند که مفهوم خاصی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یک مفهوم از آن جهت که مصداق یک مفهوم خاص است، لزوماً ماهیت و ساختار واقعی شیء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مفهومی مطلق و مساوی با واقعیت نفس‌الامری شیء نیست، بلکه مصداق همواره مصداقِ یک مفهوم است و نسبت به آن فهمیده و تعریف می‌شود؛ بنابراین مصداق تا آن حد که مفهوم بر آن دلالت دارد،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دربارة مصداق یک مفهوم، حقیقت جدیدی کشف شد و این کشف، موجب افزایش دانش ما دربارة آن شد، اساساً مفهوم جدیدی در ذهن دربارة آن شیء شکل می‌گیرد، و دیگر آن شیء، مصداق مفهوم جدید واقع می‌شود نه مصداق مفهوم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سویه دیگر مسئله نیز چنین است؛ یعنی اساساً مفاهیم چیزی نیستند جز بازتاب واقعیات در اذهان</w:t>
      </w:r>
      <w:r>
        <w:rPr>
          <w:rStyle w:val="FootnoteAnchor"/>
          <w:rtl w:val="true"/>
        </w:rPr>
        <w:footnoteReference w:id="42"/>
      </w:r>
      <w:r>
        <w:rPr>
          <w:rFonts w:ascii="IRNazanin" w:hAnsi="IRNazanin" w:eastAsia="IRNazanin"/>
          <w:color w:val="111111"/>
          <w:sz w:val="28"/>
          <w:sz w:val="28"/>
          <w:szCs w:val="28"/>
          <w:rtl w:val="true"/>
          <w:lang w:bidi="fa-IR"/>
        </w:rPr>
        <w:t>که این بازتاب همیشه با توانایی‌های شناختی و حواس انسان‌ها، نسبت و رابطة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مصداق یک مفهوم واقع شدن نیز بر عکس 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مفهوم نیست که بر مصداق دلالت و صدق می‌کند، بلکه مصداق است که مفهوم را در ذهن پدید آورده‌است؛ بنابراین مصداق تنها در محدودة مفهومیت مفهوم، برای مفهوم مصداقیت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توانایی‌های شناختی انسان بیشتر شد، و اطلاعات بیشتر و کامل‌تری از آن مصداق در ذهن او بازتابانیده شد، </w:t>
      </w:r>
    </w:p>
    <w:p>
      <w:pPr>
        <w:pStyle w:val="BookText"/>
        <w:rPr/>
      </w:pPr>
      <w:r>
        <w:rPr>
          <w:rFonts w:ascii="IRNazanin" w:hAnsi="IRNazanin" w:eastAsia="IRNazanin"/>
          <w:color w:val="111111"/>
          <w:sz w:val="28"/>
          <w:sz w:val="28"/>
          <w:szCs w:val="28"/>
          <w:rtl w:val="true"/>
          <w:lang w:bidi="fa-IR"/>
        </w:rPr>
        <w:t>مفاهیم ذهنی او کمال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می‌توان گفت مفهوم جدیدی ایجاد شده‌است که بر مصداق متفاوتی دلالت و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نکته‌ای که در بالا دربارة حقیقت مصداق بودن برای مفاهیم و رابطة دلالت میان مفهوم و مصداق گفته شد، روشن می‌شود که اعتراض به پیش‌فرض دوم معناشناسی سنتی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مصداق را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اساساً ناشی از نداشتن درک و تحلیل صحیح از 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رابطة بین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آب و مصداق آن در هر دو جهان،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ساختار علمی متفاوت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 همزاد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شناخت مشترکی که آنها دارند، موجب تفاوت در درک از واقعیت بیرونی این دو مایع در دستگاه ادراکی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مفاهیم یکسانی از آن مایع در ذهن آنها بازمی‌تابد، پس هم مفاهیم ذهنی دو همزاد، یکسان است، هم مصادیق آن مفاهیم؛ هر چند اعیان با هم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با کشف فرمول شیمیایی آب زمینی و همزاد زمینی، اگر در این دو زمین، آب، با توجه به مفاهیم جدیدی که در سایة کشفیات علمی به دست آمده‌است، دوباره با مفهوم جدیدی نامیده شود، نه مفهوم آنها یکی خواهد بود و نه مصداق آنها؛ چرا که وقتی دانشمندان، با ابزارهای جدید وارد جهان جدیدی از فهم با دایره‌ای وسیع‌تر و امکاناتی قوی‌تر، می‌شوند، در جهان جدید شناخت خود، به فهم‌هایی تازه دست می‌یابند؛ بنابراین هم مفاهیمی که فهمیده‌اند جدید و دیگر است، هم مصادیقی که بدان‌ها دست یافته‌اند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عمیق‌تر و دقیق‌تر و نزدیک‌تر به واقعیت، آن‌چنان‌که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پاتنم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روان‌شناختی‌ای که در آن قرار گرفته‌اند،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اشیا را با توجه به فهم‌ها و مفاهیم جدیدی که از آنها به دست آورده‌اند، دوباره می‌نامند و اشیا برای آنها، مصداق مفاهیم جدیدی که به دست آورده‌اند،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مفاهیم جدید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ملاحظة این نسبت و اعتبار که این مفاهیم، لایه‌های عمیق‌تر و دقیق‌تر همان مفاهیم قبلی‌اند که در عرف عام دریافته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با همان الفاظ بنامند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معمولاً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نام‌گذاری در طول هم انجام بدهند و نامی علمی بر مفاهیم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مفاهیم علمی همان مفاهیم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نام‌گذاری جدید، نام یکی از دو مایع تمثیل پاتنم</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دیگری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مصداق این مفاهیم نیز متفاوت است، یعنی این دو نام، که </w:t>
      </w:r>
      <w:bookmarkStart w:id="280" w:name="pg5825_38349"/>
    </w:p>
    <w:p>
      <w:pPr>
        <w:pStyle w:val="BookText"/>
        <w:rPr/>
      </w:pPr>
      <w:bookmarkEnd w:id="280"/>
      <w:r>
        <w:rPr>
          <w:rFonts w:ascii="IRNazanin" w:hAnsi="IRNazanin" w:eastAsia="IRNazanin"/>
          <w:color w:val="111111"/>
          <w:sz w:val="28"/>
          <w:sz w:val="28"/>
          <w:szCs w:val="28"/>
          <w:rtl w:val="true"/>
          <w:lang w:bidi="fa-IR"/>
        </w:rPr>
        <w:t>معنای خاص خود را دارند، بر دو واقعیت و حقیقت متفاوت صدق می‌کنند؛ درحالی‌که کلمة آب، دارای معنایی مشترک با آنچه در زمین و زمین همتا جریان دارد، است، و بر واقعیتی مشترک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مفهوم و معنایی که از آب داریم، و هم مصداق این مفاهیم یکسان‌اند، چون اساساً ملاک نام‌گذاری و نامیدن و معناداری، محدودة فهم و درک افراد و محدود به دایره مفاهیم افراد و جهان فهم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پاتنم بی‌توجهی به این جهان‌های نام‌گذاری و معناداری و خلط بین جهان‌های شناخت عرف عام، و عرف علمی و خاص، و سرایت دادن احکام حاکم بر یک عرف بر دیگری است</w:t>
      </w:r>
      <w:r>
        <w:rPr>
          <w:rFonts w:eastAsia="IRNazanin" w:cs="IRNazanin"/>
          <w:color w:val="111111"/>
          <w:sz w:val="28"/>
          <w:szCs w:val="28"/>
          <w:rtl w:val="true"/>
          <w:lang w:bidi="fa-IR"/>
        </w:rPr>
        <w:t>.</w:t>
      </w:r>
    </w:p>
    <w:p>
      <w:pPr>
        <w:pStyle w:val="Heading3"/>
        <w:numPr>
          <w:ilvl w:val="2"/>
          <w:numId w:val="1"/>
        </w:numPr>
        <w:rPr/>
      </w:pPr>
      <w:bookmarkStart w:id="281" w:name="__RefHeading___Toc4623519_581953129"/>
      <w:bookmarkStart w:id="282" w:name="_Toc106"/>
      <w:bookmarkEnd w:id="281"/>
      <w:r>
        <w:rPr>
          <w:rtl w:val="true"/>
        </w:rPr>
        <w:t>ملاک نام‌گذاری و معناداری، فهم عرفی است نه فهم علمی</w:t>
      </w:r>
      <w:bookmarkEnd w:id="282"/>
    </w:p>
    <w:p>
      <w:pPr>
        <w:pStyle w:val="BookText"/>
        <w:rPr/>
      </w:pPr>
      <w:r>
        <w:rPr>
          <w:rFonts w:ascii="IRNazanin" w:hAnsi="IRNazanin" w:eastAsia="IRNazanin"/>
          <w:color w:val="111111"/>
          <w:sz w:val="28"/>
          <w:sz w:val="28"/>
          <w:szCs w:val="28"/>
          <w:rtl w:val="true"/>
          <w:lang w:bidi="fa-IR"/>
        </w:rPr>
        <w:t xml:space="preserve">چنان‌که دیدیم، پیش‌فرض پاتنم در تمثیل خود این است که معنای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مطابق با فهم عرفی و در متن فرهنگ زبان عادی و روزمره‌ای، بلکه در ساختار شیمیایی و اکتشافات علمی مربوط به آن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همتا معنای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الفاظ در همان عرفی که نامیده شده‌اند، معنا دارند، و ملاک تشخیص معنای کلمات عرفی باید فهم و اطلاق عرف عام باشد، نه فهم و اطلاق علمی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 به یک اعتبار، مفاهیم دال بر اشیا را می‌توان به دو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علمی، مفاهیم عرفی و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علمی به مفاهیمی گفته می‌شود که اعیانی دلالت می‌کنند که آن اعیان اولین‌بار اساساً از طریق شناخت ویژگی‌های علمی و از طریق ابزارهای علمی به شناخت بشر درمی‌آیند و اساساً فهم عرفی و روزمرة بشر را برای فهم و شناخت آنها،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اشیا اساساً در دایرة ادراک و زبان بشر عادی نمی‌آیند و از همان آغاز میان متخصصان فن، برای خود نام و اصطلاح خاص می‌یابند و معمولاً وجه تسمیه‌ای مناسب با ویژگی‌های علمی خود دارند، یا در یک دستگاه زبانی نمادین خاص که از قواعدی ویژه تبعیت می‌کند، نامیده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جدول مندلیف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دال بر اشیا یا اعیان عرفی بر موجوداتی دلالت می‌کنند که بشر آنها را از طریق تماس با ویژگی‌ها و مشخصات ظاهری‌شان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ادرا ک مشترک هر صاحب تمییزی درمی‌آید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و با آنها رابطه برقرار کرده و در تعاملات بین انسانی، آنها را نامیده و شناسانده‌است؛ هرچند ممکن است همین اشیا در اثر پیشرفت علم، موضوع شناخت علمی با ابزار دقیق فناوری نیز قرار گیرند که در آن صورت، یک شیء دو گونه به شناخت انسان </w:t>
      </w:r>
      <w:bookmarkStart w:id="283" w:name="pg5825_38351"/>
    </w:p>
    <w:p>
      <w:pPr>
        <w:pStyle w:val="BookText"/>
        <w:rPr/>
      </w:pPr>
      <w:bookmarkEnd w:id="283"/>
      <w:r>
        <w:rPr>
          <w:rFonts w:ascii="IRNazanin" w:hAnsi="IRNazanin" w:eastAsia="IRNazanin"/>
          <w:color w:val="111111"/>
          <w:sz w:val="28"/>
          <w:sz w:val="28"/>
          <w:szCs w:val="28"/>
          <w:rtl w:val="true"/>
          <w:lang w:bidi="fa-IR"/>
        </w:rPr>
        <w:t>عرضه می‌شود، و دو سطح شناخت عرفی و علمی از آن حاصل می‌شود، و طبعاً دو گونه نامیده و فهمیده و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است که وقتی مثلاً شیمی‌دان، ترکیب شیمیایی آب را کشف می‌کند، چنین نیست که معنا یا مفهوم عرفی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نوع است؟ در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چگونه نامیده می‌شده‌است و ملاک فهم معنای آن چه بوده‌است؟ اگر به ملاک نام‌گذاری عرفی وفادار باشیم و بگوییم آب مایعی است با کیفیات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ادراک مردم عادی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حقیقت، میان آب زمینی و زمین همتا هیچ تفاوتی وجود ندارد؛ چون فرض این است که هیچ وجه ممیزی در آنچه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آن مایع خاص است، میان آب زمینی و زمین همتا وجود ندارد؛ بدین روی اساساً غیر آب نامیدن چیزی که در زمین همتا دیده شده‌است،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عرفی و طبیعی بشر، ناظر بر فهم عرفی و عادی از ویژگی‌های پدیداری اشیاست، و همان ویژگی‌های پدیداری، و فهم عرفی ملاک نام‌گذاری و معناداری کلمات متعلق به آن عرف، از جمله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کلمات دال بر انواع طبیعی است</w:t>
      </w:r>
      <w:r>
        <w:rPr>
          <w:rFonts w:eastAsia="IRNazanin" w:cs="IRNazanin"/>
          <w:color w:val="111111"/>
          <w:sz w:val="28"/>
          <w:szCs w:val="28"/>
          <w:rtl w:val="true"/>
          <w:lang w:bidi="fa-IR"/>
        </w:rPr>
        <w:t>.</w:t>
      </w:r>
    </w:p>
    <w:p>
      <w:pPr>
        <w:pStyle w:val="Heading3"/>
        <w:numPr>
          <w:ilvl w:val="2"/>
          <w:numId w:val="1"/>
        </w:numPr>
        <w:rPr/>
      </w:pPr>
      <w:bookmarkStart w:id="284" w:name="__RefHeading___Toc4623521_581953129"/>
      <w:bookmarkStart w:id="285" w:name="_Toc107"/>
      <w:bookmarkEnd w:id="284"/>
      <w:r>
        <w:rPr>
          <w:rtl w:val="true"/>
        </w:rPr>
        <w:t>معنا؛ سیلان در عین ثبات</w:t>
      </w:r>
      <w:bookmarkEnd w:id="285"/>
    </w:p>
    <w:p>
      <w:pPr>
        <w:pStyle w:val="BookText"/>
        <w:rPr/>
      </w:pPr>
      <w:r>
        <w:rPr>
          <w:rFonts w:ascii="IRNazanin" w:hAnsi="IRNazanin" w:eastAsia="IRNazanin"/>
          <w:color w:val="111111"/>
          <w:sz w:val="28"/>
          <w:sz w:val="28"/>
          <w:szCs w:val="28"/>
          <w:rtl w:val="true"/>
          <w:lang w:bidi="fa-IR"/>
        </w:rPr>
        <w:t>البته انکار نمی‌کنیم که اگر ابزارهای علمی، پدیدة جدیدی را کشف و ویژگی‌های زیرساختی آن را هم همراه ویژگی‌های ظاهری آن به فهم عادی اهل یک زبان معرفی کردند، آنان ممکن است در نام‌گذاری، این ویژگی‌ها را نیز که داخل در حیطة فهم ظاهری آنها شده‌اند، لحاظ کنند؛ یا اگر کشفی علمی، ویژگی خاصی از یک شیء را که قبلاً نامیده شده‌است و معنای متعینی دارد، آشکار نمود و وارد جهان شناخت اهل یک زبان کرد، ممکن است اهل آن زبان به موازات تغییر و توسعة فهمشان از آن شیء، نام آن را نیز به تناسب و با توجه به دریافت جدیدی که از آن پدیده به دست آورده‌اند، تغییر دهند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حقیقت، و چون مردم هرگز یا در اکثر موارد، علم قطعی و نهایی دربارة اشیا ندارند، پرونده همة نام‌گذاری‌ها همیشه باز است و ممکن است با توسعه و تغییر اطلاعاتشان، این پرونده دستخوش تغییر گردد و نام‌گذاری‌های جدیدی طبق اطلاعات جدیدی که به فهم و آگاهی آنها داده شده‌است،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نام‌گذاری جدید ممکن است دایرة مفهومی معنای جدید، گسترده‌تر از قبل باشد، یا تنگ‌تر از آن شود، یا از کنار آن، مفهوم و معنا یا معانی جدیدی زاده شود</w:t>
      </w:r>
      <w:r>
        <w:rPr>
          <w:rFonts w:eastAsia="IRNazanin" w:cs="IRNazanin"/>
          <w:color w:val="111111"/>
          <w:sz w:val="28"/>
          <w:szCs w:val="28"/>
          <w:rtl w:val="true"/>
          <w:lang w:bidi="fa-IR"/>
        </w:rPr>
        <w:t xml:space="preserve">. </w:t>
      </w:r>
      <w:bookmarkStart w:id="286" w:name="pg5825_38352"/>
    </w:p>
    <w:p>
      <w:pPr>
        <w:pStyle w:val="BookText"/>
        <w:rPr/>
      </w:pPr>
      <w:bookmarkEnd w:id="286"/>
      <w:r>
        <w:rPr>
          <w:rFonts w:ascii="IRNazanin" w:hAnsi="IRNazanin" w:eastAsia="IRNazanin"/>
          <w:color w:val="111111"/>
          <w:sz w:val="28"/>
          <w:sz w:val="28"/>
          <w:szCs w:val="28"/>
          <w:rtl w:val="true"/>
          <w:lang w:bidi="fa-IR"/>
        </w:rPr>
        <w:t>توسعة دایرة فهم‌ها و تغییر مفاهیم عرف اهل زبان، فقط وابسته به کشف‌های علمی نیست؛ بلکه عوامل پیدا و ناپیدای بسیاری بر این امر اثر می‌گذارد و گویش‌گران زبان را ناچار به تصحیح هموارة تلقی‌های خود و درنتیجه نام‌گذاری‌های جدید و نو به نو از اشیا و مفاهیم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اتفاقی است که در جوامع بشری می‌افتد و بنابراین با توجه به سیلان ذهنیت جمعی اهل هر زبان، معانی در اثر نام‌گذاری‌های جدید در معرض کون و فساد آن به آن است و به یک معنا همواره تغییر می‌یابد و حالتی کاملاً شناور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 دیگر و دقیق‌تر که در سطور بعدی بدان می‌پردازیم، معانی ثابت می‌مانند، اما نام‌گذاری‌های جدید و پی در پی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زبان و معنا، به یک معنا، ویژگی‌ای کاملاً نسبی دارد و با تغییر عوامل تاریخی و جغرافیایی و فرهنگی دستخوش تغییر می‌شود و طبعاً جوامعی که ارتباطات فعال و داد و ستدهای فرهنگی فراوان دارند، و اذهان در آنها در معرض تعاملات و تبادلات ذهنیتی زیادی قرار می‌گیرد، معانی در آنها بیشتر کانون تغییر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دامنة این نسبیت ممکن است به قدری گسترده باشد که معنای هیچ کلمه‌ای در شناخت هیچ دو فردی دقیقاً مساوی هم نباشد؛ البته این به فرایند تفاهم بین اذهانی ضرری نمی‌رساند، چراکه همان بخش‌های مشترک از فهم معانی، برای تفاهم مورد نیاز بشری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گویش‌گران هر زبان معمولاً بدفهمی‌ها را با گفت‌وگو رفع می‌کنند و موجب پدید آمدن فهم مشترک بین‌الاذهانی و تطبیق و تصحیح تلقی‌ها می‌شوند</w:t>
      </w:r>
      <w:r>
        <w:rPr>
          <w:rFonts w:eastAsia="IRNazanin" w:cs="IRNazanin"/>
          <w:color w:val="111111"/>
          <w:sz w:val="28"/>
          <w:szCs w:val="28"/>
          <w:rtl w:val="true"/>
          <w:lang w:bidi="fa-IR"/>
        </w:rPr>
        <w:t>.</w:t>
      </w:r>
    </w:p>
    <w:p>
      <w:pPr>
        <w:pStyle w:val="Heading3"/>
        <w:numPr>
          <w:ilvl w:val="2"/>
          <w:numId w:val="1"/>
        </w:numPr>
        <w:rPr/>
      </w:pPr>
      <w:bookmarkStart w:id="287" w:name="__RefHeading___Toc4623523_581953129"/>
      <w:bookmarkStart w:id="288" w:name="_Toc108"/>
      <w:bookmarkEnd w:id="287"/>
      <w:r>
        <w:rPr>
          <w:rtl w:val="true"/>
        </w:rPr>
        <w:t>کشف‌های علمی و تغییر معانی الفاظ</w:t>
      </w:r>
      <w:bookmarkEnd w:id="2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مسئلة پیشین بازمی‌گردیم و به جنبة ثبات معنا در طرح پیش‌گفته می‌پردازیم 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اکتشافات علمی و افزوده شدن اطلاعات ما و تغییر و توسعه و تعمیق مفاهیم حاکی از واقعیات اشیا در اذهان ما، معنای کلمات دال بر آنها تغییر می‌یابد، یا اساساً معنای واقعی آنها کشف می‌شود؟ آیا هر کشف جدید، پرده از خطایی برمی‌دارد که ما تاکنون دربارة معانی کلمات دال بر انواع طبیعی داشته‌ایم؟ توضیحات گذشته روشنگر این است که پاسخ منفی است؛ اکتشافات جدید، در نظر دقیق فلسفی نه تنها سبب تصحیح معانی نمی‌شود، حتی به تغییر معانی هم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زبان، از یک جنبه، امری بشری و تاریخی است و روابط و قواعد حاکم بر آن، کاملاً اعتباری و وابسته به وضع و قرارداد معین یا متعین بین انسان‌ها در طول تاریخ یک زبان، و کاملاً متأثر از کاربرد آن کلمه در </w:t>
      </w:r>
      <w:bookmarkStart w:id="289" w:name="pg5825_38354"/>
    </w:p>
    <w:p>
      <w:pPr>
        <w:pStyle w:val="BookText"/>
        <w:rPr/>
      </w:pPr>
      <w:bookmarkEnd w:id="289"/>
      <w:r>
        <w:rPr>
          <w:rFonts w:ascii="IRNazanin" w:hAnsi="IRNazanin" w:eastAsia="IRNazanin"/>
          <w:color w:val="111111"/>
          <w:sz w:val="28"/>
          <w:sz w:val="28"/>
          <w:szCs w:val="28"/>
          <w:rtl w:val="true"/>
          <w:lang w:bidi="fa-IR"/>
        </w:rPr>
        <w:t>عرف آن زبان و فرهنگ است؛ ازاین‌رو تابع کشفیات علمی نیست و به عبارت دیگر، کشفیات علمی معنای یک کلمه را نمی‌تواند تغییر دهد؛ چون معنای کلمات، واقعیاتی تاریخی‌اند و این واقعیات حتی با تغییر تلقی مردم از هویت واقعی و علمی آنها تغییر نمی‌پذیرد؛ هرچند ممکن است در پرتو این کشفیات علمی و تغییر تلقی انسان‌ها از یک شیء، فهم آنها از آن عوض شود و قراردادی جدید میان آنها به وجود آید و آن شیء دوباره نامیده شود؛ اما حتی این، به معنای تغییر نام آن شیء نیست؛ بلکه به معنای نامیدن دوبارة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هرچند با نگاه تاریخی می‌توان گفت معانی در حال حرکت و سیلان آرام و دائم‌اند و اکتشافات علمی دربارة حقایق اشیا، مقاطع جهش این حرکت‌ها محسوب می‌شوند، اما از نگاه فلسفی چنان‌که اشاره کردیم، معانی، حقایق ثابت تاریخی‌اند که در مقاطع زمان پدید می‌آیند و حتی در صورت نسخ، تا همیشه در صفحة تاریخ و فرهنگ و زبان ثابت می‌مانند؛ به‌گونه‌ای‌که لغت‌نامه‌های هر زمان، گزارشی از این حقایق تاریخی‌اند؛ بنابراین معنا اساساً معنای در هر زمان و ظرف تاریخی فرهنگی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 سیر تاریخیِ نوبه نو شدن معانی، بدترین استدلال این است که معنای کلمه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شاهدی بر تعیین معنای همان کلمه در دویست سال پیش‌تر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چنان‌که اشاره کردیم، به‌هرحال، زبان و معنا طبیعتی بین‌الاذهانی و جمعی دارد و شخصی نیست؛ بنابراین معنا را باید قدر مشترکی از معانی شخصی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خصوصاً در دوران‌های پیش از همه‌شمولی ارتباطات و اطلاعات، این قدر مشترک‌ها هزاران سال، کم و بیش ثابت باقی می‌ماندند و به‌ویژه بخش‌های دال بر اعیان و مفاهیم غیر انتزاعی و پرکاربرد، بسیار سخت تن به تغییر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ماهیت معنا، مسائل بسیار دقیق و ابعاد مختلفی نیازمند توضیح، است که باید در مجالی دیگر بدان پرداخت</w:t>
      </w:r>
      <w:r>
        <w:rPr>
          <w:rFonts w:eastAsia="IRNazanin" w:cs="IRNazanin"/>
          <w:color w:val="111111"/>
          <w:sz w:val="28"/>
          <w:szCs w:val="28"/>
          <w:rtl w:val="true"/>
          <w:lang w:bidi="fa-IR"/>
        </w:rPr>
        <w:t>.</w:t>
      </w:r>
    </w:p>
    <w:p>
      <w:pPr>
        <w:pStyle w:val="Heading3"/>
        <w:numPr>
          <w:ilvl w:val="2"/>
          <w:numId w:val="1"/>
        </w:numPr>
        <w:rPr/>
      </w:pPr>
      <w:bookmarkStart w:id="290" w:name="__RefHeading___Toc4623525_581953129"/>
      <w:bookmarkStart w:id="291" w:name="_Toc109"/>
      <w:bookmarkEnd w:id="290"/>
      <w:r>
        <w:rPr>
          <w:rtl w:val="true"/>
        </w:rPr>
        <w:t>سرشت قراردادی معنا</w:t>
      </w:r>
      <w:bookmarkEnd w:id="2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پاتنم به‌صراحت، وابستگی معنا به قرارداد و وضع را انکار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1975: 274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اساساً از حیثیت اعتباری زبان، غافل است؛ و ازاین‌رو به دنبال تعیین معنای الفاظ از طریق این استدلالات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 باعث می‌شود دچار خلط میان جنبة هستی‌شناسانه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با بعد معناشناختی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معنا، تابع وضع و قرارداد است، و هر </w:t>
      </w:r>
    </w:p>
    <w:p>
      <w:pPr>
        <w:pStyle w:val="BookText"/>
        <w:rPr/>
      </w:pPr>
      <w:r>
        <w:rPr>
          <w:rFonts w:ascii="IRNazanin" w:hAnsi="IRNazanin" w:eastAsia="IRNazanin"/>
          <w:color w:val="111111"/>
          <w:sz w:val="28"/>
          <w:sz w:val="28"/>
          <w:szCs w:val="28"/>
          <w:rtl w:val="true"/>
          <w:lang w:bidi="fa-IR"/>
        </w:rPr>
        <w:t>گونه پژوهشی در ماهیت و ویژگی‌های معنا، باید به دنبال این باشد که در دستگاه اعتباری زبان، الفاظ در برابر کدام واقعیات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وضع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 را انسان‌ها وضع کرده‌اند؛ انسان‌ها الفاظ را در برابر هرچه وضع کنند، همان، معنای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الفاظ را در دایرة فهم خود وضع می‌کنند؛ یعنی مابازاء و معنای الفاظ را لزوماً باید در جهان ادراک و شناخت انسان‌ها جست، و روشن است که انسان‌ها اشیا را با ویژگی‌های پدیداری آنها درک می‌کنند، نه هویات علمی و ساختار شیمیایی و میکروسکوپی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همین واقعیت است که آشکار می‌شود، استدلال همزاد زمین پاتنم، بیش از اینکه ثابت‌کنندة دیدگاه وی باشد، برهانی برخلاف رأی و نظر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فرد زمینی و همزاد او، دو ماده با ماهیت واقعی متفاوت اما ویژگی‌های مشاهده‌پذیر کاملاً مشابه را به یک نام می‌نامند، نشان می‌دهد که اساساً ویژگی‌های ماهوی اشیا، در نامیدن، و وضع لفظ در برابر آنها، هیچ دخالتی ندارد؛ بنابراین، انسان‌ها الفاظ را فقط در برابر آنچه از اشیا به قوای ادراکی آنها پدیدار می‌شود، وضع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تمثیل پاتنم وقتی انسان‌های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جاری در چشمه‌ها و رودهای زمین همزاد را مشاهده می‌کنند، اساساً غیر از آب را ندیده‌اند و کاملاً صحیح است که ادعا کنند در آنجا نیز همان آب زمینی جریان دارد؛ چون اساساً در آب بودن آّب، اینکه ترکیب شیمیایی‌اش چه باشد، هیچ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انسان‌های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آزمایش این دو آب، درمی‌یابند که ترکیب شیمیایی آنها با هم متفاوت‌اند و ازاین‌رو آنها اساساً دو مادة کاملاً متفاوت‌اند و در پی این آزمایش‌ها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لغوی و عرفی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ترکیب شیمیایی دو نوع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از دیدگاه شیمی، دو ماده و دو مایع به لحاظ ویژگی‌ها و ماهیات علمی کاملاً متفاوت وجود دارد که در تداول عادی به هر دوی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کاشف اولیة فرمول شیمیایی آب، معنا یا مفهوم آب را تعیین نکرد، بلکه گفت که فرمول شیمیایی 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فرض کنید در زمین همتا، به مایعی با ویژگی‌های پدیداری کاملاً متفاوتی برخوریم که در رودها جاری است و پس از تجزیة شیمیایی آن، مشخص شود که با کمال شگفتی، فرمول شیمیایی آن همان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تکلیف چیست؟ آیا باید آن را آب بنامیم یا نه؟ براساس مبنای پاتنم که معنا و مفهوم اشیا را وابسته به ویژگی‌های علمی آن می‌داند، بی‌درنگ باید تلقی خود را اصلاح کرده، با قاطعیت بگوییم که در زمین همتا نیز </w:t>
      </w:r>
    </w:p>
    <w:p>
      <w:pPr>
        <w:pStyle w:val="BookText"/>
        <w:rPr/>
      </w:pPr>
      <w:r>
        <w:rPr>
          <w:rFonts w:ascii="IRNazanin" w:hAnsi="IRNazanin" w:eastAsia="IRNazanin"/>
          <w:color w:val="111111"/>
          <w:sz w:val="28"/>
          <w:sz w:val="28"/>
          <w:szCs w:val="28"/>
          <w:rtl w:val="true"/>
          <w:lang w:bidi="fa-IR"/>
        </w:rPr>
        <w:t>آب وجود دارد، با این فرق که ویژگی‌های ظاهری آن، مانند رنگ و برخی از خواص ظاهری آن متفاوت از آب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اینکه آیا اساساً چنین فرض‌هایی به لحاظ علمی صحیح است که دو ماده با وجود داشتن ماهیت علمی عیناً یکسان، ویژگی‌های متفاوتی از خود بروز دهند یا برعکس آن؛ البته کشفیات علمی، بشر قرن بیست و یکم را که به دنبال نامیدن مایع جدید کشف‌شده در زمین همزاد بود، یاری کرده و متقاعد خواهد کرد که این مادة جدید را نیز به‌دلیل تشابه کشف‌شدة میان آن و آب معهود یعنی این‌همانی در ساختار علمی، آب بنامد؛ اما بی‌گمان بشر دویست و پنجاه سال پیش هرگز چنین نخواهد کرد؛ چراکه شفاف و بی‌رنگ بودن را که ازجمله ویژگی‌های هویت‌بخش آب است، در این مایع نخواهد یافت و ازاین‌رو هرگز متقاعد نخواهد شد که مایع جدید را، مگر به نحو اشتراک لفظی، آب بنامد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اصیل و تعیین‌کننده در این تفاوت، تغییر تلقی مردم صاحب زبان از ویژگی هویت‌بخش آب بودن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باید گفت که اساساً وقتی صاحب یک زبان به مجموعه‌ای از اشیای کم و بیش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گرم و سرد و آب گندیده و شور و شیرین و احیاناً آب هندوانه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می‌کند، برای نامیدن آن اشیا و قرار دادن مجموعه یا طبقه‌ای از اشیا تحت یک عنوان و نام، ناخودآگاه و به‌طور تعینی و غیررسمی، ویژگی‌های هویت‌بخشی را در نظر می‌گیرد که البته در معرض عروض عوارض تغییردهنده قرار می‌گیرند؛ اما با همة آن تغییرات، هنوز در زیر چتر آن نام یا عنوان قرار می‌گیرند؛ مگر اینکه این تغییرات به جایی برسند که آن ویژگی هویت‌بخش، اساساً منتفی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اگر شور بشود، همچنان آب است؛ همچنین است اگر بگندد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تغییری در آب به وجود آید که یکی از ویژگی‌های هویت‌بخش آن از بین برود، و شرط یا ویژگی‌ای که متکلمان زبان به‌خاطر آن، آب را آب نامیده بودند، از بین برود، بدیهی است که دیگر نمی‌توان آن شیء را آب نامید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سؤال این است که این ملاک‌های نام‌گذاری از کجا می‌آیند و چه عوامل و شرایطی در آن اثر می‌گذارند و احیاناً آن را تغییر می‌دهند؟ ظاهراً پاسخ را باید در متن زبان و فرهنگ و فهم و تلقی عرف عامة مردم در هر تاریخ و جغرافیا جست و به این سادگی‌ها نمی‌توان به آن، پاسخ‌های دقیق و مشخصی داد؛ به‌ویژه با توجه به اینکه وضع، اساساً طبیعتی قراردادی دارد، شاید نتوان حکم کلی و قاطع و یکدستی برای آن ارائه کرد، بلکه باید آن را تابع ارکان قرارداد و وضع که واضعان و عرف و قصد آنها از جملة آنهاست، </w:t>
      </w:r>
      <w:bookmarkStart w:id="292" w:name="pg5825_38359"/>
    </w:p>
    <w:p>
      <w:pPr>
        <w:pStyle w:val="BookText"/>
        <w:rPr/>
      </w:pPr>
      <w:bookmarkEnd w:id="292"/>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می‌توان گفت که پدیده‌های اجتماعی و ازجمله کشفیات علمی در تغییر تلقی و تعمیق فهم مردم از چیستی اشیا و درنتیجه تغییر نگاه آنها به ویژگی‌های هویت‌بخش اشیا و اجزای ماهوی و هویت‌بخش چیزها مؤثر است و همین تغییرات، ملاک‌های نام‌گذاری‌ها را متأثر می‌سازد؛ اما نکتة مهمی که باید بدان توجه کرد این است که با همة اینها، همچنان نام‌گذاری در سطح فهم عادی و روزمره و عرفی انسان‌ها صورت می‌گیرد و یافته‌های علمی تنها در تعمیق فهم انسان‌ها از چیستی اشیا و عناصر ماهوی آنها و به‌طور غیرمستقیم، در نام‌گذاری اشیا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انسان قرن بیست و یکم برخلاف انسان سه قرن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اطلاعاتی که از هویت اشیا از یافته‌های علمی به دست آورده‌است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مایع متفاوت را نیز آب بنامد، یا درصدد برآید برای مادة جدید با فرمول شیمایی </w:t>
      </w:r>
      <w:r>
        <w:rPr>
          <w:rFonts w:eastAsia="Times New Roman" w:cs="Times New Roman" w:ascii="Times New Roman" w:hAnsi="Times New Roman"/>
          <w:color w:val="111111"/>
          <w:sz w:val="28"/>
          <w:szCs w:val="28"/>
          <w:lang w:val="en-US" w:bidi="en-US"/>
        </w:rPr>
        <w:t>XYZ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 دیگر دست و پا کند، اما هیچ یک از اینها به معنای آن نیست که معنا و مفهوم اشیا را اکتشافات علمی کشف می‌کنند و تا پیش از آن، معنای آنها ناشناخته مانده بوده‌است</w:t>
      </w:r>
      <w:r>
        <w:rPr>
          <w:rFonts w:eastAsia="IRNazanin" w:cs="IRNazanin"/>
          <w:color w:val="111111"/>
          <w:sz w:val="28"/>
          <w:szCs w:val="28"/>
          <w:rtl w:val="true"/>
          <w:lang w:bidi="fa-IR"/>
        </w:rPr>
        <w:t>.</w:t>
      </w:r>
    </w:p>
    <w:p>
      <w:pPr>
        <w:pStyle w:val="Heading3"/>
        <w:numPr>
          <w:ilvl w:val="2"/>
          <w:numId w:val="1"/>
        </w:numPr>
        <w:rPr/>
      </w:pPr>
      <w:bookmarkStart w:id="293" w:name="__RefHeading___Toc4623527_581953129"/>
      <w:bookmarkStart w:id="294" w:name="_Toc110"/>
      <w:bookmarkEnd w:id="293"/>
      <w:r>
        <w:rPr>
          <w:rtl w:val="true"/>
        </w:rPr>
        <w:t>معنای یک لفظ یا حقیقت یک شیء</w:t>
      </w:r>
      <w:bookmarkEnd w:id="294"/>
    </w:p>
    <w:p>
      <w:pPr>
        <w:pStyle w:val="BookText"/>
        <w:rPr/>
      </w:pPr>
      <w:r>
        <w:rPr>
          <w:rFonts w:ascii="IRNazanin" w:hAnsi="IRNazanin" w:eastAsia="IRNazanin"/>
          <w:color w:val="111111"/>
          <w:sz w:val="28"/>
          <w:sz w:val="28"/>
          <w:szCs w:val="28"/>
          <w:rtl w:val="true"/>
          <w:lang w:bidi="fa-IR"/>
        </w:rPr>
        <w:t>پاتنم نتیجه می‌گیرد که خواص مشهود هیچ نوع طبیعی، سرشت واقعی آن را تعیین نمی‌کند و برای تعیین معنای واژه‌های دال بر انواع طبیعی باید سراغ یافته‌های علمی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پایة این مغالطة علمی این است که پاتنم میان این دو سؤال که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 و آنها را یکی انگاشته‌است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 در حقیقت پرسشی معناشناختی و راجع به زبان و کاربرد الفاظ و در حقیقت سوال از رابطه و قراردادی بین‌الاذهانی میان افراد متعلق به یک عرف و زبان است و سؤال دوم، پرسشی از حقیقت و سرشت و چیستی واقعی یک شیء بیرونی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در ساحت معنا‌شناسی، سخن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گویش‌گران زبان، به چه چیزی آب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بدان آب می‌گوییم، در حقیقت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نگاه به معنا، هیچ رابطة ضروری‌ای میان درستی تلقی و تصور ما از حقیقت آب یا نادرستی آن، با چیستی معنای کلمة مربوط به آن وجود ندارد؛ به همین روی تلقی سنتی از معنا، برخلاف آنچه پاتنم تصور کرده‌است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143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تغییر و تکامل علمی، با هیچ مشکلی مواجه نمی‌شود؛ بلکه دقیقاً این دیدگاه پاتنم از معناست که چنانکه اشاره خواهیم کرد، با تغییرات علمی، به مشکلات بزرگی برمی‌خورد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تالی فاسد بزرگ فرضیة پاتنم مبنی بر اینکه مشخص شدن معنای الفاظ در گرو کشف هویت علمی آنها باشد، این است که میلیون‌ها انسان که بی‌خبر از ماهیت علمی انواع طبیعی، آنها را می‌شناسند و در گفت و گوی‌های روزمرة خود بدانها اشاره و دلالت می‌کنند، در حقیقت، معنای آنها را نفهمیده باشند و بشر تا زمان کشف فرمول شیمیایی این گونه اشیا، قرن‌ها از شناخت معنای آنها محروم بوده باشد؛ و با توجه به نو به نو شدن کشفیات علمی و تغییر و تکامل کشفیات علمی از ماهیت اشیا، بشر به لحاظ معناشناختی در نسبیت و شکاکیت بی‌فرجام و فراگیری گرفتار باشد؛ چنان‌که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آنچه در صورت معمولی خود، آب نامیده می‌شود، غیر از مولکول‌های هیدروژن، مرکب از مولکول‌های دوتریوم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ایزوتوپ هیدروژن است و وزن اتمی آن دو برابر هیدروژن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نیز هست، و سه سال بعد دانشمندان، ایزوتوپ دیگری از هیدروژن به نام تریتیوم که با اکسیژن پیوند می‌یابد، نیز در آب معمولی پیدا کردند و هنوز جای این احتمال هست که ایزوتوپ‌ها یا ترکیبات دیگری نیز در ترکیب شیمیایی آب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و زیاد شدن این ترکیبات جدید، صورت‌های جدیدی از آب سنگین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در ظاهر، به‌هیچ‌وجه تمییزپذیر از آب معمولی نیستند، اما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جوش، جرم مولکولی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پاتنم باید بگوید معنای آب، </w:t>
      </w:r>
      <w:r>
        <w:rPr>
          <w:rFonts w:eastAsia="Times New Roman" w:cs="Times New Roman" w:ascii="Times New Roman" w:hAnsi="Times New Roman"/>
          <w:color w:val="111111"/>
          <w:sz w:val="28"/>
          <w:szCs w:val="28"/>
          <w:lang w:val="en-US" w:bidi="en-US"/>
        </w:rPr>
        <w:t>T2O + D2O +H2O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احتمالاً ترکیب دیگری که هنوز شناخته نشده‌است،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احتمال آن است که معنای آب هنوز کاملاً مشخص نشده و معلوم نیست زمانی پروندة معنای آن بسته شود و بتوان ادعا کرد معنای آب کاملاً معلوم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آب نه برای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واقع است وضع می‌شود، بلکه برای همین سیّال معروف چنان‌که برای عموم ظاهر است، وضع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اورام استرول می‌کوشد با آوردن مثال‌هایی ناقض، ادعای پاتنم و کریپکی را مبنی بر اینکه میان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رابطة این همانی برقرار است،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استدلال می‌کند که آب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ascii="IRNazanin" w:hAnsi="IRNazanin" w:eastAsia="IRNazanin"/>
          <w:color w:val="111111"/>
          <w:sz w:val="28"/>
          <w:sz w:val="28"/>
          <w:szCs w:val="28"/>
          <w:rtl w:val="true"/>
          <w:lang w:bidi="fa-IR"/>
        </w:rPr>
        <w:t xml:space="preserve">؛ یخ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ascii="IRNazanin" w:hAnsi="IRNazanin" w:eastAsia="IRNazanin"/>
          <w:color w:val="111111"/>
          <w:sz w:val="28"/>
          <w:sz w:val="28"/>
          <w:szCs w:val="28"/>
          <w:rtl w:val="true"/>
          <w:lang w:bidi="fa-IR"/>
        </w:rPr>
        <w:t>؛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وارد کردن بخار آب به دایرة استدلال خود، شدت تناقض را بیشتر می‌کند و نتیجه می‌گیرد که براساس فرض پاتنم و کریپکی، اگر معنای آب، همان فرمول شیمیایی آن باشد، با توجه به یکسانی فرمول شیمیایی یخ و بخار آب، با آب، لزوماً باید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همان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همان بخار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همان بخار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بپذیریم، درحالی‌که بداهتاً این نتیجه‌گیری </w:t>
      </w:r>
    </w:p>
    <w:p>
      <w:pPr>
        <w:pStyle w:val="BookText"/>
        <w:rPr/>
      </w:pPr>
      <w:r>
        <w:rPr>
          <w:rFonts w:ascii="IRNazanin" w:hAnsi="IRNazanin" w:eastAsia="IRNazanin"/>
          <w:color w:val="111111"/>
          <w:sz w:val="28"/>
          <w:sz w:val="28"/>
          <w:szCs w:val="28"/>
          <w:rtl w:val="true"/>
          <w:lang w:bidi="fa-IR"/>
        </w:rPr>
        <w:t>نادرست است، بنابراین باید یکی از مقدمات،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معنای 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استرول نتیجه می‌گیرد که چون آب آشکارا با یخ یا بخار آب، این‌همان نیست و چون آب و یخ و نیز بخار و یخ، ترکیب شیمیایی واحدی دارند، پس تفاوت بین آنها را نمی‌توان برحسب ترکیب شیمیایی آنها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را باید بر پایه‌ای دیگر جز ترکیب اجزای آنها، و برحسب تفاوت‌های فیزیکی مشهود آنها تبیین کرد و به قصد این کار، باید عباراتی را به کار گیریم که آدم‌های معمولی غیر علمی از زمان‌های به یاد نیامدنی به این منظور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خواص پدیده‌شناختی که این عبارات بدان اشاره می‌کنند، امکان تمییز دادن را فراهم می‌آورند و به ما می‌گویند که وقتی آب منجمد می‌شود، یخ می‌شود؛ یخ همواره سرد است؛ اما آب چنین نیست، و آب شفاف است و یخ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وجوه، یک جزء شیمیایی زیرساز آب، مثل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نیست؛ اما به ما در تمییز آب از یخ و یخ از بخار کمک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پاتنم حق دارد در دفاع از خود، رابطة فوق را اصلاح کرده، بگوید که 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 عادی قرار گرفتن مولکول‌ها از هم است؛ یخ،</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 فشرده شدن مولکول‌ها نسبت به هم است؛ و بخار آب،</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 انبساط مولکول‌هاست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تعریفی تناقضی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پاتنم می‌تواند از خود دفاع کند که وقتی می‌گوید معنای واژه‌های دال بر انواع طبیعی را واقعیت‌های علمی مشخص می‌کند، مقصود او نه فقط فرمول‌های شیمیایی که تمام ویژگی‌های شیمیایی آن نوع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اشکال اصلی سخن پاتنم، همان خلط میان دو پرسش از معنای لفظ و حقیقت یک عین بیرونی است؛ بنابراین اگر مراد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مثال‌های استرول، لفظ آب باشد، اساساً رابطة آب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غلط است و اگر مراد، حقیقت بیرونی آب باشد، رابطه‌ها درست و نتیجة استرول غلط و حق با پاتنم است؛ چون می‌توان گفت که حقیقت بیرونی آب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حالت عادی مولکول‌ها؛ حقیقت بیرونی یخ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 فشرده بودن مولکول‌ها؛ پس حقیقت بیرونی آب ≠ حقیقت بیرونی یخ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مهم دیگر ادعای پاتنم این است که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در این صورت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گزاره‌ای تحلیلی باشد؛ درحالی‌که به بداهت می‌دانیم که این گزاره‌ای ترکیبی و معرفت‌افزا و یک کشف علمی است</w:t>
      </w:r>
      <w:r>
        <w:rPr>
          <w:rFonts w:eastAsia="IRNazanin" w:cs="IRNazanin"/>
          <w:color w:val="111111"/>
          <w:sz w:val="28"/>
          <w:szCs w:val="28"/>
          <w:rtl w:val="true"/>
          <w:lang w:bidi="fa-IR"/>
        </w:rPr>
        <w:t xml:space="preserve">. </w:t>
      </w:r>
      <w:bookmarkStart w:id="295" w:name="pg5825_38364"/>
    </w:p>
    <w:p>
      <w:pPr>
        <w:pStyle w:val="Heading3"/>
        <w:numPr>
          <w:ilvl w:val="2"/>
          <w:numId w:val="1"/>
        </w:numPr>
        <w:rPr/>
      </w:pPr>
      <w:bookmarkStart w:id="296" w:name="__RefHeading___Toc4623529_581953129"/>
      <w:bookmarkStart w:id="297" w:name="_Toc111"/>
      <w:bookmarkEnd w:id="295"/>
      <w:bookmarkEnd w:id="296"/>
      <w:r>
        <w:rPr>
          <w:rtl w:val="true"/>
        </w:rPr>
        <w:t>برخی لوازم فاسد دیدگاه پاتنم</w:t>
      </w:r>
      <w:bookmarkEnd w:id="297"/>
    </w:p>
    <w:p>
      <w:pPr>
        <w:pStyle w:val="BookText"/>
        <w:rPr/>
      </w:pPr>
      <w:r>
        <w:rPr>
          <w:rFonts w:ascii="IRNazanin" w:hAnsi="IRNazanin" w:eastAsia="IRNazanin"/>
          <w:color w:val="111111"/>
          <w:sz w:val="28"/>
          <w:sz w:val="28"/>
          <w:szCs w:val="28"/>
          <w:rtl w:val="true"/>
          <w:lang w:bidi="fa-IR"/>
        </w:rPr>
        <w:t>افزون بر اشکالات ذاتی، به نظر می‌رسد که دیدگاه پاتنم لوازم فاسدی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تعیین مصداق و توصیف معنا، ساختار علمی و واقعی اشیا باید دخیل باشد، هیچ گاه نمی‌توان هیچ حقیقتی را نامید؛ چون هرگز نمی‌توان به این یقین دست یافت که به‌طور کامل حقیقت هویت علمی یک شیء دریافته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بر هیچ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نوع هنوز معنادار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 نمی‌توان نامی مشترک و کلی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موجود در 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حقیقتی یکسان داشته باشند، همچنین آب اکنون موجود در لیوان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در زمانی دیگر همان حقیقت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شناخت ژرف‌ساخت یک شیء شرط فهم معنای آن باشد، آیا این مستلزم آن نیست که بشر در طول هزاران سال، معنای کلمات خود را نمی‌دانسته‌است؟ آیا امروز می‌توانیم مطمئن باشیم که هویت علمی واقعی آب و درنتیجه معنای کلمة آب را می‌دانیم؟</w:t>
      </w:r>
    </w:p>
    <w:p>
      <w:pPr>
        <w:pStyle w:val="BookText"/>
        <w:rPr/>
      </w:pPr>
      <w:r>
        <w:rPr>
          <w:rFonts w:ascii="IRNazanin" w:hAnsi="IRNazanin" w:eastAsia="IRNazanin"/>
          <w:color w:val="111111"/>
          <w:sz w:val="28"/>
          <w:sz w:val="28"/>
          <w:szCs w:val="28"/>
          <w:rtl w:val="true"/>
          <w:lang w:bidi="fa-IR"/>
        </w:rPr>
        <w:t xml:space="preserve">اشکال دیگر این است که ملاک ساختار علمی بودن دقیقاً چیست؟ چرا باید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 را ملاک ساختار علمی قرار دهیم؟ اگر قرار است در نام‌گذاری اشیا، به ساختار علمی آنها توجه کنیم، چرا باید در واکاوی علمی یک شیء در حد صورت مولکولی آن متوقف شویم و ساختار ریزتر و ژرف‌تر را ملاک قرار ندهیم؟ این ژرف‌کاوی تا کجا باید ادامه یابد؟</w:t>
      </w:r>
    </w:p>
    <w:p>
      <w:pPr>
        <w:pStyle w:val="Heading3"/>
        <w:numPr>
          <w:ilvl w:val="2"/>
          <w:numId w:val="1"/>
        </w:numPr>
        <w:rPr/>
      </w:pPr>
      <w:bookmarkStart w:id="298" w:name="__RefHeading___Toc4623531_581953129"/>
      <w:bookmarkStart w:id="299" w:name="_Toc112"/>
      <w:bookmarkEnd w:id="298"/>
      <w:r>
        <w:rPr>
          <w:rtl w:val="true"/>
        </w:rPr>
        <w:t>نتیجه</w:t>
      </w:r>
      <w:r>
        <w:rPr>
          <w:rtl w:val="true"/>
        </w:rPr>
        <w:softHyphen/>
      </w:r>
      <w:r>
        <w:rPr>
          <w:rtl w:val="true"/>
        </w:rPr>
        <w:t>گیری</w:t>
      </w:r>
      <w:bookmarkEnd w:id="29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همزاد زمین، نه تنها اثبات‌کنندة بیرونی‌گرایی مورد نظر پاتنم نیست، که دقیقاً برهانی است برخلاف رأی و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این برهان، مغالطة مصادره به مطلوب است که ناشی از بیرونی فرض گرفتن معنا، پیش از اثبات آن، و تکیه بر این فرض است که معنا را ساختار علمی شیء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اشکالات وارد بر استدلال وی این است که او میان بعد معناشناختی و معرفت‌شناختی مسئله، آشکارا خلط کرده، به تفاوت جهان‌های نام‌گذاری و معناداری و همچنین جهان‌های شناخت عرف عام و عرف علمی بی‌توجه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لوازم فاسد نظریة پاتنم که معتقد است معانی کلمات را اکتشافات علمی تعیین می‌کنند، این است که مردم عادی در طول قرن‌ها، معنای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نمی‌فهمیده‌اند، و هم‌اکنون نیز ممکن است معانی این کلمات تغییر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اشتباهات، از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معنای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حقیقت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w:t>
      </w:r>
      <w:r>
        <w:rPr>
          <w:rFonts w:eastAsia="IRNazanin" w:cs="IRNazanin"/>
          <w:color w:val="111111"/>
          <w:sz w:val="28"/>
          <w:szCs w:val="28"/>
          <w:rtl w:val="true"/>
          <w:lang w:bidi="fa-IR"/>
        </w:rPr>
        <w:t xml:space="preserve">. </w:t>
      </w:r>
      <w:bookmarkStart w:id="300" w:name="pg5825_38366"/>
    </w:p>
    <w:p>
      <w:pPr>
        <w:pStyle w:val="Heading3"/>
        <w:numPr>
          <w:ilvl w:val="2"/>
          <w:numId w:val="1"/>
        </w:numPr>
        <w:rPr/>
      </w:pPr>
      <w:bookmarkStart w:id="301" w:name="__RefHeading___Toc4623533_581953129"/>
      <w:bookmarkStart w:id="302" w:name="_Toc113"/>
      <w:bookmarkEnd w:id="300"/>
      <w:bookmarkEnd w:id="301"/>
      <w:r>
        <w:rPr>
          <w:rtl w:val="true"/>
        </w:rPr>
        <w:t>منابع فارسی</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استرول، اورام،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فلسفة تحلیلی در قرن بیستم، ترجمة فریدون فاطمی،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لاریجانی، صادق،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معرفت دینی،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ترجمه و نشر کتاب</w:t>
      </w:r>
      <w:r>
        <w:rPr>
          <w:rFonts w:eastAsia="IRNazanin" w:cs="IRNazanin"/>
          <w:color w:val="111111"/>
          <w:sz w:val="28"/>
          <w:szCs w:val="28"/>
          <w:rtl w:val="true"/>
          <w:lang w:bidi="fa-IR"/>
        </w:rPr>
        <w:t>.</w:t>
      </w:r>
    </w:p>
    <w:p>
      <w:pPr>
        <w:pStyle w:val="Heading3"/>
        <w:numPr>
          <w:ilvl w:val="2"/>
          <w:numId w:val="1"/>
        </w:numPr>
        <w:rPr/>
      </w:pPr>
      <w:bookmarkStart w:id="303" w:name="__RefHeading___Toc4623535_581953129"/>
      <w:bookmarkStart w:id="304" w:name="_Toc114"/>
      <w:bookmarkEnd w:id="303"/>
      <w:r>
        <w:rPr>
          <w:rtl w:val="true"/>
        </w:rPr>
        <w:t>منابع انگلیسی</w:t>
      </w:r>
      <w:bookmarkEnd w:id="3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Frege, G.1976 "The Thought: A Logical Inquiry" Philosophical Logic, ed.p.f.Strawson, Oxford: Cambridge University Press, 17-38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 Sence and Refrence, Peter Geach,trans in Analytic Philosophy,An Anthology,A.P.Martinich and David Sosa, eds. Blackwel Publishers,2001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Keya,Maitra, 2003, On Putnam, Canada:Transcontinental-Louisville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Kripke, S, 1980 Naming and Necessity,Cambridge, MA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Harvard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Putnam, Hilary,1975, Mind Language and Reality: Pilosophical Papers.Vol.2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Meaning and Refernce. "In S.P.Schwartz., ed., Naming Necessity, and Natural Kinds, 119-32. Ithaca,N.Y.: Cornell Universuty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Meaning and the Moral Sciences, London: Routledge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Kegan Paul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Salmon,N.U,1982, Refrence and Essence, Oxford: Basil Blackwell</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5825_38372"/>
      <w:bookmarkStart w:id="306" w:name="pg5825_38372"/>
      <w:bookmarkEnd w:id="306"/>
    </w:p>
    <w:p>
      <w:pPr>
        <w:pStyle w:val="Heading2"/>
        <w:numPr>
          <w:ilvl w:val="1"/>
          <w:numId w:val="1"/>
        </w:numPr>
        <w:rPr/>
      </w:pPr>
      <w:bookmarkStart w:id="307" w:name="pg5825_38372"/>
      <w:bookmarkStart w:id="308" w:name="__RefHeading___Toc4623537_581953129"/>
      <w:bookmarkStart w:id="309" w:name="_Toc115"/>
      <w:bookmarkEnd w:id="307"/>
      <w:bookmarkEnd w:id="308"/>
      <w:r>
        <w:rPr>
          <w:rtl w:val="true"/>
        </w:rPr>
        <w:t xml:space="preserve">تحلیل متن‌شناسی زیارت‌نامة حضرت امام رضا </w:t>
      </w:r>
      <w:r>
        <w:rPr>
          <w:rtl w:val="true"/>
        </w:rPr>
        <w:t>(</w:t>
      </w:r>
      <w:r>
        <w:rPr>
          <w:rtl w:val="true"/>
        </w:rPr>
        <w:t>علیه‌السلام</w:t>
      </w:r>
      <w:r>
        <w:rPr>
          <w:rtl w:val="true"/>
        </w:rPr>
        <w:t xml:space="preserve">) </w:t>
      </w:r>
      <w:r>
        <w:rPr>
          <w:rtl w:val="true"/>
        </w:rPr>
        <w:t xml:space="preserve">بر پایة نظریة کنش گفتار </w:t>
      </w:r>
      <w:r>
        <w:rPr>
          <w:rtl w:val="true"/>
        </w:rPr>
        <w:t xml:space="preserve">/ </w:t>
      </w:r>
      <w:r>
        <w:rPr>
          <w:rtl w:val="true"/>
        </w:rPr>
        <w:t>مهدی رجب‌زاده، محمدرضا پهلوان‌نژاد، محمدرضا فخر روحانی</w:t>
      </w:r>
      <w:bookmarkEnd w:id="309"/>
    </w:p>
    <w:p>
      <w:pPr>
        <w:pStyle w:val="Heading3"/>
        <w:numPr>
          <w:ilvl w:val="2"/>
          <w:numId w:val="1"/>
        </w:numPr>
        <w:rPr/>
      </w:pPr>
      <w:bookmarkStart w:id="310" w:name="__RefHeading___Toc4623539_581953129"/>
      <w:bookmarkStart w:id="311" w:name="_Toc116"/>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مهدی رجب‌زاده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محمدرضا پهلوان‌نژاد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فخر روحانی</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14/2/89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2/5/89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4623541_581953129"/>
      <w:bookmarkStart w:id="313" w:name="_Toc117"/>
      <w:bookmarkEnd w:id="312"/>
      <w:r>
        <w:rPr>
          <w:rtl w:val="true"/>
        </w:rPr>
        <w:t>چکیده</w:t>
      </w:r>
      <w:bookmarkEnd w:id="3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کنش گفتار، یکی از مهم‌ترین نظریات مؤثر بر دو حوزة فلسفة زبان و زبان دین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آستین، ارائه‌کنندة این نظریه، کاربرد زبان برای انجام کارهایی از قبیل اعلام کردن، وعده دادن، اظهار داشتن، تهدید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کنش گفتار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واحد ارتباط زبانی را کنش‌های گفتاری اعلام کرد؛ بدین معنی که ارتباط زبانی هنگامی اتفاق می‌افتد که گوینده، کنش گفتاری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سرل بر پایة این نظریه، کنش‌های گفتاری را به پنج دسته تقسیم‌بندی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کنش‌های اظهاری، اعلامی، تعهدی، ترغیبی و </w:t>
      </w:r>
      <w:bookmarkStart w:id="314" w:name="pg5825_38374"/>
    </w:p>
    <w:p>
      <w:pPr>
        <w:pStyle w:val="BookText"/>
        <w:rPr/>
      </w:pPr>
      <w:bookmarkEnd w:id="314"/>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متن‌شناسی زیارت‌نامة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طبقه‌بندی فوق نشان داد که از مجموع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کنش گفتاری مورد استفاده در این متن، کنش‌های عاطفی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بیشترین، و کنش‌های اعلامی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کمترین تعداد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متن فوق هیچ‌گونه کنش گفتاریِ تعهدی به کار نرفته‌است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فوق نشان‌دهندة ایجاد ارتباط عمیق عاطفی گوینده و مخاطب یا مخاطبان زیارت‌نامه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گویندة متن تلاش کرده تا احساساتی از قبیل ارادتمندی، قدردانی و دوستی خویش را در قالب این متن با مخاطب خویش به اشتراک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ناچیز موجود میان تعداد دیگر کنش‌های مورد استفاده در متن با توجه به تعداد کل کنش‌های موجود، معنی‌دار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متن‌شناسی، نظریة کنش‌گفتار، آستین، جان سرل، زیارت‌نامه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Heading3"/>
        <w:numPr>
          <w:ilvl w:val="2"/>
          <w:numId w:val="1"/>
        </w:numPr>
        <w:rPr/>
      </w:pPr>
      <w:bookmarkStart w:id="315" w:name="__RefHeading___Toc4623543_581953129"/>
      <w:bookmarkStart w:id="316" w:name="_Toc118"/>
      <w:bookmarkEnd w:id="315"/>
      <w:r>
        <w:rPr>
          <w:rtl w:val="true"/>
        </w:rPr>
        <w:t>کلیات</w:t>
      </w:r>
      <w:bookmarkEnd w:id="316"/>
    </w:p>
    <w:p>
      <w:pPr>
        <w:pStyle w:val="BookText"/>
        <w:rPr/>
      </w:pPr>
      <w:r>
        <w:rPr>
          <w:rFonts w:ascii="IRNazanin" w:hAnsi="IRNazanin" w:eastAsia="IRNazanin"/>
          <w:color w:val="111111"/>
          <w:sz w:val="28"/>
          <w:sz w:val="28"/>
          <w:szCs w:val="28"/>
          <w:rtl w:val="true"/>
          <w:lang w:bidi="fa-IR"/>
        </w:rPr>
        <w:t>نظریة کنش‌گفتار از جمله مهم‌ترین نگرش‌های زبان‌شناختی قرن بیستم بوده که هم بر دو حوزة فلسفة زبان و زبان دین تأثیر گذاشته‌است؛ البته جان آستین، ارائه‌کنندة این نظریه، آن را به‌طور ویژه دربارة زبان دینی به کار نگرفته ولی کاربرد آن در متون مختلف از جمله متون مذهبی و دینی مورد تأکید زبان‌شناسان و دیگر افرادی قرار گرفته که در حوزة تحلیل متون دینی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کاربردگرایانة این فیلسوف بزرگ متعلق به شاخة اکسفورد و بیش از هر چیزی تحت‌تأثیر فلسفة زبان متعارف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زبان متعارف جریانی است که به نقد جدی پوزیتیویسم منطقی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Logical Positivism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 و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به توضیح هر یک از این مفاهیم می‌پردازیم</w:t>
      </w:r>
      <w:r>
        <w:rPr>
          <w:rFonts w:eastAsia="IRNazanin" w:cs="IRNazanin"/>
          <w:color w:val="111111"/>
          <w:sz w:val="28"/>
          <w:szCs w:val="28"/>
          <w:rtl w:val="true"/>
          <w:lang w:bidi="fa-IR"/>
        </w:rPr>
        <w:t>.</w:t>
      </w:r>
    </w:p>
    <w:p>
      <w:pPr>
        <w:pStyle w:val="Heading3"/>
        <w:numPr>
          <w:ilvl w:val="2"/>
          <w:numId w:val="1"/>
        </w:numPr>
        <w:rPr/>
      </w:pPr>
      <w:bookmarkStart w:id="317" w:name="__RefHeading___Toc4623545_581953129"/>
      <w:bookmarkStart w:id="318" w:name="_Toc119"/>
      <w:bookmarkEnd w:id="317"/>
      <w:r>
        <w:rPr>
          <w:rtl w:val="true"/>
        </w:rPr>
        <w:t>پوزیتیویسم منطقی</w:t>
      </w:r>
      <w:bookmarkEnd w:id="3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نگرش فلسفی بین سال‌های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به نام حلقة وین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Vienna Group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پوزیتیویست‌های منطقی به معیار تحقق‌پذیری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Verifiability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تشخیص معنی‌داری یا بی‌معناییِ سخنان و عبارات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عقیدة آنان فقط دو دسته </w:t>
      </w:r>
      <w:bookmarkStart w:id="319" w:name="pg5825_38375"/>
    </w:p>
    <w:p>
      <w:pPr>
        <w:pStyle w:val="BookText"/>
        <w:rPr/>
      </w:pPr>
      <w:bookmarkEnd w:id="319"/>
      <w:r>
        <w:rPr>
          <w:rFonts w:ascii="IRNazanin" w:hAnsi="IRNazanin" w:eastAsia="IRNazanin"/>
          <w:color w:val="111111"/>
          <w:sz w:val="28"/>
          <w:sz w:val="28"/>
          <w:szCs w:val="28"/>
          <w:rtl w:val="true"/>
          <w:lang w:bidi="fa-IR"/>
        </w:rPr>
        <w:t xml:space="preserve">از عبارات، معنی دار بودند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Ayer, 1949: 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نظریات ثابت علمی که صدق یا کذبشان از طریق تجربه در جهان خارج و به‌وسیلة حواس مختلف قابل تشخیص و اثبات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تحلیلی، یعنی همان‌گویی‌های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ویتگنشتاین معروف به تراکتاتوس، نقش عمده‌ای در شکل‌گیری این شیوة فکری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تحقق‌پذیری و تقسیم‌بندی قضایا به دو دستة معنی‌دار و بی‌معنی را می‌توان از اصول اولیة پوزیتیوسیم منطقی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قضایایی که در حوزه‌های متافیزیک، دین و اخلاق قرار دارند، به‌دلیل فقدان امکان تحقیق‌پذیری تجربی فاقد معنی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مدعیات و احکام مربوط به مابعدالطبیعه متعالیه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Transcendental Metaphysics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به‌دلیل عدم امکان اثبات تجربی فاقد مضمون معرفت‌بخشند و درنتیجه از هر‌گونه خبر واقعی دربار جهان خارج حاکی نیستند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Ayer, 1949: 62</w:t>
      </w:r>
      <w:r>
        <w:rPr>
          <w:rFonts w:ascii="IRNazanin" w:hAnsi="IRNazanin" w:eastAsia="IRNazanin"/>
          <w:color w:val="111111"/>
          <w:sz w:val="28"/>
          <w:sz w:val="28"/>
          <w:szCs w:val="28"/>
          <w:rtl w:val="true"/>
          <w:lang w:bidi="fa-IR"/>
        </w:rPr>
        <w:t xml:space="preserve">؛ عنایتی‌راد،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ویتگنشتاین متقدم در رسالة خود اعلام می‌دارد که گزاره‌های اخلاقی گزاره‌هایی نیستند که شناخت را به همگان منتقل سازند، بلکه فقط بیان‌گر احساسات و عواطف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نیز متافیزیک را محصولِ بوالهوسی‌های عقل نظری، و آن را در حوزة علوم نظری خارج می‌دانست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Ayer, 1949: 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4623547_581953129"/>
      <w:bookmarkStart w:id="321" w:name="_Toc120"/>
      <w:bookmarkEnd w:id="320"/>
      <w:r>
        <w:rPr>
          <w:rtl w:val="true"/>
        </w:rPr>
        <w:t xml:space="preserve">فلسفة زبان متعارف </w:t>
      </w:r>
      <w:r>
        <w:rPr>
          <w:rtl w:val="true"/>
        </w:rPr>
        <w:t>(</w:t>
      </w:r>
      <w:r>
        <w:rPr/>
        <w:t>Ordinary Language Philosophy</w:t>
      </w:r>
      <w:r>
        <w:rPr>
          <w:rtl w:val="true"/>
        </w:rPr>
        <w:t>)</w:t>
      </w:r>
      <w:bookmarkEnd w:id="321"/>
    </w:p>
    <w:p>
      <w:pPr>
        <w:pStyle w:val="Heading4"/>
        <w:numPr>
          <w:ilvl w:val="3"/>
          <w:numId w:val="1"/>
        </w:numPr>
        <w:rPr/>
      </w:pPr>
      <w:bookmarkStart w:id="322" w:name="__RefHeading___Toc4623549_581953129"/>
      <w:bookmarkStart w:id="323" w:name="_Toc1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فلسفة زبان متعارف جریانی است فکری که با نقد جدی پوزیتیوسیم منطقی،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پیروان این جریان فکری لازم است که مسائل فلسفی را با ارجاع و توجه به استعمال واژگان در زبان متعارف و معمول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متأخر در کتاب تحقیقات فلسفی که رویکردی کاملاَ متفاوت با شیوة نخست فکری او دارد، استفادة نابجا از واژگان در خارج از بافت متعارف آن را عامل پدیداری معضلات فلسفی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نقد زبان به کاربرد زبان روزمره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فسنکول،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زبان متعارف نیزخود دو طیف متمایز از فلاسفة زبان را به خود جذب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که در آکسفورد شکل گرفت؛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که در کمبریج متمرکز بود</w:t>
      </w:r>
      <w:r>
        <w:rPr>
          <w:rFonts w:eastAsia="IRNazanin" w:cs="IRNazanin"/>
          <w:color w:val="111111"/>
          <w:sz w:val="28"/>
          <w:szCs w:val="28"/>
          <w:rtl w:val="true"/>
          <w:lang w:bidi="fa-IR"/>
        </w:rPr>
        <w:t xml:space="preserve">. </w:t>
      </w:r>
      <w:bookmarkStart w:id="324" w:name="pg5825_38377"/>
    </w:p>
    <w:p>
      <w:pPr>
        <w:pStyle w:val="BookText"/>
        <w:rPr/>
      </w:pPr>
      <w:bookmarkEnd w:id="324"/>
      <w:r>
        <w:rPr>
          <w:rFonts w:ascii="IRNazanin" w:hAnsi="IRNazanin" w:eastAsia="IRNazanin"/>
          <w:color w:val="111111"/>
          <w:sz w:val="28"/>
          <w:sz w:val="28"/>
          <w:szCs w:val="28"/>
          <w:rtl w:val="true"/>
          <w:lang w:bidi="fa-IR"/>
        </w:rPr>
        <w:t xml:space="preserve">گیلبرت رایل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Gilbert Ryle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آستین را می‌توان متعلق به شاخة نخست این حوزة فکری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رایل در مقالة خود با نام زبان متعارف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Ordinary Language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یکی دیگر از اصول این مکتب فلسفی را مطرح می‌کند و آن اینکه خود واژه‌ها به‌تنهایی دارای معنی نیستند و در هر واژه به خودی خود جوهره یا معنایی وجود ندارد؛ بنابراین معنای هر واژه را تنها باید از طریق کاربردش جستجو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حوزة زبان دین نیز ویتگشتاین متأخر و نئوویتگنشتاینی‌ها مانند فیلیپس از طریق مستقل دانستن زبان دین، حوزة آن را از دیگر حوزه‌ها جدا کردند که این امر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فلاسفة زبان متعارف بر کاربرد روزمره و معمول زبان، تأثیر بسزایی بر زبان‌شناسی و به‌ویژه فلسفة زبان گذاشت و زمینه‌ساز تعابیر، تفاسیر و نظریات متعددی در حیطة کاربردشناسی و ازجمله نظریة کنش‌گفتار گردید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توضیح این نظریه می‌پردازیم</w:t>
      </w:r>
      <w:r>
        <w:rPr>
          <w:rFonts w:eastAsia="IRNazanin" w:cs="IRNazanin"/>
          <w:color w:val="111111"/>
          <w:sz w:val="28"/>
          <w:szCs w:val="28"/>
          <w:rtl w:val="true"/>
          <w:lang w:bidi="fa-IR"/>
        </w:rPr>
        <w:t>.</w:t>
      </w:r>
    </w:p>
    <w:p>
      <w:pPr>
        <w:pStyle w:val="Heading4"/>
        <w:numPr>
          <w:ilvl w:val="3"/>
          <w:numId w:val="1"/>
        </w:numPr>
        <w:rPr/>
      </w:pPr>
      <w:bookmarkStart w:id="325" w:name="__RefHeading___Toc4623551_581953129"/>
      <w:bookmarkStart w:id="326" w:name="_Toc122"/>
      <w:bookmarkEnd w:id="325"/>
      <w:r>
        <w:rPr>
          <w:rtl w:val="true"/>
        </w:rPr>
        <w:t>نظریة کنش‌گفتار</w:t>
      </w:r>
      <w:r>
        <w:rPr>
          <w:rtl w:val="true"/>
        </w:rPr>
        <w:t>(</w:t>
      </w:r>
      <w:r>
        <w:rPr/>
        <w:t>Speech Act Theory</w:t>
      </w:r>
      <w:r>
        <w:rPr>
          <w:rtl w:val="true"/>
        </w:rPr>
        <w:t>)</w:t>
      </w:r>
      <w:bookmarkEnd w:id="326"/>
    </w:p>
    <w:p>
      <w:pPr>
        <w:pStyle w:val="Heading5"/>
        <w:numPr>
          <w:ilvl w:val="4"/>
          <w:numId w:val="1"/>
        </w:numPr>
        <w:rPr/>
      </w:pPr>
      <w:bookmarkStart w:id="327" w:name="__RefHeading___Toc4623553_581953129"/>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جان آستین از پیشگامان فلسفة زبان متعارف و مکتب آکسفورد، تحت‌تأثیر متقدمانی همچون ویتگنشتاین متأخر و استراوسن، نظریات مبسوطی دربارة انواع کاربردهای زبان یا هدف سخن‌گویان از کاربرد آن ارائه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وی که دربردارندة این نظریه بود، نیز پس از مرگش، به دست شاگردان او تنظیم و ویرایش، ودر قالب کتابی با عنوان چگونه با واژگان کار انجام دهیم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 to Do Things With Words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سهم جان سرل، هم در عرضه و هم در بسط و تفصیل آن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کتاب را موضع‌گیری جدی در نقد پوزیتیویسم منطقی دانست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آستین با دیدگاه کاربرد‌گرایانة خویش با رد تقسیم‌بندی پوزیتیویست‌های منطقی از زبان اعلام کرد که اولاً نقش زبان صرفاً تعیین صدق یا کذب جملات نیست و ثانیاً جملات خبری تنها جملات معنی‌دار زبانی نیستند و حتی از میان جملاتی که اصطلاحاً خبری نامیده می‌شوند نیز گروهی وجود دارند که صورت جملات خبری را دارند، اما صادق یا کاذب نیستند، زیرا هدف گوینده از بیان آنها انجام کنشی در قالب گفتار است تا توصیف یک وضع یا حالت، همچنین همواره نمی‌توان از طریق ساخت نحوی جملات به نقش آنها </w:t>
      </w:r>
      <w:bookmarkStart w:id="329" w:name="pg5825_38379"/>
    </w:p>
    <w:p>
      <w:pPr>
        <w:pStyle w:val="BookText"/>
        <w:rPr/>
      </w:pPr>
      <w:bookmarkEnd w:id="329"/>
      <w:r>
        <w:rPr>
          <w:rFonts w:ascii="IRNazanin" w:hAnsi="IRNazanin" w:eastAsia="IRNazanin"/>
          <w:color w:val="111111"/>
          <w:sz w:val="28"/>
          <w:sz w:val="28"/>
          <w:szCs w:val="28"/>
          <w:rtl w:val="true"/>
          <w:lang w:bidi="fa-IR"/>
        </w:rPr>
        <w:t>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ملاحظات فوق، آستین اظهارات سخن‌گویان زبان را به دو دستة اخباری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Constative Utterances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اجرایی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 formative Utterances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تقسیم‌بندی کرد و برای تمایز میان این دو دسته ملاک‌هایی را در نظر گرفت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اظهارات اخباری صدق و کذب‌پذیرند؛ اما اظهارات اجرایی صدق و کذب‌پذیر نبوده و متناسب یا نامتناسبند؛ مثلاً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در جنگ واترلو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تصدیق یا تکذیبند؛ اما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زن و شوهر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تصدیق یا تکذیب نیست، بلکه متناسب یا فاقد تناسب است، بدین معنی که اگر تحت شرایط خاص مانند اعلام رضایت قبلی طرفین انجام شود، متناسب و بجاست و اگر هر یک از شرایط لازم تحقق نیابد، فاقد کارایی لازم و نا‌بجا خواهد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در اظهارات اجرایی از افعال خاصی مثل قول دادن، اعلام کردن، اخطار کردن استفاده می‌شود؛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را عزای عمومی و تعطیل رسمی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می‌دهم هرگز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در اظهارات اخباری غالباً از افعال توصیفی و ایستا استفاده می‌شود؛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هوا سرد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اظهارات اجرایی گوینده با اظهار خویش به خودی خود عملی را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وعده‌ای می‌دهد یا تهدید می‌کند؛ یعنی اظهارش از مقولة انجام دادن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درحالی‌که در اظهارات اخباری یک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خلاف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یا توصیف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در صورت‌های زبانی، معنی را چیزی جدا از نقش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معنی را تقریباً معادل همان معنای شناخته‌شدة جملات می‌داند؛ اما نقش، کاملاً وابسته به موقعیتی است که جمله در آن به کار می‌رود و به منظور گوینده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کاربرد زبان برای انجام کارهایی از قبیل وعده دادن، تهدید کردن، اعلام کردن و غیره را کنش گفتار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Speech 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 و به شناسایی کنش‌های گفتاری مورد استفاده در جملات کنشی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 Formatives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پرداخت؛ اما اظهار داشت که برخلاف انتظار نمی‌توان انواع کنش‌های گفتاری را به‌صراحت از هم بازشناخت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چپمن،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5"/>
        <w:numPr>
          <w:ilvl w:val="4"/>
          <w:numId w:val="1"/>
        </w:numPr>
        <w:rPr/>
      </w:pPr>
      <w:bookmarkStart w:id="330" w:name="__RefHeading___Toc4623555_581953129"/>
      <w:bookmarkStart w:id="331" w:name="_Toc124"/>
      <w:bookmarkEnd w:id="330"/>
      <w:r>
        <w:rPr>
          <w:rtl w:val="true"/>
        </w:rPr>
        <w:t>ابعاد کنش‌های گفتار از دیدگاه آستین</w:t>
      </w:r>
      <w:bookmarkEnd w:id="33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آستین در هر کنش گفتار سه بعد متفاوت قابل تشخیص است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بیانی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Locutionary Act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کنش غیر بیانی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Illocutionary 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کنش </w:t>
      </w:r>
      <w:bookmarkStart w:id="332" w:name="pg5825_38380"/>
    </w:p>
    <w:p>
      <w:pPr>
        <w:pStyle w:val="BookText"/>
        <w:rPr/>
      </w:pPr>
      <w:bookmarkEnd w:id="332"/>
      <w:r>
        <w:rPr>
          <w:rFonts w:ascii="IRNazanin" w:hAnsi="IRNazanin" w:eastAsia="IRNazanin"/>
          <w:color w:val="111111"/>
          <w:sz w:val="28"/>
          <w:sz w:val="28"/>
          <w:szCs w:val="28"/>
          <w:rtl w:val="true"/>
          <w:lang w:bidi="fa-IR"/>
        </w:rPr>
        <w:t>تأثیری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 locutionary Act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کنش بیانی کاربرد صحیح و تحت‌اللفظی واژه‌های زبان در کنار یکدیگر است؛ به نحوی که معنای مشخصی را متبادر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گفتن سخن نامفهوم یا فاقد نحو مناسب، ارتباط زبانی مناسب و دلخواه را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گوینده یا نویسنده از به‌کارگیری این جملات، هدف و نیت خاصی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همزمان با بیان چیزی، کاری انجام می‌دهیم، سؤالی می‌پرسیم، قرار ملاقاتی می‌گذاریم، اخطاری می‌دهیم، ایجاد اطمینان می‌کنیم، توصیفی می‌کنیم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کنش گفتار معمولاً به همین بُعد از سه بُعد کنش گفتار برمی‌گردد که اصطلاحاً آن را کنش غیر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ضمن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سرانجام آستین بُعد سومی را نیز در نظر می‌گیرد که آن را کنش تأثیری می‌نامند که نتایج و آثاری است که چنین کنش‌هایی بر کارها، افکار و یا باورهای مخاطبان به جای می‌گذارد و به شرایط عاطفی گوینده و مخاطب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آستین خود در این موارد اصطلاحات زیر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گفتار یعنی پارة گفتار معنی‌داری که به آن کنش بیانی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پاره گفتار معنادار دارای بار قراردادی است که به آن کنش منظوری می‌گویند و این پاره گفتار معنادار به برخی از امور غیر قراردادی بار قراردادی می‌دهد که آن را کنش تأثیری می‌نامد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Austin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وی محور تحلیل در نظریة افعال گفتاری، کنش غیر بیانی است و نه کنش تأثیری؛ بنابراین به‌طور جدی بین کنش بیانی و کنش تأثیری تمایز قائل می‌شود که مورد تأیید فیلسوفان تحلیلی پس از او نیز بوده‌است؛ اما تمایزی که وی بین کنش بیانی و غیر بیانی قائل شده از جانب بعضی از فیلسوفان از جمله سرل، نقد شده‌است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Serel</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4623557_581953129"/>
      <w:bookmarkStart w:id="334" w:name="_Toc125"/>
      <w:bookmarkEnd w:id="333"/>
      <w:r>
        <w:rPr>
          <w:rtl w:val="true"/>
        </w:rPr>
        <w:t>انواع کنش‌های گفتاری از دیدگاه سرل</w:t>
      </w:r>
      <w:bookmarkEnd w:id="334"/>
    </w:p>
    <w:p>
      <w:pPr>
        <w:pStyle w:val="Heading4"/>
        <w:numPr>
          <w:ilvl w:val="3"/>
          <w:numId w:val="1"/>
        </w:numPr>
        <w:rPr/>
      </w:pPr>
      <w:bookmarkStart w:id="335" w:name="__RefHeading___Toc4623559_581953129"/>
      <w:bookmarkStart w:id="336" w:name="_Toc126"/>
      <w:bookmarkEnd w:id="335"/>
      <w:r>
        <w:rPr>
          <w:rtl w:val="true"/>
        </w:rPr>
        <w:t>اشاره</w:t>
      </w:r>
      <w:bookmarkEnd w:id="3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بافت یا فحوای کلام یکی از مهم‌ترین عواملی است که در تقسیم‌بندی انواع کنش‌های گفتاری در دیدگاه سرل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شکل‌گیری بافت یک کنش گفتار با ماهیت و مقصود از تولید آن کنش در تعامل است؛ مثلاً اینکه آیا کنش، یک عمل اجتماعی صرف است یا خیر و نیز اینکه آن کنش دربردارندة چه نوع عمل اجتماعی می‌باشد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Sbisa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ازاین رو در بررسی کنش‌های گفتاری متون مختلف لازم است نوع بافت دربردارندة کنش گفتار و نوع عمل اجتماعی مورد نظر از تولید آن، مورد توجه دقیق قرار </w:t>
      </w:r>
      <w:bookmarkStart w:id="337" w:name="pg5825_38382"/>
    </w:p>
    <w:p>
      <w:pPr>
        <w:pStyle w:val="BookText"/>
        <w:rPr/>
      </w:pPr>
      <w:bookmarkEnd w:id="337"/>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آستین در بسط نظریة کنش گفتار اقدام به طبقه‌بندی کنش‌های گفتاری در پنج حیطة مختلف به شرح زیر نمود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Searle, 1969: 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4623561_581953129"/>
      <w:bookmarkStart w:id="339" w:name="_Toc127"/>
      <w:bookmarkEnd w:id="338"/>
      <w:r>
        <w:rPr/>
        <w:t>1</w:t>
      </w:r>
      <w:r>
        <w:rPr>
          <w:rtl w:val="true"/>
        </w:rPr>
        <w:t xml:space="preserve">. </w:t>
      </w:r>
      <w:r>
        <w:rPr>
          <w:rtl w:val="true"/>
        </w:rPr>
        <w:t xml:space="preserve">کنش اظهاری </w:t>
      </w:r>
      <w:r>
        <w:rPr>
          <w:rtl w:val="true"/>
        </w:rPr>
        <w:t>(</w:t>
      </w:r>
      <w:r>
        <w:rPr/>
        <w:t>Representative Act</w:t>
      </w:r>
      <w:r>
        <w:rPr>
          <w:rtl w:val="true"/>
        </w:rPr>
        <w:t>)</w:t>
      </w:r>
      <w:bookmarkEnd w:id="339"/>
    </w:p>
    <w:p>
      <w:pPr>
        <w:pStyle w:val="BookText"/>
        <w:rPr/>
      </w:pPr>
      <w:r>
        <w:rPr>
          <w:rFonts w:ascii="IRNazanin" w:hAnsi="IRNazanin" w:eastAsia="IRNazanin"/>
          <w:color w:val="111111"/>
          <w:sz w:val="28"/>
          <w:sz w:val="28"/>
          <w:szCs w:val="28"/>
          <w:rtl w:val="true"/>
          <w:lang w:bidi="fa-IR"/>
        </w:rPr>
        <w:t>در کنش‌های گفتاری اظهاری، گوینده تعهد خود را نسبت به صدق گزاره‌هایی که اظهار می‌دارد، نشان می‌دهد و از طریق این نوع کنش، به مقایسة محتوای گزاره‌ای با جهان خارج پرداخته، باور خویش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افعال مورد استفاده در بیان کنش‌های گفتاری اظهاری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 تأییدکردن، گفتن، بودن، صبر کردن، شنیدن، بازکردن، انتظار داشتن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4623563_581953129"/>
      <w:bookmarkStart w:id="341" w:name="_Toc128"/>
      <w:bookmarkEnd w:id="340"/>
      <w:r>
        <w:rPr/>
        <w:t>2</w:t>
      </w:r>
      <w:r>
        <w:rPr>
          <w:rtl w:val="true"/>
        </w:rPr>
        <w:t xml:space="preserve">. </w:t>
      </w:r>
      <w:r>
        <w:rPr>
          <w:rtl w:val="true"/>
        </w:rPr>
        <w:t xml:space="preserve">کنش تعهدی </w:t>
      </w:r>
      <w:r>
        <w:rPr>
          <w:rtl w:val="true"/>
        </w:rPr>
        <w:t>(</w:t>
      </w:r>
      <w:r>
        <w:rPr/>
        <w:t>Commissive Act</w:t>
      </w:r>
      <w:r>
        <w:rPr>
          <w:rtl w:val="true"/>
        </w:rPr>
        <w:t>)</w:t>
      </w:r>
      <w:bookmarkEnd w:id="341"/>
    </w:p>
    <w:p>
      <w:pPr>
        <w:pStyle w:val="BookText"/>
        <w:rPr/>
      </w:pPr>
      <w:r>
        <w:rPr>
          <w:rFonts w:ascii="IRNazanin" w:hAnsi="IRNazanin" w:eastAsia="IRNazanin"/>
          <w:color w:val="111111"/>
          <w:sz w:val="28"/>
          <w:sz w:val="28"/>
          <w:szCs w:val="28"/>
          <w:rtl w:val="true"/>
          <w:lang w:bidi="fa-IR"/>
        </w:rPr>
        <w:t>در کنش‌های تعهدی، گوینده با سوگند خوردن، قول دادن، پذیرفتن و نظایر آن وعدة انجام یا ترک کاری را در آینده به مخاطب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فعل‌های مورد استفاده در این نوع کنش‌گفتاری،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 قسم خوردن، متعهد شدن و ضمانت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کنش، تطبیق دادن جهان خارج با محتوای گزاره‌ای عمل آتی گوینده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می‌دهیم ذره‌ای از مواضع خود کوتاه نیاییم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متعهد می‌شوم تا تکمیل کارها، آنجا را ترک نکنم</w:t>
      </w:r>
      <w:r>
        <w:rPr>
          <w:rFonts w:eastAsia="IRNazanin" w:cs="IRNazanin"/>
          <w:color w:val="111111"/>
          <w:sz w:val="28"/>
          <w:szCs w:val="28"/>
          <w:rtl w:val="true"/>
          <w:lang w:bidi="fa-IR"/>
        </w:rPr>
        <w:t>.</w:t>
      </w:r>
    </w:p>
    <w:p>
      <w:pPr>
        <w:pStyle w:val="Heading4"/>
        <w:numPr>
          <w:ilvl w:val="3"/>
          <w:numId w:val="1"/>
        </w:numPr>
        <w:rPr/>
      </w:pPr>
      <w:bookmarkStart w:id="342" w:name="__RefHeading___Toc4623565_581953129"/>
      <w:bookmarkStart w:id="343" w:name="_Toc129"/>
      <w:bookmarkEnd w:id="342"/>
      <w:r>
        <w:rPr/>
        <w:t>3</w:t>
      </w:r>
      <w:r>
        <w:rPr>
          <w:rtl w:val="true"/>
        </w:rPr>
        <w:t xml:space="preserve">. </w:t>
      </w:r>
      <w:r>
        <w:rPr>
          <w:rtl w:val="true"/>
        </w:rPr>
        <w:t xml:space="preserve">کنش عاطفی </w:t>
      </w:r>
      <w:r>
        <w:rPr>
          <w:rtl w:val="true"/>
        </w:rPr>
        <w:t>(</w:t>
      </w:r>
      <w:r>
        <w:rPr/>
        <w:t>Expressive Act</w:t>
      </w:r>
      <w:r>
        <w:rPr>
          <w:rtl w:val="true"/>
        </w:rPr>
        <w:t>)</w:t>
      </w:r>
      <w:bookmarkEnd w:id="343"/>
    </w:p>
    <w:p>
      <w:pPr>
        <w:pStyle w:val="BookText"/>
        <w:rPr/>
      </w:pPr>
      <w:r>
        <w:rPr>
          <w:rFonts w:ascii="IRNazanin" w:hAnsi="IRNazanin" w:eastAsia="IRNazanin"/>
          <w:color w:val="111111"/>
          <w:sz w:val="28"/>
          <w:sz w:val="28"/>
          <w:szCs w:val="28"/>
          <w:rtl w:val="true"/>
          <w:lang w:bidi="fa-IR"/>
        </w:rPr>
        <w:t>کنش‌های گفتاری عاطفی بیان‌کنندة احساساتی از قبیل قدردانی، عذرخواهی، تبریک و تعریف از جانب گوینده‌اند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از طریق این گونه کنش‌ها حالت درونی و احساسات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حقیقی بودن گزاره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افعال مورد استفاده در کنش‌های عاطفی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شدن، تشکر کردن، تبریک گفتن، ناسزا گفتن، متأسف شدن، معذرت خواستن، سلام کردن، تعجب کردن، دشنام دادن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bookmarkStart w:id="344" w:name="pg5825_38384"/>
    </w:p>
    <w:p>
      <w:pPr>
        <w:pStyle w:val="BookText"/>
        <w:rPr/>
      </w:pPr>
      <w:bookmarkEnd w:id="34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سپاسگزاری خود را به‌دلیل قبول این دعوت اعلام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شنیدن خبر قبولی‌ات بسیار خوشحال شدم</w:t>
      </w:r>
      <w:r>
        <w:rPr>
          <w:rFonts w:eastAsia="IRNazanin" w:cs="IRNazanin"/>
          <w:color w:val="111111"/>
          <w:sz w:val="28"/>
          <w:szCs w:val="28"/>
          <w:rtl w:val="true"/>
          <w:lang w:bidi="fa-IR"/>
        </w:rPr>
        <w:t>.</w:t>
      </w:r>
    </w:p>
    <w:p>
      <w:pPr>
        <w:pStyle w:val="Heading4"/>
        <w:numPr>
          <w:ilvl w:val="3"/>
          <w:numId w:val="1"/>
        </w:numPr>
        <w:rPr/>
      </w:pPr>
      <w:bookmarkStart w:id="345" w:name="__RefHeading___Toc4623567_581953129"/>
      <w:bookmarkStart w:id="346" w:name="_Toc130"/>
      <w:bookmarkEnd w:id="345"/>
      <w:r>
        <w:rPr/>
        <w:t>4</w:t>
      </w:r>
      <w:r>
        <w:rPr>
          <w:rtl w:val="true"/>
        </w:rPr>
        <w:t xml:space="preserve">. </w:t>
      </w:r>
      <w:r>
        <w:rPr>
          <w:rtl w:val="true"/>
        </w:rPr>
        <w:t xml:space="preserve">کنش ترغیبی </w:t>
      </w:r>
      <w:r>
        <w:rPr>
          <w:rtl w:val="true"/>
        </w:rPr>
        <w:t>(</w:t>
      </w:r>
      <w:r>
        <w:rPr/>
        <w:t>Directive Act</w:t>
      </w:r>
      <w:r>
        <w:rPr>
          <w:rtl w:val="true"/>
        </w:rPr>
        <w:t>)</w:t>
      </w:r>
      <w:bookmarkEnd w:id="346"/>
    </w:p>
    <w:p>
      <w:pPr>
        <w:pStyle w:val="BookText"/>
        <w:rPr/>
      </w:pPr>
      <w:r>
        <w:rPr>
          <w:rFonts w:ascii="IRNazanin" w:hAnsi="IRNazanin" w:eastAsia="IRNazanin"/>
          <w:color w:val="111111"/>
          <w:sz w:val="28"/>
          <w:sz w:val="28"/>
          <w:szCs w:val="28"/>
          <w:rtl w:val="true"/>
          <w:lang w:bidi="fa-IR"/>
        </w:rPr>
        <w:t>در کنش‌های گفتاری ترغیبی، گوینده سعی دارد تا با به‌کارگیری جملات یا افعال خاصی مخاطب را ترغیب به انجام کاری کند؛ به عبارتی گوینده بر آن است تا با سخنانش شرایطی را ایجاد کند که اعمالی انجام شود، به طوری‌که جهان خارج را با محتوای گزاره‌ای که شامل عمل آتی شنونده است،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درخواست‌ها نمونه‌های بارزی از کنش‌های گفتاری ترغیبی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فعل‌های مورد استفاده در کنش‌های ترغیبی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تمنا کردن، دستور دادن، دعوت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دهید قبل از رفتنتان عرایضم را خدمتتان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بگویید دقیقاً چه ساعتی از منزل خارج شدید</w:t>
      </w:r>
      <w:r>
        <w:rPr>
          <w:rFonts w:eastAsia="IRNazanin" w:cs="IRNazanin"/>
          <w:color w:val="111111"/>
          <w:sz w:val="28"/>
          <w:szCs w:val="28"/>
          <w:rtl w:val="true"/>
          <w:lang w:bidi="fa-IR"/>
        </w:rPr>
        <w:t>.</w:t>
      </w:r>
    </w:p>
    <w:p>
      <w:pPr>
        <w:pStyle w:val="Heading4"/>
        <w:numPr>
          <w:ilvl w:val="3"/>
          <w:numId w:val="1"/>
        </w:numPr>
        <w:rPr/>
      </w:pPr>
      <w:bookmarkStart w:id="347" w:name="__RefHeading___Toc4623569_581953129"/>
      <w:bookmarkStart w:id="348" w:name="_Toc131"/>
      <w:bookmarkEnd w:id="347"/>
      <w:r>
        <w:rPr/>
        <w:t>5</w:t>
      </w:r>
      <w:r>
        <w:rPr>
          <w:rtl w:val="true"/>
        </w:rPr>
        <w:t xml:space="preserve">. </w:t>
      </w:r>
      <w:r>
        <w:rPr>
          <w:rtl w:val="true"/>
        </w:rPr>
        <w:t xml:space="preserve">کنش اعلامی </w:t>
      </w:r>
      <w:r>
        <w:rPr>
          <w:rtl w:val="true"/>
        </w:rPr>
        <w:t>(</w:t>
      </w:r>
      <w:r>
        <w:rPr/>
        <w:t>Declaration Act</w:t>
      </w:r>
      <w:r>
        <w:rPr>
          <w:rtl w:val="true"/>
        </w:rPr>
        <w:t>)</w:t>
      </w:r>
      <w:bookmarkEnd w:id="348"/>
    </w:p>
    <w:p>
      <w:pPr>
        <w:pStyle w:val="BookText"/>
        <w:rPr/>
      </w:pPr>
      <w:r>
        <w:rPr>
          <w:rFonts w:ascii="IRNazanin" w:hAnsi="IRNazanin" w:eastAsia="IRNazanin"/>
          <w:color w:val="111111"/>
          <w:sz w:val="28"/>
          <w:sz w:val="28"/>
          <w:szCs w:val="28"/>
          <w:rtl w:val="true"/>
          <w:lang w:bidi="fa-IR"/>
        </w:rPr>
        <w:t xml:space="preserve">هدف از کنش‌های اعلامی، اعلام شرایط تازه‌ای برای مخاطب یا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به‌وسیلة گوینده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همزمان با بیان آن شرایط انطباقی بین زبان و جهان خارج روی می‌دهد؛ البته صرف بیان شرایط تازه به‌منزلة انجام یک کنش اعلامی نیست؛ بلکه شرایطی برای تحقق آن لازم است که از آن جمله می‌توان به صلاحیت گوینده برای بیان شرایط جدید اشاره کرد؛ به‌عنوان نمونه به کنش‌های اعلامی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را به عقد دائم یکدیگر درمی‌آورم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جنگ را اعلام می‌کنم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در مثال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بیان جملة فوق انطباق شرایط اعلام‌شده با جهان خارج صورت می‌گیرد و دو نفر به عقد یکدیگر درمی‌آیند و در مثال دو نیز همزمان با این اعلام، بین دو کشور یا گروه جنگ آغاز می‌شود</w:t>
      </w:r>
      <w:r>
        <w:rPr>
          <w:rFonts w:eastAsia="IRNazanin" w:cs="IRNazanin"/>
          <w:color w:val="111111"/>
          <w:sz w:val="28"/>
          <w:szCs w:val="28"/>
          <w:rtl w:val="true"/>
          <w:lang w:bidi="fa-IR"/>
        </w:rPr>
        <w:t xml:space="preserve">. </w:t>
      </w:r>
      <w:bookmarkStart w:id="349" w:name="pg5825_38386"/>
    </w:p>
    <w:p>
      <w:pPr>
        <w:pStyle w:val="Heading3"/>
        <w:numPr>
          <w:ilvl w:val="2"/>
          <w:numId w:val="1"/>
        </w:numPr>
        <w:rPr/>
      </w:pPr>
      <w:bookmarkStart w:id="350" w:name="__RefHeading___Toc4623571_581953129"/>
      <w:bookmarkStart w:id="351" w:name="_Toc132"/>
      <w:bookmarkEnd w:id="349"/>
      <w:bookmarkEnd w:id="350"/>
      <w:r>
        <w:rPr>
          <w:rtl w:val="true"/>
        </w:rPr>
        <w:t xml:space="preserve">تحلیل متن‌شناسی زیارت‌نامة حضرت امام رضا </w:t>
      </w:r>
      <w:r>
        <w:rPr>
          <w:rtl w:val="true"/>
        </w:rPr>
        <w:t>(</w:t>
      </w:r>
      <w:r>
        <w:rPr>
          <w:rtl w:val="true"/>
        </w:rPr>
        <w:t>علیه‌السلام</w:t>
      </w:r>
      <w:r>
        <w:rPr>
          <w:rtl w:val="true"/>
        </w:rPr>
        <w:t xml:space="preserve">) </w:t>
      </w:r>
      <w:r>
        <w:rPr>
          <w:rtl w:val="true"/>
        </w:rPr>
        <w:t>بر اساس کنش‌های گفتاری به‌کاررفته</w:t>
      </w:r>
      <w:bookmarkEnd w:id="351"/>
    </w:p>
    <w:p>
      <w:pPr>
        <w:pStyle w:val="Heading3"/>
        <w:numPr>
          <w:ilvl w:val="2"/>
          <w:numId w:val="1"/>
        </w:numPr>
        <w:rPr/>
      </w:pPr>
      <w:bookmarkStart w:id="352" w:name="__RefHeading___Toc4623573_581953129"/>
      <w:bookmarkStart w:id="353" w:name="_Toc133"/>
      <w:bookmarkEnd w:id="352"/>
      <w:r>
        <w:rPr>
          <w:rtl w:val="true"/>
        </w:rPr>
        <w:t>زیارت و زیارت‌نامه</w:t>
      </w:r>
      <w:bookmarkEnd w:id="353"/>
    </w:p>
    <w:p>
      <w:pPr>
        <w:pStyle w:val="Heading4"/>
        <w:numPr>
          <w:ilvl w:val="3"/>
          <w:numId w:val="1"/>
        </w:numPr>
        <w:rPr/>
      </w:pPr>
      <w:bookmarkStart w:id="354" w:name="__RefHeading___Toc4623575_581953129"/>
      <w:bookmarkStart w:id="355" w:name="_Toc134"/>
      <w:bookmarkEnd w:id="354"/>
      <w:r>
        <w:rPr>
          <w:rtl w:val="true"/>
        </w:rPr>
        <w:t>الف</w:t>
      </w:r>
      <w:r>
        <w:rPr>
          <w:rtl w:val="true"/>
        </w:rPr>
        <w:t xml:space="preserve">) </w:t>
      </w:r>
      <w:r>
        <w:rPr>
          <w:rtl w:val="true"/>
        </w:rPr>
        <w:t>زیارت</w:t>
      </w:r>
      <w:bookmarkEnd w:id="355"/>
    </w:p>
    <w:p>
      <w:pPr>
        <w:pStyle w:val="BookText"/>
        <w:rPr/>
      </w:pPr>
      <w:r>
        <w:rPr>
          <w:rFonts w:ascii="IRNazanin" w:hAnsi="IRNazanin" w:eastAsia="IRNazanin"/>
          <w:color w:val="111111"/>
          <w:sz w:val="28"/>
          <w:sz w:val="28"/>
          <w:szCs w:val="28"/>
          <w:rtl w:val="true"/>
          <w:lang w:bidi="fa-IR"/>
        </w:rPr>
        <w:t xml:space="preserve">زیارت کلمه‌ای است عربی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رفتن به جایی برای دیدن کسی یا چیزی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 مسلمانان زیارت جایگاه والایی را به خود اختصاص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زبان فارسی حیطة معنایی خاصی یافته و معمولاً به معنای رفتن به مقبرة بزرگان مذهبی و انجام برخی از اعمال مذهبی مانند خواندن زیارت‌نامه، قرآن و ادعیه به کار می‌رود و البته گاهی هم دامنة آن به زیارت افرادی که از احترام یا تقدس خاصی برخوردارند مانند پدر و مادر، بزرگان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ما قرآن و احادیث، این واژه بارها به کار رفته‌است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زیارت کعبه از چنان جایگاه والایی برخوردار است که انجام آن برای کسانی که توانایی آن را داشته باشند هم‌پای به جای آوردن نماز، انجام جهاد و دادن زکات واجب عینی است و البته انجام این فریضه همراه آداب و اعمال خاصی از قبیل نیت، طهارت، غسل احرام و ذکر اوراد و ادعیة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 زیارت کعبه که از قداست و شرافت بسیار بالایی برخوردار است، در دین اسلام و به‌ویژه مذهب تشیع سایر زیارها از جمله زیارت والدین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بر سر مزارها و قبور مخصوصاً مزار ائمه، افراد پاک و برگزیده، و فرزندان و نوادگان ائمه بسیار سفارش شده‌است؛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زیارت مرقد پیامیر اکرم روایت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نیت حج و زیارت خانة خدا از منزل خارج شدی زیارت حجت را با زیارت مرقد پیامبر صلی الله‌علیه‌وآله‌وسلّم کامل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زیارت رسول صلی الله‌علیه‌وآله‌وسلّم ستمکاری بر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محمدی‌مقدم،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56" w:name="__RefHeading___Toc4623577_581953129"/>
      <w:bookmarkStart w:id="357" w:name="_Toc135"/>
      <w:bookmarkEnd w:id="356"/>
      <w:r>
        <w:rPr>
          <w:rtl w:val="true"/>
        </w:rPr>
        <w:t>ب</w:t>
      </w:r>
      <w:r>
        <w:rPr>
          <w:rtl w:val="true"/>
        </w:rPr>
        <w:t xml:space="preserve">) </w:t>
      </w:r>
      <w:r>
        <w:rPr>
          <w:rtl w:val="true"/>
        </w:rPr>
        <w:t>زیارت‌نامه‌ها</w:t>
      </w:r>
      <w:bookmarkEnd w:id="357"/>
    </w:p>
    <w:p>
      <w:pPr>
        <w:pStyle w:val="Heading5"/>
        <w:numPr>
          <w:ilvl w:val="4"/>
          <w:numId w:val="1"/>
        </w:numPr>
        <w:rPr/>
      </w:pPr>
      <w:bookmarkStart w:id="358" w:name="__RefHeading___Toc4623579_581953129"/>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زیارت‌نامه‌ها را از حیث اینکه چگونه به دست ما رسیده‌اند، به سه دسته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زیارت‌نامه‌هایی که مستقیماً به‌وسیلة اهل بیت وارد شده‌اند؛ مثل زیارت جامع کبیره</w:t>
      </w:r>
      <w:bookmarkStart w:id="360" w:name="pg5825_38387"/>
    </w:p>
    <w:p>
      <w:pPr>
        <w:pStyle w:val="BookText"/>
        <w:rPr/>
      </w:pPr>
      <w:bookmarkEnd w:id="360"/>
      <w:r>
        <w:rPr>
          <w:rFonts w:ascii="IRNazanin" w:hAnsi="IRNazanin" w:eastAsia="IRNazanin"/>
          <w:color w:val="111111"/>
          <w:sz w:val="28"/>
          <w:sz w:val="28"/>
          <w:szCs w:val="28"/>
          <w:rtl w:val="true"/>
          <w:lang w:bidi="fa-IR"/>
        </w:rPr>
        <w:t>که از امام علی‌النقی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زیارت عاشورا که منتسب به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زیارت‌نامه‌هایی که از زبان علمای شیعه نقل شده‌است؛ مانند زیارت‌نامة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زیارت‌نامه‌هایی که منبع آنها به‌درستی مشخص نیست و معلوم نیست که آیا از زبان ائمه نقل شده‌است یا از زبان علمای دوستدار اهل بیت؛ مانند کتاب کامل الزیارات که ابن‌علویه آن را ارائه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عظیم‌زاده تهرانی،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حیث 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سومین گروه مذکور یعنی زیارتنامه‌هایی که منبع آنها بدرستی مشخص نیست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سلسله‌مراتب انتساب متن فوق در کتاب کامل الزیارات، از حکیم بن‌داوود حکیم تا عمروبن‌هاشم ادامه پیدا می‌کند،</w:t>
      </w:r>
      <w:r>
        <w:rPr>
          <w:rStyle w:val="FootnoteAnchor"/>
          <w:rtl w:val="true"/>
        </w:rPr>
        <w:footnoteReference w:id="46"/>
      </w:r>
      <w:r>
        <w:rPr>
          <w:rFonts w:ascii="IRNazanin" w:hAnsi="IRNazanin" w:eastAsia="IRNazanin"/>
          <w:color w:val="111111"/>
          <w:sz w:val="28"/>
          <w:sz w:val="28"/>
          <w:szCs w:val="28"/>
          <w:rtl w:val="true"/>
          <w:lang w:bidi="fa-IR"/>
        </w:rPr>
        <w:t xml:space="preserve">اما در مورد گویندة قبل از هاشم تنها به ذکر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شده‌است و این ابهام باقی می‌ماند که اولاً آیا گویندة اولیة آن مستقیماً صحابة فوق بوده‌ا‌ست یا آنکه او نیز آن را از زبان یکی از اهل بیت نقل کرده‌است و ثانیاً اینکه صحابة نامبرده چه کسی بوده‌است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متن زیارت‌نامة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بخش تشکیل شده‌است که هر بخش از لحاظ مفاهیم و مضامین مورد استفاده، اهداف و جایگاه توصیه‌شده برای قرائت آن، با دیگر بخش‌ها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بررسی ابتدا هر یک از بخش‌ها به‌صورت جداگانه بررسی و تحلیل می‌گردد، سپس با در نظر گرفتن تحلیل هر یک، به تحلیل کلی زیارت‌نامه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فوق براساس تقسیم‌بندی پنج‌گانة سرل از کنش‌های گفتاری صورت خواهد گرفت و روشن است که چنانچه تقسیم بندی متفاوتی صورت گیرد، نتایج متفاوتی نیز به دنبال خواهد داشت</w:t>
      </w:r>
      <w:r>
        <w:rPr>
          <w:rFonts w:eastAsia="IRNazanin" w:cs="IRNazanin"/>
          <w:color w:val="111111"/>
          <w:sz w:val="28"/>
          <w:szCs w:val="28"/>
          <w:rtl w:val="true"/>
          <w:lang w:bidi="fa-IR"/>
        </w:rPr>
        <w:t>.</w:t>
      </w:r>
    </w:p>
    <w:p>
      <w:pPr>
        <w:pStyle w:val="Heading5"/>
        <w:numPr>
          <w:ilvl w:val="4"/>
          <w:numId w:val="1"/>
        </w:numPr>
        <w:rPr/>
      </w:pPr>
      <w:bookmarkStart w:id="361" w:name="__RefHeading___Toc4623581_581953129"/>
      <w:bookmarkStart w:id="362" w:name="_Toc137"/>
      <w:bookmarkEnd w:id="361"/>
      <w:r>
        <w:rPr>
          <w:rtl w:val="true"/>
        </w:rPr>
        <w:t>بخش اول</w:t>
      </w:r>
      <w:bookmarkEnd w:id="36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بخش از متن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درخواست اجازه برای تشرف به حرم مبارک حضرت است که نشان‌دهندة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آغازین گفتار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Conversational Beginning Structure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استفاده در زیارت‌نامه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در ابتدا با چند کنش اظهاری </w:t>
      </w:r>
      <w:bookmarkStart w:id="363" w:name="pg5825_38389"/>
    </w:p>
    <w:p>
      <w:pPr>
        <w:pStyle w:val="BookText"/>
        <w:rPr/>
      </w:pPr>
      <w:bookmarkEnd w:id="363"/>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وَقَفْتُ عَلَی بَابٍ مِنْ اَبْوَابِ بُیُوتِ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مَنَعْتَ النّاسَ اَنْ یَدْخُلُوا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ادامه، گویندة متن اعتقادات قلبی خود را که در حقیقت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مطرح می‌کند که با توجه به بافت استفاده‌شده می‌توان آن را در حیطة کنش‌های اعلامی طبقه‌بندی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ادامة متن به مواردی از کنش‌های طبقه‌بندی‌شده در حیطة کنش‌های ترغیبی برمی‌خوریم؛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اَسْتَأْذِنُکَ یَا رَبِّ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ءَاَدْخُلُ یَا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آنها را از حیث مستقیم یا غیر‌مستقیم بودن در حیطة کنش گفتاری ترغیبی غیرمستقیم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کنش گفتاری مورد استفاده در این بخش، یک کنش گفتاری ترغیبی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 یَا مَوْلاَیَ فِی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برایند و ماحصل همة کنش‌های ترغیبی استفاده‌شده در متن به‌منظور کسب اجازة دخول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اولین بخش زیارت‌نامه با یک کنش گفتاری اظهاری آغاز و با یک کنش گفتاری اظهاری 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بخش اول زیارت‌نامة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گفتار است که از این مجموع، بیشترین تعداد مربوط به کنش گفتاری اظهاری با دوازده مورد، و سایر کنش گفتاری مورد استفاده با فراوانی یکسان هر کدام چهار مورد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این بخش، هیچ‌گونه کنش‌گفتار تعهدی به کار نرفته‌است</w:t>
      </w:r>
      <w:r>
        <w:rPr>
          <w:rFonts w:eastAsia="IRNazanin" w:cs="IRNazanin"/>
          <w:color w:val="111111"/>
          <w:sz w:val="28"/>
          <w:szCs w:val="28"/>
          <w:rtl w:val="true"/>
          <w:lang w:bidi="fa-IR"/>
        </w:rPr>
        <w:t>.</w:t>
      </w:r>
    </w:p>
    <w:p>
      <w:pPr>
        <w:pStyle w:val="Heading5"/>
        <w:numPr>
          <w:ilvl w:val="4"/>
          <w:numId w:val="1"/>
        </w:numPr>
        <w:rPr/>
      </w:pPr>
      <w:bookmarkStart w:id="364" w:name="__RefHeading___Toc4623583_581953129"/>
      <w:bookmarkStart w:id="365" w:name="_Toc138"/>
      <w:bookmarkEnd w:id="364"/>
      <w:r>
        <w:rPr>
          <w:rtl w:val="true"/>
        </w:rPr>
        <w:t>بخش دوم</w:t>
      </w:r>
      <w:bookmarkEnd w:id="3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بخش از زیارت‌نامة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زیارت مخصوص آن حضرت معروف است، در آغاز دربردارندة اصول دینی توحید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وَحْدَهُ لاَ شَریکَ لَهُ و اَشْهَدُ اَنَّ مُحَمَّداً عَبْدُهُ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آنها را در حیطة کنش‌های گفتاری اعلامی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ادامة بخش دوم گویندة متن به ارائة جملاتی می‌پردازد که بیان‌کنندة اصل مکتبی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بزرگوار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نوع گزاره‌ها را باید در حیطة کنش‌های گفتاری ترغیبی طبقه‌بندی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جمله از این دسته گزاره‌های ترغیبی به کاررفته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حُجَّتِکَ وَ وَلِیِّکَ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 سلام بر حضرت قائم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دارد که در مکتب شیعة جعفری از جایگاه بسیار بالایی برخوردار </w:t>
      </w:r>
      <w:bookmarkStart w:id="366" w:name="pg5825_38391"/>
    </w:p>
    <w:p>
      <w:pPr>
        <w:pStyle w:val="BookText"/>
        <w:rPr/>
      </w:pPr>
      <w:bookmarkEnd w:id="3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قسمت یک بار دیگر اصل تولی و این بار در قالب یک کنش گفتاری اظهاری و همراه با اصل مذهبی دیگر یعنی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جستن از دشمنان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اَتَقَرَّبُ اِلَیْکَ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اصل مذهبی دیگر یعنی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اُعَادِی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زیارت‌نامه حض با دو گزارة ترغیبی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ارْزُقْنِی بِهِمْ خَیْرَالدُّنْیَا وَالاخِرَه وَ اصْرِفْ عَنِّی بِهِمْ شَرَّ الدُّنْیا وَ الاخِرَهِ وَ اَهْوَالَ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که در آنها گوینده با واسطه قرار دادن کلیة ائمه‌ای که در این قسمت از آنها یاد شده، خواهان بهره‌گیری از خیر دنیا و آخرت، و امان جستن از شر آنچه در دنیا و آخرت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زیارت‌نامة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دربردارندة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گفتاری است که بیشترین کنش‌های گفتاری مورد استفادة مربوط به کنش‌های گفتاری ترغیبی با سیزده مورد، و کمترین آنها مربوط به کنش‌های گفتاری اعلامی، اظهاری و عاطفی هرکدام به ترتیب با نُه، شش و سه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در این بخش نیز هیچ‌گونه کنش گفتاری تعهدی به کار نرفته‌است</w:t>
      </w:r>
      <w:r>
        <w:rPr>
          <w:rFonts w:eastAsia="IRNazanin" w:cs="IRNazanin"/>
          <w:color w:val="111111"/>
          <w:sz w:val="28"/>
          <w:szCs w:val="28"/>
          <w:rtl w:val="true"/>
          <w:lang w:bidi="fa-IR"/>
        </w:rPr>
        <w:t>.</w:t>
      </w:r>
    </w:p>
    <w:p>
      <w:pPr>
        <w:pStyle w:val="Heading5"/>
        <w:numPr>
          <w:ilvl w:val="4"/>
          <w:numId w:val="1"/>
        </w:numPr>
        <w:rPr/>
      </w:pPr>
      <w:bookmarkStart w:id="367" w:name="__RefHeading___Toc4623585_581953129"/>
      <w:bookmarkStart w:id="368" w:name="_Toc139"/>
      <w:bookmarkEnd w:id="367"/>
      <w:r>
        <w:rPr>
          <w:rtl w:val="true"/>
        </w:rPr>
        <w:t>بخش سوم</w:t>
      </w:r>
      <w:bookmarkEnd w:id="3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بخش از زیارت‌نامة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است که توصیه‌شده در بالا سر آن حضرت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گویندة متن 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 آن کنیه‌های مختلفی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الْبَارُّ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در بیست مورد به ابراز 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Salutation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بزرگوار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استفاده از کنیه در این بخش وقتی برجسته‌تر می‌شود که بدانیم در سنت زبانی عربی تأثیر استفاده از کنیه بسیار بالاتر از استفاده از اسم است و از سوی دیگر نشانة تشخص اجتماعی و منزلت بالای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بندهای یک و سه این بخش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دوم یک 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واجبات از قبیل اقامة نماز، پرداخت زکات و امر به معروف و نهی از منکر از جانب آن بزرگوار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اَنَّکَ قَدْ اَقَمْتَ الصَّلاَه،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آتَیْتَ الزَّکَاه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سلام‌های مورد استفاده در این متن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َلسَّلامُ عَلَیْکَ یَا وَارِثَ آدَمَ صِفْوَهِ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اَیُّهَا الصِّدِّیِقُ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جزء کنش‌های گفتاری عاطفی </w:t>
      </w:r>
      <w:bookmarkStart w:id="369" w:name="pg5825_38393"/>
    </w:p>
    <w:p>
      <w:pPr>
        <w:pStyle w:val="BookText"/>
        <w:rPr/>
      </w:pPr>
      <w:bookmarkEnd w:id="369"/>
      <w:r>
        <w:rPr>
          <w:rFonts w:ascii="IRNazanin" w:hAnsi="IRNazanin" w:eastAsia="IRNazanin"/>
          <w:color w:val="111111"/>
          <w:sz w:val="28"/>
          <w:sz w:val="28"/>
          <w:szCs w:val="28"/>
          <w:rtl w:val="true"/>
          <w:lang w:bidi="fa-IR"/>
        </w:rPr>
        <w:t>طبقه‌بندی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 این بخش بازگشت دوباره‌ای به بند اول یعنی بخش ابراز 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 شامل تنها یک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اَبَالْحَسَن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دربردارندة یک کنش عاطفی می‌باشد؛ البته شایان ذکر است که علاوه‌بر جنبة عاطفی که در سلام‌های به کاررفتة این بخش وجود دارد، جنبه‌های دیگری از کنش‌های گفتاری همانند اظهار و اعلام نیز به‌صورت غیرمستقیم نهفته است؛ مثلاً هنگامی که زائر، حضرت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مقام ولایت الهی آن بزرگوار را نیز در قالب دلالتی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Entailment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ضمنی مورد تصدیق و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در مجموع دربردارندة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است که از میان کنش‌های گفتاری مورد استفاده در آن، بیشترین کنش گفتار، مربوط به کنش گفتاری عاطفی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 کم‌ترین آن مربوط به کنش گفتاری اعلامی با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بخش فاقد سایر کنش‌های گفتاری یعنی ترغیبی، اظهاری و تعهدی می‌باشد</w:t>
      </w:r>
      <w:r>
        <w:rPr>
          <w:rFonts w:eastAsia="IRNazanin" w:cs="IRNazanin"/>
          <w:color w:val="111111"/>
          <w:sz w:val="28"/>
          <w:szCs w:val="28"/>
          <w:rtl w:val="true"/>
          <w:lang w:bidi="fa-IR"/>
        </w:rPr>
        <w:t>.</w:t>
      </w:r>
    </w:p>
    <w:p>
      <w:pPr>
        <w:pStyle w:val="Heading5"/>
        <w:numPr>
          <w:ilvl w:val="4"/>
          <w:numId w:val="1"/>
        </w:numPr>
        <w:rPr/>
      </w:pPr>
      <w:bookmarkStart w:id="370" w:name="__RefHeading___Toc4623587_581953129"/>
      <w:bookmarkStart w:id="371" w:name="_Toc140"/>
      <w:bookmarkEnd w:id="370"/>
      <w:r>
        <w:rPr>
          <w:rtl w:val="true"/>
        </w:rPr>
        <w:t>بخش چهارم</w:t>
      </w:r>
      <w:bookmarkEnd w:id="371"/>
    </w:p>
    <w:p>
      <w:pPr>
        <w:pStyle w:val="BookText"/>
        <w:rPr/>
      </w:pPr>
      <w:r>
        <w:rPr>
          <w:rFonts w:ascii="IRNazanin" w:hAnsi="IRNazanin" w:eastAsia="IRNazanin"/>
          <w:color w:val="111111"/>
          <w:sz w:val="28"/>
          <w:sz w:val="28"/>
          <w:szCs w:val="28"/>
          <w:rtl w:val="true"/>
          <w:lang w:bidi="fa-IR"/>
        </w:rPr>
        <w:t>تعداد جملات بخش‌های پایانی زیارت‌نامه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مشتمل بر چهارده مورد کنش گفتاری است که از میان آنها کنش‌های عاطفی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مورد، بیشترین و کنش‌های ترغیبی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لِی شَافِعاً اِلَی اللهِ یَوْمَ فَقْرِی وَ فَاقَتِی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عِنْدَاللهِ 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با چهار مورد، کمترین میزان را دربر‌دارند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شده‌است که این بخش پس از طلب حاجات از خداوند قرائت شود؛ بنابراین می‌توان انتظار داشت این بخش در برآوردن حاجات زائر نقش مهمی داشته باشد</w:t>
      </w:r>
      <w:r>
        <w:rPr>
          <w:rFonts w:eastAsia="IRNazanin" w:cs="IRNazanin"/>
          <w:color w:val="111111"/>
          <w:sz w:val="28"/>
          <w:szCs w:val="28"/>
          <w:rtl w:val="true"/>
          <w:lang w:bidi="fa-IR"/>
        </w:rPr>
        <w:t>.</w:t>
      </w:r>
    </w:p>
    <w:p>
      <w:pPr>
        <w:pStyle w:val="Heading5"/>
        <w:numPr>
          <w:ilvl w:val="4"/>
          <w:numId w:val="1"/>
        </w:numPr>
        <w:rPr/>
      </w:pPr>
      <w:bookmarkStart w:id="372" w:name="__RefHeading___Toc4623589_581953129"/>
      <w:bookmarkStart w:id="373" w:name="_Toc141"/>
      <w:bookmarkEnd w:id="372"/>
      <w:r>
        <w:rPr>
          <w:rtl w:val="true"/>
        </w:rPr>
        <w:t>بخش پنجم</w:t>
      </w:r>
      <w:bookmarkEnd w:id="37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بحث بخش پنجم زیارت‌نامه در ابتدا اعلام تقرب جستن به خداوند با واسطه قرار دادن محبت اهل‌بیت با استفاده از سه کنش گفتاری اعلامی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اَتَقَرَّبُ 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اَتَوَلَّی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 مِنْ کُلِّ وَلِیجَهٍ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اعلام تنفر از همنشینی با هر آن کسی است که در زمرة دوستان آن بزرگواران نباشد که این اعلام تنفر در قالب یک کنش گفتاری ترغیبی آمده‌است</w:t>
      </w:r>
      <w:r>
        <w:rPr>
          <w:rFonts w:eastAsia="IRNazanin" w:cs="IRNazanin"/>
          <w:color w:val="111111"/>
          <w:sz w:val="28"/>
          <w:szCs w:val="28"/>
          <w:rtl w:val="true"/>
          <w:lang w:bidi="fa-IR"/>
        </w:rPr>
        <w:t xml:space="preserve">. </w:t>
      </w:r>
      <w:bookmarkStart w:id="374" w:name="pg5825_38395"/>
    </w:p>
    <w:p>
      <w:pPr>
        <w:pStyle w:val="BookText"/>
        <w:rPr/>
      </w:pPr>
      <w:bookmarkEnd w:id="374"/>
      <w:r>
        <w:rPr>
          <w:rFonts w:ascii="IRNazanin" w:hAnsi="IRNazanin" w:eastAsia="IRNazanin"/>
          <w:color w:val="111111"/>
          <w:sz w:val="28"/>
          <w:sz w:val="28"/>
          <w:szCs w:val="28"/>
          <w:rtl w:val="true"/>
          <w:lang w:bidi="fa-IR"/>
        </w:rPr>
        <w:t>استفاده از کنش گفتاری اعلامی به جای کنش گفتاری ترغیبی در این بخش برای برائت جستن از دشمنان ائمه بار معنایی شدیدتری را همراه دارد، به این معنی که نه تنها در این جا اعلام بیزاری صورت گرفته‌است؛ بلکه درخواست تغییر عملی در وضعیت موجود نیز مطرح شده که نوع کنش گفتاری مورد استفاده، معنی‌دار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کل کنش‌های گفتاری استفاده‌شده در این بخش پنج مورد است که از این میان بیشترین کنش مربوط به کنش اعلامی با چهار، و کنش گفتاری ترغیبی با یک مورد است، ضمن آنکه از کنش‌های گفتاری اظهاری و تعهدی در این بخش استفاده نشده‌است</w:t>
      </w:r>
      <w:r>
        <w:rPr>
          <w:rFonts w:eastAsia="IRNazanin" w:cs="IRNazanin"/>
          <w:color w:val="111111"/>
          <w:sz w:val="28"/>
          <w:szCs w:val="28"/>
          <w:rtl w:val="true"/>
          <w:lang w:bidi="fa-IR"/>
        </w:rPr>
        <w:t>.</w:t>
      </w:r>
    </w:p>
    <w:p>
      <w:pPr>
        <w:pStyle w:val="Heading5"/>
        <w:numPr>
          <w:ilvl w:val="4"/>
          <w:numId w:val="1"/>
        </w:numPr>
        <w:rPr/>
      </w:pPr>
      <w:bookmarkStart w:id="375" w:name="__RefHeading___Toc4623591_581953129"/>
      <w:bookmarkStart w:id="376" w:name="_Toc142"/>
      <w:bookmarkEnd w:id="375"/>
      <w:r>
        <w:rPr>
          <w:rtl w:val="true"/>
        </w:rPr>
        <w:t>بخش ششم</w:t>
      </w:r>
      <w:bookmarkEnd w:id="376"/>
    </w:p>
    <w:p>
      <w:pPr>
        <w:pStyle w:val="BookText"/>
        <w:rPr/>
      </w:pPr>
      <w:r>
        <w:rPr>
          <w:rFonts w:ascii="IRNazanin" w:hAnsi="IRNazanin" w:eastAsia="IRNazanin"/>
          <w:color w:val="111111"/>
          <w:sz w:val="28"/>
          <w:sz w:val="28"/>
          <w:szCs w:val="28"/>
          <w:rtl w:val="true"/>
          <w:lang w:bidi="fa-IR"/>
        </w:rPr>
        <w:t>ششمین بخش از زیارت‌نامه، بخشی است که توصیه شده در پایین پای مبارک آن حضرت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کوتاه مشتمل بر چهار کنش گفتاری است که دو کنش گفتاری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اَبَالْحَسَن و صَلِّی اللهُ عَلَی رُوحِکَ وَ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کنش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اَنْتَ الصَّادِقُ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اظهاری، و چهارمین کنش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مَنْ قَتَلَکَ بِالاَیْدِی وَ الاَلْسُن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ترغیبی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هیچ‌گونه کنش گفتاری اعلامی و تعهدی استفاده نشده‌است</w:t>
      </w:r>
      <w:r>
        <w:rPr>
          <w:rFonts w:eastAsia="IRNazanin" w:cs="IRNazanin"/>
          <w:color w:val="111111"/>
          <w:sz w:val="28"/>
          <w:szCs w:val="28"/>
          <w:rtl w:val="true"/>
          <w:lang w:bidi="fa-IR"/>
        </w:rPr>
        <w:t>.</w:t>
      </w:r>
    </w:p>
    <w:p>
      <w:pPr>
        <w:pStyle w:val="Heading5"/>
        <w:numPr>
          <w:ilvl w:val="4"/>
          <w:numId w:val="1"/>
        </w:numPr>
        <w:rPr/>
      </w:pPr>
      <w:bookmarkStart w:id="377" w:name="__RefHeading___Toc4623593_581953129"/>
      <w:bookmarkStart w:id="378" w:name="_Toc143"/>
      <w:bookmarkEnd w:id="377"/>
      <w:r>
        <w:rPr>
          <w:rtl w:val="true"/>
        </w:rPr>
        <w:t>بخش هفتم</w:t>
      </w:r>
      <w:bookmarkEnd w:id="3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بخش زیارت‌نامة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است که به صلوات خاصة آن حضرت معروف است و می‌توان آن را در بردارندة مفاهیم اصلی کلیة بخش‌ها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مُوسَی الرِّضَا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کنش ترغیبی است که در قالب جمله‌ای طولانی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صفات، کنیه‌ها و القاب بلند، و با مضامین عالی مورد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غالب مضمونی این بخش همانند بخش قبل سلام و تحیت بر آن حضرت است، با این تفاوت که در این بخش به جای آن که خوانندة متن خود حضرت را مورد خطاب قرار دهد، خداوند را مخاطب خویش ساخته، از درگاه او اهدای سلام و درود بر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استفاده از این بخش در جایگاه پایانی و توجه به ویژگی‌های معنایی آن، می‌توان آوردن این بخش را شیوة مناسبی برای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پایانی گفتار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Conversational Closing Structure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bookmarkStart w:id="379" w:name="pg5825_38397"/>
    </w:p>
    <w:p>
      <w:pPr>
        <w:pStyle w:val="Heading3"/>
        <w:numPr>
          <w:ilvl w:val="2"/>
          <w:numId w:val="1"/>
        </w:numPr>
        <w:rPr/>
      </w:pPr>
      <w:bookmarkStart w:id="380" w:name="__RefHeading___Toc4623595_581953129"/>
      <w:bookmarkStart w:id="381" w:name="_Toc144"/>
      <w:bookmarkEnd w:id="379"/>
      <w:bookmarkEnd w:id="380"/>
      <w:r>
        <w:rPr>
          <w:rtl w:val="true"/>
        </w:rPr>
        <w:t>نتیجه</w:t>
      </w:r>
      <w:r>
        <w:rPr>
          <w:rtl w:val="true"/>
        </w:rPr>
        <w:softHyphen/>
      </w:r>
      <w:r>
        <w:rPr>
          <w:rtl w:val="true"/>
        </w:rPr>
        <w:t>گیری</w:t>
      </w:r>
      <w:bookmarkEnd w:id="3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ملاحظه شد کنش‌های اظهاری، کنش‌های غالب گفتاری در نخستین بخش زیارت‌نامه است که فراوانی بالای آنها به‌دلیل ارادة زائر بر بیان مجدد اصول اعتقادی خویش و تکرار و یادآوری آنها در محضر خداوند و ائمه اطهار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زیارت‌نامه بیش‌ترین درصد کنش‌های گفتاری مربوط به کنش‌های ترغیبی است که به‌دلیل استفادة فراوان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درخواست سلام و درود بر پیامبر اکرم صلی‌الله‌علیه‌وآله‌وسلم و سایر ائمه صورت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زیارت‌نامه، زائر به‌دلیل جایگاه خویش بر آن است تا بالاترین مراتب احترام و تکریم خود را تقدیم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بنماید و بدین منظور از دو ابزار تکرار فراوان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کنیه‌های فراوان آن حضرت در قالب کنش‌های عاطفی بهره جسته‌است و به همین دلیل این نوع کنش بیشترین درصد کنش‌های این بخش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زیارت‌نامه زائر با استفاده از کنش‌های ترغیبی در برآورده شدن حاجاتش،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شفاعت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زیارت‌نامه زائر با استفاده از کنش‌های اعلامی به اعلان برائت از دشمنان اهل بیت علیهم‌السلام و اعلام دوستی با دوست‌داران آن بزرگواران می‌پردازد؛ لذا این نوع کنش درصد غالب کنش‌های گفتاری این بخش را به خود اختصاص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زیارت‌نامه ترکیبی از کنش‌های عاطفی، ترغیبی و اظهاری است که در دو کنش اول که کنش‌های عاطفی هستند، به سلام و درود بر جسم و روح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یک کنش اظهاری، به تصدیق و تأیید پاکی و صداقت آن بزرگوار می‌پردازد و در پایان نیز با کنشی ترغیبی با اعلان برائت از دشمنان آن بزرگوار، نابودی آنان 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و آخرین بخش زیارت‌نامه که به صلوات خاصة آن حضرت معروف است، دربردارندة تنها یک کنش گفتاری از نوع کنش‌های گفتاری ترغیبی می‌باشد و در آن زائر اهدای سلام و درود بر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 نوع هر یک از کنش‌های گفتاری استخراج‌شدة مورد تحلیل در هریک از بخش‌های مختلف زیارت‌نامه در جدول زیر آمده‌است، همچنین در نمودار زیر کنش‌های گفتاری مختلف مقایسه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تعداد کنش‌های گفتاری در زیارت‌نامة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w:t>
      </w:r>
    </w:p>
    <w:p>
      <w:pPr>
        <w:pStyle w:val="BookText"/>
        <w:rPr/>
      </w:pPr>
      <w:r>
        <w:rPr>
          <w:rFonts w:ascii="IRNazanin" w:hAnsi="IRNazanin" w:eastAsia="IRNazanin"/>
          <w:color w:val="111111"/>
          <w:sz w:val="28"/>
          <w:sz w:val="28"/>
          <w:szCs w:val="28"/>
          <w:rtl w:val="true"/>
          <w:lang w:bidi="fa-IR"/>
        </w:rPr>
        <w:t>بخش‌های</w:t>
      </w:r>
    </w:p>
    <w:p>
      <w:pPr>
        <w:pStyle w:val="BookText"/>
        <w:rPr/>
      </w:pPr>
      <w:r>
        <w:rPr>
          <w:rFonts w:ascii="IRNazanin" w:hAnsi="IRNazanin" w:eastAsia="IRNazanin"/>
          <w:color w:val="111111"/>
          <w:sz w:val="28"/>
          <w:sz w:val="28"/>
          <w:szCs w:val="28"/>
          <w:rtl w:val="true"/>
          <w:lang w:bidi="fa-IR"/>
        </w:rPr>
        <w:t>مختلف زیارت‌نامة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کنش</w:t>
      </w:r>
    </w:p>
    <w:p>
      <w:pPr>
        <w:pStyle w:val="BookText"/>
        <w:rPr/>
      </w:pPr>
      <w:r>
        <w:rPr>
          <w:rFonts w:ascii="IRNazanin" w:hAnsi="IRNazanin" w:eastAsia="IRNazanin"/>
          <w:color w:val="111111"/>
          <w:sz w:val="28"/>
          <w:sz w:val="28"/>
          <w:szCs w:val="28"/>
          <w:rtl w:val="true"/>
          <w:lang w:bidi="fa-IR"/>
        </w:rPr>
        <w:t>گفتار</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کنش ترغیبی</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کنش عاطفی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کنش اظهاری</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کنش تعهدی</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کنش اعلامی</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24</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کل </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تعداد کنش‌های مختلف گفتاری زیارت‌نامه</w:t>
      </w:r>
    </w:p>
    <w:p>
      <w:pPr>
        <w:pStyle w:val="BookText"/>
        <w:rPr/>
      </w:pPr>
      <w:r>
        <w:rPr>
          <w:rFonts w:ascii="IRNazanin" w:hAnsi="IRNazanin" w:eastAsia="IRNazanin"/>
          <w:color w:val="111111"/>
          <w:sz w:val="28"/>
          <w:sz w:val="28"/>
          <w:szCs w:val="28"/>
          <w:rtl w:val="true"/>
          <w:lang w:bidi="fa-IR"/>
        </w:rPr>
        <w:t xml:space="preserve">بر این اساس از مجموع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گفتاری مورد استفاده در این پیکرة زبانی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Language Corpus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بیشترین کنش گفتاری مربوط به کنش‌های عاطفی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کمترین آن مربوط به کنش‌های گفتاری اعلامی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براساس دسته‌بندی سرل هیچ‌گونه کنش گفتاری تعهّدی در این متن استفاده نشده‌است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زیارت‌نامه و تقریباً همة زیارت‌نامه‌ها به‌صورت غیرمستقیم حاوی کنش‌های گفتاری تعهدی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مورد تحلیل، کنش‌های گفتاری عاطفی به‌طور چشم‌گیری بیش از سایر کنش‌ها مورد استفاده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این نوع کنش نشان‌دهندة حالات عاطفی و روانی فرد از قبیل شادی، غم، محبّت، ترس و نگرانی می‌باشد و گوینده از آن در ابراز و انتقال احساسات خویش از قبیل قدردانی، عذرخواهی، تبریک، عرض ارادت، بیان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بودن کنش‌های عاطفی نسبت به سایر کنش‌ها، نشان‌دهندة ارتباط عاطفی عمیق موجود میان زائر به‌عنوان تولیدکنندة متن و مخاطب یا مخاطبانش می‌باشد؛ به این معنی که زائر بیشتر از هر چیز دیگری در پی اظهار محبّت، دوستی و ارادت و احترام نسبت به مخاطبانش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و سایر 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البته روشن است که این اظهار ارادت و احترام به‌دلیل جایگاهی است که ائمة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متعال دارند، همچنین در کنار جنبة عاطفی متون زیارتی بیش از هر چیزی جنبة تعلیمی و عقیدتی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کنش‌های عاطفی، کنش‌های ترغیبی در دومین جایگاه از لحاظ تعداد کنش‌های </w:t>
      </w:r>
      <w:bookmarkStart w:id="382" w:name="pg5825_38402"/>
    </w:p>
    <w:p>
      <w:pPr>
        <w:pStyle w:val="BookText"/>
        <w:rPr/>
      </w:pPr>
      <w:bookmarkEnd w:id="382"/>
      <w:r>
        <w:rPr>
          <w:rFonts w:ascii="IRNazanin" w:hAnsi="IRNazanin" w:eastAsia="IRNazanin"/>
          <w:color w:val="111111"/>
          <w:sz w:val="28"/>
          <w:sz w:val="28"/>
          <w:szCs w:val="28"/>
          <w:rtl w:val="true"/>
          <w:lang w:bidi="fa-IR"/>
        </w:rPr>
        <w:t>مورد استفاده در متن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بالای این نوع کنش نیز به‌دلیل درخواست‌هایی است که گویندة متن در قالب دعا از خداوند،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تعداد سایر کنش‌های گفتاری مورد استفاده، بسیار ناچیز است و با توجه به تعداد کل کنش‌های استفاده‌شده، این اختلاف معنی‌دار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مقایسة متن فوق به‌عنوان یک متن مذهبی با تحقیق مشابهی که در زمینة تحلیل کنش‌های گفتاری به کاررفته در متون سیاسی معاصر به‌وسیلة اصطهباناتی صورت گرفته، نشان‌دهندة نتایج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در متن مذهبی فوق کنش‌های عاطفی، بیشترین درصد را به خود اختصاص داده‌است، بیشترین درصد کنش‌های گفتاری مورد استفاده در متون سیاسی معاصر مورد بررسی، مربوط به کنش‌های گفتاری اظهاری است پس می‌توان چنین نتیجه گرفت که گویندة متون مذهبی بیشتر در پی به اشتراک گذاشتن احساسات و عواطفش با مخاطب یا مخاطبان خویش است و گویندگان متون سیاسی یعنی سیاست‌مداران، ترجیح می‌دهند که به بیان شرایط موجود پرداخته، یا اینکه در قالب کنش‌های گفتاری اظهاری اوضاع موجود را به گونه‌ای جلوه دهند که آنان را به هدف سیاسی مورد نظرشان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هر دو نوع متن کنش گفتاری تعهدی یعنی کنشی که به واسطة آن گوینده خود را متعهد به انجام عملی در آینده می‌نماید، یا اصلاً به کار نرفته یا درصد اختصاص‌یافته به آن بسیار ناچیز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خواندن زیارت‌نامه به‌وسیلة زائر در حقیقت نوعی تکلم دوگانه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Double Discourse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بدین معنی که زائر با خواندن آن از یک سو سخن خود را مطرح می‌کند و از سوی دیگر سخن خود را به نیابت از تولیدکنندة متن می‌داند و با این شیوه به تأیید آنها می‌پردازد و حتی می‌توان آن را به‌عنوان سخن تمامی هم‌فکران اعتقادی او یعنی جامعة شیعه و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w:t>
      </w:r>
      <w:r>
        <w:rPr>
          <w:rFonts w:eastAsia="IRNazanin" w:cs="IRNazanin"/>
          <w:color w:val="111111"/>
          <w:sz w:val="28"/>
          <w:szCs w:val="28"/>
          <w:rtl w:val="true"/>
          <w:lang w:bidi="fa-IR"/>
        </w:rPr>
        <w:t>.</w:t>
      </w:r>
    </w:p>
    <w:p>
      <w:pPr>
        <w:pStyle w:val="Heading3"/>
        <w:numPr>
          <w:ilvl w:val="2"/>
          <w:numId w:val="1"/>
        </w:numPr>
        <w:rPr/>
      </w:pPr>
      <w:bookmarkStart w:id="383" w:name="__RefHeading___Toc4623597_581953129"/>
      <w:bookmarkStart w:id="384" w:name="_Toc145"/>
      <w:bookmarkEnd w:id="383"/>
      <w:r>
        <w:rPr>
          <w:rtl w:val="true"/>
        </w:rPr>
        <w:t>منابع فارسی</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استیور، دانیل،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فلسفه زبان دینی، ترجمه ابوالفضل ساجدی،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اکبر،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مکتب‌های فلسفی از دوران باستان تا امروز،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 سیدمحمدجواد،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ترجمه کامل الزیارات،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طلوع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ابوالفضل،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زبان دین و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مؤسسۀ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چپمن، شیوان،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از فلسفه به زبان‌شناسی،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گام‌نو</w:t>
      </w:r>
      <w:r>
        <w:rPr>
          <w:rFonts w:eastAsia="IRNazanin" w:cs="IRNazanin"/>
          <w:color w:val="111111"/>
          <w:sz w:val="28"/>
          <w:szCs w:val="28"/>
          <w:rtl w:val="true"/>
          <w:lang w:bidi="fa-IR"/>
        </w:rPr>
        <w:t xml:space="preserve">. </w:t>
      </w:r>
      <w:bookmarkStart w:id="385" w:name="pg5825_38404"/>
    </w:p>
    <w:p>
      <w:pPr>
        <w:pStyle w:val="BookText"/>
        <w:rPr/>
      </w:pPr>
      <w:bookmarkEnd w:id="3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عظیم‌زاده تهرانی، طاهره،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درآمدی بر کتا‌های زیارتی، ماهنامه بین‌المللی زائر، ش</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عنایتی‌راد، محمدجواد،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زبان‌شناسی دین در نگاه المیزان، پژوهش‌های قرآنی، ش</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فسنکول، ویلیام،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گفتنی‌ها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ناگفتنی‌ها، ترجمه مالک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هرمس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قائمی‌نیا، علیرضا،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تجربه دینی و گوهر 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وحی و افعال گفتاری،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زلال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محمدی‌مقدم، حسین،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زیارت و سیر تحول آن در تاریخ، زائر، ش</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فرهنگ فارسی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w:t>
      </w:r>
      <w:r>
        <w:rPr>
          <w:rFonts w:eastAsia="IRNazanin" w:cs="IRNazanin"/>
          <w:color w:val="111111"/>
          <w:sz w:val="28"/>
          <w:szCs w:val="28"/>
          <w:rtl w:val="true"/>
          <w:lang w:bidi="fa-IR"/>
        </w:rPr>
        <w:t>.</w:t>
      </w:r>
    </w:p>
    <w:p>
      <w:pPr>
        <w:pStyle w:val="Heading3"/>
        <w:numPr>
          <w:ilvl w:val="2"/>
          <w:numId w:val="1"/>
        </w:numPr>
        <w:rPr/>
      </w:pPr>
      <w:bookmarkStart w:id="386" w:name="__RefHeading___Toc4623599_581953129"/>
      <w:bookmarkStart w:id="387" w:name="_Toc146"/>
      <w:bookmarkEnd w:id="386"/>
      <w:r>
        <w:rPr>
          <w:rtl w:val="true"/>
        </w:rPr>
        <w:t>منابع انگلیسی</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Ayer, Alfred. 1949, language,Truth,and logic, New York: Dover publications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Austin, John. 1970, How to Do Things with Words, The William James Lectures Delivered at Harvard University in 1955, Second Edition, Edited by J.O.Urmson and Marina Sbisa, Cambridge, Massachusetts: Harvard University Press, First Published in 1962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Performative-Constative", The Philosophy of Language, No iv, 13-22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Philosophical Papers, Third edition, Edited by J.O.Urmson and G.J.Warnock, Oxford: The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Sbisa, Marina. 2002, Speech Acts in Context, Language and Communication 22: 421-436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Searle, John.1969, Speech Acts</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Cambridge: Cambridge university press</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5825_38407"/>
      <w:bookmarkStart w:id="389" w:name="pg5825_38407"/>
      <w:bookmarkEnd w:id="389"/>
    </w:p>
    <w:p>
      <w:pPr>
        <w:pStyle w:val="Heading2"/>
        <w:numPr>
          <w:ilvl w:val="1"/>
          <w:numId w:val="1"/>
        </w:numPr>
        <w:rPr/>
      </w:pPr>
      <w:bookmarkStart w:id="390" w:name="pg5825_38407"/>
      <w:bookmarkStart w:id="391" w:name="__RefHeading___Toc4623601_581953129"/>
      <w:bookmarkStart w:id="392" w:name="_Toc147"/>
      <w:bookmarkEnd w:id="390"/>
      <w:bookmarkEnd w:id="391"/>
      <w:r>
        <w:rPr>
          <w:rtl w:val="true"/>
        </w:rPr>
        <w:t xml:space="preserve">اعتبار معرفت‌شناختی خبر واحد در اعتقادات دینی </w:t>
      </w:r>
      <w:r>
        <w:rPr>
          <w:rtl w:val="true"/>
        </w:rPr>
        <w:t xml:space="preserve">/ </w:t>
      </w:r>
      <w:r>
        <w:rPr>
          <w:rtl w:val="true"/>
        </w:rPr>
        <w:t>محمد حسین‌زاده، عبدالله محمدی</w:t>
      </w:r>
      <w:bookmarkEnd w:id="392"/>
    </w:p>
    <w:p>
      <w:pPr>
        <w:pStyle w:val="Heading3"/>
        <w:numPr>
          <w:ilvl w:val="2"/>
          <w:numId w:val="1"/>
        </w:numPr>
        <w:rPr/>
      </w:pPr>
      <w:bookmarkStart w:id="393" w:name="__RefHeading___Toc4623603_581953129"/>
      <w:bookmarkStart w:id="394" w:name="_Toc148"/>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محمد حسین‌زاده</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عبدالله محمدی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17/5/89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29/7/89</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4623605_581953129"/>
      <w:bookmarkStart w:id="396" w:name="_Toc149"/>
      <w:bookmarkEnd w:id="395"/>
      <w:r>
        <w:rPr>
          <w:rtl w:val="true"/>
        </w:rPr>
        <w:t>چکیده</w:t>
      </w:r>
      <w:bookmarkEnd w:id="39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اعتبار خبر واحد در اعتقادات دینی، یکی از چالشی‌ترین مباحث مطرح در فلسفة دین و معرفت‌شناسی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در بحث مذکور این است که آیا خبر واحد می‌تواند یکی از ابزارهای معتبر شناخت در مسائل اعتقادی به‌شمار آید؟ تلقی غالب عالمان علم اصول، تفسیر و کلام آن است که خبر واحد فی‌نفسه فاقد اعتبار و نیازمند جعل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حجیت و تعبد به مفاد خبر واحد، تنها در حوزة تکالیف معقول و ممکن است؛ لذا خبر واحد در اعتقادات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مبنا، معتقد است که خبر واحد نیاز به جعل حجیت نداشته و خود یکی از طرق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نشان می‌دهد که ادلة مخالفان اعتبار خبر واحد در اعتقادات دینی براساس هیچ یک از دو مبنای مذکور،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اعتبار معرفت‌شناختیِ خبر واحد در اعتقادات دینی، فصل جدیدی در روش‌شناسی </w:t>
      </w:r>
      <w:bookmarkStart w:id="397" w:name="pg5825_38409"/>
    </w:p>
    <w:p>
      <w:pPr>
        <w:pStyle w:val="BookText"/>
        <w:rPr/>
      </w:pPr>
      <w:bookmarkEnd w:id="397"/>
      <w:r>
        <w:rPr>
          <w:rFonts w:ascii="IRNazanin" w:hAnsi="IRNazanin" w:eastAsia="IRNazanin"/>
          <w:color w:val="111111"/>
          <w:sz w:val="28"/>
          <w:sz w:val="28"/>
          <w:szCs w:val="28"/>
          <w:rtl w:val="true"/>
          <w:lang w:bidi="fa-IR"/>
        </w:rPr>
        <w:t>اعتقادات و نیز تأسیس فلسفة اسلامی بالمعنی‌الاخص گشوده و راه برای اسلامی شدن علوم انسانی هموارتر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اعتقادات دینی، معرفت‌شناسی متون دینی</w:t>
      </w:r>
      <w:r>
        <w:rPr>
          <w:rFonts w:eastAsia="IRNazanin" w:cs="IRNazanin"/>
          <w:color w:val="111111"/>
          <w:sz w:val="28"/>
          <w:szCs w:val="28"/>
          <w:rtl w:val="true"/>
          <w:lang w:bidi="fa-IR"/>
        </w:rPr>
        <w:t>.</w:t>
      </w:r>
    </w:p>
    <w:p>
      <w:pPr>
        <w:pStyle w:val="Heading3"/>
        <w:numPr>
          <w:ilvl w:val="2"/>
          <w:numId w:val="1"/>
        </w:numPr>
        <w:rPr/>
      </w:pPr>
      <w:bookmarkStart w:id="398" w:name="__RefHeading___Toc4623607_581953129"/>
      <w:bookmarkStart w:id="399" w:name="_Toc150"/>
      <w:bookmarkEnd w:id="398"/>
      <w:r>
        <w:rPr>
          <w:rtl w:val="true"/>
        </w:rPr>
        <w:t>مقدمه</w:t>
      </w:r>
      <w:bookmarkEnd w:id="399"/>
    </w:p>
    <w:p>
      <w:pPr>
        <w:pStyle w:val="BookText"/>
        <w:rPr/>
      </w:pPr>
      <w:r>
        <w:rPr>
          <w:rFonts w:ascii="IRNazanin" w:hAnsi="IRNazanin" w:eastAsia="IRNazanin"/>
          <w:color w:val="111111"/>
          <w:sz w:val="28"/>
          <w:sz w:val="28"/>
          <w:szCs w:val="28"/>
          <w:rtl w:val="true"/>
          <w:lang w:bidi="fa-IR"/>
        </w:rPr>
        <w:t>مسئلة حجیت خبر واحد در اعتقادات دینی در این مقاله با استفاده از دو مبنای متفاوت بررسی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اول نظر مشهور اصولیان است که خبر واحد را مفید ظن و نیازمند جعل حجیت می‌دانند و مبنای دوم نظر برگزیدة این نوشتار و برخاسته از این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قطع و اطمینان در کاشفیت و واقع‌نمایی با هم شریک بوده و تنها تفاوت آنها در احتمال خلاف موجود در اطمینان است که عقلا آن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خبر واحد اطمینان‌بخش نیازی به جعل حجیت نداشته، می‌تواند به‌عنوان منبعی معتبر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لازم و کافی در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نظرات متعددی مطرح شده و تحلیل نگارنده آن است که تنها مصداق این معرفت، یقین منطقی نبوده و قطع عرفی و اطمینان را نیز شامل می‌شود</w:t>
      </w:r>
      <w:r>
        <w:rPr>
          <w:rFonts w:eastAsia="IRNazanin" w:cs="IRNazanin"/>
          <w:color w:val="111111"/>
          <w:sz w:val="28"/>
          <w:szCs w:val="28"/>
          <w:rtl w:val="true"/>
          <w:lang w:bidi="fa-IR"/>
        </w:rPr>
        <w:t>.</w:t>
      </w:r>
    </w:p>
    <w:p>
      <w:pPr>
        <w:pStyle w:val="Heading3"/>
        <w:numPr>
          <w:ilvl w:val="2"/>
          <w:numId w:val="1"/>
        </w:numPr>
        <w:rPr/>
      </w:pPr>
      <w:bookmarkStart w:id="400" w:name="__RefHeading___Toc4623609_581953129"/>
      <w:bookmarkStart w:id="401" w:name="_Toc151"/>
      <w:bookmarkEnd w:id="400"/>
      <w:r>
        <w:rPr>
          <w:rtl w:val="true"/>
        </w:rPr>
        <w:t>دو نوع رویکرد به اصول عقاید</w:t>
      </w:r>
      <w:bookmarkEnd w:id="401"/>
    </w:p>
    <w:p>
      <w:pPr>
        <w:pStyle w:val="BookText"/>
        <w:rPr/>
      </w:pPr>
      <w:r>
        <w:rPr>
          <w:rFonts w:ascii="IRNazanin" w:hAnsi="IRNazanin" w:eastAsia="IRNazanin"/>
          <w:color w:val="111111"/>
          <w:sz w:val="28"/>
          <w:sz w:val="28"/>
          <w:szCs w:val="28"/>
          <w:rtl w:val="true"/>
          <w:lang w:bidi="fa-IR"/>
        </w:rPr>
        <w:t>پیش از بررسی ادلة مخالفان، یادآوری دو نوع رویکرد به اعتقادات دینی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نخست اعتقادات به‌عنوان یکی از افعال اختیاری انسان مدنظر است؛ یعنی عقاید بخشی از دین و امور حقیقی‌ای هستند که هر کس شرعاً موظف به ایمان بدانهاست؛ اما در رویکرد دوم حیث واقع‌نمایی گزاره‌های اعتقادی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رویکرد نخست فرض بر آن است که اعتقاد به برخی امور مانند توحید، نبوت، معاد، رجعت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واجبات شرعی است؛ اما در رویکرد دوم فارغ از واجب یا حرام بودن یک عقیده، درصدد فهم واقع‌نمایی گزاره‌های اعتقادی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دغدغة اصلی پژوهشگری که قصد دارد نظر اسلام را دربارة وحی و چیستی آن یا میزان عصمت پیامبران، چگونگی علم خدا به موجودات، نحوة رجعت انبیا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کشف واقع است و نه انجام تکلیف شرعی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دو رویکرد آثار و نتایج خاصی را به دنبال دارد که بی‌توجهی به تفاوت این دو نگاه، موجب شده تا احکام آنها با یکدیگر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مهم‌ترین این تفاوت‌ها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رویکرد نخست، عقاید شرط ایمان یا مسلمانی بوده و انکار آن ممکن است به گناه یا ارتداد بینجامد، اما در رویکرد دوم چنین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در رویکرد اول یک فعل واجب شرعی بوده و طبق آن هر کسی درصدد انجام تکلیف خویش است؛ اما در رویکرد دوم هدف از بررسی یک گزارة اعتقادی، کشف واقع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رویکرد نیز کشف واقع از نظر اسلام مهم است، مراجعه به دین در رویکرد دوم از این باب است که منبعی خطاناپذیر در معرفی جهان خارج و ابزاری متقن در شناخت است؛ درحالی‌که در رویکرد نخست، دین به‌عنوان مرجع قانون‌گذار معرفی شده و از این باب به آن مراجعه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رویکرد نخست در جستجوی امری هستیم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بیابیم؛ اما در رویکرد دوم دنبال یافتن امری هستیم که با آن خارج را توصیف کرده یا نظری را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در رویکرد نخست ابزاری برای عمل است؛ یعنی علم به یک گزارة اعتقادی مقدمه‌ای برای ایمان آوردن به آن است؛ اما در رویکرد دوم علم مطلوبیت استقلالی دارد، آلی و مقدمی؛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لازم و کافی در رویکرد نخست، معرفتی است که شرط مسلمانی و ایمان را تأمین می‌کند؛ اما در رویکرد دوم مقصود از معرفت لازم و کافی، گزاره‌ای است که صلاحیت دارد تا از آن برای استناد به واقع استفاده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حدود و ثغور، شرایط و مصادیق معرفت لازم و کافی در رویکرد نخست در دست شارع است، چون تعیین حدود ایمان صحیح از ایمان ناصحیح به دست اوست؛ اما این امور در رویکرد دوم با قواعد عام معرفت‌شناختی تعیین می‌شوند؛ البته در نظام معرفت‌شناختی نیز پس از پذیرش حجیت نصوص دینی و قواعد معرفت‌شناسی دینی می‌توان از آنها نیز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معنای تباین نظام معرفت‌شناختی دینی با نظام معرفت‌شناختی عمومی نیست؛ بلکه ناظر به رابطة عموم و خصوصی است که بین معرفت‌شناسی عمومی و معرفت‌شناسی دینی وجود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اعتقاد در رویکرد نخست، فعلی است اختیاری و می‌تواند متعلق امر شرعی واقع شود؛ مثلاً گزارة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وحدانیت خداوند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نخست معنا دارد و به همین دلیل در این رویکرد می‌توان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امری را به لحاظ مقدمات نظری تصدیق می‌کنند، اما گرایش قلبی یا اعتقاد یا باور </w:t>
      </w:r>
    </w:p>
    <w:p>
      <w:pPr>
        <w:pStyle w:val="BookText"/>
        <w:rPr/>
      </w:pPr>
      <w:r>
        <w:rPr>
          <w:rFonts w:ascii="IRNazanin" w:hAnsi="IRNazanin" w:eastAsia="IRNazanin"/>
          <w:color w:val="111111"/>
          <w:sz w:val="28"/>
          <w:sz w:val="28"/>
          <w:szCs w:val="28"/>
          <w:rtl w:val="true"/>
          <w:lang w:bidi="fa-IR"/>
        </w:rPr>
        <w:t>به آن ندارند؛ درحالی‌که در رویکرد دوم علم به واقع مقصود اصلی ماست و تحصیل علم در اختیار انسان نیست، بلکه منوط به پیدایش مقدمات تکوینی و منطقی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موجد علم فراهم شود، علم نیز بی‌اختیار در نفس انسان محقق می‌شود وگرنه بدون فراهم شدن مقدمات، با اجبار، تهدید، امر و نهی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حاصل نمی‌شود و به همین دلیل در این رویکرد، عالم بودن به گزاره‌ای نمی‌تواند متعلق امر یا نهی واقع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رویکرد نخست اعتقاد داشتن، امری فقهی است و ما درصدد عمل به تکلیف فقهی خود هستیم؛ بنابراین معذور بودن در این رویکرد به معنای آن است که انسان در روز قیامت حجت معتبری برای چنین اعتقادی در پیشگاه خداوند داشته باشد؛ ولی در رویکرد دوم اعتقاد داشتن یک واجب فقهی نیست و ازاین‌رو معذور بودن حداقل به معنای مذکور فرض نمی‌شود، گرچه به معانی دیگر معذور بودن متصور است؛ مثلاً معذور بودن یعنی اینکه انسان در استناد امری به واقع یا استناد اعتقادی به اسلام مرتکب خطای معرفت‌شناختی نشده‌است؛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در رویکرد نخست به اموری که در آنها اعتقاد تفصیلی واجب است و اموری که اعتقاد اجمالی در آنها کافی است، تقسیم می‌شود، همچنین تقسیم اعتقادات به اموری که اعتقاد به آنها مطلقاً واجب است و اموری که اعتقاد به آنها تنها در صورت علم به آنها واجب می‌شود؛ در رویکرد نخست معنا دارد، ولی در رویکرد دوم تقسیم اعتقادات و تفاوت آنها به لحاظ اختلاف در روش فهم یا اثبات آنهاست؛ مثلاً اعتقادات به پسین و پیشین تقسیم شده و در عقاید پیشین تنها از برهان عقلی و در عقاید پسین از ادلة نقلی کمک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تفاوتی نه به اهمیت امر اعتقادی بلکه به اختلاف روش‌شناختی بازمی‌گردد؛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حجیت خبر واحد در عقاید دینی در رویکرد نخست به حوزة عقاید محدود می‌ماند؛ اما اثبات حجیت خبر واحد در عقاید با رویکرد دوم و با اعتبار خبر واحد در سایر حوزه‌های علوم اسلامی که نگاه تکلیفی ندارند نیز ملازم است؛ به عبارت دیگر تنها در صورتی می‌توان از خبر واحد در حوزه‌های علومی چون روان‌شناسی، اقتصاد، تاریخ، تفسیر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 که حجیت آن با رویکرد دوم اثبات شده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دانشمندان علم اصول با رویکرد نخست وارد بحث اعتبار یا عدم اعتبار خبر واحد در اعتقادات شده‌اند؛ یعنی عقاید دینی را از این جهت که عملی واجب هستند، بررسی کرده‌اند؛ لذا به تبیین این بحث پرداخته‌اند که کدام معرفت واجب و درنتیجه علم به </w:t>
      </w:r>
      <w:bookmarkStart w:id="402" w:name="pg5825_38414"/>
    </w:p>
    <w:p>
      <w:pPr>
        <w:pStyle w:val="BookText"/>
        <w:rPr/>
      </w:pPr>
      <w:bookmarkEnd w:id="402"/>
      <w:r>
        <w:rPr>
          <w:rFonts w:ascii="IRNazanin" w:hAnsi="IRNazanin" w:eastAsia="IRNazanin"/>
          <w:color w:val="111111"/>
          <w:sz w:val="28"/>
          <w:sz w:val="28"/>
          <w:szCs w:val="28"/>
          <w:rtl w:val="true"/>
          <w:lang w:bidi="fa-IR"/>
        </w:rPr>
        <w:t xml:space="preserve">مقدمات آن واجب است و کدام معرفت تنها در صورت تحصیل علم واجب می‌شود و یا از صلاحیت یا عدم صلاحیت به‌کارگیری استصحاب در اعتقادات بحث کرد یا تکلیف کسی که در اعتقاد خود جاهل قاصر یا مقصر است را روشن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غروی اصفهانی،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علم اصول گاهی در اثر عدم تفکیک میان این دو رویکرد و اختلاف روشی هر یک، ناخواسته از نتایج و احکام رویکرد نخست در اثبات یا انکار مدعیات خود بهره برده‌اند، چنین خلطی در ادله و نقدهای منکران و مثبِتان حجیت خبر واحد در عقاید دینی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رویکرد واقع‌نمایی اعتقادات دینی بیشتر مورد توجه است</w:t>
      </w:r>
      <w:r>
        <w:rPr>
          <w:rFonts w:eastAsia="IRNazanin" w:cs="IRNazanin"/>
          <w:color w:val="111111"/>
          <w:sz w:val="28"/>
          <w:szCs w:val="28"/>
          <w:rtl w:val="true"/>
          <w:lang w:bidi="fa-IR"/>
        </w:rPr>
        <w:t>.</w:t>
      </w:r>
    </w:p>
    <w:p>
      <w:pPr>
        <w:pStyle w:val="Heading3"/>
        <w:numPr>
          <w:ilvl w:val="2"/>
          <w:numId w:val="1"/>
        </w:numPr>
        <w:rPr/>
      </w:pPr>
      <w:bookmarkStart w:id="403" w:name="__RefHeading___Toc4623611_581953129"/>
      <w:bookmarkStart w:id="404" w:name="_Toc152"/>
      <w:bookmarkEnd w:id="403"/>
      <w:r>
        <w:rPr>
          <w:rtl w:val="true"/>
        </w:rPr>
        <w:t>اقسام خبر واحد</w:t>
      </w:r>
      <w:bookmarkEnd w:id="404"/>
    </w:p>
    <w:p>
      <w:pPr>
        <w:pStyle w:val="BookText"/>
        <w:rPr/>
      </w:pPr>
      <w:r>
        <w:rPr>
          <w:rFonts w:ascii="IRNazanin" w:hAnsi="IRNazanin" w:eastAsia="IRNazanin"/>
          <w:color w:val="111111"/>
          <w:sz w:val="28"/>
          <w:sz w:val="28"/>
          <w:szCs w:val="28"/>
          <w:rtl w:val="true"/>
          <w:lang w:bidi="fa-IR"/>
        </w:rPr>
        <w:t xml:space="preserve">خبر واحد در یک تقسیم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محفوف به قرائن و خبر واحد غیر محفوف به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در این نوشتار خبر واحد غیرمحفوف به قرائن است و مدعای اصلی نیز اثبات اعتبار خبر واحد به‌عنوان دلیلی مستقل است و نه صرفاً شاهد و مؤید</w:t>
      </w:r>
      <w:r>
        <w:rPr>
          <w:rFonts w:eastAsia="IRNazanin" w:cs="IRNazanin"/>
          <w:color w:val="111111"/>
          <w:sz w:val="28"/>
          <w:szCs w:val="28"/>
          <w:rtl w:val="true"/>
          <w:lang w:bidi="fa-IR"/>
        </w:rPr>
        <w:t>.</w:t>
      </w:r>
    </w:p>
    <w:p>
      <w:pPr>
        <w:pStyle w:val="Heading3"/>
        <w:numPr>
          <w:ilvl w:val="2"/>
          <w:numId w:val="1"/>
        </w:numPr>
        <w:rPr/>
      </w:pPr>
      <w:bookmarkStart w:id="405" w:name="__RefHeading___Toc4623613_581953129"/>
      <w:bookmarkStart w:id="406" w:name="_Toc153"/>
      <w:bookmarkEnd w:id="405"/>
      <w:r>
        <w:rPr>
          <w:rtl w:val="true"/>
        </w:rPr>
        <w:t>ارزش معرفت‌شناختی خبر واحد</w:t>
      </w:r>
      <w:bookmarkEnd w:id="40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اعتبار خبر واحد در طول قطع نیست تا محتاج به جعل حجیت از سوی دلیلی قطعی باشد؛ بلکه اعتباری گرچه نامساوی اما هم‌عرض قطع دارد، زیرا خبر واحد مفید اطمینان و تنها اختلاف قطع و اطمینان در احتمال خلاف موجود در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خلاف، به قدری ناچیز است که ارزش معرفت شناختی نداشته و بدان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عقلا یا احتمال خلاف نمی‌دهند یا در صورت احتمال خلاف به آن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نبود احتمال خلاف عقلایی است، زیرا احتمال خلاف عقلی در خبر متواتر نیز منتفی نیست، همچنین در بسیاری از ادارکات حسی که از نظر عقل قطعی محسوب می‌شود نیز عقلاً احتمال خطا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عقلا در معتبر دانستن خبر واحد خود را محتاج به دلیل حجیت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متعدد دال بر این است که بنای عقلا در معتبر دانستن آنها گزاف و بی‌ارتباط با مبادی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بی‌اعتنایی و بی‌توجهی عقلا به احتمال خلاف موجود در خبر واحد، ناشی از تسامح عرفی و بی‌مبالاتی ایشان در امور معاش نیست، بلکه ریشه در این امر دارد که چنین احتمال خلافی ارزش </w:t>
      </w:r>
    </w:p>
    <w:p>
      <w:pPr>
        <w:pStyle w:val="BookText"/>
        <w:rPr/>
      </w:pPr>
      <w:r>
        <w:rPr>
          <w:rFonts w:ascii="IRNazanin" w:hAnsi="IRNazanin" w:eastAsia="IRNazanin"/>
          <w:color w:val="111111"/>
          <w:sz w:val="28"/>
          <w:sz w:val="28"/>
          <w:szCs w:val="28"/>
          <w:rtl w:val="true"/>
          <w:lang w:bidi="fa-IR"/>
        </w:rPr>
        <w:t>معرفت‌شناختی ندارد، همچنین این اغماض به شکل تعبدی نیست تا اشکال شود انسان نمی‌تواند احتمال خلاف موجود در ذهن خود را با تعبد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پس از مواجهه با این سیرة عقلایی، ناخودآگاه به احتمال خلاف اندک موجود در نقل اخبار نیز بی‌توجه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سیرة عقلایی که دال بر اعتبار خبر واحد است، تأثیر تکوینی در ذهن انسان گذارده و در اثر آن، احتمال خلاف در نزد او کم‌رنگ و ارزش معرفتی خبر واحد به اطمینان نزدیک می‌شود، و این گونه است که در غالب ادراکات حسی خود چنین احتمال خطایی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تأثیر تکوینی پس از آن است که فرد به سیرة عقلایی در عمل به خبر واحد علم و التفات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پس از آنکه انسان مشاهده می‌کند عقلا از سویی در سایر امور خود به احتمال خلاف توجه نکرده و از دیگر سو کسی را که به خبر واحد اعتنا می‌کند، ملامت نمی‌کنند؛ درمی‌یابد که این میزان احتمال خلاف ارزش معرفت‌شناختی نداشته و ازاین‌رو ناخواسته درجة بالاتری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یا نزدیک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حاصل می‌شود و بر این اساس انسان می‌تواند در مقام دفاع از کار خود یا اثبات نظریه‌ای بر مبنای خبر واحد چنین احتجاج کند که سیرة عقلایی بر معتبر دانستن خبر واحد استوار است و به اصطلاح آن را حجت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وقتی ادلة حجیت، خبر واحد را حجت ساختند انسان می‌تواند در مقدمات استدلال</w:t>
      </w:r>
      <w:r>
        <w:rPr>
          <w:rStyle w:val="FootnoteAnchor"/>
          <w:rtl w:val="true"/>
        </w:rPr>
        <w:footnoteReference w:id="49"/>
      </w:r>
      <w:r>
        <w:rPr>
          <w:rFonts w:ascii="IRNazanin" w:hAnsi="IRNazanin" w:eastAsia="IRNazanin"/>
          <w:color w:val="111111"/>
          <w:sz w:val="28"/>
          <w:sz w:val="28"/>
          <w:szCs w:val="28"/>
          <w:rtl w:val="true"/>
          <w:lang w:bidi="fa-IR"/>
        </w:rPr>
        <w:t>خود از آن در شناخت کمک گرفته و درنتیجه کسی او را نسبت به چنین روشی مواخذه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مصادیق خبر واحد، حیثیت واقع‌نمایی و نه تعبد صرف مدّنظر است؛ یعنی دلیل تعبدی، انسان‌ها را مجاز به معتبر دانستن خبر واحد ننموده‌است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معرفتِ برآمده از خبر واحد، همان ظنی که در قرآن نکوهش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عرف زمان نزول آیات از ظن می‌فهمیده‌است با ظن مصطلح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 و درنتیجه معنای تبعیت از ظن در آیات مذکور نیز پیروی از ظن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مقصود این آیات، نکوهش علوم باطل و اعتقاداتی است که افراد، با تقلید کورکورانه و بدون دلیل از گذشتگان خود به دست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علم مصطلح در منطق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میرزای نائینی معتقد است که عمل عقلا به خبر واحد از باب عمل به ظن نیست، زیرا عقلا به احتمال خلاف موجود در خبر واحد اصلاً توجهی ندارند و عمل ایشان به خبر واحد تخصصاً از عمل به ظن خارج است؛ لذا ادلة منع عمل به ظن، خبر واحد را شامل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اصفهانی نیز با </w:t>
      </w:r>
      <w:bookmarkStart w:id="407" w:name="pg5825_38418"/>
    </w:p>
    <w:p>
      <w:pPr>
        <w:pStyle w:val="BookText"/>
        <w:rPr/>
      </w:pPr>
      <w:bookmarkEnd w:id="407"/>
      <w:r>
        <w:rPr>
          <w:rFonts w:ascii="IRNazanin" w:hAnsi="IRNazanin" w:eastAsia="IRNazanin"/>
          <w:color w:val="111111"/>
          <w:sz w:val="28"/>
          <w:sz w:val="28"/>
          <w:szCs w:val="28"/>
          <w:rtl w:val="true"/>
          <w:lang w:bidi="fa-IR"/>
        </w:rPr>
        <w:t xml:space="preserve">استناد به اینکه دلیل حجیت خبر واحد بنای عقلاست، می‌گوید که نصوصی که ما را از عمل به ظن نهی می‌کند، ناظر به خبر ثقه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اصفهانی،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این دو محقق شاهدی است بر اینکه خبر واحد در غالب اوقات اطمینان‌بخش بوده، از اقسام ظن غیرمعتبر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 حجیت خبر واحد، از دیرباز مورد گفتگوی دانشمندان شیعه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بر عدم حجیت خبر واحد ادعای اجماع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صاحب کتاب وافیه هیچ کس قبل از علامة حلی به حجیت خبر واحد تصریح نکرده‌است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بیشتر اصولییون خبر واحد را در احکام شرعی حجت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شیخ انصاری کلیة کسانی که خبر واحد را در زمینة اصول فقه، فاقد حجیت می‌دانند در زمینة اعتقادات نیز آن را غیر حجت می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مسئلة حائز اهمیت این است که نظر دانشمندانی که حجیت خبر واحد را در فقه پذیرفته‌اند، دربارة حجیت این دسته از اخبار در اعتقادات یا معارف دین چیست؟ شیخ طوسی عدم جواز استناد به خبر واحد در اعتقادات را امری اجماعی میان عالمان شیعه دانسته و تنها اهل حدیث و ظاهرگرایان را مخالف این اجماع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انصاری نیز ادعای چنین اجماعی را به سیدمرتضی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اعتبار خبر واحد در اعتقادات، دلایل متفاوتی را ذکر کرده‌اند که برای آگاهی از صحت و سقم، حدود و دامنة اثبات آن دلایل باید ادلة آنان را بررسی نمود</w:t>
      </w:r>
      <w:r>
        <w:rPr>
          <w:rFonts w:eastAsia="IRNazanin" w:cs="IRNazanin"/>
          <w:color w:val="111111"/>
          <w:sz w:val="28"/>
          <w:szCs w:val="28"/>
          <w:rtl w:val="true"/>
          <w:lang w:bidi="fa-IR"/>
        </w:rPr>
        <w:t>.</w:t>
      </w:r>
    </w:p>
    <w:p>
      <w:pPr>
        <w:pStyle w:val="Heading3"/>
        <w:numPr>
          <w:ilvl w:val="2"/>
          <w:numId w:val="1"/>
        </w:numPr>
        <w:rPr/>
      </w:pPr>
      <w:bookmarkStart w:id="408" w:name="__RefHeading___Toc4623615_581953129"/>
      <w:bookmarkStart w:id="409" w:name="_Toc154"/>
      <w:bookmarkEnd w:id="408"/>
      <w:r>
        <w:rPr>
          <w:rtl w:val="true"/>
        </w:rPr>
        <w:t>ادلة مخالفان اعتبار خبر واحد در عقاید دینی</w:t>
      </w:r>
      <w:bookmarkEnd w:id="409"/>
    </w:p>
    <w:p>
      <w:pPr>
        <w:pStyle w:val="Heading4"/>
        <w:numPr>
          <w:ilvl w:val="3"/>
          <w:numId w:val="1"/>
        </w:numPr>
        <w:rPr/>
      </w:pPr>
      <w:bookmarkStart w:id="410" w:name="__RefHeading___Toc4623617_581953129"/>
      <w:bookmarkStart w:id="411" w:name="_Toc155"/>
      <w:bookmarkEnd w:id="410"/>
      <w:r>
        <w:rPr>
          <w:rtl w:val="true"/>
        </w:rPr>
        <w:t>دلیل اول</w:t>
      </w:r>
      <w:r>
        <w:rPr>
          <w:rtl w:val="true"/>
        </w:rPr>
        <w:t xml:space="preserve">: </w:t>
      </w:r>
      <w:r>
        <w:rPr>
          <w:rtl w:val="true"/>
        </w:rPr>
        <w:t>مفید علم نبودن خبر واحد</w:t>
      </w:r>
      <w:bookmarkEnd w:id="411"/>
    </w:p>
    <w:p>
      <w:pPr>
        <w:pStyle w:val="Heading5"/>
        <w:numPr>
          <w:ilvl w:val="4"/>
          <w:numId w:val="1"/>
        </w:numPr>
        <w:rPr/>
      </w:pPr>
      <w:bookmarkStart w:id="412" w:name="__RefHeading___Toc4623619_581953129"/>
      <w:bookmarkStart w:id="413" w:name="_Toc156"/>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 xml:space="preserve">شیخ طوسی و شیخ مفید استدلال کرده‌اند که خبر واحد علم‌آور نیست؛ لذا در اموری که نیازمند علم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معتبر باشد؛ بنابراین خبر واحد در اعتقادات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استناد به همین اصل به استاد خود شیخ صدوق اشکال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شیخ صدوق در این باب خبر واحد هستند و مفید علم نبوده، بنابراین معتبر </w:t>
      </w:r>
      <w:bookmarkStart w:id="414" w:name="pg5825_38420"/>
    </w:p>
    <w:p>
      <w:pPr>
        <w:pStyle w:val="BookText"/>
        <w:rPr/>
      </w:pPr>
      <w:bookmarkEnd w:id="41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بحث ملائکة حاملان عرش نیز به بی‌اعتباری اخبار آحاد اشاره کرده و علت آن را عدم افاده علم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شکل استدلال کرده و نتیجه گرفته‌اند که خبر واحد در امور اعتقادی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شعرانی نیز نه در خصوص مباحث اعتقادی، بلکه دربارة بی‌اعتباریِ روایات تفسیری چنین نظری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اشکال وی به روایات اعتقادی نیز وارد می گردد</w:t>
      </w:r>
      <w:r>
        <w:rPr>
          <w:rFonts w:eastAsia="IRNazanin" w:cs="IRNazanin"/>
          <w:color w:val="111111"/>
          <w:sz w:val="28"/>
          <w:szCs w:val="28"/>
          <w:rtl w:val="true"/>
          <w:lang w:bidi="fa-IR"/>
        </w:rPr>
        <w:t>.</w:t>
      </w:r>
    </w:p>
    <w:p>
      <w:pPr>
        <w:pStyle w:val="Heading5"/>
        <w:numPr>
          <w:ilvl w:val="4"/>
          <w:numId w:val="1"/>
        </w:numPr>
        <w:rPr/>
      </w:pPr>
      <w:bookmarkStart w:id="415" w:name="__RefHeading___Toc4623621_581953129"/>
      <w:bookmarkStart w:id="416" w:name="_Toc157"/>
      <w:bookmarkEnd w:id="415"/>
      <w:r>
        <w:rPr>
          <w:rtl w:val="true"/>
        </w:rPr>
        <w:t>نقد و بررسی دلیل اول</w:t>
      </w:r>
      <w:bookmarkEnd w:id="416"/>
    </w:p>
    <w:p>
      <w:pPr>
        <w:pStyle w:val="BookText"/>
        <w:rPr/>
      </w:pPr>
      <w:r>
        <w:rPr>
          <w:rFonts w:ascii="IRNazanin" w:hAnsi="IRNazanin" w:eastAsia="IRNazanin"/>
          <w:color w:val="111111"/>
          <w:sz w:val="28"/>
          <w:sz w:val="28"/>
          <w:szCs w:val="28"/>
          <w:rtl w:val="true"/>
          <w:lang w:bidi="fa-IR"/>
        </w:rPr>
        <w:t>اولاً باید دید مقصود ایشان از علم چیست؛ اگر یقین بالمعنی‌الاخص</w:t>
      </w:r>
      <w:r>
        <w:rPr>
          <w:rStyle w:val="FootnoteAnchor"/>
          <w:rtl w:val="true"/>
        </w:rPr>
        <w:footnoteReference w:id="50"/>
      </w:r>
      <w:r>
        <w:rPr>
          <w:rFonts w:ascii="IRNazanin" w:hAnsi="IRNazanin" w:eastAsia="IRNazanin"/>
          <w:color w:val="111111"/>
          <w:sz w:val="28"/>
          <w:sz w:val="28"/>
          <w:szCs w:val="28"/>
          <w:rtl w:val="true"/>
          <w:lang w:bidi="fa-IR"/>
        </w:rPr>
        <w:t>یا یقین بالمعنی‌الاعم</w:t>
      </w:r>
      <w:r>
        <w:rPr>
          <w:rStyle w:val="FootnoteAnchor"/>
          <w:rtl w:val="true"/>
        </w:rPr>
        <w:footnoteReference w:id="51"/>
      </w:r>
      <w:r>
        <w:rPr>
          <w:rFonts w:ascii="IRNazanin" w:hAnsi="IRNazanin" w:eastAsia="IRNazanin"/>
          <w:color w:val="111111"/>
          <w:sz w:val="28"/>
          <w:sz w:val="28"/>
          <w:szCs w:val="28"/>
          <w:rtl w:val="true"/>
          <w:lang w:bidi="fa-IR"/>
        </w:rPr>
        <w:t>مقصود است در این صورت کبرای استدلال ممنوع است؛ زیرا معرفت لازم در عقاید دینی منحصر در این دو قسم نیست؛</w:t>
      </w:r>
      <w:r>
        <w:rPr>
          <w:rStyle w:val="FootnoteAnchor"/>
          <w:rtl w:val="true"/>
        </w:rPr>
        <w:footnoteReference w:id="52"/>
      </w:r>
      <w:r>
        <w:rPr>
          <w:rFonts w:ascii="IRNazanin" w:hAnsi="IRNazanin" w:eastAsia="IRNazanin"/>
          <w:color w:val="111111"/>
          <w:sz w:val="28"/>
          <w:sz w:val="28"/>
          <w:szCs w:val="28"/>
          <w:rtl w:val="true"/>
          <w:lang w:bidi="fa-IR"/>
        </w:rPr>
        <w:t>اما اگر مقصود ایشان از علم، علم متعارف است، در این صورت صغرای استدلال ممنوع است؛ زیرا گذشت که خبر واحد در بسیاری موارد مفید اطمینان یا علم متعارف است</w:t>
      </w:r>
      <w:r>
        <w:rPr>
          <w:rFonts w:eastAsia="IRNazanin" w:cs="IRNazanin"/>
          <w:color w:val="111111"/>
          <w:sz w:val="28"/>
          <w:szCs w:val="28"/>
          <w:rtl w:val="true"/>
          <w:lang w:bidi="fa-IR"/>
        </w:rPr>
        <w:t>.</w:t>
      </w:r>
    </w:p>
    <w:p>
      <w:pPr>
        <w:pStyle w:val="Heading4"/>
        <w:numPr>
          <w:ilvl w:val="3"/>
          <w:numId w:val="1"/>
        </w:numPr>
        <w:rPr/>
      </w:pPr>
      <w:bookmarkStart w:id="417" w:name="__RefHeading___Toc4623623_581953129"/>
      <w:bookmarkStart w:id="418" w:name="_Toc158"/>
      <w:bookmarkEnd w:id="417"/>
      <w:r>
        <w:rPr>
          <w:rtl w:val="true"/>
        </w:rPr>
        <w:t>دلیل دوم</w:t>
      </w:r>
      <w:r>
        <w:rPr>
          <w:rtl w:val="true"/>
        </w:rPr>
        <w:t xml:space="preserve">: </w:t>
      </w:r>
      <w:r>
        <w:rPr>
          <w:rtl w:val="true"/>
        </w:rPr>
        <w:t>قیاس اولویت</w:t>
      </w:r>
      <w:bookmarkEnd w:id="418"/>
    </w:p>
    <w:p>
      <w:pPr>
        <w:pStyle w:val="Heading5"/>
        <w:numPr>
          <w:ilvl w:val="4"/>
          <w:numId w:val="1"/>
        </w:numPr>
        <w:rPr/>
      </w:pPr>
      <w:bookmarkStart w:id="419" w:name="__RefHeading___Toc4623625_581953129"/>
      <w:bookmarkStart w:id="420" w:name="_Toc159"/>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طبق نقل شیخ انصاری، شهید ثانی برای انکار اعتبار خبر واحد در اعتقادات از قیاس اولویت استفاده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عمل به خبر واحد در احکام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 پس به طریق اولی در احکام علمی و اعتقادی نیز استناد به خبر واحد جایز نیست ولو آنکه خبر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5"/>
        <w:numPr>
          <w:ilvl w:val="4"/>
          <w:numId w:val="1"/>
        </w:numPr>
        <w:rPr/>
      </w:pPr>
      <w:bookmarkStart w:id="421" w:name="__RefHeading___Toc4623627_581953129"/>
      <w:bookmarkStart w:id="422" w:name="_Toc160"/>
      <w:bookmarkEnd w:id="421"/>
      <w:r>
        <w:rPr>
          <w:rtl w:val="true"/>
        </w:rPr>
        <w:t>نقد و بررسی دلیل دوم</w:t>
      </w:r>
      <w:bookmarkEnd w:id="422"/>
    </w:p>
    <w:p>
      <w:pPr>
        <w:pStyle w:val="BookText"/>
        <w:rPr/>
      </w:pPr>
      <w:r>
        <w:rPr>
          <w:rFonts w:ascii="IRNazanin" w:hAnsi="IRNazanin" w:eastAsia="IRNazanin"/>
          <w:color w:val="111111"/>
          <w:sz w:val="28"/>
          <w:sz w:val="28"/>
          <w:szCs w:val="28"/>
          <w:rtl w:val="true"/>
          <w:lang w:bidi="fa-IR"/>
        </w:rPr>
        <w:t>اولاً صغرای قیاس ایشان مخالفان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در احکام شرعی با ادلة مختلف در علم اصول فقه اثبات شده؛ لذا نمی‌توان گفت که عمل به خبر واحد در احکام ظنی جایز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اولویتی که وی تصور کرده، ناشی از این گمان است که خبر واحد تنها موجد ظن بوده و در امور علمی مفید نیست؛ درحالی‌که حتی خبر واحد غیر محفوف به قرائن نیز می‌تواند مفید اطمینان باشد</w:t>
      </w:r>
      <w:r>
        <w:rPr>
          <w:rFonts w:eastAsia="IRNazanin" w:cs="IRNazanin"/>
          <w:color w:val="111111"/>
          <w:sz w:val="28"/>
          <w:szCs w:val="28"/>
          <w:rtl w:val="true"/>
          <w:lang w:bidi="fa-IR"/>
        </w:rPr>
        <w:t>.</w:t>
      </w:r>
      <w:r>
        <w:rPr>
          <w:rStyle w:val="FootnoteAnchor"/>
          <w:rtl w:val="true"/>
        </w:rPr>
        <w:footnoteReference w:id="53"/>
      </w:r>
      <w:bookmarkStart w:id="423" w:name="pg5825_38421"/>
    </w:p>
    <w:p>
      <w:pPr>
        <w:pStyle w:val="BookText"/>
        <w:rPr/>
      </w:pPr>
      <w:bookmarkEnd w:id="423"/>
      <w:r>
        <w:rPr>
          <w:rFonts w:ascii="IRNazanin" w:hAnsi="IRNazanin" w:eastAsia="IRNazanin"/>
          <w:color w:val="111111"/>
          <w:sz w:val="28"/>
          <w:sz w:val="28"/>
          <w:szCs w:val="28"/>
          <w:rtl w:val="true"/>
          <w:lang w:bidi="fa-IR"/>
        </w:rPr>
        <w:t>ثالثاً اگر مبنای مشهور در باب خبر واحد را بپذیریم نیز استدلال ایشان از ناحیة دیگری دچار مشکل می‌شود، زیرا ایشان مفروض گرفته‌است که در اعتقادات دینی تنها یقین مصطلح معتبر است، این در حالی است که بطلان این پیش‌فرض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مفروض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علم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باشد، چون خبر واحد مفید اطمینان است، استدلال وی ناتمام است</w:t>
      </w:r>
      <w:r>
        <w:rPr>
          <w:rFonts w:eastAsia="IRNazanin" w:cs="IRNazanin"/>
          <w:color w:val="111111"/>
          <w:sz w:val="28"/>
          <w:szCs w:val="28"/>
          <w:rtl w:val="true"/>
          <w:lang w:bidi="fa-IR"/>
        </w:rPr>
        <w:t>.</w:t>
      </w:r>
    </w:p>
    <w:p>
      <w:pPr>
        <w:pStyle w:val="Heading4"/>
        <w:numPr>
          <w:ilvl w:val="3"/>
          <w:numId w:val="1"/>
        </w:numPr>
        <w:rPr/>
      </w:pPr>
      <w:bookmarkStart w:id="424" w:name="__RefHeading___Toc4623629_581953129"/>
      <w:bookmarkStart w:id="425" w:name="_Toc161"/>
      <w:bookmarkEnd w:id="424"/>
      <w:r>
        <w:rPr>
          <w:rtl w:val="true"/>
        </w:rPr>
        <w:t>دلیل سوم</w:t>
      </w:r>
      <w:r>
        <w:rPr>
          <w:rtl w:val="true"/>
        </w:rPr>
        <w:t xml:space="preserve">: </w:t>
      </w:r>
      <w:r>
        <w:rPr>
          <w:rtl w:val="true"/>
        </w:rPr>
        <w:t>اثر شرعی نداشتن خبر واحد</w:t>
      </w:r>
      <w:bookmarkEnd w:id="425"/>
    </w:p>
    <w:p>
      <w:pPr>
        <w:pStyle w:val="Heading5"/>
        <w:numPr>
          <w:ilvl w:val="4"/>
          <w:numId w:val="1"/>
        </w:numPr>
        <w:rPr/>
      </w:pPr>
      <w:bookmarkStart w:id="426" w:name="__RefHeading___Toc4623631_581953129"/>
      <w:bookmarkStart w:id="427" w:name="_Toc162"/>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یکی از رایج‌ترین ادله‌ای که مخالفان اعتبار خبر واحد در عقاید دینی اقامه کرده‌اند، استدلال از راه اثر شرعی نداشتن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مفروض گرفته‌است که خبر واحد فی‌نفسه حجت نیست و حجیت آن باید از طریق شرع احراز شود و دامنة جعل حجیت نیز تا جایی است که اثری شرعی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مقدمة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اثر شرعی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طور استدلال شده که جعل حجیت از سوی شارع در مواردی که اثر شرعی بر چنین جعلی مترتب نشود، لغو است و شارع لغو انجام نمی‌دهد و گاهی چنین استدلال شده که جعل حجیت در غیر حوزة بایدها و نبایدهای شرعی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تبیین‌ها دو تقریر متفاوت از استدلال است که هر دوی آنها طرح و بررسی خواهد شد</w:t>
      </w:r>
      <w:r>
        <w:rPr>
          <w:rFonts w:eastAsia="IRNazanin" w:cs="IRNazanin"/>
          <w:color w:val="111111"/>
          <w:sz w:val="28"/>
          <w:szCs w:val="28"/>
          <w:rtl w:val="true"/>
          <w:lang w:bidi="fa-IR"/>
        </w:rPr>
        <w:t>:</w:t>
      </w:r>
    </w:p>
    <w:p>
      <w:pPr>
        <w:pStyle w:val="Heading5"/>
        <w:numPr>
          <w:ilvl w:val="4"/>
          <w:numId w:val="1"/>
        </w:numPr>
        <w:rPr/>
      </w:pPr>
      <w:bookmarkStart w:id="428" w:name="__RefHeading___Toc4623633_581953129"/>
      <w:bookmarkStart w:id="429" w:name="_Toc163"/>
      <w:bookmarkEnd w:id="428"/>
      <w:r>
        <w:rPr>
          <w:rtl w:val="true"/>
        </w:rPr>
        <w:t>تقریر اول</w:t>
      </w:r>
      <w:bookmarkEnd w:id="429"/>
    </w:p>
    <w:p>
      <w:pPr>
        <w:pStyle w:val="Heading6"/>
        <w:numPr>
          <w:ilvl w:val="5"/>
          <w:numId w:val="1"/>
        </w:numPr>
        <w:rPr/>
      </w:pPr>
      <w:bookmarkStart w:id="430" w:name="__RefHeading___Toc4623635_581953129"/>
      <w:bookmarkStart w:id="431" w:name="_Toc164"/>
      <w:bookmarkEnd w:id="430"/>
      <w:r>
        <w:rPr>
          <w:rtl w:val="true"/>
        </w:rPr>
        <w:t>اشاره</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از جملة ظنون است و ظن بدون جعل حجیت از سوی شارع حجت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حجیت شارع به امری تعلق می‌گیرد که دارای اثر شرعی باشد؛ زیرا اگر شارع امر فاقد اثر شرعی را حجت کند کار لغو انجام داده که مغایر با حکمت خداوند حکیم است؛ لذا در مواردی که خبر واحد برای تشخیص موضوعات و مصادیق خارجی یا شناخت امر تکوینی بی‌ارتباط با حکم شرعی، استفاده شود، حجت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نائینی در این زمینه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واحد تنها زمانی مشمول ادلة حجیت می‌شود که دارای اثر شرعی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عراقی نیز با استفاده از همین نکته، حجیت اخبار آحاد را مختص به احکام کلی شرعی می‌داند، نه موضوعات خارجی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تعبد به گفتة فرد عادل و تصدیق سخن او در اخبار با واسطه، تنها به معنای ترتیب آثارشرعی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432" w:name="pg5825_38423"/>
    </w:p>
    <w:p>
      <w:pPr>
        <w:pStyle w:val="BookText"/>
        <w:rPr/>
      </w:pPr>
      <w:bookmarkEnd w:id="4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از اموری است که با اندیشة انسان مرتبط است، نه فعل او؛ چرا که انسان در اعتقادات و معارف دینی خود، فعلی را مرتکب نمی‌شود؛ بنابراین اثر شرعی در آن قابل فرض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خبرواحد در امور اعتقادی حجت و معتبر نیست</w:t>
      </w:r>
      <w:r>
        <w:rPr>
          <w:rFonts w:eastAsia="IRNazanin" w:cs="IRNazanin"/>
          <w:color w:val="111111"/>
          <w:sz w:val="28"/>
          <w:szCs w:val="28"/>
          <w:rtl w:val="true"/>
          <w:lang w:bidi="fa-IR"/>
        </w:rPr>
        <w:t>.</w:t>
      </w:r>
    </w:p>
    <w:p>
      <w:pPr>
        <w:pStyle w:val="Heading6"/>
        <w:numPr>
          <w:ilvl w:val="5"/>
          <w:numId w:val="1"/>
        </w:numPr>
        <w:rPr/>
      </w:pPr>
      <w:bookmarkStart w:id="433" w:name="__RefHeading___Toc4623637_581953129"/>
      <w:bookmarkStart w:id="434" w:name="_Toc165"/>
      <w:bookmarkEnd w:id="433"/>
      <w:r>
        <w:rPr>
          <w:rtl w:val="true"/>
        </w:rPr>
        <w:t>نقد تقریر اول</w:t>
      </w:r>
      <w:bookmarkEnd w:id="434"/>
    </w:p>
    <w:p>
      <w:pPr>
        <w:pStyle w:val="BookText"/>
        <w:rPr/>
      </w:pPr>
      <w:r>
        <w:rPr>
          <w:rFonts w:ascii="IRNazanin" w:hAnsi="IRNazanin" w:eastAsia="IRNazanin"/>
          <w:color w:val="111111"/>
          <w:sz w:val="28"/>
          <w:sz w:val="28"/>
          <w:szCs w:val="28"/>
          <w:rtl w:val="true"/>
          <w:lang w:bidi="fa-IR"/>
        </w:rPr>
        <w:t>اولاً مقدمة نخست این استدلال طبق مبنای مشهور در باب حجیت خبر واحد، اقامه شده‌است و چنین فرض شده که خبر واحد برای معتبر بودن نیازمند دلیل خارجی است تا به‌واسطة آن حجت شود، لکن چنان‌که گذشت طبق مبنای برگزیدة این نوشتار، خبر واحد از امارات اطمنیان‌بخش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اطمینان در طول قطع نیست تا محتاج به جعل حجیت از سوی دلیلی قطعی باشد؛ بلکه اعتباری گرچه نامساوی، اما هم‌عرض با قطع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مقدمة دوم این استدلال نیز مخدوش است،؛ زیرا چنین مطلبی تنها در صورتی صحیح است که خبر واحد را از راه تعبد شرعی و با استناد به ادلة نقلی حجت بدانیم، به عبارت دیگر این مقدمه از لوازم و نتایج اختصاصی نصوصی است که ما را متعبد به عمل به خبر واحد می‌کند و ازاین‌رو اگر حجیت خبر واحد از راهی غیر از آیات و روایاتی که عمل به آن را مجاز می‌شمرند، اثبات شود، چنین اشکالی وارد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لازم است نگاهی به مبانی متعدد اثبات حجیت خبر واحد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 فقه چند مبنا برای اعتبار خبر واحد ذکر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از راه انسداد باب علم تفصیلی؛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از راه تعبد شرعی؛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از راه تمسک به سیرة عقلایی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حدود اعتبار و حجیت خبر واحد، تابع آن است که کدام مبنا دلیل حجیت آن باشد، به عبارت دیگر دلیل حجیت خبر واحد حدود و ثغور چنین حجیتی را نیز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خبر واحد تنها در امور دارای اثر شرعی حجت است تنها براساس مبنای دوم استوار می‌گردد؛ یعنی اگر حجیت خبر واحد از راه استناد به آیات و روایات دینی و به شکل تعبدی اثبات شود، میزان این تعبد تابع ادلة شرعی و اثر شرعی است؛ اما اگر کسی خبر واحد را از راه استناد به سیرة عقلایی حجت بداند، دیگر چنین شرطی برای حجیت ضروری نیست؛ زیرا عرف عقلایی در حجیت خبر واحد، بین احکام عملی و غیرعملی، و </w:t>
      </w:r>
    </w:p>
    <w:p>
      <w:pPr>
        <w:pStyle w:val="BookText"/>
        <w:rPr/>
      </w:pPr>
      <w:r>
        <w:rPr>
          <w:rFonts w:ascii="IRNazanin" w:hAnsi="IRNazanin" w:eastAsia="IRNazanin"/>
          <w:color w:val="111111"/>
          <w:sz w:val="28"/>
          <w:sz w:val="28"/>
          <w:szCs w:val="28"/>
          <w:rtl w:val="true"/>
          <w:lang w:bidi="fa-IR"/>
        </w:rPr>
        <w:t>بین آثار شرعی و غیرشرعی تمایزی نمی‌نهد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این سیرة عقلایی و عدم تفصیل آن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دیده نشده که عقلا برای اینکه خبری را حجت بدانند از شرعی یا غیرشرعی بودن آن سؤال کنند یا اینکه میان اخبار و دلایل نقلی فقهی و غیرفقهی تمایزی قائل شوند؛ به بیان دیگر می‌توان گفت که عرف عقلا خبر واحد را از باب کشف آن از واقع معتبر می‌شمارند، نه از باب تعیین وظیفة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نیز گرچه کشف تام و قطعی ندارد، سهمی درخور توجه از کاشفیت را داراست و همین امر سبب می شود که به احتمال خلاف جزئی موجود در آن، توجه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اثر شرعی داشتن از لوازم مبنای دوم در حجیت خبر واحد است و نه مبانی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احسانی‌فرلنگرودی،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محققان با دقت در این نکته، تصریح کرده‌اند سیرة عقلایی در عمل به خبر ثقه، بین اثر شرعی و غیر اثر شرعی تفکیک نمی‌کند؛ بنابراین اگر خبر واحد دال بر امری غیر از احکام کلی شرعی باشد نیز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می‌گوید که در ادلة حجیت خبر ثقه، تفاوتی میان مضمون خبر ثقه دیده نمی‌شود تا براساس آن گفته شود که خبر واحد تنها در حوزة احکام عملی و فقهی حجت است و در معارف و اعتقادات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حتی اگر دلیل حجیت خبر واحد را تعبد بدانیم نیز وجود اثر شرعی شرط حجیت آن نخواهد بود؛ زیرا شرط اصلی صحت تعبد به خبر واحد لغو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امضای سیرة عقلایی یا حجت دانستن هر یک از وسائط، امر لغوی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نیز نفس جواز اخبار به مفاد خبر را اثر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همین دلیل خبر دادن از خبر واحدی را که دال بر امور تاریخی و تکوینی است، جایز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واعظ‌الحسینی،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مقدمة دوم این استدلال نیز باطل می‌شود، زیرا مهم‌ترین مبنا در حجیت خبر واحد، سیرة عقلایی است که در آن تفکیکی میان اثر شرعی و غیرشرعی وجود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به مقدمة سوم این استدلال نیز اشکالی وارد شده‌است مبنی‌بر اینکه اعتقادات نیز اثر شرعی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مربوط به افعال اختیاری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اختیاری اعم از فعل بدنی و فعل قلبی و به عبارت دیگر اعم از فعل جوارحی و جوانحی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غالب دانشمندان اصول به عقاید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نکات مقدماتی همین فصل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عقاید دینی به‌مثابة تکلیف </w:t>
      </w:r>
      <w:bookmarkStart w:id="435" w:name="pg5825_38427"/>
    </w:p>
    <w:p>
      <w:pPr>
        <w:pStyle w:val="BookText"/>
        <w:rPr/>
      </w:pPr>
      <w:bookmarkEnd w:id="435"/>
      <w:r>
        <w:rPr>
          <w:rFonts w:ascii="IRNazanin" w:hAnsi="IRNazanin" w:eastAsia="IRNazanin"/>
          <w:color w:val="111111"/>
          <w:sz w:val="28"/>
          <w:sz w:val="28"/>
          <w:szCs w:val="28"/>
          <w:rtl w:val="true"/>
          <w:lang w:bidi="fa-IR"/>
        </w:rPr>
        <w:t>شرعی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انسان مکلف است تا به برخی از امور ایمان بیاورد و ایمان به این امور متوقف بر اعتقاد داشتن به آن است</w:t>
      </w:r>
      <w:r>
        <w:rPr>
          <w:rFonts w:eastAsia="IRNazanin" w:cs="IRNazanin"/>
          <w:color w:val="111111"/>
          <w:sz w:val="28"/>
          <w:szCs w:val="28"/>
          <w:rtl w:val="true"/>
          <w:lang w:bidi="fa-IR"/>
        </w:rPr>
        <w:t>.</w:t>
      </w:r>
    </w:p>
    <w:p>
      <w:pPr>
        <w:pStyle w:val="Heading5"/>
        <w:numPr>
          <w:ilvl w:val="4"/>
          <w:numId w:val="1"/>
        </w:numPr>
        <w:rPr/>
      </w:pPr>
      <w:bookmarkStart w:id="436" w:name="__RefHeading___Toc4623639_581953129"/>
      <w:bookmarkStart w:id="437" w:name="_Toc166"/>
      <w:bookmarkEnd w:id="436"/>
      <w:r>
        <w:rPr>
          <w:rtl w:val="true"/>
        </w:rPr>
        <w:t>تقریر دوم</w:t>
      </w:r>
      <w:bookmarkEnd w:id="437"/>
    </w:p>
    <w:p>
      <w:pPr>
        <w:pStyle w:val="Heading6"/>
        <w:numPr>
          <w:ilvl w:val="5"/>
          <w:numId w:val="1"/>
        </w:numPr>
        <w:rPr/>
      </w:pPr>
      <w:bookmarkStart w:id="438" w:name="__RefHeading___Toc4623641_581953129"/>
      <w:bookmarkStart w:id="439" w:name="_Toc167"/>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تمایز این تقریر با تقریر نخست تنها در مقدمة دوم آن است؛ بنابراین می‌توان خلاصة آن را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واحد از ظنون است و ظن، بدون جعل حجیت از سوی شارع معتبر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حجیت شارع به اموری تعلق می‌گیرد که در حوزة تکالیف شرعی باشد؛ زیرا حجیت از امور تعبدی و اعتباری است که تنها به بایدها و نبایدها متعلق می‌شود و جعل حجیت بر امور تکوینی محال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از سنخ تکالیف شرعی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جعل حجیت برای اخبار اعتقادی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در آثار مختلف خود از این شیوه برای اثبات حجیت نداشتن خبر واحد استفاده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علم اصول تقریباً مسلم است که خبر واحد موثوق‌الصدور، تنها در احکام شرعیه حجت است و در غیر آنها اعتباری ندارد</w:t>
      </w:r>
      <w:r>
        <w:rPr>
          <w:rFonts w:eastAsia="IRNazanin" w:cs="IRNazanin"/>
          <w:color w:val="111111"/>
          <w:sz w:val="28"/>
          <w:szCs w:val="28"/>
          <w:rtl w:val="true"/>
          <w:lang w:bidi="fa-IR"/>
        </w:rPr>
        <w:t>»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رد و نقد روایاتی بدین مضمون که سامری مقداری از خاک به جامانده از ردّ پای اسب جبرئیل را با خود برداشت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اشکالات متعددی از جمله عدم اعتبار خبر واحد در غیر احکام شرعی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آن است که این روایات خبر واحد هستند و جعل حجیت در غیر احکام شرعی معنا ندارد؛ زیرا حقیقت جعل تشریعی آن است که اثر واقع را بر حجت ظاهری مترتب نماییم و این امر متوقف بر وجود اثر شرعی و عملی است؛ اما در غیر این موارد اثری موجود نیست تا بخواهیم با جعل حجیت مترتب نماییم؛ مثلاً اگر روایتی دال بر این امر که بسمله جزء سوره است، وارد شود معنایش وجوب قرائت آن در نماز است، ولی اگر روایتی دال بر این امر که سامری اهل کرمان است، وارد شود؛ جعل حجیت برای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جعل حجیت در اینجا آن است که ظن به مفاد آن را در حکم قطع قرار دهیم و این کار محال است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نیز بر این نکته تأکید دارد که جعل حجیت از اعتبارات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اعتبار </w:t>
      </w:r>
      <w:bookmarkStart w:id="440" w:name="pg5825_38429"/>
    </w:p>
    <w:p>
      <w:pPr>
        <w:pStyle w:val="BookText"/>
        <w:rPr/>
      </w:pPr>
      <w:bookmarkEnd w:id="440"/>
      <w:r>
        <w:rPr>
          <w:rFonts w:ascii="IRNazanin" w:hAnsi="IRNazanin" w:eastAsia="IRNazanin"/>
          <w:color w:val="111111"/>
          <w:sz w:val="28"/>
          <w:sz w:val="28"/>
          <w:szCs w:val="28"/>
          <w:rtl w:val="true"/>
          <w:lang w:bidi="fa-IR"/>
        </w:rPr>
        <w:t>تنها در مواردی که اثر شرعی وجود داشته باشد، ممکن بوده و در موارد تکوینی چنین اعتباری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شرعی از اعتبارات عقلایی و تابع آن است که اثر شرعی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تاریخی و امور اعتقادی جعل حجیت معنا ندارد، زیرا شارع نمی‌تواند امر غیرعلمی را علمی قلمداد کرده و مردم را بدان متعبد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دیگری نیز کلام علامه را به بیانی دیگر تقریر کرده و نتیجه گرفته‌اند که امور تکوینی قابلیت جعل حجیت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تذکر است که علامه طباطبایی به این مبنا پای‌بند نبوده و در تفسیر دو آیه از سورة بقره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تنها از خبر واحد کمک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را ابتدا براساس مبنای برگزیده دربارة خبر واحد و پس از آن طبق مبنای مشهور بررسی می‌کنیم</w:t>
      </w:r>
      <w:r>
        <w:rPr>
          <w:rFonts w:eastAsia="IRNazanin" w:cs="IRNazanin"/>
          <w:color w:val="111111"/>
          <w:sz w:val="28"/>
          <w:szCs w:val="28"/>
          <w:rtl w:val="true"/>
          <w:lang w:bidi="fa-IR"/>
        </w:rPr>
        <w:t>:</w:t>
      </w:r>
    </w:p>
    <w:p>
      <w:pPr>
        <w:pStyle w:val="Heading6"/>
        <w:numPr>
          <w:ilvl w:val="5"/>
          <w:numId w:val="1"/>
        </w:numPr>
        <w:rPr/>
      </w:pPr>
      <w:bookmarkStart w:id="441" w:name="__RefHeading___Toc4623643_581953129"/>
      <w:bookmarkStart w:id="442" w:name="_Toc168"/>
      <w:bookmarkEnd w:id="441"/>
      <w:r>
        <w:rPr>
          <w:rtl w:val="true"/>
        </w:rPr>
        <w:t>نقد نظریة علامه طباطبایی</w:t>
      </w:r>
      <w:r>
        <w:rPr>
          <w:rtl w:val="true"/>
        </w:rPr>
        <w:t>(</w:t>
      </w:r>
      <w:r>
        <w:rPr>
          <w:rtl w:val="true"/>
        </w:rPr>
        <w:t>ره</w:t>
      </w:r>
      <w:r>
        <w:rPr>
          <w:rtl w:val="true"/>
        </w:rPr>
        <w:t xml:space="preserve">) </w:t>
      </w:r>
      <w:r>
        <w:rPr>
          <w:rtl w:val="true"/>
        </w:rPr>
        <w:t>بر مبنای برگزیدة این نوشتار</w:t>
      </w:r>
      <w:bookmarkEnd w:id="442"/>
    </w:p>
    <w:p>
      <w:pPr>
        <w:pStyle w:val="BookText"/>
        <w:rPr/>
      </w:pPr>
      <w:r>
        <w:rPr>
          <w:rFonts w:ascii="IRNazanin" w:hAnsi="IRNazanin" w:eastAsia="IRNazanin"/>
          <w:color w:val="111111"/>
          <w:sz w:val="28"/>
          <w:sz w:val="28"/>
          <w:szCs w:val="28"/>
          <w:rtl w:val="true"/>
          <w:lang w:bidi="fa-IR"/>
        </w:rPr>
        <w:t>محور استدلال ایشان این است که جعل اعتبار در امور تکوینی که اثر شرعی ندارند، ممکن نیست؛ بنابراین خبر واحد در امور اعتقادی و تفسیری نه تنها حجت نیست، بلکه محال است بتواند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دارای پیش‌فرض مردودی است که خبر واحد از ظنون بوده و تا جعل حجیت از سوی شارع صورت نگیرد، نمی‌توان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توجه به مبنای خودشان خبر واحد مفید اطمینان است و اطمینان هم‌عرض قطع است؛ همان‌طور که قطع بی‌نیاز از جعل حجیت شرعی است، خبر واحد اطمینانی هم نیازی به جعل حجیت ندارد تا سخن از امکان یا عدم امکان چنین جعلی در امور تکوینی به میان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یظهر انها حجج مجعوﻟﺔ فی عرض القطع لا فی طوله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گاهی قطع می‌یابیم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مردی از کرمان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شنیدن خبر واحد، به این امر اطمینان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موجود میان قطع و اطمینان، احتمال خلاف ناچیزی است که در اطمینان موجود است که عقلا آن را نادیده گرفته، اطمینان و قطع در کاشفیت از واقع مشترکند</w:t>
      </w:r>
      <w:r>
        <w:rPr>
          <w:rFonts w:eastAsia="IRNazanin" w:cs="IRNazanin"/>
          <w:color w:val="111111"/>
          <w:sz w:val="28"/>
          <w:szCs w:val="28"/>
          <w:rtl w:val="true"/>
          <w:lang w:bidi="fa-IR"/>
        </w:rPr>
        <w:t xml:space="preserve">. </w:t>
      </w:r>
      <w:bookmarkStart w:id="443" w:name="pg5825_38431"/>
    </w:p>
    <w:p>
      <w:pPr>
        <w:pStyle w:val="BookText"/>
        <w:rPr/>
      </w:pPr>
      <w:bookmarkEnd w:id="443"/>
      <w:r>
        <w:rPr>
          <w:rFonts w:ascii="IRNazanin" w:hAnsi="IRNazanin" w:eastAsia="IRNazanin"/>
          <w:color w:val="111111"/>
          <w:sz w:val="28"/>
          <w:sz w:val="28"/>
          <w:szCs w:val="28"/>
          <w:rtl w:val="true"/>
          <w:lang w:bidi="fa-IR"/>
        </w:rPr>
        <w:t>تاکنون روشن شد که علامه در مباحث تفسیری خود خبر واحد فقهی را نامعتبر شمرده و در مباحث اصولی خود خبر واحد اطمینان‌بخش را بی‌نیاز از جعل حجیت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سخنان علامه تعارضی وجود دارد یا اینکه می‌توان بین آنها به نوعی سازگاری برقرار کرد؟ پاسخ به این پرسش مجال دیگری می‌طلبد که برای پرهیز از دور شدن از هدف اصلی پژوهش به آن نمی‌پردازیم</w:t>
      </w:r>
      <w:r>
        <w:rPr>
          <w:rFonts w:eastAsia="IRNazanin" w:cs="IRNazanin"/>
          <w:color w:val="111111"/>
          <w:sz w:val="28"/>
          <w:szCs w:val="28"/>
          <w:rtl w:val="true"/>
          <w:lang w:bidi="fa-IR"/>
        </w:rPr>
        <w:t>.</w:t>
      </w:r>
    </w:p>
    <w:p>
      <w:pPr>
        <w:pStyle w:val="Heading6"/>
        <w:numPr>
          <w:ilvl w:val="5"/>
          <w:numId w:val="1"/>
        </w:numPr>
        <w:rPr/>
      </w:pPr>
      <w:bookmarkStart w:id="444" w:name="__RefHeading___Toc4623645_581953129"/>
      <w:bookmarkStart w:id="445" w:name="_Toc169"/>
      <w:bookmarkEnd w:id="444"/>
      <w:r>
        <w:rPr>
          <w:rtl w:val="true"/>
        </w:rPr>
        <w:t>نقد نظریة علامه براساس مبنای مشهور</w:t>
      </w:r>
      <w:bookmarkEnd w:id="445"/>
    </w:p>
    <w:p>
      <w:pPr>
        <w:pStyle w:val="BookText"/>
        <w:rPr/>
      </w:pPr>
      <w:r>
        <w:rPr>
          <w:rFonts w:ascii="IRNazanin" w:hAnsi="IRNazanin" w:eastAsia="IRNazanin"/>
          <w:color w:val="111111"/>
          <w:sz w:val="28"/>
          <w:sz w:val="28"/>
          <w:szCs w:val="28"/>
          <w:rtl w:val="true"/>
          <w:lang w:bidi="fa-IR"/>
        </w:rPr>
        <w:t>نظر علامه براساس این مبنا نقد شد که خبر واحد اطمینان‌بخش از ظنون، نیازمند جعل حجیت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مبنا را نپذیرد و به مبنای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خبر واحد به جعل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نیز ملزم به انکار حجیت خبر واحد اعتقادی نیست، زیرا طبق مبنای مشهور اشکالات زیر بر نظریة ایشان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همچنان که در نقد تقریر نخست گفته شد، وجود اثر شرعی، دخالتی در حجیت یا عدم حجیت خبر واحد ندارد، چون زمانی سخن از اثر شرعی به میان می‌آید که دلیل ما بر حجیت خبرواحد تعبد شرعی باشد؛ اما طبق سیرة عقلایی، تفکیکی بین اثر شرعی و غیر آن نیست؛ به عبارت دیگر عقلا هنگامی که خبری را می‌شنوند به احتمال خلاف موجود در آن توجهی ندارند و این امر میان اخبار حاکی از امور فقهی و تشریعی و اخبار دال بر امور واقعی و تکوینی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عقاید دینی نیز می‌توانند به‌مثابۀ تکلیف شرعی مورد توجه واقع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نخست به 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علامه طباطبایی از پیش‌فرض دیگری نیز استفاده کرده و آن لزوم تحصیل علم و قطع در امور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مطلب را نص صریح قرآن دانسته و چنین نتیجه گرفته که چون خبر واحد مفید ظن است و در امور اعتقادی نیازمند علم و قطع هستیم؛ بنابراین خبر واحد در امور اعتقادی نمی‌تواند 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به‌دلیل مخدوش بودن کبری پذیرفتنی نیست، زیرا علمی که در امور اعتقادی لازم است اعم از اطمینان، یقین بالمعنی‌الاعم و یقین بالمعنی‌الاخص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نویسندة دیگری که به عقلانی بودن بحث وجود خدا و معاد و عدم اعتبار خبر واحد در این مقولات اشاره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نیست، زیرا محل نزاع حجیت خبر واحد در اعتقادات دینی اموری است که در آنها می‌توان به لحاظ </w:t>
      </w:r>
      <w:bookmarkStart w:id="446" w:name="pg5825_38433"/>
    </w:p>
    <w:p>
      <w:pPr>
        <w:pStyle w:val="BookText"/>
        <w:rPr/>
      </w:pPr>
      <w:bookmarkEnd w:id="446"/>
      <w:r>
        <w:rPr>
          <w:rFonts w:ascii="IRNazanin" w:hAnsi="IRNazanin" w:eastAsia="IRNazanin"/>
          <w:color w:val="111111"/>
          <w:sz w:val="28"/>
          <w:sz w:val="28"/>
          <w:szCs w:val="28"/>
          <w:rtl w:val="true"/>
          <w:lang w:bidi="fa-IR"/>
        </w:rPr>
        <w:t>معرفت‌شناختی به روایات تمسک کرد و از این رهگذر عقاید پیشینی که تنها راه اثبات و انکار آنها براهین عقلی است، از محل نزاع خارج است</w:t>
      </w:r>
      <w:r>
        <w:rPr>
          <w:rFonts w:eastAsia="IRNazanin" w:cs="IRNazanin"/>
          <w:color w:val="111111"/>
          <w:sz w:val="28"/>
          <w:szCs w:val="28"/>
          <w:rtl w:val="true"/>
          <w:lang w:bidi="fa-IR"/>
        </w:rPr>
        <w:t>.</w:t>
      </w:r>
    </w:p>
    <w:p>
      <w:pPr>
        <w:pStyle w:val="Heading4"/>
        <w:numPr>
          <w:ilvl w:val="3"/>
          <w:numId w:val="1"/>
        </w:numPr>
        <w:rPr/>
      </w:pPr>
      <w:bookmarkStart w:id="447" w:name="__RefHeading___Toc4623647_581953129"/>
      <w:bookmarkStart w:id="448" w:name="_Toc170"/>
      <w:bookmarkEnd w:id="447"/>
      <w:r>
        <w:rPr>
          <w:rtl w:val="true"/>
        </w:rPr>
        <w:t>دلیل چهارم</w:t>
      </w:r>
      <w:r>
        <w:rPr>
          <w:rtl w:val="true"/>
        </w:rPr>
        <w:t xml:space="preserve">: </w:t>
      </w:r>
      <w:r>
        <w:rPr>
          <w:rtl w:val="true"/>
        </w:rPr>
        <w:t>غیرتعبدی بودن امور اعتقادی</w:t>
      </w:r>
      <w:bookmarkEnd w:id="448"/>
    </w:p>
    <w:p>
      <w:pPr>
        <w:pStyle w:val="Heading5"/>
        <w:numPr>
          <w:ilvl w:val="4"/>
          <w:numId w:val="1"/>
        </w:numPr>
        <w:rPr/>
      </w:pPr>
      <w:bookmarkStart w:id="449" w:name="__RefHeading___Toc4623649_581953129"/>
      <w:bookmarkStart w:id="450" w:name="_Toc171"/>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دلیل دیگری که بر عدم اعتبار خبر واحد در اعتقادات و معارف دینی اقامه شده، تا حدودی شبیه تقریر دوم دلیل سوم و از جهاتی متفاوت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این استدلال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مراجعه به روایات اعتقادی علم به واقع است نه انجام عملی 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واقع با تعبد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کسی را با دستور ملزم به پذیرش امری یا اعتقاد به اندیشه‌ای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اعتقاد تنها با فراهم شدن مقدمات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مقدمه باید گفت که اعمال انسان گاهی تابع اراده و اختیار وی و گاهی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همچون خوردن، خوابیدن، گفتن و شنیدن یا ترک آنها با ارادة انسان قابل انجام یا ترک است و در صورت خودداری کسی از انجام یا ترک آنها می‌توان وی را به انجام یا ترک آن مجبور کرد؛ اما اموری همچون عالم شدن، دوست داشتن، نفرت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ارادة خود غذایی را بخورد یا دیگران او را وادار به خوردن کنند، اما نمی‌تواند به صرف ارادة خود به موضوعی علم یابد یا دیگران او را اجباراً عالم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انسان‌ها قابل تکلیف است، اما اندیشة آنان قابل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باید چنین کنی و نباید چنان کنی، اما نمی‌توان گفت که باید چنین فکر کنی و چنان فکر نکنی؛ زیرا علم یکی از پدیده‌های تکوینی عالم است که تابع علل و عوامل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آنها علم محقق شده</w:t>
      </w:r>
    </w:p>
    <w:p>
      <w:pPr>
        <w:pStyle w:val="BookText"/>
        <w:rPr/>
      </w:pPr>
      <w:r>
        <w:rPr>
          <w:rFonts w:ascii="IRNazanin" w:hAnsi="IRNazanin" w:eastAsia="IRNazanin"/>
          <w:color w:val="111111"/>
          <w:sz w:val="28"/>
          <w:sz w:val="28"/>
          <w:szCs w:val="28"/>
          <w:rtl w:val="true"/>
          <w:lang w:bidi="fa-IR"/>
        </w:rPr>
        <w:t xml:space="preserve">و در غیر این صورت علم حاصل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اعتبار خبر واحد ادله‌ای است که ما را به پذیرش آن متعبد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مقدمات می‌توان نتیجه گرفت که دلیل اعتبار خبر واحد تنها در حوزة امور تکلیفی کارامد بوده و در حوزة امور واقعی و تکوینی مانند اعتقادات دینی چنین امری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اعتقادی نه تنها معتبر نیست، بلکه محال است که معتبر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جوادی آملی از همین راه اعتبار اخبار آحاد را در عقاید و معارف دینی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دربارة روایات آحاد غیر فقهی که یقین‌آور و جزم‌آور نیستند، معتقد است </w:t>
      </w:r>
      <w:bookmarkStart w:id="451" w:name="pg5825_38434"/>
    </w:p>
    <w:p>
      <w:pPr>
        <w:pStyle w:val="BookText"/>
        <w:rPr/>
      </w:pPr>
      <w:bookmarkEnd w:id="451"/>
      <w:r>
        <w:rPr>
          <w:rFonts w:ascii="IRNazanin" w:hAnsi="IRNazanin" w:eastAsia="IRNazanin"/>
          <w:color w:val="111111"/>
          <w:sz w:val="28"/>
          <w:sz w:val="28"/>
          <w:szCs w:val="28"/>
          <w:rtl w:val="true"/>
          <w:lang w:bidi="fa-IR"/>
        </w:rPr>
        <w:t>که این روایات سه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معارف اصول دین هستند که اعتقاد به آنها ضروری بوده و یقین و جزم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در این حوزه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از اصول دین نیست تا اعتقاد تفصیلی به آن واجب باشد، بلکه ایمان اجمالی دربارة آنها کافی است؛ مانند بحث حقیقت لوح، قلم، کرسی 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خبر واحد می‌تواند در حد یک احتمال در این بخش پذیرفته شود؛ اما به‌طور جزم نمی‌توان گفت که نظر اسلام چنین است چون ادلة حجیت خبر واحد مربوط به احکام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بیانگر مسائل علمی و آیات الهی در خلقت هستند که نه ثمرة عملی دارد و نه جزم علمی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آحاد در این بخش نیز در حد احتمال مورد قبول است، ولی حجت تعبدی نیست، زیرا ادلة حجیت خبر واحد راجع به مسائل عملی و تعبدی است و در مسائل علمی تا مبادی تصدیقی حاصل نشود، نمی‌توان کسی را به آن متعبد کرد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5"/>
        <w:numPr>
          <w:ilvl w:val="4"/>
          <w:numId w:val="1"/>
        </w:numPr>
        <w:rPr/>
      </w:pPr>
      <w:bookmarkStart w:id="452" w:name="__RefHeading___Toc4623651_581953129"/>
      <w:bookmarkStart w:id="453" w:name="_Toc172"/>
      <w:bookmarkEnd w:id="452"/>
      <w:r>
        <w:rPr>
          <w:rtl w:val="true"/>
        </w:rPr>
        <w:t>نقد دلیل چهارم</w:t>
      </w:r>
      <w:bookmarkEnd w:id="453"/>
    </w:p>
    <w:p>
      <w:pPr>
        <w:pStyle w:val="Heading6"/>
        <w:numPr>
          <w:ilvl w:val="5"/>
          <w:numId w:val="1"/>
        </w:numPr>
        <w:rPr/>
      </w:pPr>
      <w:bookmarkStart w:id="454" w:name="__RefHeading___Toc4623653_581953129"/>
      <w:bookmarkStart w:id="455" w:name="_Toc173"/>
      <w:bookmarkEnd w:id="454"/>
      <w:r>
        <w:rPr>
          <w:rtl w:val="true"/>
        </w:rPr>
        <w:t>نقد اول</w:t>
      </w:r>
      <w:bookmarkEnd w:id="45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مقدمة دوم استدلال تصورشده، سخن از حجیت خبر واحد ضرورتاً به معنای تعبد و لزوم انجام امری است؛ درحالی‌که اولاً خبر واحد طبق مبنای برگزیدة این پژوهش نیازی به جعل حجیت ندارد و ثانیاً طبق مبنای مشهور که خبر واحد را محتاج جعل حجیت می‌دانند، حجیت ضرورتاً به معنای تعبد به امری نیست، چراکه مقصود از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امر در حوزه‌های مختلف، معانی متعددی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متعلق خبر واحد، امور مربوط به انجام فعل یا ترک آن باشد، معنای حجیت این است که باید طبق مفاد این خبر عمل شود، اما اگر متعلق خبر واحد امور مربوط به انجام فعل نبوده و گزارشی از واقع می‌دهد، حجیت آن بدین معناست که می‌توان این خبر را در زمرة ابزار معتبر شناخت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استاد فیزیک مفاد نظریة دانشمندی را با چندین واسطه برای دانشجویان نقل می‌کند، از خبر واحد بهره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نیز در استنباط حکم شرعی از خبر واحد کمک می‌گیرد؛ البته این در حالی است که مفاد ادله‌ای که خبر واحد را حجت می‌دانند، در هر دو مورد به معنای تصدیق مخبر است و بالاخره اینکه نتیجة این تصدیق در </w:t>
      </w:r>
      <w:bookmarkStart w:id="456" w:name="pg5825_38436"/>
    </w:p>
    <w:p>
      <w:pPr>
        <w:pStyle w:val="BookText"/>
        <w:rPr/>
      </w:pPr>
      <w:bookmarkEnd w:id="456"/>
      <w:r>
        <w:rPr>
          <w:rFonts w:ascii="IRNazanin" w:hAnsi="IRNazanin" w:eastAsia="IRNazanin"/>
          <w:color w:val="111111"/>
          <w:sz w:val="28"/>
          <w:sz w:val="28"/>
          <w:szCs w:val="28"/>
          <w:rtl w:val="true"/>
          <w:lang w:bidi="fa-IR"/>
        </w:rPr>
        <w:t>آنها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ادلة حجیت خبر واحد همواره تعبد نیست و تنها در صورت دوم، تصدیق مخبر به تعبد به انجام کاری می‌انجامد؛ اما در صورت نخست نتیجة رجوع به ادلة خبر واحد، اطمینان یافتن به مفاد نظریة فیزیکی مذکور است، به عبارت دیگر ما نیز قبول داریم که علم با تعبد و تکلیف حاصل نشده و منوط به پیدایش مقدمات آن است، لکن نتیجة رجوع به ادلة حجیت خبر واحد صرف تعبد نیست، بلکه با رجوع به ادلة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بنای عقلا مهم‌ترین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جدید و ابزار شناخت تازه‌ای برای انسان حاصل می‌شود که در تحصیل علم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خبر واحد با دلیل قطعی در احتمال خلافی است که ادلة حجیت خبر واحد آن را ملغی کرده و بدین‌ترتیب مفاد خبر واحد یکی از اسباب علم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هنگامی که انسان خبری را می‌شنود و از سویی نیز می‌داند که خردمندان جهان به چنین احتمال خلافی اهمیت نمی‌دهند، ناخودآگاه آن خبر را در زمرة مقدمات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تأثیر زیادی در تصدیق نفس دارد</w:t>
      </w:r>
      <w:r>
        <w:rPr>
          <w:rFonts w:eastAsia="IRNazanin" w:cs="IRNazanin"/>
          <w:color w:val="111111"/>
          <w:sz w:val="28"/>
          <w:szCs w:val="28"/>
          <w:rtl w:val="true"/>
          <w:lang w:bidi="fa-IR"/>
        </w:rPr>
        <w:t>.</w:t>
      </w:r>
    </w:p>
    <w:p>
      <w:pPr>
        <w:pStyle w:val="Heading6"/>
        <w:numPr>
          <w:ilvl w:val="5"/>
          <w:numId w:val="1"/>
        </w:numPr>
        <w:rPr/>
      </w:pPr>
      <w:bookmarkStart w:id="457" w:name="__RefHeading___Toc4623655_581953129"/>
      <w:bookmarkStart w:id="458" w:name="_Toc174"/>
      <w:bookmarkEnd w:id="457"/>
      <w:r>
        <w:rPr>
          <w:rtl w:val="true"/>
        </w:rPr>
        <w:t>نقد دوم</w:t>
      </w:r>
      <w:bookmarkEnd w:id="4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از امارات و لسان آن کشف از واقع است، نه رفع تحیر در مقام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اماره همچون اصول عملیه نیست که فقط تعبداً تکلیف شرعی ما را در موارد شک تعیین کند، بلکه یکی از امارات و همچون قطع، طریقی به‌سوی واقع است، با این تفاوت که در قطع احتمال خلاف وجود ندارد، ولی در خبر واحد احتمال خلاف موجود است؛ به عبارت دیگر قطع و ظن هر دو راه رسیدن به واقعند و تنها اختلاف آنها این است که طبق مبنای مشهور، به‌دلیل احتمال خلاف موجود در ظن، نیازمند دلیلی هستیم که آن را برای ما معتبر کند و این دلیل می‌تواند شرع یا بنای عقلا باشد؛ و طبق مبنای این نوشتار خبر واحد اطمینان‌بخش خود معتبر است و نیازی به دلیل مستقل برای امضای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شیوه هر یک به طریقی خبر واحد را به‌عنوان یکی از را‌ه‌های معتبر برای دسترسی به واقع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سخن از تعبد نیست تا گفته شود که علم به واقع با تعبد حاصل نمی‌شود، بلکه سخن از این است که دلیل نقلی، یکی از راه‌های معتبر برای شناخت انسان است</w:t>
      </w:r>
      <w:r>
        <w:rPr>
          <w:rFonts w:eastAsia="IRNazanin" w:cs="IRNazanin"/>
          <w:color w:val="111111"/>
          <w:sz w:val="28"/>
          <w:szCs w:val="28"/>
          <w:rtl w:val="true"/>
          <w:lang w:bidi="fa-IR"/>
        </w:rPr>
        <w:t xml:space="preserve">. </w:t>
      </w:r>
      <w:bookmarkStart w:id="459" w:name="pg5825_38437"/>
    </w:p>
    <w:p>
      <w:pPr>
        <w:pStyle w:val="Heading6"/>
        <w:numPr>
          <w:ilvl w:val="5"/>
          <w:numId w:val="1"/>
        </w:numPr>
        <w:rPr/>
      </w:pPr>
      <w:bookmarkStart w:id="460" w:name="__RefHeading___Toc4623657_581953129"/>
      <w:bookmarkStart w:id="461" w:name="_Toc175"/>
      <w:bookmarkEnd w:id="459"/>
      <w:bookmarkEnd w:id="460"/>
      <w:r>
        <w:rPr>
          <w:rtl w:val="true"/>
        </w:rPr>
        <w:t>نقد سوم</w:t>
      </w:r>
      <w:bookmarkEnd w:id="461"/>
    </w:p>
    <w:p>
      <w:pPr>
        <w:pStyle w:val="BookText"/>
        <w:rPr/>
      </w:pPr>
      <w:r>
        <w:rPr>
          <w:rFonts w:ascii="IRNazanin" w:hAnsi="IRNazanin" w:eastAsia="IRNazanin"/>
          <w:color w:val="111111"/>
          <w:sz w:val="28"/>
          <w:sz w:val="28"/>
          <w:szCs w:val="28"/>
          <w:rtl w:val="true"/>
          <w:lang w:bidi="fa-IR"/>
        </w:rPr>
        <w:t>ما نیز معتقدیم که پیدایش علم با تعبد و اجبار ممکن نیست و منوط به تحصیل مقدمات آن است؛ اما سؤال این است که به چه دلیل مقدمات چنین علمی منحصر به امور یقینی و قطعی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اطمینان‌بخش نیز می‌تواند یکی از مقدماتی باشد که با پیدایش آن علم به واقع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همان‌طورکه آیت الله جوادی آملی در سایر آثار خود تصریح می‌کند که مراد از یقین، اعم از یقین فلسفی و قطع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خبر واحد در بسیاری از موارد قطع عرفی ایجاد کرده و با توجه به سخن وی نمی‌توان اعتبار قطع عرفی را انکار کرد</w:t>
      </w:r>
      <w:r>
        <w:rPr>
          <w:rFonts w:eastAsia="IRNazanin" w:cs="IRNazanin"/>
          <w:color w:val="111111"/>
          <w:sz w:val="28"/>
          <w:szCs w:val="28"/>
          <w:rtl w:val="true"/>
          <w:lang w:bidi="fa-IR"/>
        </w:rPr>
        <w:t>.</w:t>
      </w:r>
    </w:p>
    <w:p>
      <w:pPr>
        <w:pStyle w:val="Heading6"/>
        <w:numPr>
          <w:ilvl w:val="5"/>
          <w:numId w:val="1"/>
        </w:numPr>
        <w:rPr/>
      </w:pPr>
      <w:bookmarkStart w:id="462" w:name="__RefHeading___Toc4623659_581953129"/>
      <w:bookmarkStart w:id="463" w:name="_Toc176"/>
      <w:bookmarkEnd w:id="462"/>
      <w:r>
        <w:rPr>
          <w:rtl w:val="true"/>
        </w:rPr>
        <w:t>نقد چهارم</w:t>
      </w:r>
      <w:bookmarkEnd w:id="463"/>
    </w:p>
    <w:p>
      <w:pPr>
        <w:pStyle w:val="BookText"/>
        <w:rPr/>
      </w:pPr>
      <w:r>
        <w:rPr>
          <w:rFonts w:ascii="IRNazanin" w:hAnsi="IRNazanin" w:eastAsia="IRNazanin"/>
          <w:color w:val="111111"/>
          <w:sz w:val="28"/>
          <w:sz w:val="28"/>
          <w:szCs w:val="28"/>
          <w:rtl w:val="true"/>
          <w:lang w:bidi="fa-IR"/>
        </w:rPr>
        <w:t>این پیش فرض در نظر آیت‌الله جوادی آملی وجود دارد که در اعتقادات دینی تحصیل یقین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ایشان یقین بالمعنی‌الاخص باشد، پیش‌فرض مذکور نادرست است؛ زیرا معرفت لازم در اعتقادات دینی امری اعم از یقین بالمعنی‌الاخص است و اگر مقصود از یقین، یقین بالمعنی‌الاعم یا حتی اطمینان عقلایی باشد، هما‌ن‌طورکه خود در موارد دیگر به این امر تصریح کرده‌اند،</w:t>
      </w:r>
      <w:r>
        <w:rPr>
          <w:rStyle w:val="FootnoteAnchor"/>
          <w:rtl w:val="true"/>
        </w:rPr>
        <w:footnoteReference w:id="55"/>
      </w:r>
      <w:r>
        <w:rPr>
          <w:rFonts w:ascii="IRNazanin" w:hAnsi="IRNazanin" w:eastAsia="IRNazanin"/>
          <w:color w:val="111111"/>
          <w:sz w:val="28"/>
          <w:sz w:val="28"/>
          <w:szCs w:val="28"/>
          <w:rtl w:val="true"/>
          <w:lang w:bidi="fa-IR"/>
        </w:rPr>
        <w:t xml:space="preserve">در اخبار آحاد نیز اطمینان عقلایی تأمین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دلیل پنجم لازم است به سخنان استاد آیت الله مصباح یزدی نیز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تأکید استاد بر عدم امکان تعبد در امور اعتقادی و تکوینی است، سخنان ایشان را ذیل دلیل چهارم آورده‌ایم</w:t>
      </w:r>
      <w:r>
        <w:rPr>
          <w:rFonts w:eastAsia="IRNazanin" w:cs="IRNazanin"/>
          <w:color w:val="111111"/>
          <w:sz w:val="28"/>
          <w:szCs w:val="28"/>
          <w:rtl w:val="true"/>
          <w:lang w:bidi="fa-IR"/>
        </w:rPr>
        <w:t>.</w:t>
      </w:r>
    </w:p>
    <w:p>
      <w:pPr>
        <w:pStyle w:val="Heading5"/>
        <w:numPr>
          <w:ilvl w:val="4"/>
          <w:numId w:val="1"/>
        </w:numPr>
        <w:rPr/>
      </w:pPr>
      <w:bookmarkStart w:id="464" w:name="__RefHeading___Toc4623661_581953129"/>
      <w:bookmarkStart w:id="465" w:name="_Toc177"/>
      <w:bookmarkEnd w:id="464"/>
      <w:r>
        <w:rPr>
          <w:rtl w:val="true"/>
        </w:rPr>
        <w:t>دیدگاه آیت‌الله مصباح یزدی</w:t>
      </w:r>
      <w:bookmarkEnd w:id="465"/>
    </w:p>
    <w:p>
      <w:pPr>
        <w:pStyle w:val="Heading6"/>
        <w:numPr>
          <w:ilvl w:val="5"/>
          <w:numId w:val="1"/>
        </w:numPr>
        <w:rPr/>
      </w:pPr>
      <w:bookmarkStart w:id="466" w:name="__RefHeading___Toc4623663_581953129"/>
      <w:bookmarkStart w:id="467" w:name="_Toc178"/>
      <w:bookmarkEnd w:id="466"/>
      <w:r>
        <w:rPr>
          <w:rtl w:val="true"/>
        </w:rPr>
        <w:t>اشاره</w:t>
      </w:r>
      <w:bookmarkEnd w:id="4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نظر استاد مصباح در حجیت و عدم حجیت روایات تفسیری و اعتقادی این است که علم و اعتقاد با تعبد حاصل نمی‌شود؛ در میان معانی مشهور حجیت یعنی تتمیم کشف و معذریت و منجزیت معنای صحیح حجیت، منجزیت و معذریت است که آن هم مخصوص رفتار است 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ایمان نیز گرچه عین علم نیست، مبتنی‌بر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عدم حجیت خبر واحد در روایات بی‌ارزش یا لغو و بی‌اثر بودن آنها نیست، زیرا هر نقلی ولو ظنی؛ تأثیری در نفس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حجیت روایات آحاد هم </w:t>
      </w:r>
      <w:bookmarkStart w:id="468" w:name="pg5825_38438"/>
    </w:p>
    <w:p>
      <w:pPr>
        <w:pStyle w:val="BookText"/>
        <w:rPr/>
      </w:pPr>
      <w:bookmarkEnd w:id="468"/>
      <w:r>
        <w:rPr>
          <w:rFonts w:ascii="IRNazanin" w:hAnsi="IRNazanin" w:eastAsia="IRNazanin"/>
          <w:color w:val="111111"/>
          <w:sz w:val="28"/>
          <w:sz w:val="28"/>
          <w:szCs w:val="28"/>
          <w:rtl w:val="true"/>
          <w:lang w:bidi="fa-IR"/>
        </w:rPr>
        <w:t>این نیست که ما شرعاً موظف هستیم به آنچه در متن روایت آمده،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علم به اختیار انسان نیست و درنتیجه متعلق تکلیف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تنها در صورتی معنا دارد که به‌صورت قطعی بتوان گفت نظر شارع چنین است و در حوزه‌های تفسیری که نمی‌توان قطعاً نظر داد، استناد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علم یا چیزی که از مقولة علم است، چیزی نیست که با اختیار انسان ایجاد یا سلب بشود اگر می‌داند، می‌داند و اگر نمی‌داند هم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تعبد بگویند تو که می‌دانی بگو نمی‌دانم؛ معتقد شو به اینکه نمی‌دانی یا تو که نمی‌دانی معتقد شو به اینکه می‌دانی، متعبد شو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چیز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لغو بلکه تکلیف محال است امکان ندارد انسان چیزی را تا مبادی علمی‌اش پیدا نشود علم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شارع انسان را متعبد کند به جایی که یا علم به خلاف دارد یا اطمینان به خلاف دارد یا حتی ظن به خلاف دارد؟ بگوید تو متعبد باش به اینکه این طور نیست؟ تعبداً بگوید باید این طور باشد؟ یعنی ولو اینکه تو ظن تکوینی به خلافش داری؛ اما این حالت پذیرش را در خودت ایجاد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می‌شود انسان یک حالت پذیرش را دربارة چیزی که ظن به خلافش دارد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انتها تذکر می‌دهند که معنای عدم حجیت روایات آحاد در عقاید، این نیست که وجود و عدم این روایات یکسان است و باید تمام آنها را کنار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6"/>
        <w:numPr>
          <w:ilvl w:val="5"/>
          <w:numId w:val="1"/>
        </w:numPr>
        <w:rPr/>
      </w:pPr>
      <w:bookmarkStart w:id="469" w:name="__RefHeading___Toc4623665_581953129"/>
      <w:bookmarkStart w:id="470" w:name="_Toc179"/>
      <w:bookmarkEnd w:id="469"/>
      <w:r>
        <w:rPr>
          <w:rtl w:val="true"/>
        </w:rPr>
        <w:t>بررسی دیدگاه آیت الله مصباح</w:t>
      </w:r>
      <w:bookmarkEnd w:id="470"/>
    </w:p>
    <w:p>
      <w:pPr>
        <w:pStyle w:val="BookText"/>
        <w:rPr/>
      </w:pPr>
      <w:r>
        <w:rPr>
          <w:rFonts w:ascii="IRNazanin" w:hAnsi="IRNazanin" w:eastAsia="IRNazanin"/>
          <w:color w:val="111111"/>
          <w:sz w:val="28"/>
          <w:sz w:val="28"/>
          <w:szCs w:val="28"/>
          <w:rtl w:val="true"/>
          <w:lang w:bidi="fa-IR"/>
        </w:rPr>
        <w:t>در نظریة استاد مصباح به‌درستی بر ضرورت تبیین معنای حجیت در بحث حجیت خبر واحد تأکید شده‌است، زیرا تا معنای حجیت در حوزة اعتقادات دینی و تفسیر روشن نگردد، بحث و گفتگو نتیجه‌ای نخواهد داشت؛ لذا باید مراد خود را به‌درستی تبیین نماییم</w:t>
      </w:r>
      <w:r>
        <w:rPr>
          <w:rFonts w:eastAsia="IRNazanin" w:cs="IRNazanin"/>
          <w:color w:val="111111"/>
          <w:sz w:val="28"/>
          <w:szCs w:val="28"/>
          <w:rtl w:val="true"/>
          <w:lang w:bidi="fa-IR"/>
        </w:rPr>
        <w:t>.</w:t>
      </w:r>
    </w:p>
    <w:p>
      <w:pPr>
        <w:pStyle w:val="Heading5"/>
        <w:numPr>
          <w:ilvl w:val="4"/>
          <w:numId w:val="1"/>
        </w:numPr>
        <w:rPr/>
      </w:pPr>
      <w:bookmarkStart w:id="471" w:name="__RefHeading___Toc4623667_581953129"/>
      <w:bookmarkStart w:id="472" w:name="_Toc180"/>
      <w:bookmarkEnd w:id="471"/>
      <w:r>
        <w:rPr>
          <w:rtl w:val="true"/>
        </w:rPr>
        <w:t>معنای برگزیده از حجیت</w:t>
      </w:r>
      <w:bookmarkEnd w:id="47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پرداختن به تبیین نظر برگزیده در حجیت امارات، تذکر این نکته ضروری است که معنای حجیت در مباحث فقهی و اصولی که مربوط به عمل انسان و با هدف مصونیت از عقاب است، به تأمین هدف این نوشتار کمکی نمی‌کند، زیرا بحث ما در این نیست که آیا در اثر اعتقاد به یکی از آموزه‌های دینی موأخذه می‌شویم یا خیر، بلکه آنچه مدنظر مباحث </w:t>
      </w:r>
    </w:p>
    <w:p>
      <w:pPr>
        <w:pStyle w:val="BookText"/>
        <w:rPr/>
      </w:pPr>
      <w:r>
        <w:rPr>
          <w:rFonts w:ascii="IRNazanin" w:hAnsi="IRNazanin" w:eastAsia="IRNazanin"/>
          <w:color w:val="111111"/>
          <w:sz w:val="28"/>
          <w:sz w:val="28"/>
          <w:szCs w:val="28"/>
          <w:rtl w:val="true"/>
          <w:lang w:bidi="fa-IR"/>
        </w:rPr>
        <w:t>اعتقادی است فهم واقع و درک نظر اسلام نسبت به برخی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حیثیت معرفت‌شناختی، واقع‌نمایی و حکایت‌گری گزاره‌های اعتقادی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مبنا آیت‌الله مصباح اشکال کرده است که در حجیت به معنای معذریت و منجزیت نوعی تعبد نهفته؛ لذا از حوزة مباحث تفسیری و اعتقادی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است که آیا تنها راه ما برای استفاده از خبر واحد در امور تکوینی آن است که خبر واحد به نحوی نازل منزلة قطع باشد؟ یا اینکه حتی در صورتی که ادلة حجیت، خبر واحد را تعبداً در حکم قطع قرار ندهد نیز می‌توان از آن در امور تکوینی کمک گرفت؟ و در صورت مثبت بودن پرسش نخست آیا ادلة حجیت می‌تواند خبر واحد را نازل منزله واقع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می‌توان تصویری از حجیت ارائه نمود که با امور تعبدی و نیز حقایق تکوینی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لازمة منطقی آن صحت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معتبر باشد می‌توان به کمک آن در مواضع مختلف برای اثبات مدعا احتجاج کرد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دینی به دو شکل می‌توان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ما تعیین تکلیف انسان‌ها در برابر شارع و نتیجة آن عمل کردن طبق دستورات الهی و گاهی هدف ما نسبت دادن امری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بگوییم نظر اسلام دربارة علم امام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حوزه به حجتی معتبر نیاز است؛ بنابراین جعل حجیت هم نسبت به امور تکلیفی و بایدها و نبایدها، و هم نسبت به امور واقعی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جعل حجیت در امور تکلیفی یا بایدها و نبایدها روشن است و در اصول فقه از آن سخن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در مقام تکلیف یعنی این خبر دلیلی معتبر برای واجب یا حرام دانستن امری است و انسان به‌دلیل عمل به این خبر در قیامت موأخذه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تکوینی جعل حجیت بدین معناست که این خبر برای اخبار از واقع گزاره‌ای معتبر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می‌توان آن را یکی از مقدمات استدلال و استنتاج خود برای کشف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میزان علم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تنزل خبر واحد به شاهد و مؤید نیست؛ بلکه ناظر به ارزش معرفت‌شناختی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جعل حجیت برای خبری که از یک امر واقعی حکایت می‌کند، یعنی به‌کارگیری این روایت و استفاده از آن برای کشف واقع، مستلزم خطای معرفت‌شناختی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اگر دلیل حجیت خبر واحد بنای عقلا باشد، مفاد جعل حجیت برای خبر واحد آن است که خردمندان جهان در صورت دست نیافتن به قطع، خبر واحد را معتبر دانسته، با استفاده از آن دربارة امور خارجی و تکوینی </w:t>
      </w:r>
      <w:bookmarkStart w:id="473" w:name="pg5825_38442"/>
    </w:p>
    <w:p>
      <w:pPr>
        <w:pStyle w:val="BookText"/>
        <w:rPr/>
      </w:pPr>
      <w:bookmarkEnd w:id="473"/>
      <w:r>
        <w:rPr>
          <w:rFonts w:ascii="IRNazanin" w:hAnsi="IRNazanin" w:eastAsia="IRNazanin"/>
          <w:color w:val="111111"/>
          <w:sz w:val="28"/>
          <w:sz w:val="28"/>
          <w:szCs w:val="28"/>
          <w:rtl w:val="true"/>
          <w:lang w:bidi="fa-IR"/>
        </w:rPr>
        <w:t>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بحث در ظهورات الفاظ نیز طرح می‌گردد، چون در معنای ظاهری لغات و جملات نیز احتمال خلاف موجود است و عقلا در محاورات عرفی خود این احتمال خلاف را نادیده می‌گیرند؛ یعنی معنای ظاهری را معتبر شمرده و به آن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عنای حجیت در این لحاظ، تعبد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حجیت خبر واحد تنها در حوزة تکالیف شرعی پذیرفته شود، حجیت ظهورات نیز تنها محدود به همین حوزه گشته و به ظاهر هیچ آیه یا روایت غیر فقهی نمی‌توان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ریشة این اشکال بدین نحو مرتفع می‌گردد که یا حکم ظهورات و خبر واحد از ظنون غیر معتبر جدا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مختار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جعل حجیت معنای درستی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می‌توان حجیت را به نوعی معنا کرد که شامل امور تکلیفی و امور واقعی گردد، لکن ازآنجاکه این بحث همواره در اصول فقه و ناظر به معانی تکلیفی طرح شده، ناخواسته چنین ذهنیتی برای افراد پدید آمده که جعل حجیت لزوماً امری تعبدی بوده و در امور واقعی بی‌معناست و درنتیجه این گمان باطل ایجاد می‌شود که حجت دانستن گزاره‌ای ناظر به واقع یعنی اینکه با استفاده از حکم تعبدی اثری تکوینی در نفس ایجاد کنیم و ازآنجاکه چنین امری محال است، جعل حجیت برای خبر واحد نیز محال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گذشت جعل حجیت در اینجا معنایی غیر از تعبد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آشنایی با شیوة رایج عقلا در عمل به خبر واحد، می‌فهمد که ایشان خبر واحد را معتبر دانسته و برآن ترتیب اثر می‌دهند؛ اعم از آثار تکوینی یا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اثر علم به این سیره ناخواسته خبر واحد را معتبر شمرده و به احتمال خلاف موجود در آن بی‌اعتنا می‌شود و این غیر از آن است که امری را که احتمال خلاف آن در ذهن استوار شده، تنها با تعبد در حکم قطع قرار دهیم</w:t>
      </w:r>
      <w:r>
        <w:rPr>
          <w:rFonts w:eastAsia="IRNazanin" w:cs="IRNazanin"/>
          <w:color w:val="111111"/>
          <w:sz w:val="28"/>
          <w:szCs w:val="28"/>
          <w:rtl w:val="true"/>
          <w:lang w:bidi="fa-IR"/>
        </w:rPr>
        <w:t>.</w:t>
      </w:r>
    </w:p>
    <w:p>
      <w:pPr>
        <w:pStyle w:val="Heading5"/>
        <w:numPr>
          <w:ilvl w:val="4"/>
          <w:numId w:val="1"/>
        </w:numPr>
        <w:rPr/>
      </w:pPr>
      <w:bookmarkStart w:id="474" w:name="__RefHeading___Toc4623669_581953129"/>
      <w:bookmarkStart w:id="475" w:name="_Toc181"/>
      <w:bookmarkEnd w:id="474"/>
      <w:r>
        <w:rPr>
          <w:rtl w:val="true"/>
        </w:rPr>
        <w:t>نکات تکمیلی</w:t>
      </w:r>
      <w:bookmarkEnd w:id="4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اشکال شود که عقلا این سیره را تخصیص زده و در امور بسیار مهم از جمله مباحث اعتقادی به کار نمی‌گیرند؛ یعنی در امور اعتقادی نمی‌توان این میزان احتمال خلاف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مطلب در دلیل ششم و هفتم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آیا چنین سیره‌ای ریشه در واقع دارد یا نه؟ یا اینکه نیازمند امضای شارع هست یاخیر، با بحث فعلی مرتبط نیست و باید در مبانی حجیت خبر واحد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دغدغة </w:t>
      </w:r>
      <w:bookmarkStart w:id="476" w:name="pg5825_38443"/>
    </w:p>
    <w:p>
      <w:pPr>
        <w:pStyle w:val="BookText"/>
        <w:rPr/>
      </w:pPr>
      <w:bookmarkEnd w:id="476"/>
      <w:r>
        <w:rPr>
          <w:rFonts w:ascii="IRNazanin" w:hAnsi="IRNazanin" w:eastAsia="IRNazanin"/>
          <w:color w:val="111111"/>
          <w:sz w:val="28"/>
          <w:sz w:val="28"/>
          <w:szCs w:val="28"/>
          <w:rtl w:val="true"/>
          <w:lang w:bidi="fa-IR"/>
        </w:rPr>
        <w:t>بحث فعلی اثبات این امر است که معنای حجیت اختصاص به امور شرعی و بایدها و نبایدهای شرعی و حقوقی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پذیرفتن دیدگاه مذکور این احتمال تقویت می‌گردد که عمل عقلا به خبر واحد گزاف نیست و باید نوعی واقع‌نمایی در آن لحاظ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ظن از حقایق مشکک است و خبر واحد از اماراتی است که اگر نگوییم مفید اطمینان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مبنای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بالایی از ظن را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اشکال شود که خبر واحد واقع‌نمایی تام ندارد، بنابراین عقایدی که با استنتاج از آن به دست می‌آید نیز واقع‌نمایی و کشف تام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در عقاید دینی نیازمند یقین هستیم که هیچ احتمال خلافی در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 اولاً محل نزاع بحث حجیت خبر واحد در اموری نیست که تنها با برهان یقینی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ضرورت تحصیل یقین منطقی در اعتقادات در جای خود ابطال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واقع‌نمایی تام به‌ندرت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متواتر یا کلماتی که مستقیماً از زبان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اگر ظاهر باشند، نیز احتمال خلاف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این میزان احتمال خلاف آسیبی به ارزش معرفت‌شناختی مباحث وارد نمی‌سازد، زیرا در غیر این صورت در مباحث عقاید تنها باید از آیات و روایاتی که هم متواتر و هم نص هستند، بهره گرفت</w:t>
      </w:r>
      <w:r>
        <w:rPr>
          <w:rFonts w:eastAsia="IRNazanin" w:cs="IRNazanin"/>
          <w:color w:val="111111"/>
          <w:sz w:val="28"/>
          <w:szCs w:val="28"/>
          <w:rtl w:val="true"/>
          <w:lang w:bidi="fa-IR"/>
        </w:rPr>
        <w:t>!</w:t>
      </w:r>
    </w:p>
    <w:p>
      <w:pPr>
        <w:pStyle w:val="Heading4"/>
        <w:numPr>
          <w:ilvl w:val="3"/>
          <w:numId w:val="1"/>
        </w:numPr>
        <w:rPr/>
      </w:pPr>
      <w:bookmarkStart w:id="477" w:name="__RefHeading___Toc4623671_581953129"/>
      <w:bookmarkStart w:id="478" w:name="_Toc182"/>
      <w:bookmarkEnd w:id="477"/>
      <w:r>
        <w:rPr>
          <w:rtl w:val="true"/>
        </w:rPr>
        <w:t>دلیل پنجم</w:t>
      </w:r>
      <w:r>
        <w:rPr>
          <w:rtl w:val="true"/>
        </w:rPr>
        <w:t xml:space="preserve">: </w:t>
      </w:r>
      <w:r>
        <w:rPr>
          <w:rtl w:val="true"/>
        </w:rPr>
        <w:t>وجود روایات جعلی بسیار</w:t>
      </w:r>
      <w:bookmarkEnd w:id="478"/>
    </w:p>
    <w:p>
      <w:pPr>
        <w:pStyle w:val="Heading5"/>
        <w:numPr>
          <w:ilvl w:val="4"/>
          <w:numId w:val="1"/>
        </w:numPr>
        <w:rPr/>
      </w:pPr>
      <w:bookmarkStart w:id="479" w:name="__RefHeading___Toc4623673_581953129"/>
      <w:bookmarkStart w:id="480" w:name="_Toc183"/>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در این استدلال از وجود روایات و احادیث جعلی برای بی‌اعتبار دانستن احادیث اعتقادی استفاده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 وجود روایات جعلی بسیار در میان روایات اعتقادی و تفسیری مجالی برای استناد به آنها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استدلال اصل بنای عقلایی بر اعتبار اخبار آحاد پذیرفته شده‌است؛ اما به‌دلیل وجود روایات جعلی، جریان چنین سیره‌ای در برخی حوزه‌ها و موضوعات خاص مورد تردید قرار می‌گیرد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به‌دلیل کثرت جعل در روایات خصوصاً روایات تفسیری و تاریخی راهی برای تمسک به حجیت عقلی یعنی عقلایی باقی نمی‌ماند، مگر مواردی که قرائن قطعی از جمله موافقت با ظواهر قرآن کریم صحت متن آن را تأیید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481" w:name="pg5825_38445"/>
    </w:p>
    <w:p>
      <w:pPr>
        <w:pStyle w:val="Heading5"/>
        <w:numPr>
          <w:ilvl w:val="4"/>
          <w:numId w:val="1"/>
        </w:numPr>
        <w:rPr/>
      </w:pPr>
      <w:bookmarkStart w:id="482" w:name="__RefHeading___Toc4623675_581953129"/>
      <w:bookmarkStart w:id="483" w:name="_Toc184"/>
      <w:bookmarkEnd w:id="481"/>
      <w:bookmarkEnd w:id="482"/>
      <w:r>
        <w:rPr>
          <w:rtl w:val="true"/>
        </w:rPr>
        <w:t>نقد دلیل پنجم</w:t>
      </w:r>
      <w:bookmarkEnd w:id="483"/>
    </w:p>
    <w:p>
      <w:pPr>
        <w:pStyle w:val="BookText"/>
        <w:rPr/>
      </w:pPr>
      <w:r>
        <w:rPr>
          <w:rFonts w:ascii="IRNazanin" w:hAnsi="IRNazanin" w:eastAsia="IRNazanin"/>
          <w:color w:val="111111"/>
          <w:sz w:val="28"/>
          <w:sz w:val="28"/>
          <w:szCs w:val="28"/>
          <w:rtl w:val="true"/>
          <w:lang w:bidi="fa-IR"/>
        </w:rPr>
        <w:t>اولاً این دلیل اخص از مدعاست، زیرا خبر واحد تفسیری و اعتقادی به خبر صحیح و غیر صحیح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تنها ناظر به اخبار آحاد جعلی و ضعیف‌السند است و بر فرض صحت آن خدشه‌ای به خبر واحد صحیح‌السند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یکی از مقدمات این استدلال نیاز به اثبات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روایات جعلی در میان اخبار غیر فقهی به قدری زیاد است که مانع اعتماد عقلا به آن می‌گردد، هنوز اثبات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چنین مقدمه‌ای اثبات نشده باشد، عمومیت سیرة عقلا در عمل به خبر واحد پا بر جا بوده و اخبار اعتقادی را شامل می‌شود</w:t>
      </w:r>
      <w:r>
        <w:rPr>
          <w:rFonts w:eastAsia="IRNazanin" w:cs="IRNazanin"/>
          <w:color w:val="111111"/>
          <w:sz w:val="28"/>
          <w:szCs w:val="28"/>
          <w:rtl w:val="true"/>
          <w:lang w:bidi="fa-IR"/>
        </w:rPr>
        <w:t>.</w:t>
      </w:r>
    </w:p>
    <w:p>
      <w:pPr>
        <w:pStyle w:val="Heading4"/>
        <w:numPr>
          <w:ilvl w:val="3"/>
          <w:numId w:val="1"/>
        </w:numPr>
        <w:rPr/>
      </w:pPr>
      <w:bookmarkStart w:id="484" w:name="__RefHeading___Toc4623677_581953129"/>
      <w:bookmarkStart w:id="485" w:name="_Toc185"/>
      <w:bookmarkEnd w:id="484"/>
      <w:r>
        <w:rPr>
          <w:rtl w:val="true"/>
        </w:rPr>
        <w:t>دلیل ششم</w:t>
      </w:r>
      <w:r>
        <w:rPr>
          <w:rtl w:val="true"/>
        </w:rPr>
        <w:t xml:space="preserve">: </w:t>
      </w:r>
      <w:r>
        <w:rPr>
          <w:rtl w:val="true"/>
        </w:rPr>
        <w:t>اختصاص سیرة عقلا به امور رفتاری</w:t>
      </w:r>
      <w:bookmarkEnd w:id="485"/>
    </w:p>
    <w:p>
      <w:pPr>
        <w:pStyle w:val="Heading5"/>
        <w:numPr>
          <w:ilvl w:val="4"/>
          <w:numId w:val="1"/>
        </w:numPr>
        <w:rPr/>
      </w:pPr>
      <w:bookmarkStart w:id="486" w:name="__RefHeading___Toc4623679_581953129"/>
      <w:bookmarkStart w:id="487" w:name="_Toc186"/>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یکی دیگر از اشکالاتی که به استفاده از اخبار آحاد در مباحث اعتقادی شده، این است که گرچه بنای عقلا در عمل به خبر واحد پذیرفتنی است، این سیره عام نبوده و تنها مختص</w:t>
      </w:r>
    </w:p>
    <w:p>
      <w:pPr>
        <w:pStyle w:val="BookText"/>
        <w:rPr/>
      </w:pPr>
      <w:r>
        <w:rPr>
          <w:rFonts w:ascii="IRNazanin" w:hAnsi="IRNazanin" w:eastAsia="IRNazanin"/>
          <w:color w:val="111111"/>
          <w:sz w:val="28"/>
          <w:sz w:val="28"/>
          <w:szCs w:val="28"/>
          <w:rtl w:val="true"/>
          <w:lang w:bidi="fa-IR"/>
        </w:rPr>
        <w:t>امور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خبر واحد در اعتقادات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سیرة عقلا که عمده‌ترین دلیل حجیت خبر ثقه است، روشن می‌شود که عاقلان و فرزانگان جامعه تنها در مسائل رفتاری و عملی که تحصیل علم ناممکن یا دشوار است، به خبر ثقه اعتنا کرده و به آن ترتیب اثر می‌دهند؛ اما در غیر مسائل رفتاری همچون مسائل ریاضی، منطقی،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محصول عقل نظری که همان علم است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تمایز را باید در تفاوت بین علوم حقیقی و اعتباری جستجو کرد؛ به‌عنوان مثال اگر چنانچه ناقلان فراوانی گزارش کنند که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نیازمند علت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عاقلان و فرزانگان به پذیرش این قضایا تن نمی‌دهند و به صرف گزارش عده‌ای راستگو، یافته‌های عقل خود را تخطئه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درمی‌یابیم شعاع پذیرش خبر ثقه در سیرة عقلا، مسائل رفتاری است نه موضوعات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5"/>
        <w:numPr>
          <w:ilvl w:val="4"/>
          <w:numId w:val="1"/>
        </w:numPr>
        <w:rPr/>
      </w:pPr>
      <w:bookmarkStart w:id="488" w:name="__RefHeading___Toc4623681_581953129"/>
      <w:bookmarkStart w:id="489" w:name="_Toc187"/>
      <w:bookmarkEnd w:id="488"/>
      <w:r>
        <w:rPr>
          <w:rtl w:val="true"/>
        </w:rPr>
        <w:t>نقد دلیل ششم</w:t>
      </w:r>
      <w:bookmarkEnd w:id="4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 استدلال صحیح نیست، زیرا اولاً عقلا و فرزانگان در امور تکوینی نیز به خبر ثقه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علوم و نظریه‌های علمی دانشمندان از طریق نقل واحد به دست ما رسیده و عقلا آن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خردمندانی که در امور علمی به این گزارش‌ها </w:t>
      </w:r>
      <w:bookmarkStart w:id="490" w:name="pg5825_38447"/>
    </w:p>
    <w:p>
      <w:pPr>
        <w:pStyle w:val="BookText"/>
        <w:rPr/>
      </w:pPr>
      <w:bookmarkEnd w:id="490"/>
      <w:r>
        <w:rPr>
          <w:rFonts w:ascii="IRNazanin" w:hAnsi="IRNazanin" w:eastAsia="IRNazanin"/>
          <w:color w:val="111111"/>
          <w:sz w:val="28"/>
          <w:sz w:val="28"/>
          <w:szCs w:val="28"/>
          <w:rtl w:val="true"/>
          <w:lang w:bidi="fa-IR"/>
        </w:rPr>
        <w:t>اعتنا می‌کنند، به طریق اولی در امور تکوینی و واقعی روزمره نیز به خبر ثقه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مذکور و ده‌ها مورد دیگر از امور روزمره گواه آن است که سیرة عقلایی در پذیرش خبر ثقه منحصر به امور رفتاری و بایدها و نبایدها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پاسخ به مثال نقض این استدلال، باید گفت که معنای معتبر بودن خبر واحد در امور تکوینی و واقعی، پذیرش بی‌چون و چرای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معنای اعتبار یک آیه نیز پذیرش بی‌چون و چرای آن نیست، ممکن است آیه‌ای با حکم عقل برهانی معارض باشد و دربارة رفع تعارض آن باید چاره‌اندیشی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 در این‌حوزه‌ها بدین معناست که خبر واحد می‌تواند به‌عنوان دلیلی در کنار دلایل دیگر حضور یابد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طبیعی است که در صورت تعارض خبر واحد با دلیل عقلی قطعی، دلیل عقلی مقدم می شود و این امر اختصاص به مسائل تکوینی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فقهی نیز اگر خبر واحد با دلیل عقلی قطعی معارض باشد، دلیل عقلی مقدم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حجیت خبر واحد در امور تکوینی و اعتقادی نیز اخباری که دال 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نیازمند علت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 اما عدم پذیرش خبر واحد در مثال‌های مذکور به‌دلیل غیر رفتاری بودن این اخبار نیست؛ بلکه به‌دلیل ناسازگاری آن با دلیل عقلی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نویسندة محترم تصور کرده که پذیرش حجیت خبر واحد در امور تکوینی به معنای قبول بی‌چون و چرای آن حتی در زمان تعارض با دلیل یقینی است؛ درحالی‌که بطلان این تصور روشن شد</w:t>
      </w:r>
      <w:r>
        <w:rPr>
          <w:rFonts w:eastAsia="IRNazanin" w:cs="IRNazanin"/>
          <w:color w:val="111111"/>
          <w:sz w:val="28"/>
          <w:szCs w:val="28"/>
          <w:rtl w:val="true"/>
          <w:lang w:bidi="fa-IR"/>
        </w:rPr>
        <w:t>.</w:t>
      </w:r>
    </w:p>
    <w:p>
      <w:pPr>
        <w:pStyle w:val="Heading4"/>
        <w:numPr>
          <w:ilvl w:val="3"/>
          <w:numId w:val="1"/>
        </w:numPr>
        <w:rPr/>
      </w:pPr>
      <w:bookmarkStart w:id="491" w:name="__RefHeading___Toc4623683_581953129"/>
      <w:bookmarkStart w:id="492" w:name="_Toc188"/>
      <w:bookmarkEnd w:id="491"/>
      <w:r>
        <w:rPr>
          <w:rtl w:val="true"/>
        </w:rPr>
        <w:t>دلیل هفتم</w:t>
      </w:r>
      <w:r>
        <w:rPr>
          <w:rtl w:val="true"/>
        </w:rPr>
        <w:t xml:space="preserve">: </w:t>
      </w:r>
      <w:r>
        <w:rPr>
          <w:rtl w:val="true"/>
        </w:rPr>
        <w:t>بی‌اعتنایی عقلا به خبر واحد در امور مهم</w:t>
      </w:r>
      <w:bookmarkEnd w:id="492"/>
    </w:p>
    <w:p>
      <w:pPr>
        <w:pStyle w:val="Heading5"/>
        <w:numPr>
          <w:ilvl w:val="4"/>
          <w:numId w:val="1"/>
        </w:numPr>
        <w:rPr/>
      </w:pPr>
      <w:bookmarkStart w:id="493" w:name="__RefHeading___Toc4623685_581953129"/>
      <w:bookmarkStart w:id="494" w:name="_Toc189"/>
      <w:bookmarkEnd w:id="493"/>
      <w:r>
        <w:rPr>
          <w:rtl w:val="true"/>
        </w:rPr>
        <w:t>اشاره</w:t>
      </w:r>
      <w:bookmarkEnd w:id="4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اشکالاتی که ممکن است به اعتبار خبر واحد در مباحث اعتقادی وارد گردد</w:t>
      </w:r>
      <w:r>
        <w:rPr>
          <w:rStyle w:val="FootnoteAnchor"/>
          <w:rtl w:val="true"/>
        </w:rPr>
        <w:footnoteReference w:id="58"/>
      </w:r>
      <w:r>
        <w:rPr>
          <w:rFonts w:ascii="IRNazanin" w:hAnsi="IRNazanin" w:eastAsia="IRNazanin"/>
          <w:color w:val="111111"/>
          <w:sz w:val="28"/>
          <w:sz w:val="28"/>
          <w:szCs w:val="28"/>
          <w:rtl w:val="true"/>
          <w:lang w:bidi="fa-IR"/>
        </w:rPr>
        <w:t>این است که مهم‌ترین دلیل حجیت خبر واحد بنای عقلا و سیرة خردمندان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خبر واحد را به‌طور مطلق حجت ندانسته و با توجه به میزان اهمیت امور در پذیرش آن سخت‌گیری می‌کند؛ مثلاً میزان اعتنای عاقلان یک جامعه به خبری دال بر بارش باران، نسبت به خبری دال بر وقوع زلزله یا خبری حاکی از حمله به کشور و اعلان حکم جهاد از سوی ولی فقیه،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جامعه با شنیدن خبر بارش باران یا وقوع زلزله از چند نفر آن را پذیرفته و بر آن ترتیب اثر می‌دهند، ولی در مورد حمله و اعلان حکم جهاد به خبر واحد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نیز از امور مهمی است که با امور ناظر به جزئیات فقه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اخبار اعتقادی با اصول معارف سر و کار دارد و اشتباه در آن بی‌اعتبار شدن اصول دین را در پی دارد؛ بنابراین عقلا در این حوزه به خبر واحد عمل </w:t>
      </w:r>
      <w:bookmarkStart w:id="495" w:name="pg5825_38449"/>
    </w:p>
    <w:p>
      <w:pPr>
        <w:pStyle w:val="BookText"/>
        <w:rPr/>
      </w:pPr>
      <w:bookmarkEnd w:id="495"/>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w:t>
      </w:r>
    </w:p>
    <w:p>
      <w:pPr>
        <w:pStyle w:val="Heading5"/>
        <w:numPr>
          <w:ilvl w:val="4"/>
          <w:numId w:val="1"/>
        </w:numPr>
        <w:rPr/>
      </w:pPr>
      <w:bookmarkStart w:id="496" w:name="__RefHeading___Toc4623687_581953129"/>
      <w:bookmarkStart w:id="497" w:name="_Toc190"/>
      <w:bookmarkEnd w:id="496"/>
      <w:r>
        <w:rPr>
          <w:rtl w:val="true"/>
        </w:rPr>
        <w:t>نقد دلیل هفتم</w:t>
      </w:r>
      <w:bookmarkEnd w:id="4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 این استدلال مخدوش است، زیرا سیرة خرمندان در عمل به خبر واحد گزاف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این سیره معلول تأثیری است که در شنوندگان خبر واحد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خردمندان با شنیدن دلیل نقلی به سطحی از معرفت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نقلی بتواند مرتبه‌ای از معرفت را ایجاد کند که احتمال آن خلاف ناچیز باشد، خردمندان ناخودآگاه این میزان احتمال خلاف را نادیده انگاشته و به خبر ترتیب اثر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راویان و ویژگی‌های آنان در اخبار مهم مورد اعتنای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خردمندان در اخبار ناظر به امور مهم بدین معنا نیست که ایشان در اخبار تفصیل داده و تنها در امور جزئی و روزمره به خبر واحد عمل می‌کنند؛ چراکه در مثال‌های مذکور نیز اگر یکی از عالمان ربانی که از نزدیکان ولی فقیه است خبر وقوع جنگ و اعلان جهاد را گزارش کند، همان تأثیر را در نفس شنونده می‌گذارد که خبر بارش باران یا وقوع زلزله به‌وسیلة یکی از افراد عادی جامعه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اعتبار خبر واحد را در امور مهمی همچون اعتقادات زایل نمی‌کند؛ بلکه روش‌شناسی ویژه‌ای برای بررسی اخبار اعتقادی لحاظ می‌کند، ضمن آنکه این سخت‌گیری باید به اخبار فقهی مهمی که در فقه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 و فروج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نیز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تام بودن این استدلال، اعتبار روایات در این ابواب نیز مخدوش می‌شود</w:t>
      </w:r>
      <w:r>
        <w:rPr>
          <w:rFonts w:eastAsia="IRNazanin" w:cs="IRNazanin"/>
          <w:color w:val="111111"/>
          <w:sz w:val="28"/>
          <w:szCs w:val="28"/>
          <w:rtl w:val="true"/>
          <w:lang w:bidi="fa-IR"/>
        </w:rPr>
        <w:t xml:space="preserve">. </w:t>
      </w:r>
      <w:bookmarkStart w:id="498" w:name="pg5825_38450"/>
    </w:p>
    <w:p>
      <w:pPr>
        <w:pStyle w:val="Heading3"/>
        <w:numPr>
          <w:ilvl w:val="2"/>
          <w:numId w:val="1"/>
        </w:numPr>
        <w:rPr/>
      </w:pPr>
      <w:bookmarkStart w:id="499" w:name="__RefHeading___Toc4623689_581953129"/>
      <w:bookmarkStart w:id="500" w:name="_Toc191"/>
      <w:bookmarkEnd w:id="498"/>
      <w:bookmarkEnd w:id="499"/>
      <w:r>
        <w:rPr>
          <w:rtl w:val="true"/>
        </w:rPr>
        <w:t>منابع</w:t>
      </w:r>
      <w:bookmarkEnd w:id="5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محمدرضا،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بحرالفوائد،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احسانی‌فر لنگرودی، محمد،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دامنة حجیت احادیث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علوم حدیث، ش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فرائدالاصول،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نجفی، محمدتقی،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نهایة الافکار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فقه آیه‌الله ضیاءالدین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وابسته به جامعة مدرسین حوزة 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قرآن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منزلت عقل در هندسة معرفت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کفایة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انوارالهدایه،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سیدمصطفی،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تحریرات فی 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 نشر آثار امام‌خمینی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سیدابوالقاسم،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اجود التقریرات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فقه آیت الله محمدحسین غروی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العرفان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الشافی فی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تهذیب الاصول،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مقدمة تفسیرمنهج الصادقین؛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طباطبابی، سیدمحمدحسین،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المیزان فی تفسیر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قرآن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حاشیة الکفایة،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شیعه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العدة، تحقیق محمدرضا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التبیان فی تفسیرالقرآن،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المقاصدالعلیه فی شرح الرسالة الالفیه، نرم‌افزار کتابخانه اهل بیت، نسخه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عزیزان، مهدی،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حجیت روایات آحاد در مسائل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کلام اسلامی، ش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محمدحسین،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نهایه الدرایه فی شرح الکفایه،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تونی، عبدالله بن محمد،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الوافیه،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سیری کامل در اصول فقه،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فیاضی، غلامرضا، </w:t>
      </w:r>
      <w:r>
        <w:rPr>
          <w:rFonts w:eastAsia="IRNazanin" w:cs="IRNazanin"/>
          <w:color w:val="111111"/>
          <w:sz w:val="28"/>
          <w:szCs w:val="28"/>
          <w:lang w:bidi="fa-IR"/>
        </w:rPr>
        <w:t>8/12/1385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در اعتقادات و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 در گروه معارف مؤسسة آموزشی و پژوهشی امام‌خمینی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خراسانی، محمدعلی،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فوائدالاصول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اصول فقه آیت الله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وابسته به جامعة مدرسین حوزة 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8/12/1385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در اعتقادات و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 درگروه معارف مؤسسة آموزشی و پژوهشی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ابونعمان محمد،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باصول الفقه،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واعظ الحسینی، سیدمحمدسرور،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فقه آیت الله سید 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الداوری</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1" w:name="pg5825_38455"/>
      <w:bookmarkStart w:id="502" w:name="pg5825_38455"/>
      <w:bookmarkEnd w:id="502"/>
    </w:p>
    <w:p>
      <w:pPr>
        <w:pStyle w:val="Heading2"/>
        <w:numPr>
          <w:ilvl w:val="1"/>
          <w:numId w:val="1"/>
        </w:numPr>
        <w:rPr/>
      </w:pPr>
      <w:bookmarkStart w:id="503" w:name="pg5825_38455"/>
      <w:bookmarkStart w:id="504" w:name="__RefHeading___Toc4623691_581953129"/>
      <w:bookmarkStart w:id="505" w:name="_Toc192"/>
      <w:bookmarkEnd w:id="503"/>
      <w:bookmarkEnd w:id="504"/>
      <w:r>
        <w:rPr>
          <w:rtl w:val="true"/>
        </w:rPr>
        <w:t xml:space="preserve">معرفت‌بخشیِ خبر واحد </w:t>
      </w:r>
      <w:r>
        <w:rPr>
          <w:rtl w:val="true"/>
        </w:rPr>
        <w:t xml:space="preserve">/ </w:t>
      </w:r>
      <w:r>
        <w:rPr>
          <w:rtl w:val="true"/>
        </w:rPr>
        <w:t>محمدتقی سهرابی‌فر</w:t>
      </w:r>
      <w:bookmarkEnd w:id="505"/>
    </w:p>
    <w:p>
      <w:pPr>
        <w:pStyle w:val="Heading3"/>
        <w:numPr>
          <w:ilvl w:val="2"/>
          <w:numId w:val="1"/>
        </w:numPr>
        <w:rPr/>
      </w:pPr>
      <w:bookmarkStart w:id="506" w:name="__RefHeading___Toc4623693_581953129"/>
      <w:bookmarkStart w:id="507" w:name="_Toc193"/>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محمدتقی سهرابی‌فر</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30/8/89</w:t>
      </w:r>
    </w:p>
    <w:p>
      <w:pPr>
        <w:pStyle w:val="Heading3"/>
        <w:numPr>
          <w:ilvl w:val="2"/>
          <w:numId w:val="1"/>
        </w:numPr>
        <w:rPr/>
      </w:pPr>
      <w:bookmarkStart w:id="508" w:name="__RefHeading___Toc4623695_581953129"/>
      <w:bookmarkStart w:id="509" w:name="_Toc194"/>
      <w:bookmarkEnd w:id="508"/>
      <w:r>
        <w:rPr>
          <w:rtl w:val="true"/>
        </w:rPr>
        <w:t>چکیده</w:t>
      </w:r>
      <w:bookmarkEnd w:id="509"/>
    </w:p>
    <w:p>
      <w:pPr>
        <w:pStyle w:val="BookText"/>
        <w:rPr/>
      </w:pPr>
      <w:r>
        <w:rPr>
          <w:rFonts w:ascii="IRNazanin" w:hAnsi="IRNazanin" w:eastAsia="IRNazanin"/>
          <w:color w:val="111111"/>
          <w:sz w:val="28"/>
          <w:sz w:val="28"/>
          <w:szCs w:val="28"/>
          <w:rtl w:val="true"/>
          <w:lang w:bidi="fa-IR"/>
        </w:rPr>
        <w:t>احادیث نقل‌شده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در معارف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لزوم استواری اعتقادات بر علم و معرفت، به دغدغة معرفت‌بخشی احادیث در بخش عقاید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آن است تا روشن کند که حدیث نقل‌شده اگر در گروه اخبار واحد باشد، به تنهایی نمی‌تواند معرفت لازم در اعتقادات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معرفت‌زاییِ این گروه از اخبار، بیش از ظنّ نخواهد بود و این مقدار از معرفت در گزاره‌های اعتقادی‌ای که از عالم واقع گزارش می‌دهند،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خبر واحد، ظن</w:t>
      </w:r>
      <w:r>
        <w:rPr>
          <w:rFonts w:eastAsia="IRNazanin" w:cs="IRNazanin"/>
          <w:color w:val="111111"/>
          <w:sz w:val="28"/>
          <w:szCs w:val="28"/>
          <w:rtl w:val="true"/>
          <w:lang w:bidi="fa-IR"/>
        </w:rPr>
        <w:t>.</w:t>
      </w:r>
    </w:p>
    <w:p>
      <w:pPr>
        <w:pStyle w:val="Heading3"/>
        <w:numPr>
          <w:ilvl w:val="2"/>
          <w:numId w:val="1"/>
        </w:numPr>
        <w:rPr/>
      </w:pPr>
      <w:bookmarkStart w:id="510" w:name="__RefHeading___Toc4623697_581953129"/>
      <w:bookmarkStart w:id="511" w:name="_Toc195"/>
      <w:bookmarkEnd w:id="510"/>
      <w:r>
        <w:rPr>
          <w:rtl w:val="true"/>
        </w:rPr>
        <w:t>مقدمه</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یک اعتبار به دو قسم یقینی و ظنی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خود نیز در سه قسمِ منطقی، موضوعی و روان‌شناختی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هر یک از این اقسام در بسیاری</w:t>
      </w:r>
    </w:p>
    <w:p>
      <w:pPr>
        <w:pStyle w:val="BookText"/>
        <w:rPr/>
      </w:pPr>
      <w:r>
        <w:rPr>
          <w:rFonts w:ascii="IRNazanin" w:hAnsi="IRNazanin" w:eastAsia="IRNazanin"/>
          <w:color w:val="111111"/>
          <w:sz w:val="28"/>
          <w:sz w:val="28"/>
          <w:szCs w:val="28"/>
          <w:rtl w:val="true"/>
          <w:lang w:bidi="fa-IR"/>
        </w:rPr>
        <w:t>از کتب و مقالات نوشته شده‌است و ما برای پرهیز از طولانی شدن مقدمه و دور شدن از موضوع مقاله، از ورود به آن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نوشتار مهم است توجه به لزوم یقین در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در عقاید حصول یقین ضروری است و اینکه چه نوع یقینی لازم است، باز از موضوع این نوشتار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بر آن است تا اعتبار معرفتیِ خبر واحد را به بحث بنشیند و به عبارتی دیگر ما نظر اکثریت عالمان امامیه و بسیاری از عالمان اهل سنت را مبنی بر لزوم علم و یقین در عقاید مبنا قرار داده، به دنبال پاسخ به این پرسش هستیم که آیا خبر واحد توان زایش معرفت یقینی، ولو در پایین‌ترین مرتبة آن را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نیز به دو قسمِ واحد و متواتر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خبری را گویند که تعداد راویان یک حدیث در هر عصر، از عصر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به اندازه‌ای باشد که تبانی بر کذبِ آن تعداد، عادتاً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خبری معمولاً علم و یقین را برای مخاطب خود به ارمغان می‌آورد؛ اما خبرِ واحد فاقد چنین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راویان در هر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البته این نوع خبر هم خود به دوقسم در اختیار ما قرار می‌گیرد، گاه انواع قرائنِ مؤید، معرفت‌بخشیِ این خبر را تا مرحلة یقین ارتقا می‌دهد و به اصطلاح می‌گویند خبر واحد محفوف به قرائنِ قطعیه است که در این صورت باز مخاطب به ساحلِ امنِ یقین رسیده‌است؛ اما قسم دیگری از خبر واحد فاقد همراهیِ چنین قرائنی است و این قسم، همان است که موضوع این نوشتار است، به عبارت دیگر می‌خواهیم بدانیم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خالی از قرائنِ قطعیه، به‌تنهایی، تا چه حدّ می‌تواند معرفت‌زایی داشته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حد از معرفت در مباحث اعتقادی چه مقدار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معرفتِ حاصل از خبر واحد در دو مقولة ثبوت و اثبات قابل پیگیری است، گاه کسی مبتلا به بیماریِ زودباوری است و بدون طی کردن مقدمات لازم و متعارف، ظن به معرفتی خاص پیدا می‌کند؛ ازاین‌رو بررسی مقدمات لازم برای رسیدن به ظن متعارف ضروری است و این همان ظن در مرحلة 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نوشتارِحاضر مرحلة ثبوت و تحققِ ظن بررسی می‌شود تا برسیم به آنجا که اگر ظن ثبوتاً حاصل شد، اعتبار و حجیتِ معرفت‌بخشیِ آن از نظر ادلة نقلی و عقلی چگونه است؟</w:t>
      </w:r>
      <w:bookmarkStart w:id="512" w:name="pg5825_38459"/>
    </w:p>
    <w:p>
      <w:pPr>
        <w:pStyle w:val="Heading3"/>
        <w:numPr>
          <w:ilvl w:val="2"/>
          <w:numId w:val="1"/>
        </w:numPr>
        <w:rPr/>
      </w:pPr>
      <w:bookmarkStart w:id="513" w:name="__RefHeading___Toc4623699_581953129"/>
      <w:bookmarkStart w:id="514" w:name="_Toc196"/>
      <w:bookmarkEnd w:id="512"/>
      <w:bookmarkEnd w:id="513"/>
      <w:r>
        <w:rPr>
          <w:rtl w:val="true"/>
        </w:rPr>
        <w:t>اعتبار معرفتی خبر واحد در مرحلة ثبوت</w:t>
      </w:r>
      <w:bookmarkEnd w:id="514"/>
    </w:p>
    <w:p>
      <w:pPr>
        <w:pStyle w:val="Heading4"/>
        <w:numPr>
          <w:ilvl w:val="3"/>
          <w:numId w:val="1"/>
        </w:numPr>
        <w:rPr/>
      </w:pPr>
      <w:bookmarkStart w:id="515" w:name="__RefHeading___Toc4623701_581953129"/>
      <w:bookmarkStart w:id="516" w:name="_Toc197"/>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می‌دانیم که قرآن، حدیث و عقل سه منبع در فهمِ معارف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عقلیّات، در کلام شیعی اعتبار ندارد و ادلة محکم و قاطعی بر خودداری از قوالب مختلفِ ظنی همچون قیاس واستحسان،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محل بحث وگفت‌وگوست، ظن‌های حاصل از قرآن و حدیث است؛ ازاین‌رو نکاتی را دربارة ثبوت و تحققِ ظن از قرآن وحدیث،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دینی تا رسیدن به مرتبة زایشِ معرفتی، باید سه مرحلة مهم را طی کنند</w:t>
      </w:r>
      <w:r>
        <w:rPr>
          <w:rFonts w:eastAsia="IRNazanin" w:cs="IRNazanin"/>
          <w:color w:val="111111"/>
          <w:sz w:val="28"/>
          <w:szCs w:val="28"/>
          <w:rtl w:val="true"/>
          <w:lang w:bidi="fa-IR"/>
        </w:rPr>
        <w:t>.</w:t>
      </w:r>
    </w:p>
    <w:p>
      <w:pPr>
        <w:pStyle w:val="Heading4"/>
        <w:numPr>
          <w:ilvl w:val="3"/>
          <w:numId w:val="1"/>
        </w:numPr>
        <w:rPr/>
      </w:pPr>
      <w:bookmarkStart w:id="517" w:name="__RefHeading___Toc4623703_581953129"/>
      <w:bookmarkStart w:id="518" w:name="_Toc198"/>
      <w:bookmarkEnd w:id="517"/>
      <w:r>
        <w:rPr>
          <w:rtl w:val="true"/>
        </w:rPr>
        <w:t>ظن در مرحلة صدور</w:t>
      </w:r>
      <w:bookmarkEnd w:id="518"/>
    </w:p>
    <w:p>
      <w:pPr>
        <w:pStyle w:val="BookText"/>
        <w:rPr/>
      </w:pPr>
      <w:r>
        <w:rPr>
          <w:rFonts w:ascii="IRNazanin" w:hAnsi="IRNazanin" w:eastAsia="IRNazanin"/>
          <w:color w:val="111111"/>
          <w:sz w:val="28"/>
          <w:sz w:val="28"/>
          <w:szCs w:val="28"/>
          <w:rtl w:val="true"/>
          <w:lang w:bidi="fa-IR"/>
        </w:rPr>
        <w:t>مرحلة نخست صدور است که مشخص می‌کند که آیا این سخن از خداوند متعال یا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یا نه؟ همان‌طورکه گفتیم متن نقل‌شده ابتدا به دو قسمِ واحد و متواتر تقسیم می‌شود و سپس خبر واحد یا همراه قرائن قطعیه است وگاه بدون قرائنِ قطعیه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قسم مذکور، قرآن در قسم متواترها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موجود نشان می‌دهد که قرآن در هر عصری بیشترین ناقل و راوی را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بیشتر را می‌توان در کتاب‌ها و مقالات مربوط به علوم و تاریخ قرآن پیگیری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 قرآن، برخی از احادیث هم متواترند؛ اما بسیاری از احادیث در گروه اخبار واحد قرار دارند و از میان آنها بسیاری، خبر واحدِ بدون قرائن قطعیه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مرحله نسبت به صدور روایت قطع یا ظن پیدا می‌کند، باید اطلاع کافی از سرگذشت و تاریخ حدیث و راویانِ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یکی از کتب روایی را باز می‌کند و روایتی را می‌بیند و بدون اطلاع از ماجراها و دسیسه‌های گوناگون در طول تاریخ ِحدیث، گمان به صحتِ صدورِ هر خبری می‌کند، این گمان از روی بی‌خبری است و حجت بودن آن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 و رجال نشان از جعل‌ها و افترا بستن‌های بی‌شمار به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مثلاً سید مرتضی اعترافِ ابوالعوجاء را در آخرین لحظات زندگی‌اش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کتاب‌های شما چهار هزار حدیث ساختگی قرار دادم</w:t>
      </w:r>
      <w:r>
        <w:rPr>
          <w:rFonts w:eastAsia="IRNazanin" w:cs="IRNazanin"/>
          <w:color w:val="111111"/>
          <w:sz w:val="28"/>
          <w:szCs w:val="28"/>
          <w:rtl w:val="true"/>
          <w:lang w:bidi="fa-IR"/>
        </w:rPr>
        <w:t>»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داستان حدیث از جهت صدور، بهتر است سخنی از علامة بهبهانی نقل کنیم، ایشان در مقابل اخباری که ادعایِ علمی بودنِ صدور اخبار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امروزه نیز چنین ادعاهایی تداوم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از روایت غیر معصوم علم حاصل نمی‌شود، مگر اینکه دلیل دیگری آن را ثابت کند تا منجر به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نبودنِ راوی مانع از حصول علم است؛ چرا که یک نفر غیر معصوم احتمالِ خطا در او می‌رود و اگر بپذیریم که عمداً دروغ نمی‌گوید، اما غفلت و اشتباه در او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اخبار متواتر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کذّابین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من دروغ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وارد شده که همة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کذّابینی داشته‌اند که بر آنان دروغ می‌بستند و وارد شده که مغیره و اباخطاب در میان کتب اصحاب خود احادیثی گذاشته‌اند که خود اصحاب آن احادیث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وضع ِیک غیر معصوم این گونه است، وضعِ جماعتی از راویان غیر معصوم که یکی از دیگری حدیث گرفته، چگونه خواهد بود؟ علاوه بر آن، سه محمد معروف که در عظمت، عدالت و خُبرگی آنها شکّی نیست، اشتباه‌ها و غفلت‌های زیادی از ایشان مشاهده می‌شود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اینان به روایت دیگری علم نداشت و خود روایتش را گزینش کرده و چه بسا که روایت دیگری را رد کرده‌است، اینها را ما خود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قدیمی و متأخر دیگر نیز با اینکه مهارت داشتند و زمانشان به محمدهای سه گانه و دیگر راویان نزدیک بود؛ اما نسبت به روایات هیچ یک ازآنها، علم نداشتند پس در این صورت ما چه موضعی در برابر اخبار می‌توانیم داشته باشیم؟</w:t>
      </w:r>
      <w:r>
        <w:rPr>
          <w:rFonts w:eastAsia="IRNazanin" w:cs="IRNazanin"/>
          <w:color w:val="111111"/>
          <w:sz w:val="28"/>
          <w:szCs w:val="28"/>
          <w:rtl w:val="true"/>
          <w:lang w:bidi="fa-IR"/>
        </w:rPr>
        <w:t>»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شیخ یوسف بحرانی که از سرانِ اخباریون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اخباریون در عمل کردن به اخبار نسبت به اصولیون فراخ‌تر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شیخ طوسی در مورد بسیاری از اخباری که در دو کتاب روایی جمع نموده، خرده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بویژه در کتاب التهذیب، در متن و سند احادیث دچار ِاشتباه، غفلت و تحریف و نقصان شده است و کمتر خبری است که چنین ایرادی نداشته باشد ما این مطلب را در موارد بی‌شماری یافته‌ایم و کمتر حدیثی است که از این نواقص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نتیجة کتاب‌ها و مقالات نوشته‌شده دربارة نحوة جمع‌آوری و تدوین احادیث، و انگیزه‌های مختلف جعل و تحریف و اشتباهات مختلف کشف‌شده، این است که خبر واحد بدونِ قرائنِ علم‌آور، بیش از گمانِ به صدور دلالت نمی‌کند و حتی چه بسا اخبار واحدی که در حد گمان نیز معرفت‌زایی نداشته باشند</w:t>
      </w:r>
      <w:r>
        <w:rPr>
          <w:rFonts w:eastAsia="IRNazanin" w:cs="IRNazanin"/>
          <w:color w:val="111111"/>
          <w:sz w:val="28"/>
          <w:szCs w:val="28"/>
          <w:rtl w:val="true"/>
          <w:lang w:bidi="fa-IR"/>
        </w:rPr>
        <w:t xml:space="preserve">. </w:t>
      </w:r>
      <w:bookmarkStart w:id="519" w:name="pg5825_38462"/>
    </w:p>
    <w:p>
      <w:pPr>
        <w:pStyle w:val="BookText"/>
        <w:rPr/>
      </w:pPr>
      <w:bookmarkEnd w:id="519"/>
      <w:r>
        <w:rPr>
          <w:rFonts w:ascii="IRNazanin" w:hAnsi="IRNazanin" w:eastAsia="IRNazanin"/>
          <w:color w:val="111111"/>
          <w:sz w:val="28"/>
          <w:sz w:val="28"/>
          <w:szCs w:val="28"/>
          <w:rtl w:val="true"/>
          <w:lang w:bidi="fa-IR"/>
        </w:rPr>
        <w:t>در صفحات بعدی، در بحث علت تمسک به ظن و خبر واحد برخی از ماجراهای مربوط به جعل و تحریف احادیث را بیان خواهیم کرد تا ببینید که حتی ظن‌آور بودن بسیاری از اخبار مشکوک است</w:t>
      </w:r>
      <w:r>
        <w:rPr>
          <w:rFonts w:eastAsia="IRNazanin" w:cs="IRNazanin"/>
          <w:color w:val="111111"/>
          <w:sz w:val="28"/>
          <w:szCs w:val="28"/>
          <w:rtl w:val="true"/>
          <w:lang w:bidi="fa-IR"/>
        </w:rPr>
        <w:t>.</w:t>
      </w:r>
    </w:p>
    <w:p>
      <w:pPr>
        <w:pStyle w:val="Heading4"/>
        <w:numPr>
          <w:ilvl w:val="3"/>
          <w:numId w:val="1"/>
        </w:numPr>
        <w:rPr/>
      </w:pPr>
      <w:bookmarkStart w:id="520" w:name="__RefHeading___Toc4623705_581953129"/>
      <w:bookmarkStart w:id="521" w:name="_Toc199"/>
      <w:bookmarkEnd w:id="520"/>
      <w:r>
        <w:rPr>
          <w:rtl w:val="true"/>
        </w:rPr>
        <w:t>ظن در مرحلة دلالت</w:t>
      </w:r>
      <w:bookmarkEnd w:id="521"/>
    </w:p>
    <w:p>
      <w:pPr>
        <w:pStyle w:val="BookText"/>
        <w:rPr/>
      </w:pPr>
      <w:r>
        <w:rPr>
          <w:rFonts w:ascii="IRNazanin" w:hAnsi="IRNazanin" w:eastAsia="IRNazanin"/>
          <w:color w:val="111111"/>
          <w:sz w:val="28"/>
          <w:sz w:val="28"/>
          <w:szCs w:val="28"/>
          <w:rtl w:val="true"/>
          <w:lang w:bidi="fa-IR"/>
        </w:rPr>
        <w:t>مرحلة دوم، روشن شدنِ دلالتِ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حدیث به‌طور صد در صد بر معنای خود دلالت دارد که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گاه تنها ظهور در معنای خود دارد؛ یعنی احتمال معنای دیگر منتفی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دلالت روایت بر معنا ظنی خواهد بود و می‌دانیم که بیشتر آیات و روایات در دلالت خود ظنی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قراین بسیاری در یافتن معنای واقعی دخیل بوده‌اند، همچون فضا یا مخاطب خاص که به دست ما نرسیده‌اند و گاه حتی قراین غیرواقعی با گذشت زمان ایجاد شده که باعث انحراف در معنای حدیث می‌شود، مرحوم بهبهانی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ممکن است قرینه در اثرِ حادثه‌ای درست شده باشد؛ مثلاً تقطیعِ احادیث؛ زیرا همة احادیث از اصول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اصول چهارصدگانة احادیث شیعه است که قبل از کتب اربعه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تقطیع‌شده است یا قرینه‌ای از توهّمِ راوی، یا نسخه‌نویسان و یا از عوض شدنِ مجلس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باشد و چگونه می‌توان دانست که چنین قرینه‌هایی ایجاد نشده‌است؟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معنایِ روایت بدون هرگونه قرینه نیازمند رجوع به لغت و اصطلاح شارع است و مراد از اصطلاحِ شارع، اصطلاحِ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آنچه در میان متشرع رواج یافته‌است و همه می‌دانیم که در بسیاری از موارد نمی‌توان به‌طور قاطع به معنای لغوی و اصطلاح شارع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برای یافتنِ معنای مورد نظر شارع مراحلِ زیادی باید طی نمود و در نهایت چیزی بیش از ظن به آن معنا حاصل نخواهد شد، همین‌طور در علاجِ دو خبر متعارض مراجعه به اعدل و افقه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ظن قابلِ اجراست؛ چراکه شناخت قطعیِ این اوصاف اگر محال نباشد نزدیک به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22" w:name="__RefHeading___Toc4623707_581953129"/>
      <w:bookmarkStart w:id="523" w:name="_Toc200"/>
      <w:bookmarkEnd w:id="522"/>
      <w:r>
        <w:rPr>
          <w:rtl w:val="true"/>
        </w:rPr>
        <w:t>ظن در مرحلة جهت صدور</w:t>
      </w:r>
      <w:bookmarkEnd w:id="523"/>
    </w:p>
    <w:p>
      <w:pPr>
        <w:pStyle w:val="Heading5"/>
        <w:numPr>
          <w:ilvl w:val="4"/>
          <w:numId w:val="1"/>
        </w:numPr>
        <w:rPr/>
      </w:pPr>
      <w:bookmarkStart w:id="524" w:name="__RefHeading___Toc4623709_581953129"/>
      <w:bookmarkStart w:id="525" w:name="_Toc201"/>
      <w:bookmarkEnd w:id="524"/>
      <w:r>
        <w:rPr>
          <w:rtl w:val="true"/>
        </w:rPr>
        <w:t>اشاره</w:t>
      </w:r>
      <w:bookmarkEnd w:id="5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سوم، جهت صدور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همة آنچه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برای بیان حکم </w:t>
      </w:r>
      <w:bookmarkStart w:id="526" w:name="pg5825_38464"/>
    </w:p>
    <w:p>
      <w:pPr>
        <w:pStyle w:val="BookText"/>
        <w:rPr/>
      </w:pPr>
      <w:bookmarkEnd w:id="526"/>
      <w:r>
        <w:rPr>
          <w:rFonts w:ascii="IRNazanin" w:hAnsi="IRNazanin" w:eastAsia="IRNazanin"/>
          <w:color w:val="111111"/>
          <w:sz w:val="28"/>
          <w:sz w:val="28"/>
          <w:szCs w:val="28"/>
          <w:rtl w:val="true"/>
          <w:lang w:bidi="fa-IR"/>
        </w:rPr>
        <w:t>شرعی یا عقیده ای واقعی بوده‌است، یا اینکه پشت سر برخی از آنها علل و انگیزه‌های دیگری بوده، به گونه‌ای که گاه نمی‌توانیم بیان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حکم یا عقیده دینی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چند احتمال مطرح‌شده را یادآور می‌شویم</w:t>
      </w:r>
      <w:r>
        <w:rPr>
          <w:rFonts w:eastAsia="IRNazanin" w:cs="IRNazanin"/>
          <w:color w:val="111111"/>
          <w:sz w:val="28"/>
          <w:szCs w:val="28"/>
          <w:rtl w:val="true"/>
          <w:lang w:bidi="fa-IR"/>
        </w:rPr>
        <w:t>:</w:t>
      </w:r>
    </w:p>
    <w:p>
      <w:pPr>
        <w:pStyle w:val="Heading5"/>
        <w:numPr>
          <w:ilvl w:val="4"/>
          <w:numId w:val="1"/>
        </w:numPr>
        <w:rPr/>
      </w:pPr>
      <w:bookmarkStart w:id="527" w:name="__RefHeading___Toc4623711_581953129"/>
      <w:bookmarkStart w:id="528" w:name="_Toc202"/>
      <w:bookmarkEnd w:id="527"/>
      <w:r>
        <w:rPr>
          <w:rtl w:val="true"/>
        </w:rPr>
        <w:t>الف</w:t>
      </w:r>
      <w:r>
        <w:rPr>
          <w:rtl w:val="true"/>
        </w:rPr>
        <w:t xml:space="preserve">) </w:t>
      </w:r>
      <w:r>
        <w:rPr>
          <w:rtl w:val="true"/>
        </w:rPr>
        <w:t>تقیه</w:t>
      </w:r>
      <w:bookmarkEnd w:id="528"/>
    </w:p>
    <w:p>
      <w:pPr>
        <w:pStyle w:val="BookText"/>
        <w:rPr/>
      </w:pPr>
      <w:r>
        <w:rPr>
          <w:rFonts w:ascii="IRNazanin" w:hAnsi="IRNazanin" w:eastAsia="IRNazanin"/>
          <w:color w:val="111111"/>
          <w:sz w:val="28"/>
          <w:sz w:val="28"/>
          <w:szCs w:val="28"/>
          <w:rtl w:val="true"/>
          <w:lang w:bidi="fa-IR"/>
        </w:rPr>
        <w:t>مروری بر تاریخ زندگی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تا بدانیم که بسیاری از آن بزرگان، در بسیاری از عمر شریف خود، نمی‌توانستند همة واقعیات مربوط به دین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حاکمان جور و طرفداری آنان از فکر و عقیده‌ای خاص، مانع از ابراز حقایق به‌وسیلة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جا که مجبور به اظهار نظر می‌شدند، برای رعایت مصالح مهم‌تر، طوری سخن می‌گفتند که منافات با نظریة حاکمیت نباشد و گاه برای حفظ جان خود و شیعیان نمی‌خواستند که شیعیان بر یک نظر اتفاق‌نظر داشته باشند؛ چراکه در این صورت به‌آسانی شناخته شده، مورد اذیت و آزار قرار می‌گرفتند؛ مثلاً زراره در حدیثی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مطرح کردم و حضرت پاسخ داد، سپس مردی وارد شد و همان سؤال را از حضرت پرسید و ایشان پاسخی متفاوت دادند، فرد دیگری آمد و همان سؤال را پرسید و حضرت پاسخی متفاوت از دو پاسخ اول دادند، بعد از آنکه آن دو رفتند عرض کردم که دو مرد از شیعیان عراق پیش شما می‌آیند و شما به هر کدام پاسخی غیر از آن پاسخی که به دیگری دادید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زراره، این کار برای ما بهتر است و برای حفظ و بقای ما و شما مناسب است اگر شما بر یک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کنید، آنگاه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هدف خود قرار می‌دهند و بقای ما و شما کوتاه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حر عاملی در کتاب وسائل‌الشیعه بابی را باز کرده و احادیثی راجع به اهتمام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تقیه و توصیة اصحاب به آن نقل فرموده‌است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هر حدیثی که به دست ما می‌رسد باید از لحاظ تقیه‌ای بودن یا نبودن، بررسی شود</w:t>
      </w:r>
      <w:r>
        <w:rPr>
          <w:rFonts w:eastAsia="IRNazanin" w:cs="IRNazanin"/>
          <w:color w:val="111111"/>
          <w:sz w:val="28"/>
          <w:szCs w:val="28"/>
          <w:rtl w:val="true"/>
          <w:lang w:bidi="fa-IR"/>
        </w:rPr>
        <w:t>.</w:t>
      </w:r>
    </w:p>
    <w:p>
      <w:pPr>
        <w:pStyle w:val="Heading5"/>
        <w:numPr>
          <w:ilvl w:val="4"/>
          <w:numId w:val="1"/>
        </w:numPr>
        <w:rPr/>
      </w:pPr>
      <w:bookmarkStart w:id="529" w:name="__RefHeading___Toc4623713_581953129"/>
      <w:bookmarkStart w:id="530" w:name="_Toc203"/>
      <w:bookmarkEnd w:id="529"/>
      <w:r>
        <w:rPr>
          <w:rtl w:val="true"/>
        </w:rPr>
        <w:t>ب</w:t>
      </w:r>
      <w:r>
        <w:rPr>
          <w:rtl w:val="true"/>
        </w:rPr>
        <w:t xml:space="preserve">) </w:t>
      </w:r>
      <w:r>
        <w:rPr>
          <w:rtl w:val="true"/>
        </w:rPr>
        <w:t>تفاوت گذاشتن بین کارهای عادی و طبیعی معصوم</w:t>
      </w:r>
      <w:r>
        <w:rPr>
          <w:rtl w:val="true"/>
        </w:rPr>
        <w:t>(</w:t>
      </w:r>
      <w:r>
        <w:rPr>
          <w:rtl w:val="true"/>
        </w:rPr>
        <w:t>ع</w:t>
      </w:r>
      <w:r>
        <w:rPr>
          <w:rtl w:val="true"/>
        </w:rPr>
        <w:t xml:space="preserve">) </w:t>
      </w:r>
      <w:r>
        <w:rPr>
          <w:rtl w:val="true"/>
        </w:rPr>
        <w:t>و کارهای دیگر</w:t>
      </w:r>
      <w:bookmarkEnd w:id="53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افعال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سخنانشان برای ما حجت است و وقتی فعلی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اخبار به ما رسید، آن فعل برای ما وجه و جهت دینی پیدا می‌کند؛ مثلاً </w:t>
      </w:r>
      <w:bookmarkStart w:id="531" w:name="pg5825_38466"/>
    </w:p>
    <w:p>
      <w:pPr>
        <w:pStyle w:val="BookText"/>
        <w:rPr/>
      </w:pPr>
      <w:bookmarkEnd w:id="531"/>
      <w:r>
        <w:rPr>
          <w:rFonts w:ascii="IRNazanin" w:hAnsi="IRNazanin" w:eastAsia="IRNazanin"/>
          <w:color w:val="111111"/>
          <w:sz w:val="28"/>
          <w:sz w:val="28"/>
          <w:szCs w:val="28"/>
          <w:rtl w:val="true"/>
          <w:lang w:bidi="fa-IR"/>
        </w:rPr>
        <w:t>اگر از طریق اخبار معلوم شد که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مسواک می‌زدند، این فعل آنان به ما می‌فهماند که این کار، حتی اگر واجب هم نباشد لااقل رجحان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آیا همة افعال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شرعی دارد یا اینکه بعضی از افعال مربوط به طبیعت و عادت معصوم به‌عنوان انسان است؛ مثلاً اگر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خاصی استراحت می‌کرده، آیا این کار جهتی دینی دارد یا مربوط به عادت شخصی ایشان است؟</w:t>
      </w:r>
    </w:p>
    <w:p>
      <w:pPr>
        <w:pStyle w:val="BookText"/>
        <w:rPr/>
      </w:pPr>
      <w:r>
        <w:rPr>
          <w:rFonts w:ascii="IRNazanin" w:hAnsi="IRNazanin" w:eastAsia="IRNazanin"/>
          <w:color w:val="111111"/>
          <w:sz w:val="28"/>
          <w:sz w:val="28"/>
          <w:szCs w:val="28"/>
          <w:rtl w:val="true"/>
          <w:lang w:bidi="fa-IR"/>
        </w:rPr>
        <w:t>سید مرتضی بعد از بحث دربارۀ تأسی به افعال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ما درباره تأسی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کردیم در افعال عبادی و نظیر عبادات است، اما مباحاتی که جزء کارهای شخصی اوست، مانند خوردن وخوابیدن، از این حوزه خارج است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بعدی این است که اگر نتوانستیم جهت فعل امام را تشخیص دهیم، آیا می‌توانیم آن فعل را دینی بدانیم؟</w:t>
      </w:r>
    </w:p>
    <w:p>
      <w:pPr>
        <w:pStyle w:val="BookText"/>
        <w:rPr/>
      </w:pPr>
      <w:r>
        <w:rPr>
          <w:rFonts w:ascii="IRNazanin" w:hAnsi="IRNazanin" w:eastAsia="IRNazanin"/>
          <w:color w:val="111111"/>
          <w:sz w:val="28"/>
          <w:sz w:val="28"/>
          <w:szCs w:val="28"/>
          <w:rtl w:val="true"/>
          <w:lang w:bidi="fa-IR"/>
        </w:rPr>
        <w:t>برخی از عالمان دو جهتی بودن افعال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پیامبر همچون سخنان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طبیعی یا شرعی بودن فعل او معلوم نباشد، آیا به‌دلیل اصل عدم تشریع، فعل طبیعی محسوب می‌شود یا به این دلیل که پیامبر برای بیان شرع مبعوث شده، فعل شرعی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نیز تأسی به افعال پیامبر را منحصر به افعال شرعی دانسته است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دو وجهی بودن فعل معصوم را میرزای قمی نیز مطرح کرده‌است و موارد مشکوک را مستحب دانسته‌است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اگر کسی به صرف اینکه احتمال می‌دهد فلان فعل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شرعی داشته‌است، از فعل او تبعیت کند، پاداش الهی نصیب او خواهد شد؛ اما در بُعد اعتقادی نمی‌توان معتقد به دینی بودن این فعل شد و به تعبیر دیگر نمی‌توان حکم به مطلوب بودن آن نزد خداوند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اخبار در صورتی از دینی بودن افعال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می‌دهند که وجه شرعی فعل آنان روشن شود</w:t>
      </w:r>
      <w:r>
        <w:rPr>
          <w:rFonts w:eastAsia="IRNazanin" w:cs="IRNazanin"/>
          <w:color w:val="111111"/>
          <w:sz w:val="28"/>
          <w:szCs w:val="28"/>
          <w:rtl w:val="true"/>
          <w:lang w:bidi="fa-IR"/>
        </w:rPr>
        <w:t>.</w:t>
      </w:r>
    </w:p>
    <w:p>
      <w:pPr>
        <w:pStyle w:val="Heading5"/>
        <w:numPr>
          <w:ilvl w:val="4"/>
          <w:numId w:val="1"/>
        </w:numPr>
        <w:rPr/>
      </w:pPr>
      <w:bookmarkStart w:id="532" w:name="__RefHeading___Toc4623715_581953129"/>
      <w:bookmarkStart w:id="533" w:name="_Toc204"/>
      <w:bookmarkEnd w:id="532"/>
      <w:r>
        <w:rPr>
          <w:rtl w:val="true"/>
        </w:rPr>
        <w:t>ج</w:t>
      </w:r>
      <w:r>
        <w:rPr>
          <w:rtl w:val="true"/>
        </w:rPr>
        <w:t xml:space="preserve">) </w:t>
      </w:r>
      <w:r>
        <w:rPr>
          <w:rtl w:val="true"/>
        </w:rPr>
        <w:t>جدا کردن اخبار تبلیغی، اخبار حکومتی و قضایی</w:t>
      </w:r>
      <w:bookmarkEnd w:id="533"/>
    </w:p>
    <w:p>
      <w:pPr>
        <w:pStyle w:val="BookText"/>
        <w:rPr/>
      </w:pPr>
      <w:r>
        <w:rPr>
          <w:rFonts w:ascii="IRNazanin" w:hAnsi="IRNazanin" w:eastAsia="IRNazanin"/>
          <w:color w:val="111111"/>
          <w:sz w:val="28"/>
          <w:sz w:val="28"/>
          <w:szCs w:val="28"/>
          <w:rtl w:val="true"/>
          <w:lang w:bidi="fa-IR"/>
        </w:rPr>
        <w:t>سخنان و افعال صادرشده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گروه قرار می‌گیرند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آموزه‌ای دینی را برای مردم بیان می‌کنند؛ مانند آنجا که وجوب نماز و روزه را به </w:t>
      </w:r>
    </w:p>
    <w:p>
      <w:pPr>
        <w:pStyle w:val="BookText"/>
        <w:rPr/>
      </w:pPr>
      <w:r>
        <w:rPr>
          <w:rFonts w:ascii="IRNazanin" w:hAnsi="IRNazanin" w:eastAsia="IRNazanin"/>
          <w:color w:val="111111"/>
          <w:sz w:val="28"/>
          <w:sz w:val="28"/>
          <w:szCs w:val="28"/>
          <w:rtl w:val="true"/>
          <w:lang w:bidi="fa-IR"/>
        </w:rPr>
        <w:t>مردم اعلام می‌کنند؛ گاه شأن امامت وحاکمیت آنان اقتضا می‌کند که سخن یا رفتاری خاص بکنند؛ مانند جهاد یا تصرف در بیت‌المال و گاه منصب قضاوت، آنان را به قضاوت بین مردم وامی‌دارد؛ مانند داوری‌هایی که آنان بین طرفین دعوا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این سه در کلمات عالمان دین بیان شده‌است، شهید اول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پیامبر گاهی ابلاغ دین است که فتوی نامیده می‌شود وگاه با شأن امامت است؛ مانند جهاد کردن و به‌کارگیری بیت‌المال و گاه با قضاوت است؛ مانند داوری کردن بین مدّعیان به‌وسیلة بیّنه، قسم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شهید اول، میرزای قمی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نائینی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امام‌خمینی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صدر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مطهری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تفکیک را به اشکال گوناگون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تبلیغ دین به ما می‌رسد، باور و عمل به آن لازم است؛ اما آنچه به‌عنوان حاکم یا قاضی از آنان صادر شده، امروزه نمی‌تواند به‌عنوان حکم دینی و شرعی ثابت ملاک عمل ما قرار گیرد و نمی‌توانیم آن را به‌عنوان آموزة دینی ثابت باور کنیم؛ چراکه حکم حاکم یا قضاوت قاضی با توجه به شرایط و موقیعت خاص صورت می‌گیرد و شرایط گوناگون می‌تواند حکم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صدر در این مورد گویاست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قوانینی که از ناحیة پیامبر برای پر کردن منطقه الفراغ دین به‌عنوان ولی امر صادر شده، قانون همیشگی نیست؛ زیرا اینها از پیامبر به‌عنوان مبلغ حکم ثابت سر نزده؛ بلکه ناشی از منصب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چنین دستورهایی را نباید جزء نظریه های ثابت اقتصادی اسلام شمرد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مثال خوبی برای این موضوع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اجازه نداد که مردم مدینه از رسیدن آب اضافی خود به دیگران جلوگیری کنند، می‌توان این را حکم ثابت دائمی دینی به حساب آورد و می‌شود آن را دستوری ویژه برای شرایط خاص دانست و این دو گونه برداشت، ریشه در این دارند که پیامبر را مبلغ حکم خدا در این واقعه بدانیم یا زعیم و رهبر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تفکیک فوق در مرحلة اول مربوط به علم فقه است؛ اما همان‌طورکه در نوشتاری دیگر به تفصیل بیان کردیم، گزاره‌های فقهی هم بُعد اعتقادی دارند و بخشی از باورهای دینی ما از همین احکام فقهی شکل می‌گیرد و سخن ما نیز در این نوشتار بُعد </w:t>
      </w:r>
      <w:bookmarkStart w:id="534" w:name="pg5825_38469"/>
    </w:p>
    <w:p>
      <w:pPr>
        <w:pStyle w:val="BookText"/>
        <w:rPr/>
      </w:pPr>
      <w:bookmarkEnd w:id="534"/>
      <w:r>
        <w:rPr>
          <w:rFonts w:ascii="IRNazanin" w:hAnsi="IRNazanin" w:eastAsia="IRNazanin"/>
          <w:color w:val="111111"/>
          <w:sz w:val="28"/>
          <w:sz w:val="28"/>
          <w:szCs w:val="28"/>
          <w:rtl w:val="true"/>
          <w:lang w:bidi="fa-IR"/>
        </w:rPr>
        <w:t>معرفت‌بخشی احادیث است</w:t>
      </w:r>
      <w:r>
        <w:rPr>
          <w:rFonts w:eastAsia="IRNazanin" w:cs="IRNazanin"/>
          <w:color w:val="111111"/>
          <w:sz w:val="28"/>
          <w:szCs w:val="28"/>
          <w:rtl w:val="true"/>
          <w:lang w:bidi="fa-IR"/>
        </w:rPr>
        <w:t>.</w:t>
      </w:r>
    </w:p>
    <w:p>
      <w:pPr>
        <w:pStyle w:val="Heading5"/>
        <w:numPr>
          <w:ilvl w:val="4"/>
          <w:numId w:val="1"/>
        </w:numPr>
        <w:rPr/>
      </w:pPr>
      <w:bookmarkStart w:id="535" w:name="__RefHeading___Toc4623717_581953129"/>
      <w:bookmarkStart w:id="536" w:name="_Toc205"/>
      <w:bookmarkEnd w:id="535"/>
      <w:r>
        <w:rPr>
          <w:rtl w:val="true"/>
        </w:rPr>
        <w:t>د</w:t>
      </w:r>
      <w:r>
        <w:rPr>
          <w:rtl w:val="true"/>
        </w:rPr>
        <w:t xml:space="preserve">) </w:t>
      </w:r>
      <w:r>
        <w:rPr>
          <w:rtl w:val="true"/>
        </w:rPr>
        <w:t>جدا کردن اوامر مولوی از ارشادی</w:t>
      </w:r>
      <w:bookmarkEnd w:id="536"/>
    </w:p>
    <w:p>
      <w:pPr>
        <w:pStyle w:val="BookText"/>
        <w:rPr/>
      </w:pPr>
      <w:r>
        <w:rPr>
          <w:rFonts w:ascii="IRNazanin" w:hAnsi="IRNazanin" w:eastAsia="IRNazanin"/>
          <w:color w:val="111111"/>
          <w:sz w:val="28"/>
          <w:sz w:val="28"/>
          <w:szCs w:val="28"/>
          <w:rtl w:val="true"/>
          <w:lang w:bidi="fa-IR"/>
        </w:rPr>
        <w:t>گاه خداوند از جایگاه مولا و شارع و رب دستور صادر می‌کند، در این صورت انسان‌ها موظف هستند که دستور او را اطاعت کنند و اگر اطاعت نکنند، متخلف وگناهکار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به نماز گزاردن، روزه گرفتن و حج به جا آوردن و یا مشروب نخوردن و ترک ربا، از این قبیل دستورهاست، ولی گاهی هم، چون خداوند مصالح انسان‌ها را بهتر از همه می‌داند، ما را ارشاد می‌کند که اگر می‌خواهید به فلان مصلحت دنیوی یا اخروی برسید، این گونه عمل کنید همان‌طورکه پزشک دستورهایی به بیمار می‌دهد تا سلامت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عمل نکردن بیمار به دستورهای پزشک مجازاتی جز نرسیدن یا دیر رسیدن به سلامت ندارد، تخلف از دستورهای ارشادی خداوند هم مجازاتی جز نرسیدن به مصلحت مورد نظر خداوند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گرچه در اصول فقه مطرح می‌شود تا فقیه بداند که از کدام امر و نهی، واجب و حرام استخراج کند و از کدام یک تنها ارشاد به مصلحت را بفهمد؛ اما در بحث‌های کلامی نیز هنگام رجوع به آیات و روایات، تفکیک آن دو از هم لازم است؛ مثلاً متکلم باید بداند که نهی خداوند از میوة آن درخت در بهشت، نهی مولوی نیست تا در نتیجه‌گیری کلامی دچار اشتباه نشود و مثلاً عصمت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شعرانی مثال دیگری در این باب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مناسب برای دستور ارشادی، جریان علان کلینی داییِ شیخ ابوجعفر صاحب کتابِ کافی است، او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که حج بگزارد، حضرت اجازه نداد؛ اما او راهی شد و در سفر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اشکال می‌کنند که با این معصیت چطور اهل رجال او را توثیق می‌کنند، پاسخ آن است که نهی حضرت ارشادی بوده‌است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بر هر دین‌شناس لازم است که دستورهای ارشادی و مولوی را از هم تشخیص بدهد که در غیر این صورت از رأی و فکر صحیح دور خواهد شد و اعتبار ظن به شرعی و دینی بودن محتوای یک خبر، مشروط به آن است که ظن‌کننده دستور ارشادی را از مولوی بازشناسد و این نکته را در معنا کردن آیه و حدیث به کار گیرد</w:t>
      </w:r>
      <w:r>
        <w:rPr>
          <w:rFonts w:eastAsia="IRNazanin" w:cs="IRNazanin"/>
          <w:color w:val="111111"/>
          <w:sz w:val="28"/>
          <w:szCs w:val="28"/>
          <w:rtl w:val="true"/>
          <w:lang w:bidi="fa-IR"/>
        </w:rPr>
        <w:t xml:space="preserve">. </w:t>
      </w:r>
      <w:bookmarkStart w:id="537" w:name="pg5825_38471"/>
    </w:p>
    <w:p>
      <w:pPr>
        <w:pStyle w:val="Heading5"/>
        <w:numPr>
          <w:ilvl w:val="4"/>
          <w:numId w:val="1"/>
        </w:numPr>
        <w:rPr/>
      </w:pPr>
      <w:bookmarkStart w:id="538" w:name="__RefHeading___Toc4623719_581953129"/>
      <w:bookmarkStart w:id="539" w:name="_Toc206"/>
      <w:bookmarkEnd w:id="537"/>
      <w:bookmarkEnd w:id="538"/>
      <w:r>
        <w:rPr>
          <w:rtl w:val="true"/>
        </w:rPr>
        <w:t>ﻫ</w:t>
      </w:r>
      <w:r>
        <w:rPr>
          <w:rtl w:val="true"/>
        </w:rPr>
        <w:t xml:space="preserve">) </w:t>
      </w:r>
      <w:r>
        <w:rPr>
          <w:rtl w:val="true"/>
        </w:rPr>
        <w:t>جدا کردن روایات پزشکی</w:t>
      </w:r>
      <w:bookmarkEnd w:id="539"/>
    </w:p>
    <w:p>
      <w:pPr>
        <w:pStyle w:val="BookText"/>
        <w:rPr/>
      </w:pPr>
      <w:r>
        <w:rPr>
          <w:rFonts w:ascii="IRNazanin" w:hAnsi="IRNazanin" w:eastAsia="IRNazanin"/>
          <w:color w:val="111111"/>
          <w:sz w:val="28"/>
          <w:sz w:val="28"/>
          <w:szCs w:val="28"/>
          <w:rtl w:val="true"/>
          <w:lang w:bidi="fa-IR"/>
        </w:rPr>
        <w:t>در کتب روایی، احادیث بسیار طبّی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احادیث جنبة دینی و شرعی دارد؟ اگر در حدیثی توصیه به خوردن غذایی خاص شده، آیا خوردن آن غذا استحباب شرعی دارد و به تعبیری همگان با خوردن آن غذا کاری را انجام داده‌اند که مطلوب خداوند است؟ برخی از دانشمندان دین این گونه روایات را مربوط به زمان و مکان خاص می‌دانند؛ مثلاً شیخ صدوق دربارة این گروه از روایات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اعتقاد ما اخبار مربوط به طبابت چند گونه است؛ بعضی مربوط به هوای مکه و مدینه بوده و به‌کارگیری آن در جاهای دیگر روا نیست، بعضی دیگر 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شناختی که از طبع سؤال‌کننده داشته، فرموده‌است که ازاین‌رو به دیگران تسرّی پیدا نمی‌کند؛ 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شخص را بهتر از خود او می‌دانست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امر و نهی وارده در روایات پزشکی، ولو ارشادی نباشد، باز هم نمی‌توانیم به دینی بودن آنها حکم کنیم؛ البته در این گونه احادیث و نیز در دستورهای ارشادی اگر کسی با این نیت که شاید این احادیث مطلوب خداوند است، آنها را به کار گرفته، عمل نماید، شاید به اجر و پاداش نائل شود؛ چراکه انجام آنچه شاید مطلوب مولا باشد، نشانگر نهایت تسلیم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هم بعد از آنکه اوامر احتیاط را ارشادی دانست،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احتیاط کرده و از شبهات اجتناب کند، مأجور بودنش بعید نیست؛ چراکه این کار تسلیم و در حکم اطاعت است</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مربوط به این نوشتار است، بُعدِ اعتقادیِ این احادیث است و اینکه آیا می‌توان روایات پزشکی را حکمی دینی برای همگان دانست؟ با توجه به فرمایش شیخ صدوق، این روایات حتی ظنّ به دینی بودن محتوایشان ایجاد نمی‌کند و مسلمان در اعتقادات خود باید قبل از گمان به دینی بودن یک آموزه، به تفکیک فوق توجه داشته باشد</w:t>
      </w:r>
      <w:r>
        <w:rPr>
          <w:rFonts w:eastAsia="IRNazanin" w:cs="IRNazanin"/>
          <w:color w:val="111111"/>
          <w:sz w:val="28"/>
          <w:szCs w:val="28"/>
          <w:rtl w:val="true"/>
          <w:lang w:bidi="fa-IR"/>
        </w:rPr>
        <w:t>.</w:t>
      </w:r>
    </w:p>
    <w:p>
      <w:pPr>
        <w:pStyle w:val="Heading5"/>
        <w:numPr>
          <w:ilvl w:val="4"/>
          <w:numId w:val="1"/>
        </w:numPr>
        <w:rPr/>
      </w:pPr>
      <w:bookmarkStart w:id="540" w:name="__RefHeading___Toc4623721_581953129"/>
      <w:bookmarkStart w:id="541" w:name="_Toc207"/>
      <w:bookmarkEnd w:id="540"/>
      <w:r>
        <w:rPr>
          <w:rtl w:val="true"/>
        </w:rPr>
        <w:t>و</w:t>
      </w:r>
      <w:r>
        <w:rPr>
          <w:rtl w:val="true"/>
        </w:rPr>
        <w:t xml:space="preserve">) </w:t>
      </w:r>
      <w:r>
        <w:rPr>
          <w:rtl w:val="true"/>
        </w:rPr>
        <w:t>جداسازی سخنان غیر دینی از دینی</w:t>
      </w:r>
      <w:bookmarkEnd w:id="541"/>
    </w:p>
    <w:p>
      <w:pPr>
        <w:pStyle w:val="BookText"/>
        <w:rPr/>
      </w:pPr>
      <w:r>
        <w:rPr>
          <w:rFonts w:ascii="IRNazanin" w:hAnsi="IRNazanin" w:eastAsia="IRNazanin"/>
          <w:color w:val="111111"/>
          <w:sz w:val="28"/>
          <w:sz w:val="28"/>
          <w:szCs w:val="28"/>
          <w:rtl w:val="true"/>
          <w:lang w:bidi="fa-IR"/>
        </w:rPr>
        <w:t>مرحوم آشتیانی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جهتی به دوقسمت تقسیم می‌کند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سخنان، به‌عنوان رسالت و مأموریت الهی گفته شده‌است، این بخش همان دین خداوند است و تدین، و اعتقاد به آن لازم است؛ اما بخش دوم، خبرهایی است که به‌دلیل ِآگاه شدن ایشان از غیب، فرموده‌است نه به‌عنوان رسالت و مأموریت الهی مانند یکسری اخبار نقل‌شده از ایشان در مورد کیفیت خلقت عالم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بر این باور است که </w:t>
      </w:r>
      <w:bookmarkStart w:id="542" w:name="pg5825_38472"/>
    </w:p>
    <w:p>
      <w:pPr>
        <w:pStyle w:val="BookText"/>
        <w:rPr/>
      </w:pPr>
      <w:bookmarkEnd w:id="542"/>
      <w:r>
        <w:rPr>
          <w:rFonts w:ascii="IRNazanin" w:hAnsi="IRNazanin" w:eastAsia="IRNazanin"/>
          <w:color w:val="111111"/>
          <w:sz w:val="28"/>
          <w:sz w:val="28"/>
          <w:szCs w:val="28"/>
          <w:rtl w:val="true"/>
          <w:lang w:bidi="fa-IR"/>
        </w:rPr>
        <w:t>این گونه موارد در محدودة دین قرار نمی‌گیرد و اعتقاد به آنها واجب نیست؛ البته اگر نسبت به صدور این اخبار از پیامبر علم پیدا کردیم، در این صورت تکذیبشان نیز جایز نیست؛ چرا که منجر به تکذیب خود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دینی دانستن محتوای یک حدیث موقوف به آن است که بدانیم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رسالت یا وصایت این سخن را فرموده‌است و بدون توجه به این نکته، ظنّ به دینی بودن محتوای حدیث، در مرتبة ثبوت و تحقق دچار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مطالبی که در سه مرحلة صدور، دلالت و جهت صدور گفتیم، روشن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در هر موضوعی که ظن را حجت بداند، تحقق اطمینان و ظن، شرط اول حجیت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این شرط را یادآوری و بر آن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انصاف آن است که ادلة حجیت خبر بر لزوم عمل به خبر موثق و اطمینان‌بخش دلالت می‌کند و در اصطلاح پیشینیان، خبر صحیح به معنای خبر مطمئن و موثق بوده‌است و ملاک مطمئن بودن، آن است که احتمال خلاف واقع بودنش بعید بوده و در نزد عقلا قابل توجه نباشد و به عبارتی این احتمال، فرد را متحیر نکند؛ به گونه‌ای که اسم رجحان بر آن صدق نکند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آشنا به همة مراحل پیش‌گفته به‌آسانی گمان به دینی بودن محتوای هر حدیثی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کدام از مراحل مثلاً بیست درصد احتمال خلاف بدهیم، درجة احتمال تطابق و صدق معنای مورد نظر با دین واقعی خداوند کمتر از پنجاه درصد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انسان ناآشنا به مراحل ِپیش‌گفته، ظن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امروزه، چیزی به نام توجیه را جزء ارکان علم می‌شمارند و می‌گویند کسی که ادعای علم دارد باید بتواند آن را توجیه کند و دلیل قانع‌کننده بر علم خود بیاورد و همان‌طورکه در قرآن از مدّعیان، چیزی به نام حجّت، حجّت بالغه و سلطان مبین، طلب می‌کنند و در غیر این صورت ادعای مدعی، باطل شمرده می‌شود، همچنین مدعی ظنّ باید بتواند برای ظن خود دلیل قانع‌کننده‌ای بیان کند و در غیر این صورت ظنّ او حدس و وهمی بیش نخواهد بود</w:t>
      </w:r>
      <w:r>
        <w:rPr>
          <w:rFonts w:eastAsia="IRNazanin" w:cs="IRNazanin"/>
          <w:color w:val="111111"/>
          <w:sz w:val="28"/>
          <w:szCs w:val="28"/>
          <w:rtl w:val="true"/>
          <w:lang w:bidi="fa-IR"/>
        </w:rPr>
        <w:t>.</w:t>
      </w:r>
    </w:p>
    <w:p>
      <w:pPr>
        <w:pStyle w:val="Heading3"/>
        <w:numPr>
          <w:ilvl w:val="2"/>
          <w:numId w:val="1"/>
        </w:numPr>
        <w:rPr/>
      </w:pPr>
      <w:bookmarkStart w:id="543" w:name="__RefHeading___Toc4623723_581953129"/>
      <w:bookmarkStart w:id="544" w:name="_Toc208"/>
      <w:bookmarkEnd w:id="543"/>
      <w:r>
        <w:rPr>
          <w:rtl w:val="true"/>
        </w:rPr>
        <w:t>اعتبار معرفتی خبر واحد در مرحلة اثبات</w:t>
      </w:r>
      <w:bookmarkEnd w:id="54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خبر واحد از مرحلة ثبوت گذر کرد و ظن به محتوای خود را برای مخاطب به ارمغان </w:t>
      </w:r>
    </w:p>
    <w:p>
      <w:pPr>
        <w:pStyle w:val="BookText"/>
        <w:rPr/>
      </w:pPr>
      <w:r>
        <w:rPr>
          <w:rFonts w:ascii="IRNazanin" w:hAnsi="IRNazanin" w:eastAsia="IRNazanin"/>
          <w:color w:val="111111"/>
          <w:sz w:val="28"/>
          <w:sz w:val="28"/>
          <w:szCs w:val="28"/>
          <w:rtl w:val="true"/>
          <w:lang w:bidi="fa-IR"/>
        </w:rPr>
        <w:t>آورد، آیا این ظن می‌تواند واقع‌نما باشد؟ آیا در معارف دینی این ظن از اعتبار لازم برخوردار است؟ آنجا که نیاز به علم ضروری است، ظن می‌تواند جایگزین آن شود؟</w:t>
      </w:r>
    </w:p>
    <w:p>
      <w:pPr>
        <w:pStyle w:val="BookText"/>
        <w:rPr/>
      </w:pPr>
      <w:r>
        <w:rPr>
          <w:rFonts w:ascii="IRNazanin" w:hAnsi="IRNazanin" w:eastAsia="IRNazanin"/>
          <w:color w:val="111111"/>
          <w:sz w:val="28"/>
          <w:sz w:val="28"/>
          <w:szCs w:val="28"/>
          <w:rtl w:val="true"/>
          <w:lang w:bidi="fa-IR"/>
        </w:rPr>
        <w:t>می‌دانیم که آیات و روایات همراه آرای قریب به اتفاق دانشمندان دینی، گویای معتبر نبودن ظن و خبر واحد در اعتقادات است، پرداختن به آنها و بررسی علل استناد برخی از عالمان به خبر واحد در مباحث اعتقادی، نیازمند تألیف کتاب در این زمینه است و حجم این نوشتار گنجایش آن همه مطالب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ادله و شواهدی بر کافی نبودن ظن در امور اعتقادی از لحاظ معرفت‌زایی لازم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گزاره‌های اعتقادی لزوم علم را روشن می‌کند، توضیح اینکه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گزاره‌های اعتقادی از امور حقیقی خبر می‌دهند، برخلاف گزاره‌های فقهی که از امور اعتباری خبر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اعتباری از ناحیة اعتبار‌کننده‌اش جعل می‌شود و اوست که می‌تواند هم حکمی را جعل و هم راه دسترسی به آن را جعل کند؛ مثلاً بگوید هر وقت از طریق خبر واحد گمان به وجوب فعلی کردی، آن فعل بر تو واجب است یا بگوید که گمان‌هایت را به منزلة علم حساب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حقیقی مبتنی بر واقعیات موجود است و با جعل و اعتبار عوض نمی‌شود؛ ازاین‌رو نه خود این امور و نه راه رسیدن به آنها،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از واقعیتی خبر دهد، مادام که نسبت به آن علم پیدا نکرده‌است، چگونه می‌تواند از آن خبر دهد یا چگونه می‌تواند قلب خود را به آن گره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باور به یک امر حقیقی در جهان خارج نیازمند علم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فوق در صورتی جدی‌تر مطرح خواهد شد که امور حقیقی مذکور، مربوط به اساسی‌ترین باورهای بشر باشد، به‌گونه‌ای‌که این باورها سرنوشت دنیوی و اخروی او را رقم بزند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با نگاه تکلیفی و اعتباری به لزوم اعتقاد باز هم نمی‌توان به غیر علم، اعتبار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وجوب اعتقاد را مانند وجوب نماز و روزه، یک واجب شرعی بدانیم، باز هم نمی‌توان غیر علم را جایگزین علم کرد و نمی‌توان کسی را مکلف کرد که به آنچه نمی‌دانی معتقد باش، برخلاف نماز و روزه و کارهای فیزیکی که شارع در آنها می‌تواند ظن را جایگزین علم کند؛ اما در اعتقاد چون باور زیربنای عقدالقلب است، ازاین‌رو دستور به عقد ِقلب بدون باور، از شارع حکیم صادر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ماهیت و ساختار گزاره‌های اعتقادی اقتضای علم و باور را دارد و پایه‌های لرزان حدس و گمان نمی‌تواند نگاه‌دارندة عقیده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شهید ثانی هم با توجه به نکات فوق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در اعتقادات رسیدن به واقع است؛ درحالی‌که هدف در احکام عمل کردن به وظیفه و تکلیف است و به همین دلیل، ظنون، و حتی امارات نمی‌تواند در اصول اعتقادی کارساز باشد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 سخن فوق این است که اگر تکلیفی دارای دو جهت فقهی و اعتقادی بود، در بعد فقهی می‌توان به راه غیر علمی معتبر استناد کرد؛ امّا در بُعد اعتقادی به غیر علم نمی‌توان تکیه کرد؛ مثلاً اگر خبر واحد معتبر دلالت بر استحباب فلان عمل عبادی کند، می‌توان آن عمل را انجام داد و به ثوابش نائل شد؛ اما نمی‌توان معتقد شد که آن عمل قطعاً جزء دین و یکی از دستورات مستقیم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علم در همة شئون زندگی، امری فطری است؛ یعنی انسان به طور ناخودآگاه دنبال واقعیت است و اگر نظریه‌ای دارد یا خبری می‌دهد رویکرد واقع‌نمایی دارد، علامه طباطبایی دراین‌باره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به‌واسطة فطرتش، در مسیر زندگی، جز رسیدن به واقع را نمی‌خواهد ازاین‌رو نسبت به آنچه که می‌داند، می‌تواند بگوید که آن واقعی است، اما نسبت به گمان‌ها و شک‌ها و خیالاتش نمی‌تواند ادعای واقعی بودن بکند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لزوم علم در شئون گوناگون، هماهنگ با فطرت انسان است یعنی سرشت او اقتضای رسیدن به واقع را دارد و جایگزین کردن غیر علم به جای علم با فطرت او ناسازگار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آنچه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حق خداوند بر بندگان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می‌دانند بگویند و آنچه را نمی‌دانند توقف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حکمی بر طبق عقل و فطرت انسان است و آنچه اصولیون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تعبد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بر همین پایه استوار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دینی در زندگی انسان نقش زیربنایی دارند، چگونگی ارتباط انسان با خود، دیگران و با خداوند، در همة ابعاد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باورهای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برای زندگی یک فرد همچون روح برای جسم است و به تعبیری پایه‌های زندگی او را تشکیل می‌دهد، فقه و اخلاق تأثّر کامل از باورها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اهمیت </w:t>
      </w:r>
    </w:p>
    <w:p>
      <w:pPr>
        <w:pStyle w:val="BookText"/>
        <w:rPr/>
      </w:pPr>
      <w:r>
        <w:rPr>
          <w:rFonts w:ascii="IRNazanin" w:hAnsi="IRNazanin" w:eastAsia="IRNazanin"/>
          <w:color w:val="111111"/>
          <w:sz w:val="28"/>
          <w:sz w:val="28"/>
          <w:szCs w:val="28"/>
          <w:rtl w:val="true"/>
          <w:lang w:bidi="fa-IR"/>
        </w:rPr>
        <w:t>هر چیزی، درجة دقت و وسواس ما را در آن چیز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عقیده‌ای را که نقش زیربنایی در زندگی دنیا و آخرت دارد، بر پایه‌های لرزان حدس و گمان بنا کنیم، گمانی که صاحبش را به آرامش و طمأنینة لازم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خواجه نصیر در مقام نفی اعتبار ظن به ممکن‌الزوال بودن ظن اشاره کرده و زوال آن را خطر عظیم می‌داند که نص صریح بر دوری از آن وارد شده‌است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ماندن بسیاری از حقایق دین علت‌هایی دارد که یکی از عمده‌ترین آنها، تعصب مذاهب همراه حجیت ظن است و خبر واحد یکی از مهم‌ترین مصادیق غیر علم در میان ادلة دینی بوده و محصول چنین خبری در نهایت خوش‌بینی،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ما در همین است که آیا با این خبر می‌توان عقیده‌ای را ثابت کرده و به آن معتقد بود؟ در این بخش از ادله نگاهی تاریخی به اعتبار خبر واحد، می‌تواند روشنگر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باانصاف و مطّلع از تاریخ صدر اسلام، می‌داند که بعد از رحلت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معارف اساسی دین اختلاف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مانند صفات خداوند، قضا و قدر، خلق قرآن و آرای ضدّ و نقیض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کنار گذاشته شد وکار به جایی رسید که با فاصلة نیم‌قرن از رحلت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یزید بن معاویه توانست به‌عنوان خلیفة مسلمین و به‌عنوان جانشین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عالمان پوشیده نیست که یکی از ابزار مهم در وقوع این اختلافات، اعتماد به خبر واحد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دروغ‌های عمدی، فراموشی‌های سهوی، نقل به معناها و کج‌فهمی‌ها از حدیث، کم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هر گونه انحراف عقیدتی، فقهی، سیاسی و تاریخی، اخبار به ظاهر مستند و متقن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نکنیم که همة گمراهان آن زمان عمداً به بیراهه رفتند و عمداً سراغ اخبار ضعیف رفتند، نه، آنها نیز به زعم خود اخبار صحیح را از غیر صحیح جدا ساخته و به صحیح‌ها اعتماد می‌کردند و به زعم خود فهم درستی از احادیث داشتند؛ اما اختلافات زیاد و آرای عجیب و غریب نشانگر اشتباه بودن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اهل سنت که خود را حافظان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با تکیه بر خبر واحد، گاه بی‌خبر از توطئه و دسیسه‌ها از برخی پایه‌های دین دور ماندند و گاه نفس امارة همیشه بیدار، خبر واحد را دستاویزی برای رسیدن به خواسته‌های پیدا و پنهان درون، کرده و می‌کند تا جایی که از نگاه یک شیعی اهل سنت با حذف اخبار آحاد بدون قرینه، به اسلام واقعی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اثبات حجیت خبر واحد به عمل صحابه استناد کرده و به احادیثی مانند حدیث زیر تمسک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فاﻁﻤﺔ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 مما ترک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صدﻗﺔ</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فغضبت علی أبی‌بکر وهجرته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علیها ذلک أبوبکر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تارکاً شیئاً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به إلا عملت به فإنی أخشی إن ترکت شیئاً من أمره أن أزیغ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خود را از اموال رسول الله درخواست نمود،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فرموده که ما ارث نمی‌گذاریم و آنچه از ما مانده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بر ابوبکر غضبناک شد و از او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چنین ابوبکر او را از ارث منع کرد و گفت من آنچه را که رسول الله به آن عمل کرده، عمل خواهم نمود همانا می‌ترسم که اگر چیزی از امر رسول را فرو گزارم، گمراه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بن هادی عمیر المدخلی، ﺣﺠﻴﺔ خبر الآحاد فی العقائد والأحکام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ﻣﻜﺔ المکرﻣﺔ،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بخاری،فرض الخمس،حدیث </w:t>
      </w:r>
      <w:r>
        <w:rPr>
          <w:rFonts w:eastAsia="IRNazanin" w:cs="IRNazanin"/>
          <w:color w:val="111111"/>
          <w:sz w:val="28"/>
          <w:szCs w:val="28"/>
          <w:lang w:bidi="fa-IR"/>
        </w:rPr>
        <w:t>3093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الشاﻣﻠﺔ</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فهم خاصی از خبر واحد چگونه در برابر خواستة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روایت فریقین سیدة نساء العالمین است قد عَلَم می‌کند و او را از حقش محروم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اهل سنت، از نگاه ما شیعیان، از حقیقت دور افتاده، اخبار و احادیثِ نقل‌شده، در همة آنها پشتیبان راهِ کج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تنها بین شیعیان و اهل سنت مطرح نیست، بلکه مروری بر تاریخ مذاهب اهل سنت نشان می‌دهد که تعصب شدید، نه تنها آنها را به‌سوی تمسک به حدس و گمان سوق داده‌است، بلکه بالاتر، هر کاری حتی خون‌ریزی و جعل عمدیِ حدیث به مقداری بیش از حدّ تصور را نیز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تمسک به ظن یکی از عمده سلاح‌های این مذاهب برای دفاع از خود و حمله به دیگران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تحقیقی مختصر دربارة دشمنی و عداوت حاکم بین مذاهب اهل سنت انجام دادیم تا با آشنا شدن با آن فضا، به جدی بودن خطر حجیت ظن نسبت به خود را بیشتر باور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مذاهب شکل‌گرفته در میان اهل سنت با همراه بودن یا نبودن با سران و حاکمان سیاسی، فراز و فرود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نویسندة کتاب اصول المذاهب دراین‌باره می‌نویسد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علل شکل‌گیری، انتشار و بقای مذاهب، نشانگر آن است که سبب انتشار آنها تدین و حق‌طلبی نبوده‌است، بلکه قدرت سلاطین در این امر نقش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این رابطه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مذهب از اول با ریاست و سلطنت منتشر و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در </w:t>
      </w:r>
    </w:p>
    <w:p>
      <w:pPr>
        <w:pStyle w:val="BookText"/>
        <w:rPr/>
      </w:pPr>
      <w:r>
        <w:rPr>
          <w:rFonts w:ascii="IRNazanin" w:hAnsi="IRNazanin" w:eastAsia="IRNazanin"/>
          <w:color w:val="111111"/>
          <w:sz w:val="28"/>
          <w:sz w:val="28"/>
          <w:szCs w:val="28"/>
          <w:rtl w:val="true"/>
          <w:lang w:bidi="fa-IR"/>
        </w:rPr>
        <w:t xml:space="preserve">شرق و مالکی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هارون‌الرشید در اول خلافتش، ابویوسف قاضی، شاگرد ابوحنیفه را برای امر قضاوت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بدون اشارة او کسی را به قضاوت تعیین نمی‌کرد و این شخص از بزرگ‌ترین شاگردان ابوحنیفه بود و تنها حنفی‌ها را متولی امر قضاوت می‌کرد و این گونه بود که مذهب حنفی در عراق، خراسان، شام، مصر و افریقا به برتری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یحیی لیثی، از سوی حاکمان اموی در اندلس نفوذ یافت و او تنها اشخاص مالکی را برای قضاوت تعیین می‌کرد و به همین دلیل مردم به تحصیل مذهب مالکی روی آوردند و مذهب مالکی گسترش یافت و دیگر مذاهب از رونق افتاد، بلکه بعضی مانند اوزاعیة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حکمی تهدید‌کننده صادر کردند که ابن خلدون آن را با این عبارت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مذهب مالک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بلایی 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 را ملامت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أبوأویس،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تصریح می‌کند که بعد از تشکیل مذاهب، هر مذهبی به دنبال تأیید و تقویت مذهب خود بود وحتی نگاه او به قرآن و حدیث با این نیت صورت می‌گرفت که اگر چیزی مخالف مذهب او در قرآن و حدیث یافت شود، آن را به‌گونه‌ای تأویل کند یا در صحت آن خدشه وارد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تمرکز به دفاع از مذهب خاص آن قدر اوج می‌گیرد که حس حقیقت‌یابی از قرآن و نصوص معتبر،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تکفیرها، لعن‌ها و خونریزی‌های بسیار پیروان این مذاهب نسبت به هم را ثبت کرده‌است، آنها همدیگر را دشمن و خصم خطاب می‌کردند، حنفی می‌گوید اگر قدرت داشتم از شافعی جزیه می‌گرفتم و آن دیگری همین حرف را نسبت به حنبلی‌ها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فتوی به جواز ازدواج یکدیگر می‌دهند؛ اما در بیان دلیل جواز، قیاس یکدیگر به یهود و نصاری را دلیل جواز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اسدحیدر،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نویسندة فوق دربارة تعصب حاکم بر عالمان مذاهب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تعصب مطلعین و اهل نظر، آنان را به ساقط کردن مخالفین مذهب خود وامی‌داشت تا جایی که همدیگر را خوار کرده، خوبی‌های یکدیگر را کمرنگ کردند و چه بسا انسان غیر عادلی که عادل معرفی شد و انسان عادلی که غیر عادل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فکر می‌کنیم که در چنین شرایطی ظن یا خبر واحد معتبر شمرده می‌شده‌است، به‌راحتی می‌توان حدس زد که چه اتفاقی می افتد؛ احادیث تبدیل به ابزاری برای دفاع از مذهب خاص می‌شود و آنچه در این میان قربانی می‌شود، آموزه‌های واقعی دین است که تا تلاشی خالصانه نکنیم و انواع حب و بغض‌ها و قصدها و انگیزه‌ها را کنار ننهیم، نمایان </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به‌عنوان نمونه به بخش اندکی از احادیث و سخنانی که دربارة ابوحنیفه نقل شده، نگاه می‌کنیم تا ببینید که تعصب در میان اشخاص و مذاهب چه نتایج اسف‌باری داشته و به ساخته شدن چه احادیثی منجر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وزین الغدیر ده‌ها حدیث جعلی در مدح ابوحنیفه را از منابع اهل سنت نقل کرده‌است که تنها چند مورد از 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 من در هر قرنی سابقین و پیشتازانی خواهند بود، ابو حنیفه در زمان خود سابق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خوارزمی در کتاب مناقب ابوحنیفه جلد اول، صفحة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عبارت آورده‌است و در کتاب جامع اسانید ابوحنیفه، جلد اول، صفحة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سابق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کرده‌است و سند آن به شکل مرسل از طریق حامد بن آدم کذّاب از ابو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جوزانی و ابن عدی این شخص را دروغگو دانسته‌اند و احمد سلیمانی او را جزء کسانی که مشهور به جعل حدیث است، دانسته‌است و ابن‌معین دربارة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کذاب است، خدا او را لعنت کند،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 ن امت من مردی است به نام نعمان و با کنیة ابوحنیفه، او چراغ امت من است، او چراغ امت من است، او چراغ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 خود،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بیان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مردی با کنیة ابوحنیفه می‌آید، او بهترین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 من مردی است با نام نعمان ابوحنیفه، خداوند سنت من را با دستان او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این حدیث را از جعلیّات احمد جویباری ِکذّاب و وضّاع شمرده‌است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انبیا به من افتخار می‌کنند و من به ابوحنیفه افتخار می‌کنم، او مردی باتقوا در نزد خداوند است و همچون کوهی از علم و گویا پیامبری از پیامبران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دوست بدارد، مرا دوست داشته و هر کس او را دشمن بدارد مرا دشمنی کرده‌است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امت موسی و عیسی مثل ابوحنیفه بود، مردم آنان به یهودیت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جعلیات دربارة ابوحنیفه تا بدانجا پیشرفت کرده‌است که علی بن جریر دربارة قومی از کوفه صحبت می‌کند که ابوحنیفه را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اعلم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سخنانی بس شدید علیه او از مالک بن انس نقل شده که او را حیله‌کننده به دین و خارج از دین نامیده و فتنة او را بدتر از فتنة ابلیس خوانده‌است، سفیان ثوری هنگامی که خبر مرگ ابوحنیفه می‌شنود، خدا را شکر می‌کند که مسلمانان را از دست او 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صاحب کتاب صحیح بخاری او را در میان ضعیفان و متروکین می‌شمارد، عبدالله بن ادریس او را گمراه و گمراه‌کننده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ابوشیبه او را یهودی می‌داند و احمد بن حنبل او را دروغگو خوانده و از اصحاب او می‌خواهد که چیزی از وی روایت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وضعیت مخصوص ابوحنیفه نیست، علامه امینی در کتاب الغدیر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التضارب فی المناقب والمثالب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گشوده‌است و نمونه‌های بسیاری از مدح‌ها و قدح‌ها را به طور مستند بیان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اهداف سیاسی و منافع مادی، انگیزة دیگری به نام دفاع از دین، باعث جعل حدیث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معروفین به زهد و تقوی و فقاهت، برای ترغیب مردم به آنچه آن را مصلحت دینی مردم می‌دانستند، احادیث زیادی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مربوط به فضایل سوره‌ها از مصادیق روشن این گروه از روایات است، ولی موضوع تنها به فضیلت سوره‌ها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کوتاهی از نوشتة علامه امینی را که تحقیقات مفصلی از منابع اهل سنت در این زمینه انجام داده‌است،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طائی تمام شب را نماز می‌خواند و صبح می‌نشیند و دروغ می‌بافد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شامی از زاهدان و از کذّابان و جعل‌کنندگان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عبدالمغیث حنبلی که بین مردم به زهد، موثق بودن، صداقت، امانت، صالح بودن، مجتهد و تبعیت از سنت، توصیف می‌شود، از روایات جعلی کتابی را در فضائل معاویة بن ابوسفیان تألیف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صبیح از عابدان موصل همواره دروغ می‌گفته و جعل حدیث می‌کرده‌است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هلال عابد و کذاب است محمد بن عکاشه که هنگام قرائت قرآن گریه می‌کرد، چه وضّاع ماهری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زاهد از روایات جعلی کتابی در فضل معاویة بن ابو سفیان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باهلی از بزرگان ِزاهدان بود و درعین‌حال کذّاب و جعل‌کنندة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دربارة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شهوات دنیا دوری می‌کرد و شیطان این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آراست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بردانی مردی صالح است؛ اما در فضل معاویه حدیث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حفص از صالحین بود، بیست سال با کسی صحبت نکرد اما دروغ‌های فاحشی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ابوبشر </w:t>
      </w:r>
    </w:p>
    <w:p>
      <w:pPr>
        <w:pStyle w:val="BookText"/>
        <w:rPr/>
      </w:pPr>
      <w:r>
        <w:rPr>
          <w:rFonts w:ascii="IRNazanin" w:hAnsi="IRNazanin" w:eastAsia="IRNazanin"/>
          <w:color w:val="111111"/>
          <w:sz w:val="28"/>
          <w:sz w:val="28"/>
          <w:szCs w:val="28"/>
          <w:rtl w:val="true"/>
          <w:lang w:bidi="fa-IR"/>
        </w:rPr>
        <w:t>مروزی در سنت فقیه روزگار خود بود، از سنت دفاع می‌کرد و مخالفین سنت را خوار می‌نمود، درعین‌حال حدیث جعل و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نخعی بیشتر از همه، شب‌ها عبادت می‌کرد و روزها روزه می‌گرفت؛ درحالی‌که 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ابویحیی وکّار از کذّابین بزرگ و از صالحان و عابدان و فقیهان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آمدی یکی از زاهدان بود و احادیث وی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رشدین عوض‌کنندة متون حدیث است و صالح و عابد است آن‌طور که ذهبی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ابواسماعیل اشهلی شصت سال روزه گرفت؛ اما حدیث وی پذیرفته نیست، زیرا سندها را عوض می‌کرد و مرسل‌ها را مستند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زبیر در عبادت تلاش می‌کرد و وضاع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ابوعیاش مرد صالح و اهل عبادت بود و نیز کذاب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می‌بینید که بسیاری از جعل‌کنندگان حدیث از پیشوایان، حافظان مشهور، فقها، شیخ در روایت حدیث و یا خطیب ماهر هستند و گروهی از اینها عمداً دروغ می‌گفتند تا به مبدأ خدمت کرده باشند یا امامی را عظمت ببخشند و یا مذهبی را تأیید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پرهیز از اطالة کلام، به همین مقدار بسیار اندک بسنده کرده، نتیجه‌گیری می‌کنیم که تعصبات شدید بین مذاهب در کنار حجت دانستن و اعتنا به راه‌های ظنی نتیجه ای جز ورود امیال و هواهای اشخاص به محدودة دین،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بالا گرچه در ارتباط بین مذاهب شکل گرفته‌است؛ اما همه می‌دانیم که در درون مذاهب نیز مشابه همین انحراف ولو در اندازة کوچک‌تر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شیعیان از انحرافات اساسی که دامن‌گیر اهل سنت شد، به دور ماندند، اما آیا اعتماد به خبر واحد در یک مذهب نیز نمی‌تواند نتایج نامطلوب و انحرافاتی هرچند کوچک‌تر را به دنبال آورد؟ آیا در مذهب، همة زمینه‌های کج‌روی وکج فهمی، و سوءاستفاده‌های عمدی و غیرعمدی از خبر واحد، از بین رفته‌است؟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مهم‌ترین مصداق غیر علم در بحث ما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از مخالفین سرسخت عمل به خبر واحد، حتی در فقه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ادلة خود نکته‌ای را مطرح می‌کند که بیشتر با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 در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او می‌گوید کسانی که در شریعت به خبر واحد عمل می‌کنند، عادل بودن راوی را شرط می‌دانند و من روایتی را سراغ ندارم که تمام راویانش عادل باشند؛ چرا که بیشتر راویان از لحاظ اعتقادی منحرف هستند و انحراف اعتقادی ناقض عدالت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عبارت او را مرور می‌کنیم تا ببینیم که این دلیل، اگر در فقه هم پذیرفته نشود، در عقاید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عمل به خبر واحد را در شریعت واجب می‌دانند، همگی عادل بودن راوی را شرط می‌دانند و لازمة عدالت در نزد ما اعتقاد صحیح در اصول و فروع است؛ یعنی به مذهبی که بطلان آن ثابت شده معتقد نباشد و در ظاهر مرتکب گناهان و زشتی‌ها نشود، پس همة احادیثی که واقفی‌ها روایت کرده‌اند قابل عمل نیستند، همان کسانی که در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کرده و او را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امامان بعدی 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بدون شک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طاطری، ابن سماعه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تعدادشان بیش از حدّ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بلکه همة فقه خالی از سند واقفی‌ها نیست یا به‌عنوان اصل و یا فرع در خبر، گاه به‌عنوان راوی و گاه به‌عنوان کسی که به او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غالیان، خطابیه، مخمسه و اصحاب حلول مانند فلان و فلان که تعدادشان بیش از حد شمارش است، همچنین قمیِ مشبّهِ 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قمی‌ها غیر از ابوجعفربن بابویه همگی مشبه مجبر هستند، کتاب‌ها و مصنفات آنها شاهد بر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که کدام روایت است که در اصل و فرع از این گونه راویان خالی بوده و خالص و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راویان و ناقلان احادیث کسانی هستند که در شریعت قائل به قیاس‌اند؛ مانند فضل بن شاذان و یونس و جماعتی از سرشناسان و روشن است که اعتقاد به قیاس کفر است و عدالت با آن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مباحث فقهی کوتاه بیاییم و شرط عدالت راوی را به راستگو بودن یا موثّق بودن راوی تنزّل دهیم، چگونه می‌توانیم در مباحث اعتقادی، به اخبار کسانی که از نظر اعتقادی انحراف دارند اعتماد کنیم؟</w:t>
      </w:r>
    </w:p>
    <w:p>
      <w:pPr>
        <w:pStyle w:val="BookText"/>
        <w:rPr/>
      </w:pPr>
      <w:r>
        <w:rPr>
          <w:rFonts w:ascii="IRNazanin" w:hAnsi="IRNazanin" w:eastAsia="IRNazanin"/>
          <w:color w:val="111111"/>
          <w:sz w:val="28"/>
          <w:sz w:val="28"/>
          <w:szCs w:val="28"/>
          <w:rtl w:val="true"/>
          <w:lang w:bidi="fa-IR"/>
        </w:rPr>
        <w:t>به تعبیر دیگر در دین اسلام اگر کسی مدعی یک درهم از مال دیگری شود، باید دو شاهد عادل بر ادعای خود اقامه کند، حال چگونه است که عقاید، که اساس دین است با خبر یک نفر که دیگران او را نه عادل، بلکه موثّق معرفی کرده‌اند، ثابت می‌شود؟ این در حالی است که اولاً توثیق‌کنندگان معاصر راوی نبوده‌اند و ثانیاً هر حدیثی در سلسلة سند خود چندین راوی توثیق‌شده دارد که درجة احتمال جعل و تحریف و اشتباه هرکدام از راویان، درجة صحت استناد سخن نقل‌شده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پایین‌تر می‌آورد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درجة معرفت، یقین منطقی بالمعنی الاخص است که از سه رکنِ جزم، </w:t>
      </w:r>
    </w:p>
    <w:p>
      <w:pPr>
        <w:pStyle w:val="BookText"/>
        <w:rPr/>
      </w:pPr>
      <w:r>
        <w:rPr>
          <w:rFonts w:ascii="IRNazanin" w:hAnsi="IRNazanin" w:eastAsia="IRNazanin"/>
          <w:color w:val="111111"/>
          <w:sz w:val="28"/>
          <w:sz w:val="28"/>
          <w:szCs w:val="28"/>
          <w:rtl w:val="true"/>
          <w:lang w:bidi="fa-IR"/>
        </w:rPr>
        <w:t xml:space="preserve">مطابقت با واقع و محال بودن نقیض تشکیل می‌شود؛ مثلاً گزارة ریاضی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یقین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یقینی مورد اختلاف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وضوح آن مانع از بروز اختلاف می‌شود و هر انسان مؤمن یا کافر، با هر شیوة تفکر و هر فرهنگ و در هر عصری که زندگی کند، به این گزاره یقین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گزاره‌های دینی، مانند بسیاری از دیگر شاخه‌های علوم، امکان دسترسی به یقین منطقی بالمعنی الاخص وجود ندارد، ازاین‌رو ناچاریم به یقین‌های درجة پایین بسنده کنیم و از نگاه درون‌دینی همین مقدار یقین مورد قبول صاحب شریعت نیز واقع می‌شود؛ اما نکته مهم آن است که در این نوع یقین‌ها به‌هرحال یقین‌های متضاد شکل خواهد گرفت؛ چرا که تا حدودی ذوق‌ها، سلایق و تعصبات در آن تأثیر خواهد گذاشت و همة ما عملاً مذاهب و مکاتیب گوناگونی می‌بینیم که پیروان آنها، هرکدام برخلاف یقین‌های دیگر پیروان، یقین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نقطة آغازین اختلاف، به رسمیت شناختنِ یقین‌های درجة پایین است؛ اما کوتاه بودن دست انسان از رسیدن به معرفت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معرفت درجة پایین از سوی شارع، انسان را به معرفت درجة پایین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تصور کنیم که اگر ظن‌ها را هم در حوزة عقاید راه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متأسفانه برخی عملاً این کار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بسیاری از امیال و انگیزه‌های نفسانی ِفردی یا گروهی و دیگر عوامل در قالب دین عرضه نمی‌شود؟ ما می‌توانیم تاریخ حجیت ظن و خبر واحد در فقه را مطالعه کنیم تا در حوزة عقاید با دقت بیشتری،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فقه نشان می‌دهد که وقتی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آحاد در فقه رسمیت بخشید، فتاوای متخالف و متناقض به‌شدت رو به افزایش گذاشت تا جایی که نه تنها فقها، آرای اختلافی بسیار داشتند؛ بلکه حتی از یک فقیه در یک مسئله آرای متفاوت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آرای شیخ طوسی در کتاب المبسوط و النهایه و همچنین تنافی آرای علامه حلی در کتاب‌هایش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امین طعنه برخی را در موضوع آرای مخالف یک فقیه،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خالفت علما با فتاوای قبلی خود، به‌خاطر دگرگونی اجتهاد آنان، بیش از اندازه است</w:t>
      </w:r>
      <w:r>
        <w:rPr>
          <w:rFonts w:eastAsia="IRNazanin" w:cs="IRNazanin"/>
          <w:color w:val="111111"/>
          <w:sz w:val="28"/>
          <w:szCs w:val="28"/>
          <w:rtl w:val="true"/>
          <w:lang w:bidi="fa-IR"/>
        </w:rPr>
        <w:t>.»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بین کتاب الانتصار سیدمرتضی و الغنیه ابن زهره، با وجود فاصلة زمانی اختلاف زیادی مشاهده نمی‌شود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هم اختلاف فتاوای فقها و مراجع یکی از مشکلات اساسی است؛ البته در این نوشتار درصدد اعلان نظر دربارة حجیت خبر واحد در </w:t>
      </w:r>
    </w:p>
    <w:p>
      <w:pPr>
        <w:pStyle w:val="BookText"/>
        <w:rPr/>
      </w:pPr>
      <w:r>
        <w:rPr>
          <w:rFonts w:ascii="IRNazanin" w:hAnsi="IRNazanin" w:eastAsia="IRNazanin"/>
          <w:color w:val="111111"/>
          <w:sz w:val="28"/>
          <w:sz w:val="28"/>
          <w:szCs w:val="28"/>
          <w:rtl w:val="true"/>
          <w:lang w:bidi="fa-IR"/>
        </w:rPr>
        <w:t>فقه نیستیم؛ بلکه هدف توجه پیدا کردن به یکی از نتایج ناگوار حجیت ظن در فقه است تا لااقل خود را از این نتایج در عقاید و کلام مصون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التفات به موضوعی خاص و مقدار آن توجه، نقش اساسی در شکل‌گیری هندسة معرفتی انسان‌ها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احادیث غیر علمی، از نظر تعداد بسیار بیش از احادیث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غیر علمی صدها هزار حدیث جعلی وجود دارد که راویان با انگیزه‌های مذهبی، سیاسی و مادی، جعل کرده‌اند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 مراجعه به کتاب‌هایی که مستقلاً دربارة جعل احادیث نوشته شده،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بزرگ علامه امینی بیش از چهارصدهزار حدیث جعلی را همراه جاعلین آنها، شماره کرده‌است و سپس می‌گوید که این مقدار ِناچیزی است؛ چرا که بسیاری از جاعلین، تألیفاتی مملوّ از جعلیّات داشته‌اند و تاریخ بخش اندکی از آن را برای ما حفظ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هر مذهبی احادیثی را که به نفعِ مذهب خود هست، معتبر می‌شمارد و آنچه به نفع دیگران است را جعلی می‌انگارد؛ اما آنچه روشن است رونق داشتن بازار ِحدیث‌سازی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احادیث غیر علمی را ولو به بهانه‌هایی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حوزة دین خدا داخل کنیم و نگاه دینی به آنها داشته باشیم، آیات قرآن و احادیث صحیح و معتبر در میان انبوه احادیث غیر معتبر گم خواهد شد و فضای ذهنی متدینین بیش از آنکه به مسلّمات دینی مشغول شود با مضامین احادیثی که هویتشان معلوم نیست، سرگرم خواهد شد و این کار یعنی تهی کردن دین از محتوای واقعی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تاریخ فعالیت‌ها و تلاش‌های دینی مسلمانان و عالمان دینی کافی است تا ببینیم که چه مقدار از لایه‌های فکری آنان با مضامین احادیث مشکوک شکل گرفته و متأسفانه همین مقدار از پرداختن به قرآن، احادیث معتبر و مسلّمات عقب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بسیاری را می‌بینیم که نماد مسلمانی آنان حرکات و سکناتی است که به لحاظ درجة اهمیت و اعتبار، در اولویت و درجة دهم و بیستم قرار دارد و افسوس که همان نمادهای درجة چندم جایی برای مهم‌ترین ارکان دین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 و هر متدیّنی مدت زمانی از زندگی خود را به مسائل دینی و معنوی اختصاص می‌دهد و بخشی از فضای ذهنی خود را به دغدغه‌های دینی اختصاص می‌دهد، حال عالمان و متولیان دین این زمان و فضای ذهنی محدود را با چه چیزی پر کنند؟ با امثال توحید، امامت و اخلاق، یا با هزاران حدیث غیر معلوم‌الهویه؟ عالمان دین باید بدانند که هر مقدار که در تبیین دین به غیر معلوم‌ها تکیه و استناد کنند و به تعبیر امروزین هر مقدار که سبد کالای معنوی مردم را </w:t>
      </w:r>
      <w:bookmarkStart w:id="545" w:name="pg5825_38493"/>
    </w:p>
    <w:p>
      <w:pPr>
        <w:pStyle w:val="BookText"/>
        <w:rPr/>
      </w:pPr>
      <w:bookmarkEnd w:id="545"/>
      <w:r>
        <w:rPr>
          <w:rFonts w:ascii="IRNazanin" w:hAnsi="IRNazanin" w:eastAsia="IRNazanin"/>
          <w:color w:val="111111"/>
          <w:sz w:val="28"/>
          <w:sz w:val="28"/>
          <w:szCs w:val="28"/>
          <w:rtl w:val="true"/>
          <w:lang w:bidi="fa-IR"/>
        </w:rPr>
        <w:t>از نامعلوم‌ها پر کنند، عرصه و فضا را برای معلوم‌های دین، که اساس و شالودة دین نیز هست، تنگ می‌کنند و اینجاست که آن متدین چه بسا که برای عمل کردن به آن خبر احتمالی، و برای رسیدن به ثواب کذایی، از حقوق و اخلاقی که شالودة دین را تشکیل می‌دهد، غفلت می‌کند و این غفلت نتیجة اشتغال فضایِ دینیِ ذهن به چیزی است که دینی بودنش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خواصی از مردم متدین هستند که اوج گرفته و از مسلمات دین فراتر رفته‌اند، عشق و دلدادگی آنان به پروردگار، چنان است که بر سر خشنودی احتمالیِ معشوق سر و دست می‌شکنند، اما اینان بدون اینکه از مسلمات غفلت کنند و بدون اینکه محتَملات را وارد دین و عقاید کنند، و بدون آنکه نادانسته‌های خود را به خدا و دین او نسبت دهند، عمل براساس احتمال را پیشه خود کرده و سیر الی الله خود را از این طریق سرعت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بار دیگر بر گستردگی این موضوع تأکید کرده و یادآور می‌شوم که بخش‌هایی مهم از بحث فوق قابل طرح هست که حجم متعارف مقاله اجازة ورود به آن مباحث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مباحث قابل طرح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ادلة فراوان نقلی بر عدم حجیت خبر واحد، آرای نزدیک به اجماع عالمان دین بر عدم حجیت، تجزیه و تحلیل تمسک برخی عالمان به خبر واحد و چگونگی تعامل با ظنون حاصل‌شده از خبر واحد و</w:t>
      </w:r>
      <w:r>
        <w:rPr>
          <w:rFonts w:eastAsia="IRNazanin" w:cs="IRNazanin"/>
          <w:color w:val="111111"/>
          <w:sz w:val="28"/>
          <w:szCs w:val="28"/>
          <w:rtl w:val="true"/>
          <w:lang w:bidi="fa-IR"/>
        </w:rPr>
        <w:t>....</w:t>
      </w:r>
    </w:p>
    <w:p>
      <w:pPr>
        <w:pStyle w:val="Heading3"/>
        <w:numPr>
          <w:ilvl w:val="2"/>
          <w:numId w:val="1"/>
        </w:numPr>
        <w:rPr/>
      </w:pPr>
      <w:bookmarkStart w:id="546" w:name="__RefHeading___Toc4623725_581953129"/>
      <w:bookmarkStart w:id="547" w:name="_Toc209"/>
      <w:bookmarkEnd w:id="546"/>
      <w:r>
        <w:rPr>
          <w:rtl w:val="true"/>
        </w:rPr>
        <w:t>نتیجه</w:t>
      </w:r>
      <w:r>
        <w:rPr>
          <w:rtl w:val="true"/>
        </w:rPr>
        <w:softHyphen/>
      </w:r>
      <w:r>
        <w:rPr>
          <w:rtl w:val="true"/>
        </w:rPr>
        <w:t>گیری</w:t>
      </w:r>
      <w:bookmarkEnd w:id="5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واحد اگر از لحاظ سند و دلالت همراه با قرائن یقین‌آور نباشد، معرفت لازم برای اعتقادت دینی را ایجاد نمی‌کند و پی‌ریزیِ نظام فکریِ دینی برای افراد و جوامع، با تکیه بر چنین خبری، به دوری از دین واقعی از یک سو و اختلاف و تشتّت از سوی دیگر منجر خواهد شد</w:t>
      </w:r>
      <w:r>
        <w:rPr>
          <w:rFonts w:eastAsia="IRNazanin" w:cs="IRNazanin"/>
          <w:color w:val="111111"/>
          <w:sz w:val="28"/>
          <w:szCs w:val="28"/>
          <w:rtl w:val="true"/>
          <w:lang w:bidi="fa-IR"/>
        </w:rPr>
        <w:t xml:space="preserve">. </w:t>
      </w:r>
      <w:bookmarkStart w:id="548" w:name="pg5825_38495"/>
    </w:p>
    <w:p>
      <w:pPr>
        <w:pStyle w:val="Heading3"/>
        <w:numPr>
          <w:ilvl w:val="2"/>
          <w:numId w:val="1"/>
        </w:numPr>
        <w:rPr/>
      </w:pPr>
      <w:bookmarkStart w:id="549" w:name="__RefHeading___Toc4623727_581953129"/>
      <w:bookmarkStart w:id="550" w:name="_Toc210"/>
      <w:bookmarkEnd w:id="548"/>
      <w:bookmarkEnd w:id="549"/>
      <w:r>
        <w:rPr>
          <w:rtl w:val="true"/>
        </w:rPr>
        <w:t>منابع</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تهرانی، میرزا محمدحسن،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بحر الفوائد فی شرح الفرائد، 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آیت‌الله العظمی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أبوأویس، محمد بن الأمین بوخبزة التطوانی، بی‌تا، اصول المذاهب،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حیدر،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المذاهب الاربعة،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الغدیر فی الکتاب و السنة،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اعیان الشیعة،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فرایدالاصول،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بی‌تا، الأنوار الحیریة و الأقمار البدریة الأحمدیة،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وزیری، تک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الحسن بن علی،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وسائل الشیعة إلی تحصیل مسائل الشریعة،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جعفر،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معارج الاصول، تحقیق محمدحسین رضوی،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مؤﺳﺴﺔ آل البیت لاحیاءالتراث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،الرسائل،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شعرانی، ابوالحسن،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المدخل الی عذب المنهل، إعداد 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دویستمین سال تولد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أول، محمد بن مکی العاملی، بی‌تا، القواعد و الفوائد، تحقیق وتصحیح سیدعبدالهادی حکیم،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الثانی، زین الدین بن علی بن أحمد العاملی،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المقاصد العلیة فی شرح الرسالة الألفیة،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 باقر،</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فلسفتنا،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بابویه قمی،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الاعتقادات،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المیزان فی تفسیر القرآن،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نقد المحصل،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رسائل الشریف المرتضی،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أمالی،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الذریعة، تحقیق سید احمد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میرزاابوالقاسم،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قوانین الاصول،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ﻋﻠﻤﻴﺔ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ابوجعفر محمّد بن یعقوب،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مقباس الهدایة فی علم الدرایة، تحقیق محمد رضا مامقانی،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مؤﺳﺴﺔ آل </w:t>
      </w:r>
    </w:p>
    <w:p>
      <w:pPr>
        <w:pStyle w:val="BookText"/>
        <w:rPr/>
      </w:pPr>
      <w:r>
        <w:rPr>
          <w:rFonts w:ascii="IRNazanin" w:hAnsi="IRNazanin" w:eastAsia="IRNazanin"/>
          <w:color w:val="111111"/>
          <w:sz w:val="28"/>
          <w:sz w:val="28"/>
          <w:szCs w:val="28"/>
          <w:rtl w:val="true"/>
          <w:lang w:bidi="fa-IR"/>
        </w:rPr>
        <w:t>البیت لاحیاءالتراث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بحارالانوار،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امامت و رهبری، 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 حسین بن عبد الرحیم الغروی،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تنبیه الأمة و تنزیه الملة، تصحیح سیدجواد ورعی،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محمد باقر بن محمد أکمل،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مصابیح الظلام، 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العلامة المجدد الوحید البهبهانی</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حوزه علمیه و دانشیار پژوهشگاه فرهنگ و اندیشه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رساله‌ی ایساغوجی، تألیف فیلسوف نوافلاطونی فرفوریوس صوری، از شارحان مشهور آثار ارسطو و پیرو و شاگرد خاص فلوطین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که به منظور تمهید مقدمه‌ای برای فهم سخنان ارسطو به نگارش درآمده از همان اوان تألیف مورد توجه و عنایت خاص اهل منطق قرار گرفته است و بواقع سرآغازی درخور و مفید بر ارغنون ارسطو به‌شمار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 آن در صدر آثار منطقی، سنتی دیرین است که تا زمان حاضر نیز تداوم و تداول یافته و هیچ منطق‌آموزی از فراگیری و مطالعة آن بی‌نیاز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فرفوریوس، ایساغوجی و مقولات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مقدمه و توضیحات محمد خوانساری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براعت استهلال یکی از صنایع معنوی بدیع است و آن زمانی است که شاعر یا نویسنده، آغاز متن خود را به گونه‌ای خلق کند و در آن نکته‌ها و واژه‌هایی را بگنجاند که گویای متن اصلی سروده یا نوشته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نحوی که مخاطب از خواندن این آغاز، یا مقدمه، به حال و هوای کلی اثر پی برده و دریابد که نویسنده یا شاعر از چه چیزی می‌خواهد حرف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شمیسا، سیروس؛ نگاهی تازه به 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اصول الفقه ﻣﺒﻨﻴﺔ علی جمیع اصول الدّین مع التّّأملِ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الذرﻳﻌﺔ،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جرت الطرﻳﻘﺔ علی بیان أجزاء العلم فی المقدﻣﺔ أراد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رحمه‌الله الإشارﺓ إلی ذلک و أجزاء العلوم علی ما ذکروها ثلاﺛﺔ</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و الموضوع و المبادی، کما سیجی‌ء تفصیل الکلام فیها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تبیّن فی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 إلا تصدیقات و تصوّر الموضوع من المبادی التصوّرﻳﺔ التی تبین فی العلم إذ لیس لها موضع آخر تبین فیه فبیانها من وﻇﻴﻔﺔ العلم بالعرض، علی أن ذلک خارج عن أصل الحد بناء علی تفسیر العلم بالتصدیق، الفصول‌الغروﻳﺔ،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اندیشة اسلامی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نکته دقیقاً خلاف رأی جمهور اصولیان است که وضع را آگاهانه و ارادی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میلانی،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فیاض،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نکته‌ای است که مسلک وضع به آن بی‌توجه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عملی فردی است؛ به همین جهت این نکته خلاف نظر جمهور اصولیان خواهد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علامه مشتمل بر دو بخش معرفت‌شناسی اعتبارات و بررسی اقسام و تحلیل اعتبارات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بخش مدنظر است، بخش اول نظریة وی است که از پیش‌تر تا حدودی و بیشتر به نحو ارتکازی مورد توجه اصولیان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بخش دوم نظریة وی که بیشتر نظریات ابداعی خود وی است، در بسیاری از مباحث خالی از خدشه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مفهوم وجود را اعتباری می‌داند و ماهیت را حقیقت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 بی‌تا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 علامه به گرایش‌های اصالت ماهوی نسبت داده شده‌است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یزدی،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این نقد درست نیست؛ اما نظر علامه، به جهات دیگری پذیرفتنی نیست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که واژة حکم هم به گونه‌ای از مفاهیم قانونی اطلاق می‌شود که در قانون نقش محمول را برعهده دارند و هم به خود انشای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منظور همان اطلاق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برای پرهیز از خلط اصطلاحات از اطلاق حکم به خود انشای تامّ حتی‌الامکان خودداری می‌شود و سعی می‌شود واژة انشا یا قانون به کار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گونه‌های پیچیده‌تری از انشائات نیز وجود دارد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آن است که قانون انشا به شیوة قضیة طبیعیه است؛ نه محصوره تا خطاب بر عناوین عامه باشد؛ اما در این نوشتار، به اختلاف اصولیان در این باب پرداخته نشد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مطالعة بیشتر دربارة این نکته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لاریحانی،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آشکار است که مصداق بالاصالة وحی فراگیر بر همة پهنة زمین و بر همة در ازای زمان قرآن کریم و به تبع آن، سنت قولی و فعلی اهل بیت علیهم‌السلام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پرسش شود که در این صورت عقل چه نقشی در این پایه دارد؟ و چرا این پایه، یک پایة عقلانیت قانون شمرده شده‌است؟ باید گفت که چنین معرفتی مستلزم تحلیل ساختار معنایی گزاره‌های وحیانی است و چنین تحلیلی مستلزم معرفت عقلانی به معارف وحیابی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این تعریف از معناداری و پوچی نشانگر رابطة تنگاتنگ معنا و غایت زندگی است و شاید به همین جهت گاهی معنای زندگی و غایت زندگی یکی انگاشته می‌شوند؛ اما درواقع با هم تفاوت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لگنهاوسن،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باید در حین همین زندگی این جهانی باشد و برخلاف غایت نمی‌توان آن را به عالمی دیگر وعده داد؛ ولی غایت را از این جهت به عالمی دیگر باید حواله داد که این جهان تحمل غایت مطلوب انسانی را ندارد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اتصاف اعم از اینکه بالذات باشد یا بالعرض، حقیقت عقلی باشد یا مجاز عقلی، بی‌واسطه باشد یا بالتبع، بالوجدان حقیقت لفظی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اخلاقی لازم نیست متعلق بی‌واسطة اراده باشد، بلکه تنها لازم است در طول اراده محقق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نظر مشهور، علمای اخلاق اسلامی، امر اخلاقی ملکات نفسانی است و این ملکات، خود، متعلق بی‌واسطة اراده نیستند؛ اما در طول اراده محقق می‌شوند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حسن و قبح شرعی در برابر دو اصطلاح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قبح عقلی و حسن و قبح ذاتی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اصطلاح حسن و قبح شرعی نباید با هم خلط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متن، این اصطلاح در برابر حسن و قبح ذاتی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مشهور میان متکلمان شیعه، حسن و قبح ذاتی یا همان واقعی بودن حسن و قبح است و متکلمان اشعری حسن و قبح را شرعی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متکلمان شیعه از پشتوانة استدلالی محکمی برخودار است؛ اما این نظریه اصل وجود حسن و قبح شرعی را انکار نمی‌کند؛ بلکه بر آن است که حسن و قبح شرعی باید به حسن و قبح ذاتی منتهی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تعریف رعایت نظر مشهور مدنظر نبوده و تلاش شده‌است یک تعریف حقیقت‌گرایانه از عقلانیت ابزاری عرضه 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لازم نیست که موضوع مورد نظر واقعاً مصداق معنای حقیقی باشد و کافی است شأنیت آن را داشته باشد؛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تعلیقات شهید مطهری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 بی‌تا،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جایی که به قصد تمسخر فرد ترسو شیر خوانده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موضوع مجاز از لفظ به معنا، مبتنی بر نظریة دقیق سکاکی است که در میان اصولیان متأخر با استقبال مواجه شده‌است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ماهیت مخترعه ممکن است از اوامر و نواهی قانون‌گذار انتزاع شود و ممکن است رأساً به‌وسیلة قانون‌گذار جعل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تکلیفی خواندن این قسم خلاف رأی اصولیان است؛ اما به نظر نمی‌رسد پیوند صحت و فساد با عمل مکلف باواسطه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گفته این است که صحت و فساد حکم خود فعل‌اند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اصولیان این قسم را نیز حکم می‌خوانند، ولی در این نوشتار برای پرهیز از خلط اصطلاحات، اصطلاح حد به جای آن وضع 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ماده و هیئت در ساختار صرفی زبان عربی تعریف شده‌اند و ساختار صرفی زبان فارسی یا انگلیسی یا ترکی چنین مفاهیمی را به‌سادگی پذیرا نیستند؛ اما در ساختار نحوی، هیئت و ماده در همة زبان‌ها به‌سادگی قابل تعریف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 که لازمة این سخن، این نیست که موضوعٌ‌له لفظ صور ذهنی‌اند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اعتبار، مفهوم خاص نیز اعم از جزئی خواهد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کتب اصولی، اصطلاح عام و خاص در بیان اقسام وضع، به کلی و جزئی معنا شده‌اند که تحلیل متن نشان می‌دهد ناقص است و البته اگر منظور واضعان دو اصطلاح عام و خاص همان کلی و جزئی بود، دلیلی بر وضع دو اصطلاح جدید نبود و کثرت استعمال دو مفهوم کلی و جزئی در اصول نشان می‌دهد که منطقی بودن این دو مفهوم نیز دلیل وضع واژگان جدید در علم اصول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عمل، این قرینة استعمال آن در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ع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تصریح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صیغة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فرد به صفت قائم بر نفس به نحو علم حضوری آگاه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صورت تنها ماده بر معنا دلالت خواهد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دوره دکتری فلسفه و کلام، دانشگاه علوم و تحقیقات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Twin Earth Argument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گروه معرفت‌شناسی پژوهشگاه فرهنگ و اندیشة اسلامی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Putnam,H. 1975 Mind Language and Reality: Philosophical Papers.Vol.2 Cambridge</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از دانستن، و ذهن و روان و حالت روان‌شناختی، همان تلقی را داشته باشیم که فیلسوفان ذهن و زبان تحلیلی دارند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محل بحث ما در این مقاله، منحصر در مفاهیم انواع طبیعی، مانند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فلسفة اسلامی بدانها مفاهیم ماهوی گفته می‌شود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زبان‌شناسی دانشگاه پیام نور واحد 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فردوسی مشهد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قم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فوق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مؤسسة آموزشی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دورة دکتری دانشکدة باقرالعلوم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منظور نه استدلال عقلی صرف، بلکه مطلق استنتاج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 جازم صادق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اعتقاد جزمی مطابق با واقع و زوال‌ناپذیر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اعتقاد جازم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 تنها یقین به یک طرف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مرتبه از معرفت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 روان‌شناختی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می‌شود، در جایی تحقق می‌یابد که فردی به قضیه‌ای جزم و یقین یافته و هیچ شک و تردیدی در مفاد آن نداشته باشد؛ ولو آنکه معرفت وی مطابق با واقع نباشد یا از راه استدلال به دست نیامده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حالت نفسانی را که برای انسان حاصل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این قسم از معرفت اعم از قسم پیشین است زیرا مواردی را که اعتقاد صادق نباشد، نیز دربردارد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جهل مرکب در این قسم جای می‌گیرد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لازم و کافی در اعتقادات دینی در تحقیقی مستقل بررسی شده و نتیجة آن کفایت معرفت اطمینانی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تنها بر مبنای برگزیدة این نوشتار و برخی محققان مانند نائینی و محقق اصفهانی که خبر واحد را مفید اطمینان و علم متعارف می‌دانند، سامان می‌یابد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ابتدای مقاله اشاره شد معرفت لازم و کافی در اعتقادات دینی در پژوهشی مستقل بررسی شده و طبق آن نتیجة فوق به دست 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مطلب مستلزم تحقیقی مجزاست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به معنای وسیع آن حجت شرعی است نه خصوص عقل تجریدی محض که در قالب برهان فلسفی و کلامی نمودار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در فقه و اصول، بسیاری از مباحث و مسائل در زمرة علوم عرفی است نه علم عقلی برهانی به معنای مصطلح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معیار و میزان در اعتبار و پذیرش دستاورد عقل حصول یقین یا اطمینان عقلایی است و واقعیت این است که عقل عرفی در بسیاری موارد به طمأنینه عقلایی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می‌گوییم عقل منبع معرفت‌شناسی دین را تأمین می‌کند به این مصادیق وسیع طمأنینه عرفی و عقلایی نیز نظر 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جوادی آملی،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نیز در توضیح معنای حجیت کلماتی دارند که می‌توان صحت احتجاج را به ایشان نسبت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به معنای شاهد یا مؤید دانستن خبر واحد نیست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هنوز کسی این اشکال را مستقلاً مطرح نکرده‌است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پژوهشگاه فرهنگ و اندیشه اسلامی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عالم شیعی از جمله فقیهانی هستند که عمل به خبر واحد را حتی در فقه مجاز نمی‌دانند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60056</Words>
  <Characters>250832</Characters>
  <CharactersWithSpaces>308781</CharactersWithSpaces>
  <Paragraphs>2257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2026-08-19T05:08:25Z</dcterms:created>
  <dc:creator>ghaemiyeh.com</dc:creator>
  <dc:description/>
  <dc:language>en-US</dc:language>
  <cp:lastModifiedBy/>
  <dcterms:modified xsi:type="dcterms:W3CDTF">2026-08-19T08:38:31Z</dcterms:modified>
  <cp:revision>1</cp:revision>
  <dc:subject/>
  <dc:title>فصلنامه تخصصی معرفت شناسی و حوزه های مرتبط شماره 43 - سال یازدهم - پاییز 1389</dc:title>
</cp:coreProperties>
</file>

<file path=docProps/custom.xml><?xml version="1.0" encoding="utf-8"?>
<Properties xmlns="http://schemas.openxmlformats.org/officeDocument/2006/custom-properties" xmlns:vt="http://schemas.openxmlformats.org/officeDocument/2006/docPropsVTypes"/>
</file>