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مدخل عام لدارسة فقه القرآن المقارن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18197_58195312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818199_58195312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818201_581953129">
            <w:r>
              <w:rPr>
                <w:webHidden/>
                <w:rStyle w:val="IndexLink"/>
                <w:rtl w:val="true"/>
              </w:rPr>
              <w:t>کلمة الناشر</w:t>
            </w:r>
            <w:r>
              <w:rPr>
                <w:rStyle w:val="IndexLink"/>
                <w:rtl w:val="true"/>
              </w:rPr>
              <w:tab/>
            </w:r>
            <w:r>
              <w:rPr>
                <w:rStyle w:val="IndexLink"/>
              </w:rPr>
              <w:t>8</w:t>
            </w:r>
          </w:hyperlink>
        </w:p>
        <w:p>
          <w:pPr>
            <w:pStyle w:val="Contents2"/>
            <w:tabs>
              <w:tab w:val="clear" w:pos="8743"/>
              <w:tab w:val="right" w:pos="9026" w:leader="dot"/>
            </w:tabs>
            <w:rPr/>
          </w:pPr>
          <w:hyperlink w:anchor="__RefHeading___Toc3818203_581953129">
            <w:r>
              <w:rPr>
                <w:webHidden/>
                <w:rStyle w:val="IndexLink"/>
                <w:rtl w:val="true"/>
              </w:rPr>
              <w:t>کلمة مرکز المصطفی</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العالمی للدراسات والتحقیق</w:t>
            </w:r>
            <w:r>
              <w:rPr>
                <w:rStyle w:val="IndexLink"/>
                <w:rtl w:val="true"/>
              </w:rPr>
              <w:tab/>
            </w:r>
            <w:r>
              <w:rPr>
                <w:rStyle w:val="IndexLink"/>
              </w:rPr>
              <w:t>11</w:t>
            </w:r>
          </w:hyperlink>
        </w:p>
        <w:p>
          <w:pPr>
            <w:pStyle w:val="Contents2"/>
            <w:tabs>
              <w:tab w:val="clear" w:pos="8743"/>
              <w:tab w:val="right" w:pos="9026" w:leader="dot"/>
            </w:tabs>
            <w:rPr/>
          </w:pPr>
          <w:hyperlink w:anchor="__RefHeading___Toc3818205_581953129">
            <w:r>
              <w:rPr>
                <w:webHidden/>
                <w:rStyle w:val="IndexLink"/>
                <w:rtl w:val="true"/>
              </w:rPr>
              <w:t>الفهرس</w:t>
            </w:r>
            <w:r>
              <w:rPr>
                <w:rStyle w:val="IndexLink"/>
                <w:rtl w:val="true"/>
              </w:rPr>
              <w:tab/>
            </w:r>
            <w:r>
              <w:rPr>
                <w:rStyle w:val="IndexLink"/>
              </w:rPr>
              <w:t>14</w:t>
            </w:r>
          </w:hyperlink>
        </w:p>
        <w:p>
          <w:pPr>
            <w:pStyle w:val="Contents2"/>
            <w:tabs>
              <w:tab w:val="clear" w:pos="8743"/>
              <w:tab w:val="right" w:pos="9026" w:leader="dot"/>
            </w:tabs>
            <w:rPr/>
          </w:pPr>
          <w:hyperlink w:anchor="__RefHeading___Toc3818207_581953129">
            <w:r>
              <w:rPr>
                <w:webHidden/>
                <w:rStyle w:val="IndexLink"/>
                <w:rtl w:val="true"/>
              </w:rPr>
              <w:t>المقدّمة</w:t>
            </w:r>
            <w:r>
              <w:rPr>
                <w:rStyle w:val="IndexLink"/>
                <w:rtl w:val="true"/>
              </w:rPr>
              <w:tab/>
            </w:r>
            <w:r>
              <w:rPr>
                <w:rStyle w:val="IndexLink"/>
              </w:rPr>
              <w:t>19</w:t>
            </w:r>
          </w:hyperlink>
        </w:p>
        <w:p>
          <w:pPr>
            <w:pStyle w:val="Contents3"/>
            <w:tabs>
              <w:tab w:val="clear" w:pos="8459"/>
              <w:tab w:val="right" w:pos="9026" w:leader="dot"/>
            </w:tabs>
            <w:rPr/>
          </w:pPr>
          <w:hyperlink w:anchor="__RefHeading___Toc3818209_581953129">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3818211_581953129">
            <w:r>
              <w:rPr>
                <w:webHidden/>
                <w:rStyle w:val="IndexLink"/>
                <w:rtl w:val="true"/>
              </w:rPr>
              <w:t>الاُسس المعتمدة فی إعداد هذا المنهج الدراسی</w:t>
            </w:r>
            <w:r>
              <w:rPr>
                <w:rStyle w:val="IndexLink"/>
                <w:rtl w:val="true"/>
              </w:rPr>
              <w:tab/>
            </w:r>
            <w:r>
              <w:rPr>
                <w:rStyle w:val="IndexLink"/>
              </w:rPr>
              <w:t>20</w:t>
            </w:r>
          </w:hyperlink>
        </w:p>
        <w:p>
          <w:pPr>
            <w:pStyle w:val="Contents2"/>
            <w:tabs>
              <w:tab w:val="clear" w:pos="8743"/>
              <w:tab w:val="right" w:pos="9026" w:leader="dot"/>
            </w:tabs>
            <w:rPr/>
          </w:pPr>
          <w:hyperlink w:anchor="__RefHeading___Toc3818213_581953129">
            <w:r>
              <w:rPr>
                <w:webHidden/>
                <w:rStyle w:val="IndexLink"/>
                <w:rtl w:val="true"/>
              </w:rPr>
              <w:t xml:space="preserve">البحث الأوّل </w:t>
            </w:r>
            <w:r>
              <w:rPr>
                <w:rStyle w:val="IndexLink"/>
                <w:rtl w:val="true"/>
              </w:rPr>
              <w:t xml:space="preserve">: </w:t>
            </w:r>
            <w:r>
              <w:rPr>
                <w:rStyle w:val="IndexLink"/>
                <w:rtl w:val="true"/>
              </w:rPr>
              <w:t>نبذة حول علوم القرآن</w:t>
            </w:r>
            <w:r>
              <w:rPr>
                <w:rStyle w:val="IndexLink"/>
                <w:rtl w:val="true"/>
              </w:rPr>
              <w:tab/>
            </w:r>
            <w:r>
              <w:rPr>
                <w:rStyle w:val="IndexLink"/>
              </w:rPr>
              <w:t>22</w:t>
            </w:r>
          </w:hyperlink>
        </w:p>
        <w:p>
          <w:pPr>
            <w:pStyle w:val="Contents3"/>
            <w:tabs>
              <w:tab w:val="clear" w:pos="8459"/>
              <w:tab w:val="right" w:pos="9026" w:leader="dot"/>
            </w:tabs>
            <w:rPr/>
          </w:pPr>
          <w:hyperlink w:anchor="__RefHeading___Toc3818215_581953129">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3818217_581953129">
            <w:r>
              <w:rPr>
                <w:webHidden/>
                <w:rStyle w:val="IndexLink"/>
                <w:rtl w:val="true"/>
              </w:rPr>
              <w:t>أوّلاً</w:t>
            </w:r>
            <w:r>
              <w:rPr>
                <w:rStyle w:val="IndexLink"/>
                <w:rtl w:val="true"/>
              </w:rPr>
              <w:t xml:space="preserve">: </w:t>
            </w:r>
            <w:r>
              <w:rPr>
                <w:rStyle w:val="IndexLink"/>
                <w:rtl w:val="true"/>
              </w:rPr>
              <w:t>ما المراد بعلوم القرآن ؟</w:t>
            </w:r>
            <w:r>
              <w:rPr>
                <w:rStyle w:val="IndexLink"/>
                <w:rtl w:val="true"/>
              </w:rPr>
              <w:tab/>
            </w:r>
            <w:r>
              <w:rPr>
                <w:rStyle w:val="IndexLink"/>
              </w:rPr>
              <w:t>22</w:t>
            </w:r>
          </w:hyperlink>
        </w:p>
        <w:p>
          <w:pPr>
            <w:pStyle w:val="Contents4"/>
            <w:tabs>
              <w:tab w:val="clear" w:pos="8176"/>
              <w:tab w:val="right" w:pos="9026" w:leader="dot"/>
            </w:tabs>
            <w:rPr/>
          </w:pPr>
          <w:hyperlink w:anchor="__RefHeading___Toc3818219_581953129">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3818221_581953129">
            <w:r>
              <w:rPr>
                <w:webHidden/>
                <w:rStyle w:val="IndexLink"/>
                <w:rtl w:val="true"/>
              </w:rPr>
              <w:t>بعض الکتب المختصّة فی علوم القرآن</w:t>
            </w:r>
            <w:r>
              <w:rPr>
                <w:rStyle w:val="IndexLink"/>
                <w:rtl w:val="true"/>
              </w:rPr>
              <w:tab/>
            </w:r>
            <w:r>
              <w:rPr>
                <w:rStyle w:val="IndexLink"/>
              </w:rPr>
              <w:t>23</w:t>
            </w:r>
          </w:hyperlink>
        </w:p>
        <w:p>
          <w:pPr>
            <w:pStyle w:val="Contents3"/>
            <w:tabs>
              <w:tab w:val="clear" w:pos="8459"/>
              <w:tab w:val="right" w:pos="9026" w:leader="dot"/>
            </w:tabs>
            <w:rPr/>
          </w:pPr>
          <w:hyperlink w:anchor="__RefHeading___Toc3818223_581953129">
            <w:r>
              <w:rPr>
                <w:webHidden/>
                <w:rStyle w:val="IndexLink"/>
                <w:rtl w:val="true"/>
              </w:rPr>
              <w:t>ثانیاً</w:t>
            </w:r>
            <w:r>
              <w:rPr>
                <w:rStyle w:val="IndexLink"/>
                <w:rtl w:val="true"/>
              </w:rPr>
              <w:t xml:space="preserve">: </w:t>
            </w:r>
            <w:r>
              <w:rPr>
                <w:rStyle w:val="IndexLink"/>
                <w:rtl w:val="true"/>
              </w:rPr>
              <w:t>أهمّ الاعتبارات التی تتفاوت فیها علوم القرآن</w:t>
            </w:r>
            <w:r>
              <w:rPr>
                <w:rStyle w:val="IndexLink"/>
                <w:rtl w:val="true"/>
              </w:rPr>
              <w:tab/>
            </w:r>
            <w:r>
              <w:rPr>
                <w:rStyle w:val="IndexLink"/>
              </w:rPr>
              <w:t>23</w:t>
            </w:r>
          </w:hyperlink>
        </w:p>
        <w:p>
          <w:pPr>
            <w:pStyle w:val="Contents4"/>
            <w:tabs>
              <w:tab w:val="clear" w:pos="8176"/>
              <w:tab w:val="right" w:pos="9026" w:leader="dot"/>
            </w:tabs>
            <w:rPr/>
          </w:pPr>
          <w:hyperlink w:anchor="__RefHeading___Toc3818225_581953129">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3818227_581953129">
            <w:r>
              <w:rPr>
                <w:webHidden/>
                <w:rStyle w:val="IndexLink"/>
                <w:rtl w:val="true"/>
              </w:rPr>
              <w:t>الاعتبار الأوّل</w:t>
            </w:r>
            <w:r>
              <w:rPr>
                <w:rStyle w:val="IndexLink"/>
                <w:rtl w:val="true"/>
              </w:rPr>
              <w:tab/>
            </w:r>
            <w:r>
              <w:rPr>
                <w:rStyle w:val="IndexLink"/>
              </w:rPr>
              <w:t>23</w:t>
            </w:r>
          </w:hyperlink>
        </w:p>
        <w:p>
          <w:pPr>
            <w:pStyle w:val="Contents5"/>
            <w:tabs>
              <w:tab w:val="clear" w:pos="7892"/>
              <w:tab w:val="right" w:pos="9026" w:leader="dot"/>
            </w:tabs>
            <w:rPr/>
          </w:pPr>
          <w:hyperlink w:anchor="__RefHeading___Toc3818229_581953129">
            <w:r>
              <w:rPr>
                <w:webHidden/>
                <w:rStyle w:val="IndexLink"/>
                <w:rtl w:val="true"/>
              </w:rPr>
              <w:t>اشارة</w:t>
            </w:r>
            <w:r>
              <w:rPr>
                <w:rStyle w:val="IndexLink"/>
                <w:rtl w:val="true"/>
              </w:rPr>
              <w:tab/>
            </w:r>
            <w:r>
              <w:rPr>
                <w:rStyle w:val="IndexLink"/>
              </w:rPr>
              <w:t>23</w:t>
            </w:r>
          </w:hyperlink>
        </w:p>
        <w:p>
          <w:pPr>
            <w:pStyle w:val="Contents5"/>
            <w:tabs>
              <w:tab w:val="clear" w:pos="7892"/>
              <w:tab w:val="right" w:pos="9026" w:leader="dot"/>
            </w:tabs>
            <w:rPr/>
          </w:pPr>
          <w:hyperlink w:anchor="__RefHeading___Toc3818231_581953129">
            <w:r>
              <w:rPr>
                <w:webHidden/>
                <w:rStyle w:val="IndexLink"/>
                <w:rtl w:val="true"/>
              </w:rPr>
              <w:t>نماذج من کتب التفسیر</w:t>
            </w:r>
            <w:r>
              <w:rPr>
                <w:rStyle w:val="IndexLink"/>
                <w:rtl w:val="true"/>
              </w:rPr>
              <w:tab/>
            </w:r>
            <w:r>
              <w:rPr>
                <w:rStyle w:val="IndexLink"/>
              </w:rPr>
              <w:t>24</w:t>
            </w:r>
          </w:hyperlink>
        </w:p>
        <w:p>
          <w:pPr>
            <w:pStyle w:val="Contents4"/>
            <w:tabs>
              <w:tab w:val="clear" w:pos="8176"/>
              <w:tab w:val="right" w:pos="9026" w:leader="dot"/>
            </w:tabs>
            <w:rPr/>
          </w:pPr>
          <w:hyperlink w:anchor="__RefHeading___Toc3818233_581953129">
            <w:r>
              <w:rPr>
                <w:webHidden/>
                <w:rStyle w:val="IndexLink"/>
                <w:rtl w:val="true"/>
              </w:rPr>
              <w:t>الاعتبار الثانی</w:t>
            </w:r>
            <w:r>
              <w:rPr>
                <w:rStyle w:val="IndexLink"/>
                <w:rtl w:val="true"/>
              </w:rPr>
              <w:tab/>
            </w:r>
            <w:r>
              <w:rPr>
                <w:rStyle w:val="IndexLink"/>
              </w:rPr>
              <w:t>25</w:t>
            </w:r>
          </w:hyperlink>
        </w:p>
        <w:p>
          <w:pPr>
            <w:pStyle w:val="Contents5"/>
            <w:tabs>
              <w:tab w:val="clear" w:pos="7892"/>
              <w:tab w:val="right" w:pos="9026" w:leader="dot"/>
            </w:tabs>
            <w:rPr/>
          </w:pPr>
          <w:hyperlink w:anchor="__RefHeading___Toc3818235_581953129">
            <w:r>
              <w:rPr>
                <w:webHidden/>
                <w:rStyle w:val="IndexLink"/>
                <w:rtl w:val="true"/>
              </w:rPr>
              <w:t>اشارة</w:t>
            </w:r>
            <w:r>
              <w:rPr>
                <w:rStyle w:val="IndexLink"/>
                <w:rtl w:val="true"/>
              </w:rPr>
              <w:tab/>
            </w:r>
            <w:r>
              <w:rPr>
                <w:rStyle w:val="IndexLink"/>
              </w:rPr>
              <w:t>25</w:t>
            </w:r>
          </w:hyperlink>
        </w:p>
        <w:p>
          <w:pPr>
            <w:pStyle w:val="Contents5"/>
            <w:tabs>
              <w:tab w:val="clear" w:pos="7892"/>
              <w:tab w:val="right" w:pos="9026" w:leader="dot"/>
            </w:tabs>
            <w:rPr/>
          </w:pPr>
          <w:hyperlink w:anchor="__RefHeading___Toc3818237_581953129">
            <w:r>
              <w:rPr>
                <w:webHidden/>
                <w:rStyle w:val="IndexLink"/>
                <w:rtl w:val="true"/>
              </w:rPr>
              <w:t xml:space="preserve">أمثلة لبعض المصادر </w:t>
            </w:r>
            <w:r>
              <w:rPr>
                <w:rStyle w:val="IndexLink"/>
                <w:rtl w:val="true"/>
              </w:rPr>
              <w:t>(</w:t>
            </w:r>
            <w:r>
              <w:rPr>
                <w:rStyle w:val="IndexLink"/>
                <w:rtl w:val="true"/>
              </w:rPr>
              <w:t>فی إعجاز القرآن</w:t>
            </w:r>
            <w:r>
              <w:rPr>
                <w:rStyle w:val="IndexLink"/>
                <w:rtl w:val="true"/>
              </w:rPr>
              <w:t>)</w:t>
              <w:tab/>
            </w:r>
            <w:r>
              <w:rPr>
                <w:rStyle w:val="IndexLink"/>
              </w:rPr>
              <w:t>25</w:t>
            </w:r>
          </w:hyperlink>
        </w:p>
        <w:p>
          <w:pPr>
            <w:pStyle w:val="Contents4"/>
            <w:tabs>
              <w:tab w:val="clear" w:pos="8176"/>
              <w:tab w:val="right" w:pos="9026" w:leader="dot"/>
            </w:tabs>
            <w:rPr/>
          </w:pPr>
          <w:hyperlink w:anchor="__RefHeading___Toc3818239_581953129">
            <w:r>
              <w:rPr>
                <w:webHidden/>
                <w:rStyle w:val="IndexLink"/>
                <w:rtl w:val="true"/>
              </w:rPr>
              <w:t>الاعتبار الثالث</w:t>
            </w:r>
            <w:r>
              <w:rPr>
                <w:rStyle w:val="IndexLink"/>
                <w:rtl w:val="true"/>
              </w:rPr>
              <w:tab/>
            </w:r>
            <w:r>
              <w:rPr>
                <w:rStyle w:val="IndexLink"/>
              </w:rPr>
              <w:t>25</w:t>
            </w:r>
          </w:hyperlink>
        </w:p>
        <w:p>
          <w:pPr>
            <w:pStyle w:val="Contents5"/>
            <w:tabs>
              <w:tab w:val="clear" w:pos="7892"/>
              <w:tab w:val="right" w:pos="9026" w:leader="dot"/>
            </w:tabs>
            <w:rPr/>
          </w:pPr>
          <w:hyperlink w:anchor="__RefHeading___Toc3818241_581953129">
            <w:r>
              <w:rPr>
                <w:webHidden/>
                <w:rStyle w:val="IndexLink"/>
                <w:rtl w:val="true"/>
              </w:rPr>
              <w:t>اشارة</w:t>
            </w:r>
            <w:r>
              <w:rPr>
                <w:rStyle w:val="IndexLink"/>
                <w:rtl w:val="true"/>
              </w:rPr>
              <w:tab/>
            </w:r>
            <w:r>
              <w:rPr>
                <w:rStyle w:val="IndexLink"/>
              </w:rPr>
              <w:t>25</w:t>
            </w:r>
          </w:hyperlink>
        </w:p>
        <w:p>
          <w:pPr>
            <w:pStyle w:val="Contents5"/>
            <w:tabs>
              <w:tab w:val="clear" w:pos="7892"/>
              <w:tab w:val="right" w:pos="9026" w:leader="dot"/>
            </w:tabs>
            <w:rPr/>
          </w:pPr>
          <w:hyperlink w:anchor="__RefHeading___Toc3818243_581953129">
            <w:r>
              <w:rPr>
                <w:webHidden/>
                <w:rStyle w:val="IndexLink"/>
                <w:rtl w:val="true"/>
              </w:rPr>
              <w:t xml:space="preserve">أمثلة لبعض المصادر </w:t>
            </w:r>
            <w:r>
              <w:rPr>
                <w:rStyle w:val="IndexLink"/>
                <w:rtl w:val="true"/>
              </w:rPr>
              <w:t>(</w:t>
            </w:r>
            <w:r>
              <w:rPr>
                <w:rStyle w:val="IndexLink"/>
                <w:rtl w:val="true"/>
              </w:rPr>
              <w:t>فی إعراب القرآن</w:t>
            </w:r>
            <w:r>
              <w:rPr>
                <w:rStyle w:val="IndexLink"/>
                <w:rtl w:val="true"/>
              </w:rPr>
              <w:t>)</w:t>
              <w:tab/>
            </w:r>
            <w:r>
              <w:rPr>
                <w:rStyle w:val="IndexLink"/>
              </w:rPr>
              <w:t>26</w:t>
            </w:r>
          </w:hyperlink>
        </w:p>
        <w:p>
          <w:pPr>
            <w:pStyle w:val="Contents4"/>
            <w:tabs>
              <w:tab w:val="clear" w:pos="8176"/>
              <w:tab w:val="right" w:pos="9026" w:leader="dot"/>
            </w:tabs>
            <w:rPr/>
          </w:pPr>
          <w:hyperlink w:anchor="__RefHeading___Toc3818245_581953129">
            <w:r>
              <w:rPr>
                <w:webHidden/>
                <w:rStyle w:val="IndexLink"/>
                <w:rtl w:val="true"/>
              </w:rPr>
              <w:t>الاعتبار الرابع</w:t>
            </w:r>
            <w:r>
              <w:rPr>
                <w:rStyle w:val="IndexLink"/>
                <w:rtl w:val="true"/>
              </w:rPr>
              <w:tab/>
            </w:r>
            <w:r>
              <w:rPr>
                <w:rStyle w:val="IndexLink"/>
              </w:rPr>
              <w:t>26</w:t>
            </w:r>
          </w:hyperlink>
        </w:p>
        <w:p>
          <w:pPr>
            <w:pStyle w:val="Contents5"/>
            <w:tabs>
              <w:tab w:val="clear" w:pos="7892"/>
              <w:tab w:val="right" w:pos="9026" w:leader="dot"/>
            </w:tabs>
            <w:rPr/>
          </w:pPr>
          <w:hyperlink w:anchor="__RefHeading___Toc3818247_581953129">
            <w:r>
              <w:rPr>
                <w:webHidden/>
                <w:rStyle w:val="IndexLink"/>
                <w:rtl w:val="true"/>
              </w:rPr>
              <w:t>اشارة</w:t>
            </w:r>
            <w:r>
              <w:rPr>
                <w:rStyle w:val="IndexLink"/>
                <w:rtl w:val="true"/>
              </w:rPr>
              <w:tab/>
            </w:r>
            <w:r>
              <w:rPr>
                <w:rStyle w:val="IndexLink"/>
              </w:rPr>
              <w:t>26</w:t>
            </w:r>
          </w:hyperlink>
        </w:p>
        <w:p>
          <w:pPr>
            <w:pStyle w:val="Contents5"/>
            <w:tabs>
              <w:tab w:val="clear" w:pos="7892"/>
              <w:tab w:val="right" w:pos="9026" w:leader="dot"/>
            </w:tabs>
            <w:rPr/>
          </w:pPr>
          <w:hyperlink w:anchor="__RefHeading___Toc3818249_581953129">
            <w:r>
              <w:rPr>
                <w:webHidden/>
                <w:rStyle w:val="IndexLink"/>
                <w:rtl w:val="true"/>
              </w:rPr>
              <w:t xml:space="preserve">أمثلة لبعض المصادر </w:t>
            </w:r>
            <w:r>
              <w:rPr>
                <w:rStyle w:val="IndexLink"/>
                <w:rtl w:val="true"/>
              </w:rPr>
              <w:t>(</w:t>
            </w:r>
            <w:r>
              <w:rPr>
                <w:rStyle w:val="IndexLink"/>
                <w:rtl w:val="true"/>
              </w:rPr>
              <w:t>فی بلاغة القرآن</w:t>
            </w:r>
            <w:r>
              <w:rPr>
                <w:rStyle w:val="IndexLink"/>
                <w:rtl w:val="true"/>
              </w:rPr>
              <w:t>)</w:t>
              <w:tab/>
            </w:r>
            <w:r>
              <w:rPr>
                <w:rStyle w:val="IndexLink"/>
              </w:rPr>
              <w:t>26</w:t>
            </w:r>
          </w:hyperlink>
        </w:p>
        <w:p>
          <w:pPr>
            <w:pStyle w:val="Contents4"/>
            <w:tabs>
              <w:tab w:val="clear" w:pos="8176"/>
              <w:tab w:val="right" w:pos="9026" w:leader="dot"/>
            </w:tabs>
            <w:rPr/>
          </w:pPr>
          <w:hyperlink w:anchor="__RefHeading___Toc3818251_581953129">
            <w:r>
              <w:rPr>
                <w:webHidden/>
                <w:rStyle w:val="IndexLink"/>
                <w:rtl w:val="true"/>
              </w:rPr>
              <w:t>الاعتبار الخامس</w:t>
            </w:r>
            <w:r>
              <w:rPr>
                <w:rStyle w:val="IndexLink"/>
                <w:rtl w:val="true"/>
              </w:rPr>
              <w:tab/>
            </w:r>
            <w:r>
              <w:rPr>
                <w:rStyle w:val="IndexLink"/>
              </w:rPr>
              <w:t>27</w:t>
            </w:r>
          </w:hyperlink>
        </w:p>
        <w:p>
          <w:pPr>
            <w:pStyle w:val="Contents5"/>
            <w:tabs>
              <w:tab w:val="clear" w:pos="7892"/>
              <w:tab w:val="right" w:pos="9026" w:leader="dot"/>
            </w:tabs>
            <w:rPr/>
          </w:pPr>
          <w:hyperlink w:anchor="__RefHeading___Toc3818253_581953129">
            <w:r>
              <w:rPr>
                <w:webHidden/>
                <w:rStyle w:val="IndexLink"/>
                <w:rtl w:val="true"/>
              </w:rPr>
              <w:t>اشارة</w:t>
            </w:r>
            <w:r>
              <w:rPr>
                <w:rStyle w:val="IndexLink"/>
                <w:rtl w:val="true"/>
              </w:rPr>
              <w:tab/>
            </w:r>
            <w:r>
              <w:rPr>
                <w:rStyle w:val="IndexLink"/>
              </w:rPr>
              <w:t>27</w:t>
            </w:r>
          </w:hyperlink>
        </w:p>
        <w:p>
          <w:pPr>
            <w:pStyle w:val="Contents5"/>
            <w:tabs>
              <w:tab w:val="clear" w:pos="7892"/>
              <w:tab w:val="right" w:pos="9026" w:leader="dot"/>
            </w:tabs>
            <w:rPr/>
          </w:pPr>
          <w:hyperlink w:anchor="__RefHeading___Toc3818255_581953129">
            <w:r>
              <w:rPr>
                <w:webHidden/>
                <w:rStyle w:val="IndexLink"/>
                <w:rtl w:val="true"/>
              </w:rPr>
              <w:t xml:space="preserve">أمثلة لبعض المصادر </w:t>
            </w:r>
            <w:r>
              <w:rPr>
                <w:rStyle w:val="IndexLink"/>
                <w:rtl w:val="true"/>
              </w:rPr>
              <w:t>(</w:t>
            </w:r>
            <w:r>
              <w:rPr>
                <w:rStyle w:val="IndexLink"/>
                <w:rtl w:val="true"/>
              </w:rPr>
              <w:t>فی عدم أسباب النزول</w:t>
            </w:r>
            <w:r>
              <w:rPr>
                <w:rStyle w:val="IndexLink"/>
                <w:rtl w:val="true"/>
              </w:rPr>
              <w:t>)</w:t>
              <w:tab/>
            </w:r>
            <w:r>
              <w:rPr>
                <w:rStyle w:val="IndexLink"/>
              </w:rPr>
              <w:t>27</w:t>
            </w:r>
          </w:hyperlink>
        </w:p>
        <w:p>
          <w:pPr>
            <w:pStyle w:val="Contents4"/>
            <w:tabs>
              <w:tab w:val="clear" w:pos="8176"/>
              <w:tab w:val="right" w:pos="9026" w:leader="dot"/>
            </w:tabs>
            <w:rPr/>
          </w:pPr>
          <w:hyperlink w:anchor="__RefHeading___Toc3818257_581953129">
            <w:r>
              <w:rPr>
                <w:webHidden/>
                <w:rStyle w:val="IndexLink"/>
                <w:rtl w:val="true"/>
              </w:rPr>
              <w:t>الاعتبار السادس</w:t>
            </w:r>
            <w:r>
              <w:rPr>
                <w:rStyle w:val="IndexLink"/>
                <w:rtl w:val="true"/>
              </w:rPr>
              <w:tab/>
            </w:r>
            <w:r>
              <w:rPr>
                <w:rStyle w:val="IndexLink"/>
              </w:rPr>
              <w:t>28</w:t>
            </w:r>
          </w:hyperlink>
        </w:p>
        <w:p>
          <w:pPr>
            <w:pStyle w:val="Contents5"/>
            <w:tabs>
              <w:tab w:val="clear" w:pos="7892"/>
              <w:tab w:val="right" w:pos="9026" w:leader="dot"/>
            </w:tabs>
            <w:rPr/>
          </w:pPr>
          <w:hyperlink w:anchor="__RefHeading___Toc3818259_581953129">
            <w:r>
              <w:rPr>
                <w:webHidden/>
                <w:rStyle w:val="IndexLink"/>
                <w:rtl w:val="true"/>
              </w:rPr>
              <w:t>اشارة</w:t>
            </w:r>
            <w:r>
              <w:rPr>
                <w:rStyle w:val="IndexLink"/>
                <w:rtl w:val="true"/>
              </w:rPr>
              <w:tab/>
            </w:r>
            <w:r>
              <w:rPr>
                <w:rStyle w:val="IndexLink"/>
              </w:rPr>
              <w:t>28</w:t>
            </w:r>
          </w:hyperlink>
        </w:p>
        <w:p>
          <w:pPr>
            <w:pStyle w:val="Contents5"/>
            <w:tabs>
              <w:tab w:val="clear" w:pos="7892"/>
              <w:tab w:val="right" w:pos="9026" w:leader="dot"/>
            </w:tabs>
            <w:rPr/>
          </w:pPr>
          <w:hyperlink w:anchor="__RefHeading___Toc3818261_581953129">
            <w:r>
              <w:rPr>
                <w:webHidden/>
                <w:rStyle w:val="IndexLink"/>
                <w:rtl w:val="true"/>
              </w:rPr>
              <w:t xml:space="preserve">أمثلة لبعض المصادر </w:t>
            </w:r>
            <w:r>
              <w:rPr>
                <w:rStyle w:val="IndexLink"/>
                <w:rtl w:val="true"/>
              </w:rPr>
              <w:t>(</w:t>
            </w:r>
            <w:r>
              <w:rPr>
                <w:rStyle w:val="IndexLink"/>
                <w:rtl w:val="true"/>
              </w:rPr>
              <w:t>فی الرسم القرآن</w:t>
            </w:r>
            <w:r>
              <w:rPr>
                <w:rStyle w:val="IndexLink"/>
                <w:rtl w:val="true"/>
              </w:rPr>
              <w:t>)</w:t>
              <w:tab/>
            </w:r>
            <w:r>
              <w:rPr>
                <w:rStyle w:val="IndexLink"/>
              </w:rPr>
              <w:t>29</w:t>
            </w:r>
          </w:hyperlink>
        </w:p>
        <w:p>
          <w:pPr>
            <w:pStyle w:val="Contents4"/>
            <w:tabs>
              <w:tab w:val="clear" w:pos="8176"/>
              <w:tab w:val="right" w:pos="9026" w:leader="dot"/>
            </w:tabs>
            <w:rPr/>
          </w:pPr>
          <w:hyperlink w:anchor="__RefHeading___Toc3818263_581953129">
            <w:r>
              <w:rPr>
                <w:webHidden/>
                <w:rStyle w:val="IndexLink"/>
                <w:rtl w:val="true"/>
              </w:rPr>
              <w:t>الاعتبار السابع</w:t>
            </w:r>
            <w:r>
              <w:rPr>
                <w:rStyle w:val="IndexLink"/>
                <w:rtl w:val="true"/>
              </w:rPr>
              <w:tab/>
            </w:r>
            <w:r>
              <w:rPr>
                <w:rStyle w:val="IndexLink"/>
              </w:rPr>
              <w:t>29</w:t>
            </w:r>
          </w:hyperlink>
        </w:p>
        <w:p>
          <w:pPr>
            <w:pStyle w:val="Contents5"/>
            <w:tabs>
              <w:tab w:val="clear" w:pos="7892"/>
              <w:tab w:val="right" w:pos="9026" w:leader="dot"/>
            </w:tabs>
            <w:rPr/>
          </w:pPr>
          <w:hyperlink w:anchor="__RefHeading___Toc3818265_581953129">
            <w:r>
              <w:rPr>
                <w:webHidden/>
                <w:rStyle w:val="IndexLink"/>
                <w:rtl w:val="true"/>
              </w:rPr>
              <w:t>اشارة</w:t>
            </w:r>
            <w:r>
              <w:rPr>
                <w:rStyle w:val="IndexLink"/>
                <w:rtl w:val="true"/>
              </w:rPr>
              <w:tab/>
            </w:r>
            <w:r>
              <w:rPr>
                <w:rStyle w:val="IndexLink"/>
              </w:rPr>
              <w:t>29</w:t>
            </w:r>
          </w:hyperlink>
        </w:p>
        <w:p>
          <w:pPr>
            <w:pStyle w:val="Contents5"/>
            <w:tabs>
              <w:tab w:val="clear" w:pos="7892"/>
              <w:tab w:val="right" w:pos="9026" w:leader="dot"/>
            </w:tabs>
            <w:rPr/>
          </w:pPr>
          <w:hyperlink w:anchor="__RefHeading___Toc3818267_581953129">
            <w:r>
              <w:rPr>
                <w:webHidden/>
                <w:rStyle w:val="IndexLink"/>
                <w:rtl w:val="true"/>
              </w:rPr>
              <w:t xml:space="preserve">أمثلة لبعض المصادر </w:t>
            </w:r>
            <w:r>
              <w:rPr>
                <w:rStyle w:val="IndexLink"/>
                <w:rtl w:val="true"/>
              </w:rPr>
              <w:t>(</w:t>
            </w:r>
            <w:r>
              <w:rPr>
                <w:rStyle w:val="IndexLink"/>
                <w:rtl w:val="true"/>
              </w:rPr>
              <w:t>فی علم القراءة</w:t>
            </w:r>
            <w:r>
              <w:rPr>
                <w:rStyle w:val="IndexLink"/>
                <w:rtl w:val="true"/>
              </w:rPr>
              <w:t>)</w:t>
              <w:tab/>
            </w:r>
            <w:r>
              <w:rPr>
                <w:rStyle w:val="IndexLink"/>
              </w:rPr>
              <w:t>29</w:t>
            </w:r>
          </w:hyperlink>
        </w:p>
        <w:p>
          <w:pPr>
            <w:pStyle w:val="Contents4"/>
            <w:tabs>
              <w:tab w:val="clear" w:pos="8176"/>
              <w:tab w:val="right" w:pos="9026" w:leader="dot"/>
            </w:tabs>
            <w:rPr/>
          </w:pPr>
          <w:hyperlink w:anchor="__RefHeading___Toc3818269_581953129">
            <w:r>
              <w:rPr>
                <w:webHidden/>
                <w:rStyle w:val="IndexLink"/>
                <w:rtl w:val="true"/>
              </w:rPr>
              <w:t>الاعتبار الثامن</w:t>
            </w:r>
            <w:r>
              <w:rPr>
                <w:rStyle w:val="IndexLink"/>
                <w:rtl w:val="true"/>
              </w:rPr>
              <w:tab/>
            </w:r>
            <w:r>
              <w:rPr>
                <w:rStyle w:val="IndexLink"/>
              </w:rPr>
              <w:t>30</w:t>
            </w:r>
          </w:hyperlink>
        </w:p>
        <w:p>
          <w:pPr>
            <w:pStyle w:val="Contents5"/>
            <w:tabs>
              <w:tab w:val="clear" w:pos="7892"/>
              <w:tab w:val="right" w:pos="9026" w:leader="dot"/>
            </w:tabs>
            <w:rPr/>
          </w:pPr>
          <w:hyperlink w:anchor="__RefHeading___Toc3818271_581953129">
            <w:r>
              <w:rPr>
                <w:webHidden/>
                <w:rStyle w:val="IndexLink"/>
                <w:rtl w:val="true"/>
              </w:rPr>
              <w:t>اشارة</w:t>
            </w:r>
            <w:r>
              <w:rPr>
                <w:rStyle w:val="IndexLink"/>
                <w:rtl w:val="true"/>
              </w:rPr>
              <w:tab/>
            </w:r>
            <w:r>
              <w:rPr>
                <w:rStyle w:val="IndexLink"/>
              </w:rPr>
              <w:t>30</w:t>
            </w:r>
          </w:hyperlink>
        </w:p>
        <w:p>
          <w:pPr>
            <w:pStyle w:val="Contents5"/>
            <w:tabs>
              <w:tab w:val="clear" w:pos="7892"/>
              <w:tab w:val="right" w:pos="9026" w:leader="dot"/>
            </w:tabs>
            <w:rPr/>
          </w:pPr>
          <w:hyperlink w:anchor="__RefHeading___Toc3818273_581953129">
            <w:r>
              <w:rPr>
                <w:webHidden/>
                <w:rStyle w:val="IndexLink"/>
                <w:rtl w:val="true"/>
              </w:rPr>
              <w:t xml:space="preserve">أمثلة لبعض المصادر </w:t>
            </w:r>
            <w:r>
              <w:rPr>
                <w:rStyle w:val="IndexLink"/>
                <w:rtl w:val="true"/>
              </w:rPr>
              <w:t>(</w:t>
            </w:r>
            <w:r>
              <w:rPr>
                <w:rStyle w:val="IndexLink"/>
                <w:rtl w:val="true"/>
              </w:rPr>
              <w:t>علم آیات الأحکام</w:t>
            </w:r>
            <w:r>
              <w:rPr>
                <w:rStyle w:val="IndexLink"/>
                <w:rtl w:val="true"/>
              </w:rPr>
              <w:t>)</w:t>
              <w:tab/>
            </w:r>
            <w:r>
              <w:rPr>
                <w:rStyle w:val="IndexLink"/>
              </w:rPr>
              <w:t>30</w:t>
            </w:r>
          </w:hyperlink>
        </w:p>
        <w:p>
          <w:pPr>
            <w:pStyle w:val="Contents4"/>
            <w:tabs>
              <w:tab w:val="clear" w:pos="8176"/>
              <w:tab w:val="right" w:pos="9026" w:leader="dot"/>
            </w:tabs>
            <w:rPr/>
          </w:pPr>
          <w:hyperlink w:anchor="__RefHeading___Toc3818275_581953129">
            <w:r>
              <w:rPr>
                <w:webHidden/>
                <w:rStyle w:val="IndexLink"/>
                <w:rtl w:val="true"/>
              </w:rPr>
              <w:t>الاعتبار التاسع</w:t>
            </w:r>
            <w:r>
              <w:rPr>
                <w:rStyle w:val="IndexLink"/>
                <w:rtl w:val="true"/>
              </w:rPr>
              <w:tab/>
            </w:r>
            <w:r>
              <w:rPr>
                <w:rStyle w:val="IndexLink"/>
              </w:rPr>
              <w:t>30</w:t>
            </w:r>
          </w:hyperlink>
        </w:p>
        <w:p>
          <w:pPr>
            <w:pStyle w:val="Contents5"/>
            <w:tabs>
              <w:tab w:val="clear" w:pos="7892"/>
              <w:tab w:val="right" w:pos="9026" w:leader="dot"/>
            </w:tabs>
            <w:rPr/>
          </w:pPr>
          <w:hyperlink w:anchor="__RefHeading___Toc3818277_581953129">
            <w:r>
              <w:rPr>
                <w:webHidden/>
                <w:rStyle w:val="IndexLink"/>
                <w:rtl w:val="true"/>
              </w:rPr>
              <w:t>اشارة</w:t>
            </w:r>
            <w:r>
              <w:rPr>
                <w:rStyle w:val="IndexLink"/>
                <w:rtl w:val="true"/>
              </w:rPr>
              <w:tab/>
            </w:r>
            <w:r>
              <w:rPr>
                <w:rStyle w:val="IndexLink"/>
              </w:rPr>
              <w:t>30</w:t>
            </w:r>
          </w:hyperlink>
        </w:p>
        <w:p>
          <w:pPr>
            <w:pStyle w:val="Contents5"/>
            <w:tabs>
              <w:tab w:val="clear" w:pos="7892"/>
              <w:tab w:val="right" w:pos="9026" w:leader="dot"/>
            </w:tabs>
            <w:rPr/>
          </w:pPr>
          <w:hyperlink w:anchor="__RefHeading___Toc3818279_581953129">
            <w:r>
              <w:rPr>
                <w:webHidden/>
                <w:rStyle w:val="IndexLink"/>
                <w:rtl w:val="true"/>
              </w:rPr>
              <w:t xml:space="preserve">أمثلة لبعض المصادر </w:t>
            </w:r>
            <w:r>
              <w:rPr>
                <w:rStyle w:val="IndexLink"/>
                <w:rtl w:val="true"/>
              </w:rPr>
              <w:t>(</w:t>
            </w:r>
            <w:r>
              <w:rPr>
                <w:rStyle w:val="IndexLink"/>
                <w:rtl w:val="true"/>
              </w:rPr>
              <w:t>علم المکّی والمدنی</w:t>
            </w:r>
            <w:r>
              <w:rPr>
                <w:rStyle w:val="IndexLink"/>
                <w:rtl w:val="true"/>
              </w:rPr>
              <w:t>)</w:t>
              <w:tab/>
            </w:r>
            <w:r>
              <w:rPr>
                <w:rStyle w:val="IndexLink"/>
              </w:rPr>
              <w:t>30</w:t>
            </w:r>
          </w:hyperlink>
        </w:p>
        <w:p>
          <w:pPr>
            <w:pStyle w:val="Contents4"/>
            <w:tabs>
              <w:tab w:val="clear" w:pos="8176"/>
              <w:tab w:val="right" w:pos="9026" w:leader="dot"/>
            </w:tabs>
            <w:rPr/>
          </w:pPr>
          <w:hyperlink w:anchor="__RefHeading___Toc3818281_581953129">
            <w:r>
              <w:rPr>
                <w:webHidden/>
                <w:rStyle w:val="IndexLink"/>
                <w:rtl w:val="true"/>
              </w:rPr>
              <w:t>الاعتبار العاشر</w:t>
            </w:r>
            <w:r>
              <w:rPr>
                <w:rStyle w:val="IndexLink"/>
                <w:rtl w:val="true"/>
              </w:rPr>
              <w:tab/>
            </w:r>
            <w:r>
              <w:rPr>
                <w:rStyle w:val="IndexLink"/>
              </w:rPr>
              <w:t>31</w:t>
            </w:r>
          </w:hyperlink>
        </w:p>
        <w:p>
          <w:pPr>
            <w:pStyle w:val="Contents5"/>
            <w:tabs>
              <w:tab w:val="clear" w:pos="7892"/>
              <w:tab w:val="right" w:pos="9026" w:leader="dot"/>
            </w:tabs>
            <w:rPr/>
          </w:pPr>
          <w:hyperlink w:anchor="__RefHeading___Toc3818283_581953129">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3818285_581953129">
            <w:r>
              <w:rPr>
                <w:webHidden/>
                <w:rStyle w:val="IndexLink"/>
                <w:rtl w:val="true"/>
              </w:rPr>
              <w:t xml:space="preserve">أمثلة لبعض المصادر </w:t>
            </w:r>
            <w:r>
              <w:rPr>
                <w:rStyle w:val="IndexLink"/>
                <w:rtl w:val="true"/>
              </w:rPr>
              <w:t>(</w:t>
            </w:r>
            <w:r>
              <w:rPr>
                <w:rStyle w:val="IndexLink"/>
                <w:rtl w:val="true"/>
              </w:rPr>
              <w:t>علم المحکم والمتشابه</w:t>
            </w:r>
            <w:r>
              <w:rPr>
                <w:rStyle w:val="IndexLink"/>
                <w:rtl w:val="true"/>
              </w:rPr>
              <w:t>)</w:t>
              <w:tab/>
            </w:r>
            <w:r>
              <w:rPr>
                <w:rStyle w:val="IndexLink"/>
              </w:rPr>
              <w:t>31</w:t>
            </w:r>
          </w:hyperlink>
        </w:p>
        <w:p>
          <w:pPr>
            <w:pStyle w:val="Contents4"/>
            <w:tabs>
              <w:tab w:val="clear" w:pos="8176"/>
              <w:tab w:val="right" w:pos="9026" w:leader="dot"/>
            </w:tabs>
            <w:rPr/>
          </w:pPr>
          <w:hyperlink w:anchor="__RefHeading___Toc3818287_581953129">
            <w:r>
              <w:rPr>
                <w:webHidden/>
                <w:rStyle w:val="IndexLink"/>
                <w:rtl w:val="true"/>
              </w:rPr>
              <w:t>الاعتبار الحادی عشر</w:t>
            </w:r>
            <w:r>
              <w:rPr>
                <w:rStyle w:val="IndexLink"/>
                <w:rtl w:val="true"/>
              </w:rPr>
              <w:tab/>
            </w:r>
            <w:r>
              <w:rPr>
                <w:rStyle w:val="IndexLink"/>
              </w:rPr>
              <w:t>31</w:t>
            </w:r>
          </w:hyperlink>
        </w:p>
        <w:p>
          <w:pPr>
            <w:pStyle w:val="Contents5"/>
            <w:tabs>
              <w:tab w:val="clear" w:pos="7892"/>
              <w:tab w:val="right" w:pos="9026" w:leader="dot"/>
            </w:tabs>
            <w:rPr/>
          </w:pPr>
          <w:hyperlink w:anchor="__RefHeading___Toc3818289_581953129">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3818291_581953129">
            <w:r>
              <w:rPr>
                <w:webHidden/>
                <w:rStyle w:val="IndexLink"/>
                <w:rtl w:val="true"/>
              </w:rPr>
              <w:t xml:space="preserve">أمثلة لبعض المصادر </w:t>
            </w:r>
            <w:r>
              <w:rPr>
                <w:rStyle w:val="IndexLink"/>
                <w:rtl w:val="true"/>
              </w:rPr>
              <w:t>(</w:t>
            </w:r>
            <w:r>
              <w:rPr>
                <w:rStyle w:val="IndexLink"/>
                <w:rtl w:val="true"/>
              </w:rPr>
              <w:t>فی الناسخ والمنسوخ</w:t>
            </w:r>
            <w:r>
              <w:rPr>
                <w:rStyle w:val="IndexLink"/>
                <w:rtl w:val="true"/>
              </w:rPr>
              <w:t>)</w:t>
              <w:tab/>
            </w:r>
            <w:r>
              <w:rPr>
                <w:rStyle w:val="IndexLink"/>
              </w:rPr>
              <w:t>31</w:t>
            </w:r>
          </w:hyperlink>
        </w:p>
        <w:p>
          <w:pPr>
            <w:pStyle w:val="Contents3"/>
            <w:tabs>
              <w:tab w:val="clear" w:pos="8459"/>
              <w:tab w:val="right" w:pos="9026" w:leader="dot"/>
            </w:tabs>
            <w:rPr/>
          </w:pPr>
          <w:hyperlink w:anchor="__RefHeading___Toc3818293_581953129">
            <w:r>
              <w:rPr>
                <w:webHidden/>
                <w:rStyle w:val="IndexLink"/>
                <w:rtl w:val="true"/>
              </w:rPr>
              <w:t>ثالثاً</w:t>
            </w:r>
            <w:r>
              <w:rPr>
                <w:rStyle w:val="IndexLink"/>
                <w:rtl w:val="true"/>
              </w:rPr>
              <w:t xml:space="preserve">: </w:t>
            </w:r>
            <w:r>
              <w:rPr>
                <w:rStyle w:val="IndexLink"/>
                <w:rtl w:val="true"/>
              </w:rPr>
              <w:t>سعة دائرة علوم القرآن</w:t>
            </w:r>
            <w:r>
              <w:rPr>
                <w:rStyle w:val="IndexLink"/>
                <w:rtl w:val="true"/>
              </w:rPr>
              <w:tab/>
            </w:r>
            <w:r>
              <w:rPr>
                <w:rStyle w:val="IndexLink"/>
              </w:rPr>
              <w:t>32</w:t>
            </w:r>
          </w:hyperlink>
        </w:p>
        <w:p>
          <w:pPr>
            <w:pStyle w:val="Contents4"/>
            <w:tabs>
              <w:tab w:val="clear" w:pos="8176"/>
              <w:tab w:val="right" w:pos="9026" w:leader="dot"/>
            </w:tabs>
            <w:rPr/>
          </w:pPr>
          <w:hyperlink w:anchor="__RefHeading___Toc3818295_581953129">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3818297_581953129">
            <w:r>
              <w:rPr>
                <w:webHidden/>
                <w:rStyle w:val="IndexLink"/>
                <w:rtl w:val="true"/>
              </w:rPr>
              <w:t>مناقشات وردود</w:t>
            </w:r>
            <w:r>
              <w:rPr>
                <w:rStyle w:val="IndexLink"/>
                <w:rtl w:val="true"/>
              </w:rPr>
              <w:tab/>
            </w:r>
            <w:r>
              <w:rPr>
                <w:rStyle w:val="IndexLink"/>
              </w:rPr>
              <w:t>33</w:t>
            </w:r>
          </w:hyperlink>
        </w:p>
        <w:p>
          <w:pPr>
            <w:pStyle w:val="Contents4"/>
            <w:tabs>
              <w:tab w:val="clear" w:pos="8176"/>
              <w:tab w:val="right" w:pos="9026" w:leader="dot"/>
            </w:tabs>
            <w:rPr/>
          </w:pPr>
          <w:hyperlink w:anchor="__RefHeading___Toc3818299_581953129">
            <w:r>
              <w:rPr>
                <w:webHidden/>
                <w:rStyle w:val="IndexLink"/>
                <w:rtl w:val="true"/>
              </w:rPr>
              <w:t>إشکال وردّ</w:t>
            </w:r>
            <w:r>
              <w:rPr>
                <w:rStyle w:val="IndexLink"/>
                <w:rtl w:val="true"/>
              </w:rPr>
              <w:tab/>
            </w:r>
            <w:r>
              <w:rPr>
                <w:rStyle w:val="IndexLink"/>
              </w:rPr>
              <w:t>35</w:t>
            </w:r>
          </w:hyperlink>
        </w:p>
        <w:p>
          <w:pPr>
            <w:pStyle w:val="Contents2"/>
            <w:tabs>
              <w:tab w:val="clear" w:pos="8743"/>
              <w:tab w:val="right" w:pos="9026" w:leader="dot"/>
            </w:tabs>
            <w:rPr/>
          </w:pPr>
          <w:hyperlink w:anchor="__RefHeading___Toc3818301_581953129">
            <w:r>
              <w:rPr>
                <w:webHidden/>
                <w:rStyle w:val="IndexLink"/>
                <w:rtl w:val="true"/>
              </w:rPr>
              <w:t>البحث الثانی</w:t>
            </w:r>
            <w:r>
              <w:rPr>
                <w:rStyle w:val="IndexLink"/>
                <w:rtl w:val="true"/>
              </w:rPr>
              <w:t>:</w:t>
            </w:r>
            <w:r>
              <w:rPr>
                <w:rStyle w:val="IndexLink"/>
                <w:rtl w:val="true"/>
              </w:rPr>
              <w:t>تعریف فقه القرآن وآیات الأحکام</w:t>
            </w:r>
            <w:r>
              <w:rPr>
                <w:rStyle w:val="IndexLink"/>
                <w:rtl w:val="true"/>
              </w:rPr>
              <w:tab/>
            </w:r>
            <w:r>
              <w:rPr>
                <w:rStyle w:val="IndexLink"/>
              </w:rPr>
              <w:t>38</w:t>
            </w:r>
          </w:hyperlink>
        </w:p>
        <w:p>
          <w:pPr>
            <w:pStyle w:val="Contents3"/>
            <w:tabs>
              <w:tab w:val="clear" w:pos="8459"/>
              <w:tab w:val="right" w:pos="9026" w:leader="dot"/>
            </w:tabs>
            <w:rPr/>
          </w:pPr>
          <w:hyperlink w:anchor="__RefHeading___Toc3818303_581953129">
            <w:r>
              <w:rPr>
                <w:webHidden/>
                <w:rStyle w:val="IndexLink"/>
                <w:rtl w:val="true"/>
              </w:rPr>
              <w:t>أوّلاً</w:t>
            </w:r>
            <w:r>
              <w:rPr>
                <w:rStyle w:val="IndexLink"/>
                <w:rtl w:val="true"/>
              </w:rPr>
              <w:t xml:space="preserve">: </w:t>
            </w:r>
            <w:r>
              <w:rPr>
                <w:rStyle w:val="IndexLink"/>
                <w:rtl w:val="true"/>
              </w:rPr>
              <w:t>تعریف فقه القرآن</w:t>
            </w:r>
            <w:r>
              <w:rPr>
                <w:rStyle w:val="IndexLink"/>
                <w:rtl w:val="true"/>
              </w:rPr>
              <w:tab/>
            </w:r>
            <w:r>
              <w:rPr>
                <w:rStyle w:val="IndexLink"/>
              </w:rPr>
              <w:t>38</w:t>
            </w:r>
          </w:hyperlink>
        </w:p>
        <w:p>
          <w:pPr>
            <w:pStyle w:val="Contents3"/>
            <w:tabs>
              <w:tab w:val="clear" w:pos="8459"/>
              <w:tab w:val="right" w:pos="9026" w:leader="dot"/>
            </w:tabs>
            <w:rPr/>
          </w:pPr>
          <w:hyperlink w:anchor="__RefHeading___Toc3818305_581953129">
            <w:r>
              <w:rPr>
                <w:webHidden/>
                <w:rStyle w:val="IndexLink"/>
                <w:rtl w:val="true"/>
              </w:rPr>
              <w:t>ثانیاً</w:t>
            </w:r>
            <w:r>
              <w:rPr>
                <w:rStyle w:val="IndexLink"/>
                <w:rtl w:val="true"/>
              </w:rPr>
              <w:t xml:space="preserve">: </w:t>
            </w:r>
            <w:r>
              <w:rPr>
                <w:rStyle w:val="IndexLink"/>
                <w:rtl w:val="true"/>
              </w:rPr>
              <w:t>تعریف آیات الأحکام</w:t>
            </w:r>
            <w:r>
              <w:rPr>
                <w:rStyle w:val="IndexLink"/>
                <w:rtl w:val="true"/>
              </w:rPr>
              <w:tab/>
            </w:r>
            <w:r>
              <w:rPr>
                <w:rStyle w:val="IndexLink"/>
              </w:rPr>
              <w:t>38</w:t>
            </w:r>
          </w:hyperlink>
        </w:p>
        <w:p>
          <w:pPr>
            <w:pStyle w:val="Contents2"/>
            <w:tabs>
              <w:tab w:val="clear" w:pos="8743"/>
              <w:tab w:val="right" w:pos="9026" w:leader="dot"/>
            </w:tabs>
            <w:rPr/>
          </w:pPr>
          <w:hyperlink w:anchor="__RefHeading___Toc3818307_581953129">
            <w:r>
              <w:rPr>
                <w:webHidden/>
                <w:rStyle w:val="IndexLink"/>
                <w:rtl w:val="true"/>
              </w:rPr>
              <w:t xml:space="preserve">البحث الثالث </w:t>
            </w:r>
            <w:r>
              <w:rPr>
                <w:rStyle w:val="IndexLink"/>
                <w:rtl w:val="true"/>
              </w:rPr>
              <w:t xml:space="preserve">: </w:t>
            </w:r>
            <w:r>
              <w:rPr>
                <w:rStyle w:val="IndexLink"/>
                <w:rtl w:val="true"/>
              </w:rPr>
              <w:t>ضرورة البحث فی فقه القرآن وآیات الأحکام</w:t>
            </w:r>
            <w:r>
              <w:rPr>
                <w:rStyle w:val="IndexLink"/>
                <w:rtl w:val="true"/>
              </w:rPr>
              <w:tab/>
            </w:r>
            <w:r>
              <w:rPr>
                <w:rStyle w:val="IndexLink"/>
              </w:rPr>
              <w:t>48</w:t>
            </w:r>
          </w:hyperlink>
        </w:p>
        <w:p>
          <w:pPr>
            <w:pStyle w:val="Contents3"/>
            <w:tabs>
              <w:tab w:val="clear" w:pos="8459"/>
              <w:tab w:val="right" w:pos="9026" w:leader="dot"/>
            </w:tabs>
            <w:rPr/>
          </w:pPr>
          <w:hyperlink w:anchor="__RefHeading___Toc3818309_581953129">
            <w:r>
              <w:rPr>
                <w:webHidden/>
                <w:rStyle w:val="IndexLink"/>
                <w:rtl w:val="true"/>
              </w:rPr>
              <w:t>التدبّر فی القرآن</w:t>
            </w:r>
            <w:r>
              <w:rPr>
                <w:rStyle w:val="IndexLink"/>
                <w:rtl w:val="true"/>
              </w:rPr>
              <w:tab/>
            </w:r>
            <w:r>
              <w:rPr>
                <w:rStyle w:val="IndexLink"/>
              </w:rPr>
              <w:t>48</w:t>
            </w:r>
          </w:hyperlink>
        </w:p>
        <w:p>
          <w:pPr>
            <w:pStyle w:val="Contents3"/>
            <w:tabs>
              <w:tab w:val="clear" w:pos="8459"/>
              <w:tab w:val="right" w:pos="9026" w:leader="dot"/>
            </w:tabs>
            <w:rPr/>
          </w:pPr>
          <w:hyperlink w:anchor="__RefHeading___Toc3818311_581953129">
            <w:r>
              <w:rPr>
                <w:webHidden/>
                <w:rStyle w:val="IndexLink"/>
                <w:rtl w:val="true"/>
              </w:rPr>
              <w:t>مناقشات وردود</w:t>
            </w:r>
            <w:r>
              <w:rPr>
                <w:rStyle w:val="IndexLink"/>
                <w:rtl w:val="true"/>
              </w:rPr>
              <w:tab/>
            </w:r>
            <w:r>
              <w:rPr>
                <w:rStyle w:val="IndexLink"/>
              </w:rPr>
              <w:t>58</w:t>
            </w:r>
          </w:hyperlink>
        </w:p>
        <w:p>
          <w:pPr>
            <w:pStyle w:val="Contents2"/>
            <w:tabs>
              <w:tab w:val="clear" w:pos="8743"/>
              <w:tab w:val="right" w:pos="9026" w:leader="dot"/>
            </w:tabs>
            <w:rPr/>
          </w:pPr>
          <w:hyperlink w:anchor="__RefHeading___Toc3818313_581953129">
            <w:r>
              <w:rPr>
                <w:webHidden/>
                <w:rStyle w:val="IndexLink"/>
                <w:rtl w:val="true"/>
              </w:rPr>
              <w:t xml:space="preserve">البحث الرابع </w:t>
            </w:r>
            <w:r>
              <w:rPr>
                <w:rStyle w:val="IndexLink"/>
                <w:rtl w:val="true"/>
              </w:rPr>
              <w:t xml:space="preserve">: </w:t>
            </w:r>
            <w:r>
              <w:rPr>
                <w:rStyle w:val="IndexLink"/>
                <w:rtl w:val="true"/>
              </w:rPr>
              <w:t>العلاقة بین القرآن والسنّة</w:t>
            </w:r>
            <w:r>
              <w:rPr>
                <w:rStyle w:val="IndexLink"/>
                <w:rtl w:val="true"/>
              </w:rPr>
              <w:tab/>
            </w:r>
            <w:r>
              <w:rPr>
                <w:rStyle w:val="IndexLink"/>
              </w:rPr>
              <w:t>74</w:t>
            </w:r>
          </w:hyperlink>
        </w:p>
        <w:p>
          <w:pPr>
            <w:pStyle w:val="Contents3"/>
            <w:tabs>
              <w:tab w:val="clear" w:pos="8459"/>
              <w:tab w:val="right" w:pos="9026" w:leader="dot"/>
            </w:tabs>
            <w:rPr/>
          </w:pPr>
          <w:hyperlink w:anchor="__RefHeading___Toc3818315_581953129">
            <w:r>
              <w:rPr>
                <w:webHidden/>
                <w:rStyle w:val="IndexLink"/>
                <w:rtl w:val="true"/>
              </w:rPr>
              <w:t>اشارة</w:t>
            </w:r>
            <w:r>
              <w:rPr>
                <w:rStyle w:val="IndexLink"/>
                <w:rtl w:val="true"/>
              </w:rPr>
              <w:tab/>
            </w:r>
            <w:r>
              <w:rPr>
                <w:rStyle w:val="IndexLink"/>
              </w:rPr>
              <w:t>74</w:t>
            </w:r>
          </w:hyperlink>
        </w:p>
        <w:p>
          <w:pPr>
            <w:pStyle w:val="Contents3"/>
            <w:tabs>
              <w:tab w:val="clear" w:pos="8459"/>
              <w:tab w:val="right" w:pos="9026" w:leader="dot"/>
            </w:tabs>
            <w:rPr/>
          </w:pPr>
          <w:hyperlink w:anchor="__RefHeading___Toc3818317_581953129">
            <w:r>
              <w:rPr>
                <w:webHidden/>
                <w:rStyle w:val="IndexLink"/>
                <w:rtl w:val="true"/>
              </w:rPr>
              <w:t>أوّلاً</w:t>
            </w:r>
            <w:r>
              <w:rPr>
                <w:rStyle w:val="IndexLink"/>
                <w:rtl w:val="true"/>
              </w:rPr>
              <w:t xml:space="preserve">: </w:t>
            </w:r>
            <w:r>
              <w:rPr>
                <w:rStyle w:val="IndexLink"/>
                <w:rtl w:val="true"/>
              </w:rPr>
              <w:t>النسبة بین دور السنّة التشریعی وبین الکتاب</w:t>
            </w:r>
            <w:r>
              <w:rPr>
                <w:rStyle w:val="IndexLink"/>
                <w:rtl w:val="true"/>
              </w:rPr>
              <w:tab/>
            </w:r>
            <w:r>
              <w:rPr>
                <w:rStyle w:val="IndexLink"/>
              </w:rPr>
              <w:t>74</w:t>
            </w:r>
          </w:hyperlink>
        </w:p>
        <w:p>
          <w:pPr>
            <w:pStyle w:val="Contents3"/>
            <w:tabs>
              <w:tab w:val="clear" w:pos="8459"/>
              <w:tab w:val="right" w:pos="9026" w:leader="dot"/>
            </w:tabs>
            <w:rPr/>
          </w:pPr>
          <w:hyperlink w:anchor="__RefHeading___Toc3818319_581953129">
            <w:r>
              <w:rPr>
                <w:webHidden/>
                <w:rStyle w:val="IndexLink"/>
                <w:rtl w:val="true"/>
              </w:rPr>
              <w:t>ثانیاً</w:t>
            </w:r>
            <w:r>
              <w:rPr>
                <w:rStyle w:val="IndexLink"/>
                <w:rtl w:val="true"/>
              </w:rPr>
              <w:t xml:space="preserve">: </w:t>
            </w:r>
            <w:r>
              <w:rPr>
                <w:rStyle w:val="IndexLink"/>
                <w:rtl w:val="true"/>
              </w:rPr>
              <w:t>تقدّم القرآن علی السنّة رتبیّاً</w:t>
            </w:r>
            <w:r>
              <w:rPr>
                <w:rStyle w:val="IndexLink"/>
                <w:rtl w:val="true"/>
              </w:rPr>
              <w:tab/>
            </w:r>
            <w:r>
              <w:rPr>
                <w:rStyle w:val="IndexLink"/>
              </w:rPr>
              <w:t>75</w:t>
            </w:r>
          </w:hyperlink>
        </w:p>
        <w:p>
          <w:pPr>
            <w:pStyle w:val="Contents4"/>
            <w:tabs>
              <w:tab w:val="clear" w:pos="8176"/>
              <w:tab w:val="right" w:pos="9026" w:leader="dot"/>
            </w:tabs>
            <w:rPr/>
          </w:pPr>
          <w:hyperlink w:anchor="__RefHeading___Toc3818321_581953129">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3818323_581953129">
            <w:r>
              <w:rPr>
                <w:webHidden/>
                <w:rStyle w:val="IndexLink"/>
                <w:rtl w:val="true"/>
              </w:rPr>
              <w:t>المناقشة</w:t>
            </w:r>
            <w:r>
              <w:rPr>
                <w:rStyle w:val="IndexLink"/>
                <w:rtl w:val="true"/>
              </w:rPr>
              <w:tab/>
            </w:r>
            <w:r>
              <w:rPr>
                <w:rStyle w:val="IndexLink"/>
              </w:rPr>
              <w:t>77</w:t>
            </w:r>
          </w:hyperlink>
        </w:p>
        <w:p>
          <w:pPr>
            <w:pStyle w:val="Contents3"/>
            <w:tabs>
              <w:tab w:val="clear" w:pos="8459"/>
              <w:tab w:val="right" w:pos="9026" w:leader="dot"/>
            </w:tabs>
            <w:rPr/>
          </w:pPr>
          <w:hyperlink w:anchor="__RefHeading___Toc3818325_581953129">
            <w:r>
              <w:rPr>
                <w:webHidden/>
                <w:rStyle w:val="IndexLink"/>
                <w:rtl w:val="true"/>
              </w:rPr>
              <w:t>ثالثاً</w:t>
            </w:r>
            <w:r>
              <w:rPr>
                <w:rStyle w:val="IndexLink"/>
                <w:rtl w:val="true"/>
              </w:rPr>
              <w:t xml:space="preserve">: </w:t>
            </w:r>
            <w:r>
              <w:rPr>
                <w:rStyle w:val="IndexLink"/>
                <w:rtl w:val="true"/>
              </w:rPr>
              <w:t>تخصیص الکتاب بالسنّة وعدمه</w:t>
            </w:r>
            <w:r>
              <w:rPr>
                <w:rStyle w:val="IndexLink"/>
                <w:rtl w:val="true"/>
              </w:rPr>
              <w:tab/>
            </w:r>
            <w:r>
              <w:rPr>
                <w:rStyle w:val="IndexLink"/>
              </w:rPr>
              <w:t>84</w:t>
            </w:r>
          </w:hyperlink>
        </w:p>
        <w:p>
          <w:pPr>
            <w:pStyle w:val="Contents4"/>
            <w:tabs>
              <w:tab w:val="clear" w:pos="8176"/>
              <w:tab w:val="right" w:pos="9026" w:leader="dot"/>
            </w:tabs>
            <w:rPr/>
          </w:pPr>
          <w:hyperlink w:anchor="__RefHeading___Toc3818327_581953129">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3818329_581953129">
            <w:r>
              <w:rPr>
                <w:webHidden/>
                <w:rStyle w:val="IndexLink"/>
                <w:rtl w:val="true"/>
              </w:rPr>
              <w:t>المناقشة</w:t>
            </w:r>
            <w:r>
              <w:rPr>
                <w:rStyle w:val="IndexLink"/>
                <w:rtl w:val="true"/>
              </w:rPr>
              <w:t>:</w:t>
              <w:tab/>
            </w:r>
            <w:r>
              <w:rPr>
                <w:rStyle w:val="IndexLink"/>
              </w:rPr>
              <w:t>84</w:t>
            </w:r>
          </w:hyperlink>
        </w:p>
        <w:p>
          <w:pPr>
            <w:pStyle w:val="Contents3"/>
            <w:tabs>
              <w:tab w:val="clear" w:pos="8459"/>
              <w:tab w:val="right" w:pos="9026" w:leader="dot"/>
            </w:tabs>
            <w:rPr/>
          </w:pPr>
          <w:hyperlink w:anchor="__RefHeading___Toc3818331_581953129">
            <w:r>
              <w:rPr>
                <w:webHidden/>
                <w:rStyle w:val="IndexLink"/>
                <w:rtl w:val="true"/>
              </w:rPr>
              <w:t>رابعاً</w:t>
            </w:r>
            <w:r>
              <w:rPr>
                <w:rStyle w:val="IndexLink"/>
                <w:rtl w:val="true"/>
              </w:rPr>
              <w:t xml:space="preserve">: </w:t>
            </w:r>
            <w:r>
              <w:rPr>
                <w:rStyle w:val="IndexLink"/>
                <w:rtl w:val="true"/>
              </w:rPr>
              <w:t>نسخ الکتاب بالسنّة</w:t>
            </w:r>
            <w:r>
              <w:rPr>
                <w:rStyle w:val="IndexLink"/>
                <w:rtl w:val="true"/>
              </w:rPr>
              <w:tab/>
            </w:r>
            <w:r>
              <w:rPr>
                <w:rStyle w:val="IndexLink"/>
              </w:rPr>
              <w:t>87</w:t>
            </w:r>
          </w:hyperlink>
        </w:p>
        <w:p>
          <w:pPr>
            <w:pStyle w:val="Contents2"/>
            <w:tabs>
              <w:tab w:val="clear" w:pos="8743"/>
              <w:tab w:val="right" w:pos="9026" w:leader="dot"/>
            </w:tabs>
            <w:rPr/>
          </w:pPr>
          <w:hyperlink w:anchor="__RefHeading___Toc3818333_581953129">
            <w:r>
              <w:rPr>
                <w:webHidden/>
                <w:rStyle w:val="IndexLink"/>
                <w:rtl w:val="true"/>
              </w:rPr>
              <w:t xml:space="preserve">البحث الخامس </w:t>
            </w:r>
            <w:r>
              <w:rPr>
                <w:rStyle w:val="IndexLink"/>
                <w:rtl w:val="true"/>
              </w:rPr>
              <w:t xml:space="preserve">: </w:t>
            </w:r>
            <w:r>
              <w:rPr>
                <w:rStyle w:val="IndexLink"/>
                <w:rtl w:val="true"/>
              </w:rPr>
              <w:t>عدد آیات الأحکام</w:t>
            </w:r>
            <w:r>
              <w:rPr>
                <w:rStyle w:val="IndexLink"/>
                <w:rtl w:val="true"/>
              </w:rPr>
              <w:tab/>
            </w:r>
            <w:r>
              <w:rPr>
                <w:rStyle w:val="IndexLink"/>
              </w:rPr>
              <w:t>90</w:t>
            </w:r>
          </w:hyperlink>
        </w:p>
        <w:p>
          <w:pPr>
            <w:pStyle w:val="Contents3"/>
            <w:tabs>
              <w:tab w:val="clear" w:pos="8459"/>
              <w:tab w:val="right" w:pos="9026" w:leader="dot"/>
            </w:tabs>
            <w:rPr/>
          </w:pPr>
          <w:hyperlink w:anchor="__RefHeading___Toc3818335_581953129">
            <w:r>
              <w:rPr>
                <w:webHidden/>
                <w:rStyle w:val="IndexLink"/>
                <w:rtl w:val="true"/>
              </w:rPr>
              <w:t>اشارة</w:t>
            </w:r>
            <w:r>
              <w:rPr>
                <w:rStyle w:val="IndexLink"/>
                <w:rtl w:val="true"/>
              </w:rPr>
              <w:tab/>
            </w:r>
            <w:r>
              <w:rPr>
                <w:rStyle w:val="IndexLink"/>
              </w:rPr>
              <w:t>90</w:t>
            </w:r>
          </w:hyperlink>
        </w:p>
        <w:p>
          <w:pPr>
            <w:pStyle w:val="Contents3"/>
            <w:tabs>
              <w:tab w:val="clear" w:pos="8459"/>
              <w:tab w:val="right" w:pos="9026" w:leader="dot"/>
            </w:tabs>
            <w:rPr/>
          </w:pPr>
          <w:hyperlink w:anchor="__RefHeading___Toc3818337_581953129">
            <w:r>
              <w:rPr>
                <w:webHidden/>
                <w:rStyle w:val="IndexLink"/>
                <w:rtl w:val="true"/>
              </w:rPr>
              <w:t>أوّلاً</w:t>
            </w:r>
            <w:r>
              <w:rPr>
                <w:rStyle w:val="IndexLink"/>
                <w:rtl w:val="true"/>
              </w:rPr>
              <w:t xml:space="preserve">: </w:t>
            </w:r>
            <w:r>
              <w:rPr>
                <w:rStyle w:val="IndexLink"/>
                <w:rtl w:val="true"/>
              </w:rPr>
              <w:t>الأقوال فی عدد آیات الأحکام</w:t>
            </w:r>
            <w:r>
              <w:rPr>
                <w:rStyle w:val="IndexLink"/>
                <w:rtl w:val="true"/>
              </w:rPr>
              <w:tab/>
            </w:r>
            <w:r>
              <w:rPr>
                <w:rStyle w:val="IndexLink"/>
              </w:rPr>
              <w:t>91</w:t>
            </w:r>
          </w:hyperlink>
        </w:p>
        <w:p>
          <w:pPr>
            <w:pStyle w:val="Contents4"/>
            <w:tabs>
              <w:tab w:val="clear" w:pos="8176"/>
              <w:tab w:val="right" w:pos="9026" w:leader="dot"/>
            </w:tabs>
            <w:rPr/>
          </w:pPr>
          <w:hyperlink w:anchor="__RefHeading___Toc3818339_581953129">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3818341_581953129">
            <w:r>
              <w:rPr>
                <w:webHidden/>
                <w:rStyle w:val="IndexLink"/>
                <w:rtl w:val="true"/>
              </w:rPr>
              <w:t>القول الأوّل</w:t>
            </w:r>
            <w:r>
              <w:rPr>
                <w:rStyle w:val="IndexLink"/>
                <w:rtl w:val="true"/>
              </w:rPr>
              <w:t xml:space="preserve">: </w:t>
            </w:r>
            <w:r>
              <w:rPr>
                <w:rStyle w:val="IndexLink"/>
                <w:rtl w:val="true"/>
              </w:rPr>
              <w:t>عدد آیات الأحکام خمسمئة آیة</w:t>
            </w:r>
            <w:r>
              <w:rPr>
                <w:rStyle w:val="IndexLink"/>
                <w:rtl w:val="true"/>
              </w:rPr>
              <w:tab/>
            </w:r>
            <w:r>
              <w:rPr>
                <w:rStyle w:val="IndexLink"/>
              </w:rPr>
              <w:t>91</w:t>
            </w:r>
          </w:hyperlink>
        </w:p>
        <w:p>
          <w:pPr>
            <w:pStyle w:val="Contents4"/>
            <w:tabs>
              <w:tab w:val="clear" w:pos="8176"/>
              <w:tab w:val="right" w:pos="9026" w:leader="dot"/>
            </w:tabs>
            <w:rPr/>
          </w:pPr>
          <w:hyperlink w:anchor="__RefHeading___Toc3818343_581953129">
            <w:r>
              <w:rPr>
                <w:webHidden/>
                <w:rStyle w:val="IndexLink"/>
                <w:rtl w:val="true"/>
              </w:rPr>
              <w:t>القول الثانی</w:t>
            </w:r>
            <w:r>
              <w:rPr>
                <w:rStyle w:val="IndexLink"/>
                <w:rtl w:val="true"/>
              </w:rPr>
              <w:t xml:space="preserve">: </w:t>
            </w:r>
            <w:r>
              <w:rPr>
                <w:rStyle w:val="IndexLink"/>
                <w:rtl w:val="true"/>
              </w:rPr>
              <w:t>عدد آیات الأحکام لا تبلغ خمسمئة آیة</w:t>
            </w:r>
            <w:r>
              <w:rPr>
                <w:rStyle w:val="IndexLink"/>
                <w:rtl w:val="true"/>
              </w:rPr>
              <w:tab/>
            </w:r>
            <w:r>
              <w:rPr>
                <w:rStyle w:val="IndexLink"/>
              </w:rPr>
              <w:t>92</w:t>
            </w:r>
          </w:hyperlink>
        </w:p>
        <w:p>
          <w:pPr>
            <w:pStyle w:val="Contents4"/>
            <w:tabs>
              <w:tab w:val="clear" w:pos="8176"/>
              <w:tab w:val="right" w:pos="9026" w:leader="dot"/>
            </w:tabs>
            <w:rPr/>
          </w:pPr>
          <w:hyperlink w:anchor="__RefHeading___Toc3818345_581953129">
            <w:r>
              <w:rPr>
                <w:webHidden/>
                <w:rStyle w:val="IndexLink"/>
                <w:rtl w:val="true"/>
              </w:rPr>
              <w:t>القول الثالث</w:t>
            </w:r>
            <w:r>
              <w:rPr>
                <w:rStyle w:val="IndexLink"/>
                <w:rtl w:val="true"/>
              </w:rPr>
              <w:t xml:space="preserve">: </w:t>
            </w:r>
            <w:r>
              <w:rPr>
                <w:rStyle w:val="IndexLink"/>
                <w:rtl w:val="true"/>
              </w:rPr>
              <w:t>عدد آیات الأحکام أکثر من خمسمئة آیة</w:t>
            </w:r>
            <w:r>
              <w:rPr>
                <w:rStyle w:val="IndexLink"/>
                <w:rtl w:val="true"/>
              </w:rPr>
              <w:tab/>
            </w:r>
            <w:r>
              <w:rPr>
                <w:rStyle w:val="IndexLink"/>
              </w:rPr>
              <w:t>94</w:t>
            </w:r>
          </w:hyperlink>
        </w:p>
        <w:p>
          <w:pPr>
            <w:pStyle w:val="Contents4"/>
            <w:tabs>
              <w:tab w:val="clear" w:pos="8176"/>
              <w:tab w:val="right" w:pos="9026" w:leader="dot"/>
            </w:tabs>
            <w:rPr/>
          </w:pPr>
          <w:hyperlink w:anchor="__RefHeading___Toc3818347_581953129">
            <w:r>
              <w:rPr>
                <w:webHidden/>
                <w:rStyle w:val="IndexLink"/>
                <w:rtl w:val="true"/>
              </w:rPr>
              <w:t>القول الرابع</w:t>
            </w:r>
            <w:r>
              <w:rPr>
                <w:rStyle w:val="IndexLink"/>
                <w:rtl w:val="true"/>
              </w:rPr>
              <w:t xml:space="preserve">: </w:t>
            </w:r>
            <w:r>
              <w:rPr>
                <w:rStyle w:val="IndexLink"/>
                <w:rtl w:val="true"/>
              </w:rPr>
              <w:t>عدم صحة حصر آیات الأحکام فی عدد</w:t>
            </w:r>
            <w:r>
              <w:rPr>
                <w:rStyle w:val="IndexLink"/>
                <w:rtl w:val="true"/>
              </w:rPr>
              <w:tab/>
            </w:r>
            <w:r>
              <w:rPr>
                <w:rStyle w:val="IndexLink"/>
              </w:rPr>
              <w:t>96</w:t>
            </w:r>
          </w:hyperlink>
        </w:p>
        <w:p>
          <w:pPr>
            <w:pStyle w:val="Contents3"/>
            <w:tabs>
              <w:tab w:val="clear" w:pos="8459"/>
              <w:tab w:val="right" w:pos="9026" w:leader="dot"/>
            </w:tabs>
            <w:rPr/>
          </w:pPr>
          <w:hyperlink w:anchor="__RefHeading___Toc3818349_581953129">
            <w:r>
              <w:rPr>
                <w:webHidden/>
                <w:rStyle w:val="IndexLink"/>
                <w:rtl w:val="true"/>
              </w:rPr>
              <w:t>ثانیاً</w:t>
            </w:r>
            <w:r>
              <w:rPr>
                <w:rStyle w:val="IndexLink"/>
                <w:rtl w:val="true"/>
              </w:rPr>
              <w:t xml:space="preserve">: </w:t>
            </w:r>
            <w:r>
              <w:rPr>
                <w:rStyle w:val="IndexLink"/>
                <w:rtl w:val="true"/>
              </w:rPr>
              <w:t>أسباب الاختلاف فی عدد آیات الأحکام</w:t>
            </w:r>
            <w:r>
              <w:rPr>
                <w:rStyle w:val="IndexLink"/>
                <w:rtl w:val="true"/>
              </w:rPr>
              <w:tab/>
            </w:r>
            <w:r>
              <w:rPr>
                <w:rStyle w:val="IndexLink"/>
              </w:rPr>
              <w:t>97</w:t>
            </w:r>
          </w:hyperlink>
        </w:p>
        <w:p>
          <w:pPr>
            <w:pStyle w:val="Contents3"/>
            <w:tabs>
              <w:tab w:val="clear" w:pos="8459"/>
              <w:tab w:val="right" w:pos="9026" w:leader="dot"/>
            </w:tabs>
            <w:rPr/>
          </w:pPr>
          <w:hyperlink w:anchor="__RefHeading___Toc3818351_581953129">
            <w:r>
              <w:rPr>
                <w:webHidden/>
                <w:rStyle w:val="IndexLink"/>
                <w:rtl w:val="true"/>
              </w:rPr>
              <w:t>ثالثاً</w:t>
            </w:r>
            <w:r>
              <w:rPr>
                <w:rStyle w:val="IndexLink"/>
                <w:rtl w:val="true"/>
              </w:rPr>
              <w:t xml:space="preserve">: </w:t>
            </w:r>
            <w:r>
              <w:rPr>
                <w:rStyle w:val="IndexLink"/>
                <w:rtl w:val="true"/>
              </w:rPr>
              <w:t>نسبة آیات الأحکام إلی مجموع القرآن الکریم</w:t>
            </w:r>
            <w:r>
              <w:rPr>
                <w:rStyle w:val="IndexLink"/>
                <w:rtl w:val="true"/>
              </w:rPr>
              <w:tab/>
            </w:r>
            <w:r>
              <w:rPr>
                <w:rStyle w:val="IndexLink"/>
              </w:rPr>
              <w:t>101</w:t>
            </w:r>
          </w:hyperlink>
        </w:p>
        <w:p>
          <w:pPr>
            <w:pStyle w:val="Contents4"/>
            <w:tabs>
              <w:tab w:val="clear" w:pos="8176"/>
              <w:tab w:val="right" w:pos="9026" w:leader="dot"/>
            </w:tabs>
            <w:rPr/>
          </w:pPr>
          <w:hyperlink w:anchor="__RefHeading___Toc3818353_581953129">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3818355_581953129">
            <w:r>
              <w:rPr>
                <w:webHidden/>
                <w:rStyle w:val="IndexLink"/>
                <w:rtl w:val="true"/>
              </w:rPr>
              <w:t>الوجوه المحتملة فی تفسیر الروایات</w:t>
            </w:r>
            <w:r>
              <w:rPr>
                <w:rStyle w:val="IndexLink"/>
                <w:rtl w:val="true"/>
              </w:rPr>
              <w:tab/>
            </w:r>
            <w:r>
              <w:rPr>
                <w:rStyle w:val="IndexLink"/>
              </w:rPr>
              <w:t>102</w:t>
            </w:r>
          </w:hyperlink>
        </w:p>
        <w:p>
          <w:pPr>
            <w:pStyle w:val="Contents5"/>
            <w:tabs>
              <w:tab w:val="clear" w:pos="7892"/>
              <w:tab w:val="right" w:pos="9026" w:leader="dot"/>
            </w:tabs>
            <w:rPr/>
          </w:pPr>
          <w:hyperlink w:anchor="__RefHeading___Toc3818357_581953129">
            <w:r>
              <w:rPr>
                <w:webHidden/>
                <w:rStyle w:val="IndexLink"/>
                <w:rtl w:val="true"/>
              </w:rPr>
              <w:t>الوجه الأوّل</w:t>
            </w:r>
            <w:r>
              <w:rPr>
                <w:rStyle w:val="IndexLink"/>
                <w:rtl w:val="true"/>
              </w:rPr>
              <w:t xml:space="preserve">: </w:t>
            </w:r>
            <w:r>
              <w:rPr>
                <w:rStyle w:val="IndexLink"/>
                <w:rtl w:val="true"/>
              </w:rPr>
              <w:t>المراد من الروایات أنّها ناظرةٌ إلی التنویع</w:t>
            </w:r>
            <w:r>
              <w:rPr>
                <w:rStyle w:val="IndexLink"/>
                <w:rtl w:val="true"/>
              </w:rPr>
              <w:tab/>
            </w:r>
            <w:r>
              <w:rPr>
                <w:rStyle w:val="IndexLink"/>
              </w:rPr>
              <w:t>102</w:t>
            </w:r>
          </w:hyperlink>
        </w:p>
        <w:p>
          <w:pPr>
            <w:pStyle w:val="Contents5"/>
            <w:tabs>
              <w:tab w:val="clear" w:pos="7892"/>
              <w:tab w:val="right" w:pos="9026" w:leader="dot"/>
            </w:tabs>
            <w:rPr/>
          </w:pPr>
          <w:hyperlink w:anchor="__RefHeading___Toc3818359_581953129">
            <w:r>
              <w:rPr>
                <w:webHidden/>
                <w:rStyle w:val="IndexLink"/>
                <w:rtl w:val="true"/>
              </w:rPr>
              <w:t>الوجه الثانی</w:t>
            </w:r>
            <w:r>
              <w:rPr>
                <w:rStyle w:val="IndexLink"/>
                <w:rtl w:val="true"/>
              </w:rPr>
              <w:t xml:space="preserve">: </w:t>
            </w:r>
            <w:r>
              <w:rPr>
                <w:rStyle w:val="IndexLink"/>
                <w:rtl w:val="true"/>
              </w:rPr>
              <w:t>المراد من الروایات أن الحکم بالمعنی اللغوی والعرفی</w:t>
            </w:r>
            <w:r>
              <w:rPr>
                <w:rStyle w:val="IndexLink"/>
                <w:rtl w:val="true"/>
              </w:rPr>
              <w:tab/>
            </w:r>
            <w:r>
              <w:rPr>
                <w:rStyle w:val="IndexLink"/>
              </w:rPr>
              <w:t>104</w:t>
            </w:r>
          </w:hyperlink>
        </w:p>
        <w:p>
          <w:pPr>
            <w:pStyle w:val="Contents5"/>
            <w:tabs>
              <w:tab w:val="clear" w:pos="7892"/>
              <w:tab w:val="right" w:pos="9026" w:leader="dot"/>
            </w:tabs>
            <w:rPr/>
          </w:pPr>
          <w:hyperlink w:anchor="__RefHeading___Toc3818361_581953129">
            <w:r>
              <w:rPr>
                <w:webHidden/>
                <w:rStyle w:val="IndexLink"/>
                <w:rtl w:val="true"/>
              </w:rPr>
              <w:t>الوجه الثالث</w:t>
            </w:r>
            <w:r>
              <w:rPr>
                <w:rStyle w:val="IndexLink"/>
                <w:rtl w:val="true"/>
              </w:rPr>
              <w:t xml:space="preserve">: </w:t>
            </w:r>
            <w:r>
              <w:rPr>
                <w:rStyle w:val="IndexLink"/>
                <w:rtl w:val="true"/>
              </w:rPr>
              <w:t>أن الروایات ناظرة إلی التنویع</w:t>
            </w:r>
            <w:r>
              <w:rPr>
                <w:rStyle w:val="IndexLink"/>
                <w:rtl w:val="true"/>
              </w:rPr>
              <w:tab/>
            </w:r>
            <w:r>
              <w:rPr>
                <w:rStyle w:val="IndexLink"/>
              </w:rPr>
              <w:t>105</w:t>
            </w:r>
          </w:hyperlink>
        </w:p>
        <w:p>
          <w:pPr>
            <w:pStyle w:val="Contents2"/>
            <w:tabs>
              <w:tab w:val="clear" w:pos="8743"/>
              <w:tab w:val="right" w:pos="9026" w:leader="dot"/>
            </w:tabs>
            <w:rPr/>
          </w:pPr>
          <w:hyperlink w:anchor="__RefHeading___Toc3818363_581953129">
            <w:r>
              <w:rPr>
                <w:webHidden/>
                <w:rStyle w:val="IndexLink"/>
                <w:rtl w:val="true"/>
              </w:rPr>
              <w:t xml:space="preserve">البحث السادس </w:t>
            </w:r>
            <w:r>
              <w:rPr>
                <w:rStyle w:val="IndexLink"/>
                <w:rtl w:val="true"/>
              </w:rPr>
              <w:t xml:space="preserve">: </w:t>
            </w:r>
            <w:r>
              <w:rPr>
                <w:rStyle w:val="IndexLink"/>
                <w:rtl w:val="true"/>
              </w:rPr>
              <w:t>عرض نماذج من آیات الأحکام وبیان تقسیماتها</w:t>
            </w:r>
            <w:r>
              <w:rPr>
                <w:rStyle w:val="IndexLink"/>
                <w:rtl w:val="true"/>
              </w:rPr>
              <w:tab/>
            </w:r>
            <w:r>
              <w:rPr>
                <w:rStyle w:val="IndexLink"/>
              </w:rPr>
              <w:t>107</w:t>
            </w:r>
          </w:hyperlink>
        </w:p>
        <w:p>
          <w:pPr>
            <w:pStyle w:val="Contents3"/>
            <w:tabs>
              <w:tab w:val="clear" w:pos="8459"/>
              <w:tab w:val="right" w:pos="9026" w:leader="dot"/>
            </w:tabs>
            <w:rPr/>
          </w:pPr>
          <w:hyperlink w:anchor="__RefHeading___Toc3818365_581953129">
            <w:r>
              <w:rPr>
                <w:webHidden/>
                <w:rStyle w:val="IndexLink"/>
                <w:rtl w:val="true"/>
              </w:rPr>
              <w:t>أوّلاً</w:t>
            </w:r>
            <w:r>
              <w:rPr>
                <w:rStyle w:val="IndexLink"/>
                <w:rtl w:val="true"/>
              </w:rPr>
              <w:t xml:space="preserve">: </w:t>
            </w:r>
            <w:r>
              <w:rPr>
                <w:rStyle w:val="IndexLink"/>
                <w:rtl w:val="true"/>
              </w:rPr>
              <w:t>عرض نماذج من آیات الأحکام</w:t>
            </w:r>
            <w:r>
              <w:rPr>
                <w:rStyle w:val="IndexLink"/>
                <w:rtl w:val="true"/>
              </w:rPr>
              <w:tab/>
            </w:r>
            <w:r>
              <w:rPr>
                <w:rStyle w:val="IndexLink"/>
              </w:rPr>
              <w:t>107</w:t>
            </w:r>
          </w:hyperlink>
        </w:p>
        <w:p>
          <w:pPr>
            <w:pStyle w:val="Contents3"/>
            <w:tabs>
              <w:tab w:val="clear" w:pos="8459"/>
              <w:tab w:val="right" w:pos="9026" w:leader="dot"/>
            </w:tabs>
            <w:rPr/>
          </w:pPr>
          <w:hyperlink w:anchor="__RefHeading___Toc3818367_581953129">
            <w:r>
              <w:rPr>
                <w:webHidden/>
                <w:rStyle w:val="IndexLink"/>
                <w:rtl w:val="true"/>
              </w:rPr>
              <w:t>ثانیاً</w:t>
            </w:r>
            <w:r>
              <w:rPr>
                <w:rStyle w:val="IndexLink"/>
                <w:rtl w:val="true"/>
              </w:rPr>
              <w:t xml:space="preserve">: </w:t>
            </w:r>
            <w:r>
              <w:rPr>
                <w:rStyle w:val="IndexLink"/>
                <w:rtl w:val="true"/>
              </w:rPr>
              <w:t>بیان تقسیمات آیات الأحکام</w:t>
            </w:r>
            <w:r>
              <w:rPr>
                <w:rStyle w:val="IndexLink"/>
                <w:rtl w:val="true"/>
              </w:rPr>
              <w:tab/>
            </w:r>
            <w:r>
              <w:rPr>
                <w:rStyle w:val="IndexLink"/>
              </w:rPr>
              <w:t>118</w:t>
            </w:r>
          </w:hyperlink>
        </w:p>
        <w:p>
          <w:pPr>
            <w:pStyle w:val="Contents4"/>
            <w:tabs>
              <w:tab w:val="clear" w:pos="8176"/>
              <w:tab w:val="right" w:pos="9026" w:leader="dot"/>
            </w:tabs>
            <w:rPr/>
          </w:pPr>
          <w:hyperlink w:anchor="__RefHeading___Toc3818369_581953129">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3818371_581953129">
            <w:r>
              <w:rPr>
                <w:webHidden/>
                <w:rStyle w:val="IndexLink"/>
                <w:rtl w:val="true"/>
              </w:rPr>
              <w:t>التقسیم الأوّل</w:t>
            </w:r>
            <w:r>
              <w:rPr>
                <w:rStyle w:val="IndexLink"/>
                <w:rtl w:val="true"/>
              </w:rPr>
              <w:t xml:space="preserve">: </w:t>
            </w:r>
            <w:r>
              <w:rPr>
                <w:rStyle w:val="IndexLink"/>
                <w:rtl w:val="true"/>
              </w:rPr>
              <w:t>تقسیمها بلحاظ نوع القضیة المشرّعة</w:t>
            </w:r>
            <w:r>
              <w:rPr>
                <w:rStyle w:val="IndexLink"/>
                <w:rtl w:val="true"/>
              </w:rPr>
              <w:tab/>
            </w:r>
            <w:r>
              <w:rPr>
                <w:rStyle w:val="IndexLink"/>
              </w:rPr>
              <w:t>118</w:t>
            </w:r>
          </w:hyperlink>
        </w:p>
        <w:p>
          <w:pPr>
            <w:pStyle w:val="Contents4"/>
            <w:tabs>
              <w:tab w:val="clear" w:pos="8176"/>
              <w:tab w:val="right" w:pos="9026" w:leader="dot"/>
            </w:tabs>
            <w:rPr/>
          </w:pPr>
          <w:hyperlink w:anchor="__RefHeading___Toc3818373_581953129">
            <w:r>
              <w:rPr>
                <w:webHidden/>
                <w:rStyle w:val="IndexLink"/>
                <w:rtl w:val="true"/>
              </w:rPr>
              <w:t>التقسیم الثانی</w:t>
            </w:r>
            <w:r>
              <w:rPr>
                <w:rStyle w:val="IndexLink"/>
                <w:rtl w:val="true"/>
              </w:rPr>
              <w:t xml:space="preserve">: </w:t>
            </w:r>
            <w:r>
              <w:rPr>
                <w:rStyle w:val="IndexLink"/>
                <w:rtl w:val="true"/>
              </w:rPr>
              <w:t>تقسیمها بلحاظ شمول الحکم وخصوصه</w:t>
            </w:r>
            <w:r>
              <w:rPr>
                <w:rStyle w:val="IndexLink"/>
                <w:rtl w:val="true"/>
              </w:rPr>
              <w:tab/>
            </w:r>
            <w:r>
              <w:rPr>
                <w:rStyle w:val="IndexLink"/>
              </w:rPr>
              <w:t>119</w:t>
            </w:r>
          </w:hyperlink>
        </w:p>
        <w:p>
          <w:pPr>
            <w:pStyle w:val="Contents4"/>
            <w:tabs>
              <w:tab w:val="clear" w:pos="8176"/>
              <w:tab w:val="right" w:pos="9026" w:leader="dot"/>
            </w:tabs>
            <w:rPr/>
          </w:pPr>
          <w:hyperlink w:anchor="__RefHeading___Toc3818375_581953129">
            <w:r>
              <w:rPr>
                <w:webHidden/>
                <w:rStyle w:val="IndexLink"/>
                <w:rtl w:val="true"/>
              </w:rPr>
              <w:t>التقسیم الثالث</w:t>
            </w:r>
            <w:r>
              <w:rPr>
                <w:rStyle w:val="IndexLink"/>
                <w:rtl w:val="true"/>
              </w:rPr>
              <w:t xml:space="preserve">: </w:t>
            </w:r>
            <w:r>
              <w:rPr>
                <w:rStyle w:val="IndexLink"/>
                <w:rtl w:val="true"/>
              </w:rPr>
              <w:t>تقسیمها بلحاظ کون الحکم فردیاً أو اجتماعیاً</w:t>
            </w:r>
            <w:r>
              <w:rPr>
                <w:rStyle w:val="IndexLink"/>
                <w:rtl w:val="true"/>
              </w:rPr>
              <w:tab/>
            </w:r>
            <w:r>
              <w:rPr>
                <w:rStyle w:val="IndexLink"/>
              </w:rPr>
              <w:t>119</w:t>
            </w:r>
          </w:hyperlink>
        </w:p>
        <w:p>
          <w:pPr>
            <w:pStyle w:val="Contents2"/>
            <w:tabs>
              <w:tab w:val="clear" w:pos="8743"/>
              <w:tab w:val="right" w:pos="9026" w:leader="dot"/>
            </w:tabs>
            <w:rPr/>
          </w:pPr>
          <w:hyperlink w:anchor="__RefHeading___Toc3818377_581953129">
            <w:r>
              <w:rPr>
                <w:webHidden/>
                <w:rStyle w:val="IndexLink"/>
                <w:rtl w:val="true"/>
              </w:rPr>
              <w:t xml:space="preserve">البحث السابع </w:t>
            </w:r>
            <w:r>
              <w:rPr>
                <w:rStyle w:val="IndexLink"/>
                <w:rtl w:val="true"/>
              </w:rPr>
              <w:t xml:space="preserve">: </w:t>
            </w:r>
            <w:r>
              <w:rPr>
                <w:rStyle w:val="IndexLink"/>
                <w:rtl w:val="true"/>
              </w:rPr>
              <w:t>التألیف فی فقه القرآن وآیات الأحکام</w:t>
            </w:r>
            <w:r>
              <w:rPr>
                <w:rStyle w:val="IndexLink"/>
                <w:rtl w:val="true"/>
              </w:rPr>
              <w:tab/>
            </w:r>
            <w:r>
              <w:rPr>
                <w:rStyle w:val="IndexLink"/>
              </w:rPr>
              <w:t>121</w:t>
            </w:r>
          </w:hyperlink>
        </w:p>
        <w:p>
          <w:pPr>
            <w:pStyle w:val="Contents3"/>
            <w:tabs>
              <w:tab w:val="clear" w:pos="8459"/>
              <w:tab w:val="right" w:pos="9026" w:leader="dot"/>
            </w:tabs>
            <w:rPr/>
          </w:pPr>
          <w:hyperlink w:anchor="__RefHeading___Toc3818379_581953129">
            <w:r>
              <w:rPr>
                <w:webHidden/>
                <w:rStyle w:val="IndexLink"/>
                <w:rtl w:val="true"/>
              </w:rPr>
              <w:t>أوّلاً</w:t>
            </w:r>
            <w:r>
              <w:rPr>
                <w:rStyle w:val="IndexLink"/>
                <w:rtl w:val="true"/>
              </w:rPr>
              <w:t xml:space="preserve">: </w:t>
            </w:r>
            <w:r>
              <w:rPr>
                <w:rStyle w:val="IndexLink"/>
                <w:rtl w:val="true"/>
              </w:rPr>
              <w:t>البذور والمنطلقات الاُولی لتفسیر آیات الأحکام</w:t>
            </w:r>
            <w:r>
              <w:rPr>
                <w:rStyle w:val="IndexLink"/>
                <w:rtl w:val="true"/>
              </w:rPr>
              <w:tab/>
            </w:r>
            <w:r>
              <w:rPr>
                <w:rStyle w:val="IndexLink"/>
              </w:rPr>
              <w:t>121</w:t>
            </w:r>
          </w:hyperlink>
        </w:p>
        <w:p>
          <w:pPr>
            <w:pStyle w:val="Contents3"/>
            <w:tabs>
              <w:tab w:val="clear" w:pos="8459"/>
              <w:tab w:val="right" w:pos="9026" w:leader="dot"/>
            </w:tabs>
            <w:rPr/>
          </w:pPr>
          <w:hyperlink w:anchor="__RefHeading___Toc3818381_581953129">
            <w:r>
              <w:rPr>
                <w:webHidden/>
                <w:rStyle w:val="IndexLink"/>
                <w:rtl w:val="true"/>
              </w:rPr>
              <w:t>ثانیاً</w:t>
            </w:r>
            <w:r>
              <w:rPr>
                <w:rStyle w:val="IndexLink"/>
                <w:rtl w:val="true"/>
              </w:rPr>
              <w:t xml:space="preserve">: </w:t>
            </w:r>
            <w:r>
              <w:rPr>
                <w:rStyle w:val="IndexLink"/>
                <w:rtl w:val="true"/>
              </w:rPr>
              <w:t>تاریخ التألیف فی فقه القرآن وآیات الأحکام</w:t>
            </w:r>
            <w:r>
              <w:rPr>
                <w:rStyle w:val="IndexLink"/>
                <w:rtl w:val="true"/>
              </w:rPr>
              <w:tab/>
            </w:r>
            <w:r>
              <w:rPr>
                <w:rStyle w:val="IndexLink"/>
              </w:rPr>
              <w:t>124</w:t>
            </w:r>
          </w:hyperlink>
        </w:p>
        <w:p>
          <w:pPr>
            <w:pStyle w:val="Contents3"/>
            <w:tabs>
              <w:tab w:val="clear" w:pos="8459"/>
              <w:tab w:val="right" w:pos="9026" w:leader="dot"/>
            </w:tabs>
            <w:rPr/>
          </w:pPr>
          <w:hyperlink w:anchor="__RefHeading___Toc3818383_581953129">
            <w:r>
              <w:rPr>
                <w:webHidden/>
                <w:rStyle w:val="IndexLink"/>
                <w:rtl w:val="true"/>
              </w:rPr>
              <w:t>ثالثاً</w:t>
            </w:r>
            <w:r>
              <w:rPr>
                <w:rStyle w:val="IndexLink"/>
                <w:rtl w:val="true"/>
              </w:rPr>
              <w:t xml:space="preserve">: </w:t>
            </w:r>
            <w:r>
              <w:rPr>
                <w:rStyle w:val="IndexLink"/>
                <w:rtl w:val="true"/>
              </w:rPr>
              <w:t xml:space="preserve">تأسیس الشیعة الإمامیة لعلم </w:t>
            </w:r>
            <w:r>
              <w:rPr>
                <w:rStyle w:val="IndexLink"/>
                <w:rtl w:val="true"/>
              </w:rPr>
              <w:t>(</w:t>
            </w:r>
            <w:r>
              <w:rPr>
                <w:rStyle w:val="IndexLink"/>
                <w:rtl w:val="true"/>
              </w:rPr>
              <w:t>فقه القرآن</w:t>
            </w:r>
            <w:r>
              <w:rPr>
                <w:rStyle w:val="IndexLink"/>
                <w:rtl w:val="true"/>
              </w:rPr>
              <w:t>)</w:t>
              <w:tab/>
            </w:r>
            <w:r>
              <w:rPr>
                <w:rStyle w:val="IndexLink"/>
              </w:rPr>
              <w:t>124</w:t>
            </w:r>
          </w:hyperlink>
        </w:p>
        <w:p>
          <w:pPr>
            <w:pStyle w:val="Contents3"/>
            <w:tabs>
              <w:tab w:val="clear" w:pos="8459"/>
              <w:tab w:val="right" w:pos="9026" w:leader="dot"/>
            </w:tabs>
            <w:rPr/>
          </w:pPr>
          <w:hyperlink w:anchor="__RefHeading___Toc3818385_581953129">
            <w:r>
              <w:rPr>
                <w:webHidden/>
                <w:rStyle w:val="IndexLink"/>
                <w:rtl w:val="true"/>
              </w:rPr>
              <w:t>رابعاً</w:t>
            </w:r>
            <w:r>
              <w:rPr>
                <w:rStyle w:val="IndexLink"/>
                <w:rtl w:val="true"/>
              </w:rPr>
              <w:t xml:space="preserve">: </w:t>
            </w:r>
            <w:r>
              <w:rPr>
                <w:rStyle w:val="IndexLink"/>
                <w:rtl w:val="true"/>
              </w:rPr>
              <w:t>أسالیب التألیف فی فقه القرآن وآیات الأحکام</w:t>
            </w:r>
            <w:r>
              <w:rPr>
                <w:rStyle w:val="IndexLink"/>
                <w:rtl w:val="true"/>
              </w:rPr>
              <w:tab/>
            </w:r>
            <w:r>
              <w:rPr>
                <w:rStyle w:val="IndexLink"/>
              </w:rPr>
              <w:t>128</w:t>
            </w:r>
          </w:hyperlink>
        </w:p>
        <w:p>
          <w:pPr>
            <w:pStyle w:val="Contents4"/>
            <w:tabs>
              <w:tab w:val="clear" w:pos="8176"/>
              <w:tab w:val="right" w:pos="9026" w:leader="dot"/>
            </w:tabs>
            <w:rPr/>
          </w:pPr>
          <w:hyperlink w:anchor="__RefHeading___Toc3818387_581953129">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3818389_581953129">
            <w:r>
              <w:rPr>
                <w:webHidden/>
                <w:rStyle w:val="IndexLink"/>
              </w:rPr>
              <w:t>1</w:t>
            </w:r>
            <w:r>
              <w:rPr>
                <w:rStyle w:val="IndexLink"/>
                <w:rtl w:val="true"/>
              </w:rPr>
              <w:t xml:space="preserve">- </w:t>
            </w:r>
            <w:r>
              <w:rPr>
                <w:rStyle w:val="IndexLink"/>
                <w:rtl w:val="true"/>
              </w:rPr>
              <w:t>الاُسلوب الترتیبی</w:t>
            </w:r>
            <w:r>
              <w:rPr>
                <w:rStyle w:val="IndexLink"/>
                <w:rtl w:val="true"/>
              </w:rPr>
              <w:tab/>
            </w:r>
            <w:r>
              <w:rPr>
                <w:rStyle w:val="IndexLink"/>
              </w:rPr>
              <w:t>128</w:t>
            </w:r>
          </w:hyperlink>
        </w:p>
        <w:p>
          <w:pPr>
            <w:pStyle w:val="Contents4"/>
            <w:tabs>
              <w:tab w:val="clear" w:pos="8176"/>
              <w:tab w:val="right" w:pos="9026" w:leader="dot"/>
            </w:tabs>
            <w:rPr/>
          </w:pPr>
          <w:hyperlink w:anchor="__RefHeading___Toc3818391_581953129">
            <w:r>
              <w:rPr>
                <w:webHidden/>
                <w:rStyle w:val="IndexLink"/>
              </w:rPr>
              <w:t>2</w:t>
            </w:r>
            <w:r>
              <w:rPr>
                <w:rStyle w:val="IndexLink"/>
                <w:rtl w:val="true"/>
              </w:rPr>
              <w:t xml:space="preserve">- </w:t>
            </w:r>
            <w:r>
              <w:rPr>
                <w:rStyle w:val="IndexLink"/>
                <w:rtl w:val="true"/>
              </w:rPr>
              <w:t>الاُسلوب الموضوعی</w:t>
            </w:r>
            <w:r>
              <w:rPr>
                <w:rStyle w:val="IndexLink"/>
                <w:rtl w:val="true"/>
              </w:rPr>
              <w:tab/>
            </w:r>
            <w:r>
              <w:rPr>
                <w:rStyle w:val="IndexLink"/>
              </w:rPr>
              <w:t>129</w:t>
            </w:r>
          </w:hyperlink>
        </w:p>
        <w:p>
          <w:pPr>
            <w:pStyle w:val="Contents3"/>
            <w:tabs>
              <w:tab w:val="clear" w:pos="8459"/>
              <w:tab w:val="right" w:pos="9026" w:leader="dot"/>
            </w:tabs>
            <w:rPr/>
          </w:pPr>
          <w:hyperlink w:anchor="__RefHeading___Toc3818393_581953129">
            <w:r>
              <w:rPr>
                <w:webHidden/>
                <w:rStyle w:val="IndexLink"/>
                <w:rtl w:val="true"/>
              </w:rPr>
              <w:t>خامساً</w:t>
            </w:r>
            <w:r>
              <w:rPr>
                <w:rStyle w:val="IndexLink"/>
                <w:rtl w:val="true"/>
              </w:rPr>
              <w:t xml:space="preserve">: </w:t>
            </w:r>
            <w:r>
              <w:rPr>
                <w:rStyle w:val="IndexLink"/>
                <w:rtl w:val="true"/>
              </w:rPr>
              <w:t>ملاحظات حول ما الّف فی فقه القرآن</w:t>
            </w:r>
            <w:r>
              <w:rPr>
                <w:rStyle w:val="IndexLink"/>
                <w:rtl w:val="true"/>
              </w:rPr>
              <w:tab/>
            </w:r>
            <w:r>
              <w:rPr>
                <w:rStyle w:val="IndexLink"/>
              </w:rPr>
              <w:t>129</w:t>
            </w:r>
          </w:hyperlink>
        </w:p>
        <w:p>
          <w:pPr>
            <w:pStyle w:val="Contents3"/>
            <w:tabs>
              <w:tab w:val="clear" w:pos="8459"/>
              <w:tab w:val="right" w:pos="9026" w:leader="dot"/>
            </w:tabs>
            <w:rPr/>
          </w:pPr>
          <w:hyperlink w:anchor="__RefHeading___Toc3818395_581953129">
            <w:r>
              <w:rPr>
                <w:webHidden/>
                <w:rStyle w:val="IndexLink"/>
                <w:rtl w:val="true"/>
              </w:rPr>
              <w:t>سادساً</w:t>
            </w:r>
            <w:r>
              <w:rPr>
                <w:rStyle w:val="IndexLink"/>
                <w:rtl w:val="true"/>
              </w:rPr>
              <w:t xml:space="preserve">: </w:t>
            </w:r>
            <w:r>
              <w:rPr>
                <w:rStyle w:val="IndexLink"/>
                <w:rtl w:val="true"/>
              </w:rPr>
              <w:t>مناهج البحث فی فقه القرآن وآیات الأحکام</w:t>
            </w:r>
            <w:r>
              <w:rPr>
                <w:rStyle w:val="IndexLink"/>
                <w:rtl w:val="true"/>
              </w:rPr>
              <w:tab/>
            </w:r>
            <w:r>
              <w:rPr>
                <w:rStyle w:val="IndexLink"/>
              </w:rPr>
              <w:t>131</w:t>
            </w:r>
          </w:hyperlink>
        </w:p>
        <w:p>
          <w:pPr>
            <w:pStyle w:val="Contents4"/>
            <w:tabs>
              <w:tab w:val="clear" w:pos="8176"/>
              <w:tab w:val="right" w:pos="9026" w:leader="dot"/>
            </w:tabs>
            <w:rPr/>
          </w:pPr>
          <w:hyperlink w:anchor="__RefHeading___Toc3818397_581953129">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3818399_581953129">
            <w:r>
              <w:rPr>
                <w:webHidden/>
                <w:rStyle w:val="IndexLink"/>
              </w:rPr>
              <w:t>1</w:t>
            </w:r>
            <w:r>
              <w:rPr>
                <w:rStyle w:val="IndexLink"/>
                <w:rtl w:val="true"/>
              </w:rPr>
              <w:t xml:space="preserve">- </w:t>
            </w:r>
            <w:r>
              <w:rPr>
                <w:rStyle w:val="IndexLink"/>
                <w:rtl w:val="true"/>
              </w:rPr>
              <w:t>المنهج الأثری</w:t>
            </w:r>
            <w:r>
              <w:rPr>
                <w:rStyle w:val="IndexLink"/>
                <w:rtl w:val="true"/>
              </w:rPr>
              <w:tab/>
            </w:r>
            <w:r>
              <w:rPr>
                <w:rStyle w:val="IndexLink"/>
              </w:rPr>
              <w:t>131</w:t>
            </w:r>
          </w:hyperlink>
        </w:p>
        <w:p>
          <w:pPr>
            <w:pStyle w:val="Contents4"/>
            <w:tabs>
              <w:tab w:val="clear" w:pos="8176"/>
              <w:tab w:val="right" w:pos="9026" w:leader="dot"/>
            </w:tabs>
            <w:rPr/>
          </w:pPr>
          <w:hyperlink w:anchor="__RefHeading___Toc3818401_581953129">
            <w:r>
              <w:rPr>
                <w:webHidden/>
                <w:rStyle w:val="IndexLink"/>
              </w:rPr>
              <w:t>2</w:t>
            </w:r>
            <w:r>
              <w:rPr>
                <w:rStyle w:val="IndexLink"/>
                <w:rtl w:val="true"/>
              </w:rPr>
              <w:t xml:space="preserve">- </w:t>
            </w:r>
            <w:r>
              <w:rPr>
                <w:rStyle w:val="IndexLink"/>
                <w:rtl w:val="true"/>
              </w:rPr>
              <w:t>المنهج التقلیدی</w:t>
            </w:r>
            <w:r>
              <w:rPr>
                <w:rStyle w:val="IndexLink"/>
                <w:rtl w:val="true"/>
              </w:rPr>
              <w:tab/>
            </w:r>
            <w:r>
              <w:rPr>
                <w:rStyle w:val="IndexLink"/>
              </w:rPr>
              <w:t>131</w:t>
            </w:r>
          </w:hyperlink>
        </w:p>
        <w:p>
          <w:pPr>
            <w:pStyle w:val="Contents4"/>
            <w:tabs>
              <w:tab w:val="clear" w:pos="8176"/>
              <w:tab w:val="right" w:pos="9026" w:leader="dot"/>
            </w:tabs>
            <w:rPr/>
          </w:pPr>
          <w:hyperlink w:anchor="__RefHeading___Toc3818403_581953129">
            <w:r>
              <w:rPr>
                <w:webHidden/>
                <w:rStyle w:val="IndexLink"/>
              </w:rPr>
              <w:t>3</w:t>
            </w:r>
            <w:r>
              <w:rPr>
                <w:rStyle w:val="IndexLink"/>
                <w:rtl w:val="true"/>
              </w:rPr>
              <w:t xml:space="preserve">- </w:t>
            </w:r>
            <w:r>
              <w:rPr>
                <w:rStyle w:val="IndexLink"/>
                <w:rtl w:val="true"/>
              </w:rPr>
              <w:t>المنهج الاجتهادی</w:t>
            </w:r>
            <w:r>
              <w:rPr>
                <w:rStyle w:val="IndexLink"/>
                <w:rtl w:val="true"/>
              </w:rPr>
              <w:tab/>
            </w:r>
            <w:r>
              <w:rPr>
                <w:rStyle w:val="IndexLink"/>
              </w:rPr>
              <w:t>131</w:t>
            </w:r>
          </w:hyperlink>
        </w:p>
        <w:p>
          <w:pPr>
            <w:pStyle w:val="Contents4"/>
            <w:tabs>
              <w:tab w:val="clear" w:pos="8176"/>
              <w:tab w:val="right" w:pos="9026" w:leader="dot"/>
            </w:tabs>
            <w:rPr/>
          </w:pPr>
          <w:hyperlink w:anchor="__RefHeading___Toc3818405_581953129">
            <w:r>
              <w:rPr>
                <w:webHidden/>
                <w:rStyle w:val="IndexLink"/>
              </w:rPr>
              <w:t>4</w:t>
            </w:r>
            <w:r>
              <w:rPr>
                <w:rStyle w:val="IndexLink"/>
                <w:rtl w:val="true"/>
              </w:rPr>
              <w:t xml:space="preserve">- </w:t>
            </w:r>
            <w:r>
              <w:rPr>
                <w:rStyle w:val="IndexLink"/>
                <w:rtl w:val="true"/>
              </w:rPr>
              <w:t>المنهج التقنینی</w:t>
            </w:r>
            <w:r>
              <w:rPr>
                <w:rStyle w:val="IndexLink"/>
                <w:rtl w:val="true"/>
              </w:rPr>
              <w:tab/>
            </w:r>
            <w:r>
              <w:rPr>
                <w:rStyle w:val="IndexLink"/>
              </w:rPr>
              <w:t>132</w:t>
            </w:r>
          </w:hyperlink>
        </w:p>
        <w:p>
          <w:pPr>
            <w:pStyle w:val="Contents4"/>
            <w:tabs>
              <w:tab w:val="clear" w:pos="8176"/>
              <w:tab w:val="right" w:pos="9026" w:leader="dot"/>
            </w:tabs>
            <w:rPr/>
          </w:pPr>
          <w:hyperlink w:anchor="__RefHeading___Toc3818407_581953129">
            <w:r>
              <w:rPr>
                <w:webHidden/>
                <w:rStyle w:val="IndexLink"/>
              </w:rPr>
              <w:t>5</w:t>
            </w:r>
            <w:r>
              <w:rPr>
                <w:rStyle w:val="IndexLink"/>
                <w:rtl w:val="true"/>
              </w:rPr>
              <w:t xml:space="preserve">- </w:t>
            </w:r>
            <w:r>
              <w:rPr>
                <w:rStyle w:val="IndexLink"/>
                <w:rtl w:val="true"/>
              </w:rPr>
              <w:t>المنهج المقارن</w:t>
            </w:r>
            <w:r>
              <w:rPr>
                <w:rStyle w:val="IndexLink"/>
                <w:rtl w:val="true"/>
              </w:rPr>
              <w:tab/>
            </w:r>
            <w:r>
              <w:rPr>
                <w:rStyle w:val="IndexLink"/>
              </w:rPr>
              <w:t>133</w:t>
            </w:r>
          </w:hyperlink>
        </w:p>
        <w:p>
          <w:pPr>
            <w:pStyle w:val="Contents2"/>
            <w:tabs>
              <w:tab w:val="clear" w:pos="8743"/>
              <w:tab w:val="right" w:pos="9026" w:leader="dot"/>
            </w:tabs>
            <w:rPr/>
          </w:pPr>
          <w:hyperlink w:anchor="__RefHeading___Toc3818409_581953129">
            <w:r>
              <w:rPr>
                <w:webHidden/>
                <w:rStyle w:val="IndexLink"/>
                <w:rtl w:val="true"/>
              </w:rPr>
              <w:t xml:space="preserve">البحث الثامن </w:t>
            </w:r>
            <w:r>
              <w:rPr>
                <w:rStyle w:val="IndexLink"/>
                <w:rtl w:val="true"/>
              </w:rPr>
              <w:t xml:space="preserve">: </w:t>
            </w:r>
            <w:r>
              <w:rPr>
                <w:rStyle w:val="IndexLink"/>
                <w:rtl w:val="true"/>
              </w:rPr>
              <w:t>منهج البحث فی فقه القرآن المقارن</w:t>
            </w:r>
            <w:r>
              <w:rPr>
                <w:rStyle w:val="IndexLink"/>
                <w:rtl w:val="true"/>
              </w:rPr>
              <w:tab/>
            </w:r>
            <w:r>
              <w:rPr>
                <w:rStyle w:val="IndexLink"/>
              </w:rPr>
              <w:t>135</w:t>
            </w:r>
          </w:hyperlink>
        </w:p>
        <w:p>
          <w:pPr>
            <w:pStyle w:val="Contents3"/>
            <w:tabs>
              <w:tab w:val="clear" w:pos="8459"/>
              <w:tab w:val="right" w:pos="9026" w:leader="dot"/>
            </w:tabs>
            <w:rPr/>
          </w:pPr>
          <w:hyperlink w:anchor="__RefHeading___Toc3818411_581953129">
            <w:r>
              <w:rPr>
                <w:webHidden/>
                <w:rStyle w:val="IndexLink"/>
                <w:rtl w:val="true"/>
              </w:rPr>
              <w:t>أوّلاً</w:t>
            </w:r>
            <w:r>
              <w:rPr>
                <w:rStyle w:val="IndexLink"/>
                <w:rtl w:val="true"/>
              </w:rPr>
              <w:t xml:space="preserve">: </w:t>
            </w:r>
            <w:r>
              <w:rPr>
                <w:rStyle w:val="IndexLink"/>
                <w:rtl w:val="true"/>
              </w:rPr>
              <w:t>خصائص منهج البحث فی فقه القرآن المقارن</w:t>
            </w:r>
            <w:r>
              <w:rPr>
                <w:rStyle w:val="IndexLink"/>
                <w:rtl w:val="true"/>
              </w:rPr>
              <w:tab/>
            </w:r>
            <w:r>
              <w:rPr>
                <w:rStyle w:val="IndexLink"/>
              </w:rPr>
              <w:t>135</w:t>
            </w:r>
          </w:hyperlink>
        </w:p>
        <w:p>
          <w:pPr>
            <w:pStyle w:val="Contents3"/>
            <w:tabs>
              <w:tab w:val="clear" w:pos="8459"/>
              <w:tab w:val="right" w:pos="9026" w:leader="dot"/>
            </w:tabs>
            <w:rPr/>
          </w:pPr>
          <w:hyperlink w:anchor="__RefHeading___Toc3818413_581953129">
            <w:r>
              <w:rPr>
                <w:webHidden/>
                <w:rStyle w:val="IndexLink"/>
                <w:rtl w:val="true"/>
              </w:rPr>
              <w:t>ثانیاً</w:t>
            </w:r>
            <w:r>
              <w:rPr>
                <w:rStyle w:val="IndexLink"/>
                <w:rtl w:val="true"/>
              </w:rPr>
              <w:t xml:space="preserve">: </w:t>
            </w:r>
            <w:r>
              <w:rPr>
                <w:rStyle w:val="IndexLink"/>
                <w:rtl w:val="true"/>
              </w:rPr>
              <w:t>نماذج للبحث فی فقه القرآن المقارن</w:t>
            </w:r>
            <w:r>
              <w:rPr>
                <w:rStyle w:val="IndexLink"/>
                <w:rtl w:val="true"/>
              </w:rPr>
              <w:tab/>
            </w:r>
            <w:r>
              <w:rPr>
                <w:rStyle w:val="IndexLink"/>
              </w:rPr>
              <w:t>136</w:t>
            </w:r>
          </w:hyperlink>
        </w:p>
        <w:p>
          <w:pPr>
            <w:pStyle w:val="Contents4"/>
            <w:tabs>
              <w:tab w:val="clear" w:pos="8176"/>
              <w:tab w:val="right" w:pos="9026" w:leader="dot"/>
            </w:tabs>
            <w:rPr/>
          </w:pPr>
          <w:hyperlink w:anchor="__RefHeading___Toc3818415_581953129">
            <w:r>
              <w:rPr>
                <w:webHidden/>
                <w:rStyle w:val="IndexLink"/>
                <w:rtl w:val="true"/>
              </w:rPr>
              <w:t>النموذج الأوّل</w:t>
            </w:r>
            <w:r>
              <w:rPr>
                <w:rStyle w:val="IndexLink"/>
                <w:rtl w:val="true"/>
              </w:rPr>
              <w:t xml:space="preserve">: </w:t>
            </w:r>
            <w:r>
              <w:rPr>
                <w:rStyle w:val="IndexLink"/>
                <w:rtl w:val="true"/>
              </w:rPr>
              <w:t>الإجارة</w:t>
            </w:r>
            <w:r>
              <w:rPr>
                <w:rStyle w:val="IndexLink"/>
                <w:rtl w:val="true"/>
              </w:rPr>
              <w:tab/>
            </w:r>
            <w:r>
              <w:rPr>
                <w:rStyle w:val="IndexLink"/>
              </w:rPr>
              <w:t>136</w:t>
            </w:r>
          </w:hyperlink>
        </w:p>
        <w:p>
          <w:pPr>
            <w:pStyle w:val="Contents5"/>
            <w:tabs>
              <w:tab w:val="clear" w:pos="7892"/>
              <w:tab w:val="right" w:pos="9026" w:leader="dot"/>
            </w:tabs>
            <w:rPr/>
          </w:pPr>
          <w:hyperlink w:anchor="__RefHeading___Toc3818417_581953129">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3818419_581953129">
            <w:r>
              <w:rPr>
                <w:webHidden/>
                <w:rStyle w:val="IndexLink"/>
                <w:rtl w:val="true"/>
              </w:rPr>
              <w:t>أ</w:t>
            </w:r>
            <w:r>
              <w:rPr>
                <w:rStyle w:val="IndexLink"/>
                <w:rtl w:val="true"/>
              </w:rPr>
              <w:t xml:space="preserve">) </w:t>
            </w:r>
            <w:r>
              <w:rPr>
                <w:rStyle w:val="IndexLink"/>
                <w:rtl w:val="true"/>
              </w:rPr>
              <w:t>مشروعیة الإجارة</w:t>
            </w:r>
            <w:r>
              <w:rPr>
                <w:rStyle w:val="IndexLink"/>
                <w:rtl w:val="true"/>
              </w:rPr>
              <w:tab/>
            </w:r>
            <w:r>
              <w:rPr>
                <w:rStyle w:val="IndexLink"/>
              </w:rPr>
              <w:t>140</w:t>
            </w:r>
          </w:hyperlink>
        </w:p>
        <w:p>
          <w:pPr>
            <w:pStyle w:val="Contents5"/>
            <w:tabs>
              <w:tab w:val="clear" w:pos="7892"/>
              <w:tab w:val="right" w:pos="9026" w:leader="dot"/>
            </w:tabs>
            <w:rPr/>
          </w:pPr>
          <w:hyperlink w:anchor="__RefHeading___Toc3818421_581953129">
            <w:r>
              <w:rPr>
                <w:webHidden/>
                <w:rStyle w:val="IndexLink"/>
                <w:rtl w:val="true"/>
              </w:rPr>
              <w:t>ب</w:t>
            </w:r>
            <w:r>
              <w:rPr>
                <w:rStyle w:val="IndexLink"/>
                <w:rtl w:val="true"/>
              </w:rPr>
              <w:t xml:space="preserve">) </w:t>
            </w:r>
            <w:r>
              <w:rPr>
                <w:rStyle w:val="IndexLink"/>
                <w:rtl w:val="true"/>
              </w:rPr>
              <w:t>مدّة الاجارة</w:t>
            </w:r>
            <w:r>
              <w:rPr>
                <w:rStyle w:val="IndexLink"/>
                <w:rtl w:val="true"/>
              </w:rPr>
              <w:tab/>
            </w:r>
            <w:r>
              <w:rPr>
                <w:rStyle w:val="IndexLink"/>
              </w:rPr>
              <w:t>142</w:t>
            </w:r>
          </w:hyperlink>
        </w:p>
        <w:p>
          <w:pPr>
            <w:pStyle w:val="Contents5"/>
            <w:tabs>
              <w:tab w:val="clear" w:pos="7892"/>
              <w:tab w:val="right" w:pos="9026" w:leader="dot"/>
            </w:tabs>
            <w:rPr/>
          </w:pPr>
          <w:hyperlink w:anchor="__RefHeading___Toc3818423_581953129">
            <w:r>
              <w:rPr>
                <w:webHidden/>
                <w:rStyle w:val="IndexLink"/>
                <w:rtl w:val="true"/>
              </w:rPr>
              <w:t>ج</w:t>
            </w:r>
            <w:r>
              <w:rPr>
                <w:rStyle w:val="IndexLink"/>
                <w:rtl w:val="true"/>
              </w:rPr>
              <w:t xml:space="preserve">) </w:t>
            </w:r>
            <w:r>
              <w:rPr>
                <w:rStyle w:val="IndexLink"/>
                <w:rtl w:val="true"/>
              </w:rPr>
              <w:t>الإجارة علی الرعی</w:t>
            </w:r>
            <w:r>
              <w:rPr>
                <w:rStyle w:val="IndexLink"/>
                <w:rtl w:val="true"/>
              </w:rPr>
              <w:tab/>
            </w:r>
            <w:r>
              <w:rPr>
                <w:rStyle w:val="IndexLink"/>
              </w:rPr>
              <w:t>143</w:t>
            </w:r>
          </w:hyperlink>
        </w:p>
        <w:p>
          <w:pPr>
            <w:pStyle w:val="Contents5"/>
            <w:tabs>
              <w:tab w:val="clear" w:pos="7892"/>
              <w:tab w:val="right" w:pos="9026" w:leader="dot"/>
            </w:tabs>
            <w:rPr/>
          </w:pPr>
          <w:hyperlink w:anchor="__RefHeading___Toc3818425_581953129">
            <w:r>
              <w:rPr>
                <w:webHidden/>
                <w:rStyle w:val="IndexLink"/>
                <w:rtl w:val="true"/>
              </w:rPr>
              <w:t>د</w:t>
            </w:r>
            <w:r>
              <w:rPr>
                <w:rStyle w:val="IndexLink"/>
                <w:rtl w:val="true"/>
              </w:rPr>
              <w:t xml:space="preserve">) </w:t>
            </w:r>
            <w:r>
              <w:rPr>
                <w:rStyle w:val="IndexLink"/>
                <w:rtl w:val="true"/>
              </w:rPr>
              <w:t>العوض</w:t>
            </w:r>
            <w:r>
              <w:rPr>
                <w:rStyle w:val="IndexLink"/>
                <w:rtl w:val="true"/>
              </w:rPr>
              <w:tab/>
            </w:r>
            <w:r>
              <w:rPr>
                <w:rStyle w:val="IndexLink"/>
              </w:rPr>
              <w:t>144</w:t>
            </w:r>
          </w:hyperlink>
        </w:p>
        <w:p>
          <w:pPr>
            <w:pStyle w:val="Contents5"/>
            <w:tabs>
              <w:tab w:val="clear" w:pos="7892"/>
              <w:tab w:val="right" w:pos="9026" w:leader="dot"/>
            </w:tabs>
            <w:rPr/>
          </w:pPr>
          <w:hyperlink w:anchor="__RefHeading___Toc3818427_581953129">
            <w:r>
              <w:rPr>
                <w:webHidden/>
                <w:rStyle w:val="IndexLink"/>
                <w:rtl w:val="true"/>
              </w:rPr>
              <w:t>ه</w:t>
            </w:r>
            <w:r>
              <w:rPr>
                <w:rStyle w:val="IndexLink"/>
                <w:rtl w:val="true"/>
              </w:rPr>
              <w:t xml:space="preserve">) </w:t>
            </w:r>
            <w:r>
              <w:rPr>
                <w:rStyle w:val="IndexLink"/>
                <w:rtl w:val="true"/>
              </w:rPr>
              <w:t>الشروط‌</w:t>
            </w:r>
            <w:r>
              <w:rPr>
                <w:rStyle w:val="IndexLink"/>
                <w:rtl w:val="true"/>
              </w:rPr>
              <w:tab/>
            </w:r>
            <w:r>
              <w:rPr>
                <w:rStyle w:val="IndexLink"/>
              </w:rPr>
              <w:t>146</w:t>
            </w:r>
          </w:hyperlink>
        </w:p>
        <w:p>
          <w:pPr>
            <w:pStyle w:val="Contents5"/>
            <w:tabs>
              <w:tab w:val="clear" w:pos="7892"/>
              <w:tab w:val="right" w:pos="9026" w:leader="dot"/>
            </w:tabs>
            <w:rPr/>
          </w:pPr>
          <w:hyperlink w:anchor="__RefHeading___Toc3818429_581953129">
            <w:r>
              <w:rPr>
                <w:webHidden/>
                <w:rStyle w:val="IndexLink"/>
                <w:rtl w:val="true"/>
              </w:rPr>
              <w:t>و</w:t>
            </w:r>
            <w:r>
              <w:rPr>
                <w:rStyle w:val="IndexLink"/>
                <w:rtl w:val="true"/>
              </w:rPr>
              <w:t xml:space="preserve">) </w:t>
            </w:r>
            <w:r>
              <w:rPr>
                <w:rStyle w:val="IndexLink"/>
                <w:rtl w:val="true"/>
              </w:rPr>
              <w:t>الآداب</w:t>
            </w:r>
            <w:r>
              <w:rPr>
                <w:rStyle w:val="IndexLink"/>
                <w:rtl w:val="true"/>
              </w:rPr>
              <w:tab/>
            </w:r>
            <w:r>
              <w:rPr>
                <w:rStyle w:val="IndexLink"/>
              </w:rPr>
              <w:t>147</w:t>
            </w:r>
          </w:hyperlink>
        </w:p>
        <w:p>
          <w:pPr>
            <w:pStyle w:val="Contents5"/>
            <w:tabs>
              <w:tab w:val="clear" w:pos="7892"/>
              <w:tab w:val="right" w:pos="9026" w:leader="dot"/>
            </w:tabs>
            <w:rPr/>
          </w:pPr>
          <w:hyperlink w:anchor="__RefHeading___Toc3818431_581953129">
            <w:r>
              <w:rPr>
                <w:webHidden/>
                <w:rStyle w:val="IndexLink"/>
                <w:rtl w:val="true"/>
              </w:rPr>
              <w:t>ح</w:t>
            </w:r>
            <w:r>
              <w:rPr>
                <w:rStyle w:val="IndexLink"/>
                <w:rtl w:val="true"/>
              </w:rPr>
              <w:t xml:space="preserve">) </w:t>
            </w:r>
            <w:r>
              <w:rPr>
                <w:rStyle w:val="IndexLink"/>
                <w:rtl w:val="true"/>
              </w:rPr>
              <w:t>أحکام لا ترتبط بالإجارة</w:t>
            </w:r>
            <w:r>
              <w:rPr>
                <w:rStyle w:val="IndexLink"/>
                <w:rtl w:val="true"/>
              </w:rPr>
              <w:tab/>
            </w:r>
            <w:r>
              <w:rPr>
                <w:rStyle w:val="IndexLink"/>
              </w:rPr>
              <w:t>149</w:t>
            </w:r>
          </w:hyperlink>
        </w:p>
        <w:p>
          <w:pPr>
            <w:pStyle w:val="Contents4"/>
            <w:tabs>
              <w:tab w:val="clear" w:pos="8176"/>
              <w:tab w:val="right" w:pos="9026" w:leader="dot"/>
            </w:tabs>
            <w:rPr/>
          </w:pPr>
          <w:hyperlink w:anchor="__RefHeading___Toc3818433_581953129">
            <w:r>
              <w:rPr>
                <w:webHidden/>
                <w:rStyle w:val="IndexLink"/>
                <w:rtl w:val="true"/>
              </w:rPr>
              <w:t>النموذج الثانی</w:t>
            </w:r>
            <w:r>
              <w:rPr>
                <w:rStyle w:val="IndexLink"/>
                <w:rtl w:val="true"/>
              </w:rPr>
              <w:t xml:space="preserve">: </w:t>
            </w:r>
            <w:r>
              <w:rPr>
                <w:rStyle w:val="IndexLink"/>
                <w:rtl w:val="true"/>
              </w:rPr>
              <w:t xml:space="preserve">النظر إلی الغیر </w:t>
            </w:r>
            <w:r>
              <w:rPr>
                <w:rStyle w:val="IndexLink"/>
                <w:rtl w:val="true"/>
              </w:rPr>
              <w:t>(</w:t>
            </w:r>
            <w:r>
              <w:rPr>
                <w:rStyle w:val="IndexLink"/>
                <w:rtl w:val="true"/>
              </w:rPr>
              <w:t>غضّ البصر</w:t>
            </w:r>
            <w:r>
              <w:rPr>
                <w:rStyle w:val="IndexLink"/>
                <w:rtl w:val="true"/>
              </w:rPr>
              <w:t>)</w:t>
              <w:tab/>
            </w:r>
            <w:r>
              <w:rPr>
                <w:rStyle w:val="IndexLink"/>
              </w:rPr>
              <w:t>149</w:t>
            </w:r>
          </w:hyperlink>
        </w:p>
        <w:p>
          <w:pPr>
            <w:pStyle w:val="Contents5"/>
            <w:tabs>
              <w:tab w:val="clear" w:pos="7892"/>
              <w:tab w:val="right" w:pos="9026" w:leader="dot"/>
            </w:tabs>
            <w:rPr/>
          </w:pPr>
          <w:hyperlink w:anchor="__RefHeading___Toc3818435_581953129">
            <w:r>
              <w:rPr>
                <w:webHidden/>
                <w:rStyle w:val="IndexLink"/>
                <w:rtl w:val="true"/>
              </w:rPr>
              <w:t>اشارة</w:t>
            </w:r>
            <w:r>
              <w:rPr>
                <w:rStyle w:val="IndexLink"/>
                <w:rtl w:val="true"/>
              </w:rPr>
              <w:tab/>
            </w:r>
            <w:r>
              <w:rPr>
                <w:rStyle w:val="IndexLink"/>
              </w:rPr>
              <w:t>149</w:t>
            </w:r>
          </w:hyperlink>
        </w:p>
        <w:p>
          <w:pPr>
            <w:pStyle w:val="Contents5"/>
            <w:tabs>
              <w:tab w:val="clear" w:pos="7892"/>
              <w:tab w:val="right" w:pos="9026" w:leader="dot"/>
            </w:tabs>
            <w:rPr/>
          </w:pPr>
          <w:hyperlink w:anchor="__RefHeading___Toc3818437_581953129">
            <w:r>
              <w:rPr>
                <w:webHidden/>
                <w:rStyle w:val="IndexLink"/>
                <w:rtl w:val="true"/>
              </w:rPr>
              <w:t>أسباب ومناسبات النزول</w:t>
            </w:r>
            <w:r>
              <w:rPr>
                <w:rStyle w:val="IndexLink"/>
                <w:rtl w:val="true"/>
              </w:rPr>
              <w:tab/>
            </w:r>
            <w:r>
              <w:rPr>
                <w:rStyle w:val="IndexLink"/>
              </w:rPr>
              <w:t>151</w:t>
            </w:r>
          </w:hyperlink>
        </w:p>
        <w:p>
          <w:pPr>
            <w:pStyle w:val="Contents6"/>
            <w:tabs>
              <w:tab w:val="clear" w:pos="7609"/>
              <w:tab w:val="right" w:pos="9026" w:leader="dot"/>
            </w:tabs>
            <w:rPr/>
          </w:pPr>
          <w:hyperlink w:anchor="__RefHeading___Toc3818439_581953129">
            <w:r>
              <w:rPr>
                <w:webHidden/>
                <w:rStyle w:val="IndexLink"/>
                <w:rtl w:val="true"/>
              </w:rPr>
              <w:t>اشارة</w:t>
            </w:r>
            <w:r>
              <w:rPr>
                <w:rStyle w:val="IndexLink"/>
                <w:rtl w:val="true"/>
              </w:rPr>
              <w:tab/>
            </w:r>
            <w:r>
              <w:rPr>
                <w:rStyle w:val="IndexLink"/>
              </w:rPr>
              <w:t>151</w:t>
            </w:r>
          </w:hyperlink>
        </w:p>
        <w:p>
          <w:pPr>
            <w:pStyle w:val="Contents6"/>
            <w:tabs>
              <w:tab w:val="clear" w:pos="7609"/>
              <w:tab w:val="right" w:pos="9026" w:leader="dot"/>
            </w:tabs>
            <w:rPr/>
          </w:pPr>
          <w:hyperlink w:anchor="__RefHeading___Toc3818441_581953129">
            <w:r>
              <w:rPr>
                <w:webHidden/>
                <w:rStyle w:val="IndexLink"/>
                <w:rtl w:val="true"/>
              </w:rPr>
              <w:t>المدلول التشریعی</w:t>
            </w:r>
            <w:r>
              <w:rPr>
                <w:rStyle w:val="IndexLink"/>
                <w:rtl w:val="true"/>
              </w:rPr>
              <w:tab/>
            </w:r>
            <w:r>
              <w:rPr>
                <w:rStyle w:val="IndexLink"/>
              </w:rPr>
              <w:t>156</w:t>
            </w:r>
          </w:hyperlink>
        </w:p>
        <w:p>
          <w:pPr>
            <w:pStyle w:val="Contents6"/>
            <w:tabs>
              <w:tab w:val="clear" w:pos="7609"/>
              <w:tab w:val="right" w:pos="9026" w:leader="dot"/>
            </w:tabs>
            <w:rPr/>
          </w:pPr>
          <w:hyperlink w:anchor="__RefHeading___Toc3818443_581953129">
            <w:r>
              <w:rPr>
                <w:webHidden/>
                <w:rStyle w:val="IndexLink"/>
                <w:rtl w:val="true"/>
              </w:rPr>
              <w:t>أوّلاً</w:t>
            </w:r>
            <w:r>
              <w:rPr>
                <w:rStyle w:val="IndexLink"/>
                <w:rtl w:val="true"/>
              </w:rPr>
              <w:t xml:space="preserve">: </w:t>
            </w:r>
            <w:r>
              <w:rPr>
                <w:rStyle w:val="IndexLink"/>
                <w:rtl w:val="true"/>
              </w:rPr>
              <w:t>النظر</w:t>
            </w:r>
            <w:r>
              <w:rPr>
                <w:rStyle w:val="IndexLink"/>
                <w:rtl w:val="true"/>
              </w:rPr>
              <w:tab/>
            </w:r>
            <w:r>
              <w:rPr>
                <w:rStyle w:val="IndexLink"/>
              </w:rPr>
              <w:t>156</w:t>
            </w:r>
          </w:hyperlink>
        </w:p>
        <w:p>
          <w:pPr>
            <w:pStyle w:val="Contents6"/>
            <w:tabs>
              <w:tab w:val="clear" w:pos="7609"/>
              <w:tab w:val="right" w:pos="9026" w:leader="dot"/>
            </w:tabs>
            <w:rPr/>
          </w:pPr>
          <w:hyperlink w:anchor="__RefHeading___Toc3818445_581953129">
            <w:r>
              <w:rPr>
                <w:webHidden/>
                <w:rStyle w:val="IndexLink"/>
                <w:rtl w:val="true"/>
              </w:rPr>
              <w:t>ثانیاً</w:t>
            </w:r>
            <w:r>
              <w:rPr>
                <w:rStyle w:val="IndexLink"/>
                <w:rtl w:val="true"/>
              </w:rPr>
              <w:t xml:space="preserve">: </w:t>
            </w:r>
            <w:r>
              <w:rPr>
                <w:rStyle w:val="IndexLink"/>
                <w:rtl w:val="true"/>
              </w:rPr>
              <w:t>حفظ الفروج</w:t>
            </w:r>
            <w:r>
              <w:rPr>
                <w:rStyle w:val="IndexLink"/>
                <w:rtl w:val="true"/>
              </w:rPr>
              <w:tab/>
            </w:r>
            <w:r>
              <w:rPr>
                <w:rStyle w:val="IndexLink"/>
              </w:rPr>
              <w:t>163</w:t>
            </w:r>
          </w:hyperlink>
        </w:p>
        <w:p>
          <w:pPr>
            <w:pStyle w:val="Contents4"/>
            <w:tabs>
              <w:tab w:val="clear" w:pos="8176"/>
              <w:tab w:val="right" w:pos="9026" w:leader="dot"/>
            </w:tabs>
            <w:rPr/>
          </w:pPr>
          <w:hyperlink w:anchor="__RefHeading___Toc3818447_581953129">
            <w:r>
              <w:rPr>
                <w:webHidden/>
                <w:rStyle w:val="IndexLink"/>
                <w:rtl w:val="true"/>
              </w:rPr>
              <w:t>النموذج الثالث</w:t>
            </w:r>
            <w:r>
              <w:rPr>
                <w:rStyle w:val="IndexLink"/>
                <w:rtl w:val="true"/>
              </w:rPr>
              <w:t xml:space="preserve">: </w:t>
            </w:r>
            <w:r>
              <w:rPr>
                <w:rStyle w:val="IndexLink"/>
                <w:rtl w:val="true"/>
              </w:rPr>
              <w:t>إبداء الزینة والحجاب</w:t>
            </w:r>
            <w:r>
              <w:rPr>
                <w:rStyle w:val="IndexLink"/>
                <w:rtl w:val="true"/>
              </w:rPr>
              <w:tab/>
            </w:r>
            <w:r>
              <w:rPr>
                <w:rStyle w:val="IndexLink"/>
              </w:rPr>
              <w:t>167</w:t>
            </w:r>
          </w:hyperlink>
        </w:p>
        <w:p>
          <w:pPr>
            <w:pStyle w:val="Contents5"/>
            <w:tabs>
              <w:tab w:val="clear" w:pos="7892"/>
              <w:tab w:val="right" w:pos="9026" w:leader="dot"/>
            </w:tabs>
            <w:rPr/>
          </w:pPr>
          <w:hyperlink w:anchor="__RefHeading___Toc3818449_581953129">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3818451_581953129">
            <w:r>
              <w:rPr>
                <w:webHidden/>
                <w:rStyle w:val="IndexLink"/>
                <w:rtl w:val="true"/>
              </w:rPr>
              <w:t>المدلول التشریعی</w:t>
            </w:r>
            <w:r>
              <w:rPr>
                <w:rStyle w:val="IndexLink"/>
                <w:rtl w:val="true"/>
              </w:rPr>
              <w:tab/>
            </w:r>
            <w:r>
              <w:rPr>
                <w:rStyle w:val="IndexLink"/>
              </w:rPr>
              <w:t>174</w:t>
            </w:r>
          </w:hyperlink>
        </w:p>
        <w:p>
          <w:pPr>
            <w:pStyle w:val="Contents6"/>
            <w:tabs>
              <w:tab w:val="clear" w:pos="7609"/>
              <w:tab w:val="right" w:pos="9026" w:leader="dot"/>
            </w:tabs>
            <w:rPr/>
          </w:pPr>
          <w:hyperlink w:anchor="__RefHeading___Toc3818453_581953129">
            <w:r>
              <w:rPr>
                <w:webHidden/>
                <w:rStyle w:val="IndexLink"/>
                <w:rtl w:val="true"/>
              </w:rPr>
              <w:t>أوّلاً</w:t>
            </w:r>
            <w:r>
              <w:rPr>
                <w:rStyle w:val="IndexLink"/>
                <w:rtl w:val="true"/>
              </w:rPr>
              <w:t xml:space="preserve">: </w:t>
            </w:r>
            <w:r>
              <w:rPr>
                <w:rStyle w:val="IndexLink"/>
                <w:rtl w:val="true"/>
              </w:rPr>
              <w:t>حرمة إبداء الزینة للنساء</w:t>
            </w:r>
            <w:r>
              <w:rPr>
                <w:rStyle w:val="IndexLink"/>
                <w:rtl w:val="true"/>
              </w:rPr>
              <w:tab/>
            </w:r>
            <w:r>
              <w:rPr>
                <w:rStyle w:val="IndexLink"/>
              </w:rPr>
              <w:t>174</w:t>
            </w:r>
          </w:hyperlink>
        </w:p>
        <w:p>
          <w:pPr>
            <w:pStyle w:val="Contents6"/>
            <w:tabs>
              <w:tab w:val="clear" w:pos="7609"/>
              <w:tab w:val="right" w:pos="9026" w:leader="dot"/>
            </w:tabs>
            <w:rPr/>
          </w:pPr>
          <w:hyperlink w:anchor="__RefHeading___Toc3818455_581953129">
            <w:r>
              <w:rPr>
                <w:webHidden/>
                <w:rStyle w:val="IndexLink"/>
                <w:rtl w:val="true"/>
              </w:rPr>
              <w:t>ثانیاً</w:t>
            </w:r>
            <w:r>
              <w:rPr>
                <w:rStyle w:val="IndexLink"/>
                <w:rtl w:val="true"/>
              </w:rPr>
              <w:t xml:space="preserve">: </w:t>
            </w:r>
            <w:r>
              <w:rPr>
                <w:rStyle w:val="IndexLink"/>
                <w:rtl w:val="true"/>
              </w:rPr>
              <w:t>وجوب الستر</w:t>
            </w:r>
            <w:r>
              <w:rPr>
                <w:rStyle w:val="IndexLink"/>
                <w:rtl w:val="true"/>
              </w:rPr>
              <w:tab/>
            </w:r>
            <w:r>
              <w:rPr>
                <w:rStyle w:val="IndexLink"/>
              </w:rPr>
              <w:t>204</w:t>
            </w:r>
          </w:hyperlink>
        </w:p>
        <w:p>
          <w:pPr>
            <w:pStyle w:val="Contents6"/>
            <w:tabs>
              <w:tab w:val="clear" w:pos="7609"/>
              <w:tab w:val="right" w:pos="9026" w:leader="dot"/>
            </w:tabs>
            <w:rPr/>
          </w:pPr>
          <w:hyperlink w:anchor="__RefHeading___Toc3818457_581953129">
            <w:r>
              <w:rPr>
                <w:webHidden/>
                <w:rStyle w:val="IndexLink"/>
                <w:rtl w:val="true"/>
              </w:rPr>
              <w:t>ثالثاً</w:t>
            </w:r>
            <w:r>
              <w:rPr>
                <w:rStyle w:val="IndexLink"/>
                <w:rtl w:val="true"/>
              </w:rPr>
              <w:t xml:space="preserve">: </w:t>
            </w:r>
            <w:r>
              <w:rPr>
                <w:rStyle w:val="IndexLink"/>
                <w:rtl w:val="true"/>
              </w:rPr>
              <w:t>حرمة النظر</w:t>
            </w:r>
            <w:r>
              <w:rPr>
                <w:rStyle w:val="IndexLink"/>
                <w:rtl w:val="true"/>
              </w:rPr>
              <w:tab/>
            </w:r>
            <w:r>
              <w:rPr>
                <w:rStyle w:val="IndexLink"/>
              </w:rPr>
              <w:t>206</w:t>
            </w:r>
          </w:hyperlink>
        </w:p>
        <w:p>
          <w:pPr>
            <w:pStyle w:val="Contents6"/>
            <w:tabs>
              <w:tab w:val="clear" w:pos="7609"/>
              <w:tab w:val="right" w:pos="9026" w:leader="dot"/>
            </w:tabs>
            <w:rPr/>
          </w:pPr>
          <w:hyperlink w:anchor="__RefHeading___Toc3818459_581953129">
            <w:r>
              <w:rPr>
                <w:webHidden/>
                <w:rStyle w:val="IndexLink"/>
                <w:rtl w:val="true"/>
              </w:rPr>
              <w:t>رابعاً</w:t>
            </w:r>
            <w:r>
              <w:rPr>
                <w:rStyle w:val="IndexLink"/>
                <w:rtl w:val="true"/>
              </w:rPr>
              <w:t xml:space="preserve">: </w:t>
            </w:r>
            <w:r>
              <w:rPr>
                <w:rStyle w:val="IndexLink"/>
                <w:rtl w:val="true"/>
              </w:rPr>
              <w:t>حرمة الضرب بالأرجل</w:t>
            </w:r>
            <w:r>
              <w:rPr>
                <w:rStyle w:val="IndexLink"/>
                <w:rtl w:val="true"/>
              </w:rPr>
              <w:tab/>
            </w:r>
            <w:r>
              <w:rPr>
                <w:rStyle w:val="IndexLink"/>
              </w:rPr>
              <w:t>207</w:t>
            </w:r>
          </w:hyperlink>
        </w:p>
        <w:p>
          <w:pPr>
            <w:pStyle w:val="Contents6"/>
            <w:tabs>
              <w:tab w:val="clear" w:pos="7609"/>
              <w:tab w:val="right" w:pos="9026" w:leader="dot"/>
            </w:tabs>
            <w:rPr/>
          </w:pPr>
          <w:hyperlink w:anchor="__RefHeading___Toc3818461_581953129">
            <w:r>
              <w:rPr>
                <w:webHidden/>
                <w:rStyle w:val="IndexLink"/>
                <w:rtl w:val="true"/>
              </w:rPr>
              <w:t>خامساً</w:t>
            </w:r>
            <w:r>
              <w:rPr>
                <w:rStyle w:val="IndexLink"/>
                <w:rtl w:val="true"/>
              </w:rPr>
              <w:t xml:space="preserve">: </w:t>
            </w:r>
            <w:r>
              <w:rPr>
                <w:rStyle w:val="IndexLink"/>
                <w:rtl w:val="true"/>
              </w:rPr>
              <w:t>الموقف حالة الشکّ‌</w:t>
            </w:r>
            <w:r>
              <w:rPr>
                <w:rStyle w:val="IndexLink"/>
                <w:rtl w:val="true"/>
              </w:rPr>
              <w:tab/>
            </w:r>
            <w:r>
              <w:rPr>
                <w:rStyle w:val="IndexLink"/>
              </w:rPr>
              <w:t>209</w:t>
            </w:r>
          </w:hyperlink>
        </w:p>
        <w:p>
          <w:pPr>
            <w:pStyle w:val="Contents6"/>
            <w:tabs>
              <w:tab w:val="clear" w:pos="7609"/>
              <w:tab w:val="right" w:pos="9026" w:leader="dot"/>
            </w:tabs>
            <w:rPr/>
          </w:pPr>
          <w:hyperlink w:anchor="__RefHeading___Toc3818463_581953129">
            <w:r>
              <w:rPr>
                <w:webHidden/>
                <w:rStyle w:val="IndexLink"/>
                <w:rtl w:val="true"/>
              </w:rPr>
              <w:t>سادساً</w:t>
            </w:r>
            <w:r>
              <w:rPr>
                <w:rStyle w:val="IndexLink"/>
                <w:rtl w:val="true"/>
              </w:rPr>
              <w:t xml:space="preserve">: </w:t>
            </w:r>
            <w:r>
              <w:rPr>
                <w:rStyle w:val="IndexLink"/>
                <w:rtl w:val="true"/>
              </w:rPr>
              <w:t>الأمر بالتوبة</w:t>
            </w:r>
            <w:r>
              <w:rPr>
                <w:rStyle w:val="IndexLink"/>
                <w:rtl w:val="true"/>
              </w:rPr>
              <w:tab/>
            </w:r>
            <w:r>
              <w:rPr>
                <w:rStyle w:val="IndexLink"/>
              </w:rPr>
              <w:t>210</w:t>
            </w:r>
          </w:hyperlink>
        </w:p>
        <w:p>
          <w:pPr>
            <w:pStyle w:val="Contents2"/>
            <w:tabs>
              <w:tab w:val="clear" w:pos="8743"/>
              <w:tab w:val="right" w:pos="9026" w:leader="dot"/>
            </w:tabs>
            <w:rPr/>
          </w:pPr>
          <w:hyperlink w:anchor="__RefHeading___Toc3818465_581953129">
            <w:r>
              <w:rPr>
                <w:webHidden/>
                <w:rStyle w:val="IndexLink"/>
                <w:rtl w:val="true"/>
              </w:rPr>
              <w:t>الملاحق</w:t>
            </w:r>
            <w:r>
              <w:rPr>
                <w:rStyle w:val="IndexLink"/>
                <w:rtl w:val="true"/>
              </w:rPr>
              <w:tab/>
            </w:r>
            <w:r>
              <w:rPr>
                <w:rStyle w:val="IndexLink"/>
              </w:rPr>
              <w:t>213</w:t>
            </w:r>
          </w:hyperlink>
        </w:p>
        <w:p>
          <w:pPr>
            <w:pStyle w:val="Contents3"/>
            <w:tabs>
              <w:tab w:val="clear" w:pos="8459"/>
              <w:tab w:val="right" w:pos="9026" w:leader="dot"/>
            </w:tabs>
            <w:rPr/>
          </w:pPr>
          <w:hyperlink w:anchor="__RefHeading___Toc3818467_581953129">
            <w:r>
              <w:rPr>
                <w:webHidden/>
                <w:rStyle w:val="IndexLink"/>
                <w:rtl w:val="true"/>
              </w:rPr>
              <w:t>اشارة</w:t>
            </w:r>
            <w:r>
              <w:rPr>
                <w:rStyle w:val="IndexLink"/>
                <w:rtl w:val="true"/>
              </w:rPr>
              <w:tab/>
            </w:r>
            <w:r>
              <w:rPr>
                <w:rStyle w:val="IndexLink"/>
              </w:rPr>
              <w:t>213</w:t>
            </w:r>
          </w:hyperlink>
        </w:p>
        <w:p>
          <w:pPr>
            <w:pStyle w:val="Contents3"/>
            <w:tabs>
              <w:tab w:val="clear" w:pos="8459"/>
              <w:tab w:val="right" w:pos="9026" w:leader="dot"/>
            </w:tabs>
            <w:rPr/>
          </w:pPr>
          <w:hyperlink w:anchor="__RefHeading___Toc3818469_581953129">
            <w:r>
              <w:rPr>
                <w:webHidden/>
                <w:rStyle w:val="IndexLink"/>
                <w:rtl w:val="true"/>
              </w:rPr>
              <w:t xml:space="preserve">ملحق </w:t>
            </w:r>
            <w:r>
              <w:rPr>
                <w:rStyle w:val="IndexLink"/>
              </w:rPr>
              <w:t>1</w:t>
            </w:r>
            <w:r>
              <w:rPr>
                <w:rStyle w:val="IndexLink"/>
                <w:rtl w:val="true"/>
              </w:rPr>
              <w:t>:</w:t>
            </w:r>
            <w:r>
              <w:rPr>
                <w:rStyle w:val="IndexLink"/>
                <w:rtl w:val="true"/>
              </w:rPr>
              <w:t>ببلوغرافیا الکتب المؤلّفة فی آیات الأحکام بحسب القرون</w:t>
            </w:r>
            <w:r>
              <w:rPr>
                <w:rStyle w:val="IndexLink"/>
                <w:rtl w:val="true"/>
              </w:rPr>
              <w:tab/>
            </w:r>
            <w:r>
              <w:rPr>
                <w:rStyle w:val="IndexLink"/>
              </w:rPr>
              <w:t>214</w:t>
            </w:r>
          </w:hyperlink>
        </w:p>
        <w:p>
          <w:pPr>
            <w:pStyle w:val="Contents4"/>
            <w:tabs>
              <w:tab w:val="clear" w:pos="8176"/>
              <w:tab w:val="right" w:pos="9026" w:leader="dot"/>
            </w:tabs>
            <w:rPr/>
          </w:pPr>
          <w:hyperlink w:anchor="__RefHeading___Toc3818471_581953129">
            <w:r>
              <w:rPr>
                <w:webHidden/>
                <w:rStyle w:val="IndexLink"/>
                <w:rtl w:val="true"/>
              </w:rPr>
              <w:t>القرن الأوّل</w:t>
            </w:r>
            <w:r>
              <w:rPr>
                <w:rStyle w:val="IndexLink"/>
                <w:rtl w:val="true"/>
              </w:rPr>
              <w:tab/>
            </w:r>
            <w:r>
              <w:rPr>
                <w:rStyle w:val="IndexLink"/>
              </w:rPr>
              <w:t>214</w:t>
            </w:r>
          </w:hyperlink>
        </w:p>
        <w:p>
          <w:pPr>
            <w:pStyle w:val="Contents4"/>
            <w:tabs>
              <w:tab w:val="clear" w:pos="8176"/>
              <w:tab w:val="right" w:pos="9026" w:leader="dot"/>
            </w:tabs>
            <w:rPr/>
          </w:pPr>
          <w:hyperlink w:anchor="__RefHeading___Toc3818473_581953129">
            <w:r>
              <w:rPr>
                <w:webHidden/>
                <w:rStyle w:val="IndexLink"/>
                <w:rtl w:val="true"/>
              </w:rPr>
              <w:t>القرن الثانی</w:t>
            </w:r>
            <w:r>
              <w:rPr>
                <w:rStyle w:val="IndexLink"/>
                <w:rtl w:val="true"/>
              </w:rPr>
              <w:tab/>
            </w:r>
            <w:r>
              <w:rPr>
                <w:rStyle w:val="IndexLink"/>
              </w:rPr>
              <w:t>214</w:t>
            </w:r>
          </w:hyperlink>
        </w:p>
        <w:p>
          <w:pPr>
            <w:pStyle w:val="Contents4"/>
            <w:tabs>
              <w:tab w:val="clear" w:pos="8176"/>
              <w:tab w:val="right" w:pos="9026" w:leader="dot"/>
            </w:tabs>
            <w:rPr/>
          </w:pPr>
          <w:hyperlink w:anchor="__RefHeading___Toc3818475_581953129">
            <w:r>
              <w:rPr>
                <w:webHidden/>
                <w:rStyle w:val="IndexLink"/>
                <w:rtl w:val="true"/>
              </w:rPr>
              <w:t>القرن الثالث</w:t>
            </w:r>
            <w:r>
              <w:rPr>
                <w:rStyle w:val="IndexLink"/>
                <w:rtl w:val="true"/>
              </w:rPr>
              <w:tab/>
            </w:r>
            <w:r>
              <w:rPr>
                <w:rStyle w:val="IndexLink"/>
              </w:rPr>
              <w:t>215</w:t>
            </w:r>
          </w:hyperlink>
        </w:p>
        <w:p>
          <w:pPr>
            <w:pStyle w:val="Contents4"/>
            <w:tabs>
              <w:tab w:val="clear" w:pos="8176"/>
              <w:tab w:val="right" w:pos="9026" w:leader="dot"/>
            </w:tabs>
            <w:rPr/>
          </w:pPr>
          <w:hyperlink w:anchor="__RefHeading___Toc3818477_581953129">
            <w:r>
              <w:rPr>
                <w:webHidden/>
                <w:rStyle w:val="IndexLink"/>
                <w:rtl w:val="true"/>
              </w:rPr>
              <w:t>القرن الرابع</w:t>
            </w:r>
            <w:r>
              <w:rPr>
                <w:rStyle w:val="IndexLink"/>
                <w:rtl w:val="true"/>
              </w:rPr>
              <w:tab/>
            </w:r>
            <w:r>
              <w:rPr>
                <w:rStyle w:val="IndexLink"/>
              </w:rPr>
              <w:t>216</w:t>
            </w:r>
          </w:hyperlink>
        </w:p>
        <w:p>
          <w:pPr>
            <w:pStyle w:val="Contents4"/>
            <w:tabs>
              <w:tab w:val="clear" w:pos="8176"/>
              <w:tab w:val="right" w:pos="9026" w:leader="dot"/>
            </w:tabs>
            <w:rPr/>
          </w:pPr>
          <w:hyperlink w:anchor="__RefHeading___Toc3818479_581953129">
            <w:r>
              <w:rPr>
                <w:webHidden/>
                <w:rStyle w:val="IndexLink"/>
                <w:rtl w:val="true"/>
              </w:rPr>
              <w:t>القرن الخامس</w:t>
            </w:r>
            <w:r>
              <w:rPr>
                <w:rStyle w:val="IndexLink"/>
                <w:rtl w:val="true"/>
              </w:rPr>
              <w:tab/>
            </w:r>
            <w:r>
              <w:rPr>
                <w:rStyle w:val="IndexLink"/>
              </w:rPr>
              <w:t>217</w:t>
            </w:r>
          </w:hyperlink>
        </w:p>
        <w:p>
          <w:pPr>
            <w:pStyle w:val="Contents4"/>
            <w:tabs>
              <w:tab w:val="clear" w:pos="8176"/>
              <w:tab w:val="right" w:pos="9026" w:leader="dot"/>
            </w:tabs>
            <w:rPr/>
          </w:pPr>
          <w:hyperlink w:anchor="__RefHeading___Toc3818481_581953129">
            <w:r>
              <w:rPr>
                <w:webHidden/>
                <w:rStyle w:val="IndexLink"/>
                <w:rtl w:val="true"/>
              </w:rPr>
              <w:t>القرن السادس</w:t>
            </w:r>
            <w:r>
              <w:rPr>
                <w:rStyle w:val="IndexLink"/>
                <w:rtl w:val="true"/>
              </w:rPr>
              <w:tab/>
            </w:r>
            <w:r>
              <w:rPr>
                <w:rStyle w:val="IndexLink"/>
              </w:rPr>
              <w:t>218</w:t>
            </w:r>
          </w:hyperlink>
        </w:p>
        <w:p>
          <w:pPr>
            <w:pStyle w:val="Contents4"/>
            <w:tabs>
              <w:tab w:val="clear" w:pos="8176"/>
              <w:tab w:val="right" w:pos="9026" w:leader="dot"/>
            </w:tabs>
            <w:rPr/>
          </w:pPr>
          <w:hyperlink w:anchor="__RefHeading___Toc3818483_581953129">
            <w:r>
              <w:rPr>
                <w:webHidden/>
                <w:rStyle w:val="IndexLink"/>
                <w:rtl w:val="true"/>
              </w:rPr>
              <w:t>القرن السابع</w:t>
            </w:r>
            <w:r>
              <w:rPr>
                <w:rStyle w:val="IndexLink"/>
                <w:rtl w:val="true"/>
              </w:rPr>
              <w:tab/>
            </w:r>
            <w:r>
              <w:rPr>
                <w:rStyle w:val="IndexLink"/>
              </w:rPr>
              <w:t>218</w:t>
            </w:r>
          </w:hyperlink>
        </w:p>
        <w:p>
          <w:pPr>
            <w:pStyle w:val="Contents4"/>
            <w:tabs>
              <w:tab w:val="clear" w:pos="8176"/>
              <w:tab w:val="right" w:pos="9026" w:leader="dot"/>
            </w:tabs>
            <w:rPr/>
          </w:pPr>
          <w:hyperlink w:anchor="__RefHeading___Toc3818485_581953129">
            <w:r>
              <w:rPr>
                <w:webHidden/>
                <w:rStyle w:val="IndexLink"/>
                <w:rtl w:val="true"/>
              </w:rPr>
              <w:t>القرن الثامن</w:t>
            </w:r>
            <w:r>
              <w:rPr>
                <w:rStyle w:val="IndexLink"/>
                <w:rtl w:val="true"/>
              </w:rPr>
              <w:tab/>
            </w:r>
            <w:r>
              <w:rPr>
                <w:rStyle w:val="IndexLink"/>
              </w:rPr>
              <w:t>219</w:t>
            </w:r>
          </w:hyperlink>
        </w:p>
        <w:p>
          <w:pPr>
            <w:pStyle w:val="Contents4"/>
            <w:tabs>
              <w:tab w:val="clear" w:pos="8176"/>
              <w:tab w:val="right" w:pos="9026" w:leader="dot"/>
            </w:tabs>
            <w:rPr/>
          </w:pPr>
          <w:hyperlink w:anchor="__RefHeading___Toc3818487_581953129">
            <w:r>
              <w:rPr>
                <w:webHidden/>
                <w:rStyle w:val="IndexLink"/>
                <w:rtl w:val="true"/>
              </w:rPr>
              <w:t>القرن التاسع</w:t>
            </w:r>
            <w:r>
              <w:rPr>
                <w:rStyle w:val="IndexLink"/>
                <w:rtl w:val="true"/>
              </w:rPr>
              <w:tab/>
            </w:r>
            <w:r>
              <w:rPr>
                <w:rStyle w:val="IndexLink"/>
              </w:rPr>
              <w:t>220</w:t>
            </w:r>
          </w:hyperlink>
        </w:p>
        <w:p>
          <w:pPr>
            <w:pStyle w:val="Contents4"/>
            <w:tabs>
              <w:tab w:val="clear" w:pos="8176"/>
              <w:tab w:val="right" w:pos="9026" w:leader="dot"/>
            </w:tabs>
            <w:rPr/>
          </w:pPr>
          <w:hyperlink w:anchor="__RefHeading___Toc3818489_581953129">
            <w:r>
              <w:rPr>
                <w:webHidden/>
                <w:rStyle w:val="IndexLink"/>
                <w:rtl w:val="true"/>
              </w:rPr>
              <w:t>القرن العاشر</w:t>
            </w:r>
            <w:r>
              <w:rPr>
                <w:rStyle w:val="IndexLink"/>
                <w:rtl w:val="true"/>
              </w:rPr>
              <w:tab/>
            </w:r>
            <w:r>
              <w:rPr>
                <w:rStyle w:val="IndexLink"/>
              </w:rPr>
              <w:t>221</w:t>
            </w:r>
          </w:hyperlink>
        </w:p>
        <w:p>
          <w:pPr>
            <w:pStyle w:val="Contents4"/>
            <w:tabs>
              <w:tab w:val="clear" w:pos="8176"/>
              <w:tab w:val="right" w:pos="9026" w:leader="dot"/>
            </w:tabs>
            <w:rPr/>
          </w:pPr>
          <w:hyperlink w:anchor="__RefHeading___Toc3818491_581953129">
            <w:r>
              <w:rPr>
                <w:webHidden/>
                <w:rStyle w:val="IndexLink"/>
                <w:rtl w:val="true"/>
              </w:rPr>
              <w:t>القرن الحادی عشر</w:t>
            </w:r>
            <w:r>
              <w:rPr>
                <w:rStyle w:val="IndexLink"/>
                <w:rtl w:val="true"/>
              </w:rPr>
              <w:tab/>
            </w:r>
            <w:r>
              <w:rPr>
                <w:rStyle w:val="IndexLink"/>
              </w:rPr>
              <w:t>221</w:t>
            </w:r>
          </w:hyperlink>
        </w:p>
        <w:p>
          <w:pPr>
            <w:pStyle w:val="Contents4"/>
            <w:tabs>
              <w:tab w:val="clear" w:pos="8176"/>
              <w:tab w:val="right" w:pos="9026" w:leader="dot"/>
            </w:tabs>
            <w:rPr/>
          </w:pPr>
          <w:hyperlink w:anchor="__RefHeading___Toc3818493_581953129">
            <w:r>
              <w:rPr>
                <w:webHidden/>
                <w:rStyle w:val="IndexLink"/>
                <w:rtl w:val="true"/>
              </w:rPr>
              <w:t>القرن الثانی عشر</w:t>
            </w:r>
            <w:r>
              <w:rPr>
                <w:rStyle w:val="IndexLink"/>
                <w:rtl w:val="true"/>
              </w:rPr>
              <w:tab/>
            </w:r>
            <w:r>
              <w:rPr>
                <w:rStyle w:val="IndexLink"/>
              </w:rPr>
              <w:t>222</w:t>
            </w:r>
          </w:hyperlink>
        </w:p>
        <w:p>
          <w:pPr>
            <w:pStyle w:val="Contents4"/>
            <w:tabs>
              <w:tab w:val="clear" w:pos="8176"/>
              <w:tab w:val="right" w:pos="9026" w:leader="dot"/>
            </w:tabs>
            <w:rPr/>
          </w:pPr>
          <w:hyperlink w:anchor="__RefHeading___Toc3818495_581953129">
            <w:r>
              <w:rPr>
                <w:webHidden/>
                <w:rStyle w:val="IndexLink"/>
                <w:rtl w:val="true"/>
              </w:rPr>
              <w:t>القرن الثالث عشر</w:t>
            </w:r>
            <w:r>
              <w:rPr>
                <w:rStyle w:val="IndexLink"/>
                <w:rtl w:val="true"/>
              </w:rPr>
              <w:tab/>
            </w:r>
            <w:r>
              <w:rPr>
                <w:rStyle w:val="IndexLink"/>
              </w:rPr>
              <w:t>224</w:t>
            </w:r>
          </w:hyperlink>
        </w:p>
        <w:p>
          <w:pPr>
            <w:pStyle w:val="Contents4"/>
            <w:tabs>
              <w:tab w:val="clear" w:pos="8176"/>
              <w:tab w:val="right" w:pos="9026" w:leader="dot"/>
            </w:tabs>
            <w:rPr/>
          </w:pPr>
          <w:hyperlink w:anchor="__RefHeading___Toc3818497_581953129">
            <w:r>
              <w:rPr>
                <w:webHidden/>
                <w:rStyle w:val="IndexLink"/>
                <w:rtl w:val="true"/>
              </w:rPr>
              <w:t>القرن الرابع عشر وما بعده</w:t>
            </w:r>
            <w:r>
              <w:rPr>
                <w:rStyle w:val="IndexLink"/>
                <w:rtl w:val="true"/>
              </w:rPr>
              <w:tab/>
            </w:r>
            <w:r>
              <w:rPr>
                <w:rStyle w:val="IndexLink"/>
              </w:rPr>
              <w:t>225</w:t>
            </w:r>
          </w:hyperlink>
        </w:p>
        <w:p>
          <w:pPr>
            <w:pStyle w:val="Contents3"/>
            <w:tabs>
              <w:tab w:val="clear" w:pos="8459"/>
              <w:tab w:val="right" w:pos="9026" w:leader="dot"/>
            </w:tabs>
            <w:rPr/>
          </w:pPr>
          <w:hyperlink w:anchor="__RefHeading___Toc3818499_581953129">
            <w:r>
              <w:rPr>
                <w:webHidden/>
                <w:rStyle w:val="IndexLink"/>
                <w:rtl w:val="true"/>
              </w:rPr>
              <w:t xml:space="preserve">ملحق </w:t>
            </w:r>
            <w:r>
              <w:rPr>
                <w:rStyle w:val="IndexLink"/>
              </w:rPr>
              <w:t>2</w:t>
            </w:r>
            <w:r>
              <w:rPr>
                <w:rStyle w:val="IndexLink"/>
                <w:rtl w:val="true"/>
              </w:rPr>
              <w:t>:</w:t>
            </w:r>
            <w:r>
              <w:rPr>
                <w:rStyle w:val="IndexLink"/>
                <w:rtl w:val="true"/>
              </w:rPr>
              <w:t>نماذج من أهمّ التفاسیر ذات الاتجاه الفقهی</w:t>
            </w:r>
            <w:r>
              <w:rPr>
                <w:rStyle w:val="IndexLink"/>
                <w:rtl w:val="true"/>
              </w:rPr>
              <w:tab/>
            </w:r>
            <w:r>
              <w:rPr>
                <w:rStyle w:val="IndexLink"/>
              </w:rPr>
              <w:t>230</w:t>
            </w:r>
          </w:hyperlink>
        </w:p>
        <w:p>
          <w:pPr>
            <w:pStyle w:val="Contents3"/>
            <w:tabs>
              <w:tab w:val="clear" w:pos="8459"/>
              <w:tab w:val="right" w:pos="9026" w:leader="dot"/>
            </w:tabs>
            <w:rPr/>
          </w:pPr>
          <w:hyperlink w:anchor="__RefHeading___Toc3818501_581953129">
            <w:r>
              <w:rPr>
                <w:webHidden/>
                <w:rStyle w:val="IndexLink"/>
                <w:rtl w:val="true"/>
              </w:rPr>
              <w:t xml:space="preserve">ملحق </w:t>
            </w:r>
            <w:r>
              <w:rPr>
                <w:rStyle w:val="IndexLink"/>
              </w:rPr>
              <w:t>3</w:t>
            </w:r>
            <w:r>
              <w:rPr>
                <w:rStyle w:val="IndexLink"/>
                <w:rtl w:val="true"/>
              </w:rPr>
              <w:t>:</w:t>
            </w:r>
            <w:r>
              <w:rPr>
                <w:rStyle w:val="IndexLink"/>
                <w:rtl w:val="true"/>
              </w:rPr>
              <w:t>فهرس بروایات کتاب وسائل الشیعة المتضمّنة لآیات الأحکام</w:t>
            </w:r>
            <w:r>
              <w:rPr>
                <w:rStyle w:val="IndexLink"/>
                <w:rtl w:val="true"/>
              </w:rPr>
              <w:tab/>
            </w:r>
            <w:r>
              <w:rPr>
                <w:rStyle w:val="IndexLink"/>
              </w:rPr>
              <w:t>231</w:t>
            </w:r>
          </w:hyperlink>
        </w:p>
        <w:p>
          <w:pPr>
            <w:pStyle w:val="Contents4"/>
            <w:tabs>
              <w:tab w:val="clear" w:pos="8176"/>
              <w:tab w:val="right" w:pos="9026" w:leader="dot"/>
            </w:tabs>
            <w:rPr/>
          </w:pPr>
          <w:hyperlink w:anchor="__RefHeading___Toc3818503_581953129">
            <w:r>
              <w:rPr>
                <w:webHidden/>
                <w:rStyle w:val="IndexLink"/>
                <w:rtl w:val="true"/>
              </w:rPr>
              <w:t>مرتّب بحسب ترتیب مجلّدات الکتاب</w:t>
            </w:r>
            <w:r>
              <w:rPr>
                <w:rStyle w:val="IndexLink"/>
                <w:rtl w:val="true"/>
              </w:rPr>
              <w:tab/>
            </w:r>
            <w:r>
              <w:rPr>
                <w:rStyle w:val="IndexLink"/>
              </w:rPr>
              <w:t>231</w:t>
            </w:r>
          </w:hyperlink>
        </w:p>
        <w:p>
          <w:pPr>
            <w:pStyle w:val="Contents3"/>
            <w:tabs>
              <w:tab w:val="clear" w:pos="8459"/>
              <w:tab w:val="right" w:pos="9026" w:leader="dot"/>
            </w:tabs>
            <w:rPr/>
          </w:pPr>
          <w:hyperlink w:anchor="__RefHeading___Toc3818505_581953129">
            <w:r>
              <w:rPr>
                <w:webHidden/>
                <w:rStyle w:val="IndexLink"/>
                <w:rtl w:val="true"/>
              </w:rPr>
              <w:t xml:space="preserve">ملحق </w:t>
            </w:r>
            <w:r>
              <w:rPr>
                <w:rStyle w:val="IndexLink"/>
              </w:rPr>
              <w:t>4</w:t>
            </w:r>
            <w:r>
              <w:rPr>
                <w:rStyle w:val="IndexLink"/>
                <w:rtl w:val="true"/>
              </w:rPr>
              <w:t>:</w:t>
            </w:r>
            <w:r>
              <w:rPr>
                <w:rStyle w:val="IndexLink"/>
                <w:rtl w:val="true"/>
              </w:rPr>
              <w:t>فهرس بالآیات التی یمکن الإفادة منها فی استنباط الأحکام مرتّب بحسب ترتیب سور القرآن</w:t>
            </w:r>
            <w:r>
              <w:rPr>
                <w:rStyle w:val="IndexLink"/>
                <w:rtl w:val="true"/>
              </w:rPr>
              <w:tab/>
            </w:r>
            <w:r>
              <w:rPr>
                <w:rStyle w:val="IndexLink"/>
              </w:rPr>
              <w:t>300</w:t>
            </w:r>
          </w:hyperlink>
        </w:p>
        <w:p>
          <w:pPr>
            <w:pStyle w:val="Contents3"/>
            <w:tabs>
              <w:tab w:val="clear" w:pos="8459"/>
              <w:tab w:val="right" w:pos="9026" w:leader="dot"/>
            </w:tabs>
            <w:rPr/>
          </w:pPr>
          <w:hyperlink w:anchor="__RefHeading___Toc3818507_581953129">
            <w:r>
              <w:rPr>
                <w:webHidden/>
                <w:rStyle w:val="IndexLink"/>
                <w:rtl w:val="true"/>
              </w:rPr>
              <w:t xml:space="preserve">ملحق </w:t>
            </w:r>
            <w:r>
              <w:rPr>
                <w:rStyle w:val="IndexLink"/>
              </w:rPr>
              <w:t>5</w:t>
            </w:r>
            <w:r>
              <w:rPr>
                <w:rStyle w:val="IndexLink"/>
                <w:rtl w:val="true"/>
              </w:rPr>
              <w:t>:</w:t>
            </w:r>
            <w:r>
              <w:rPr>
                <w:rStyle w:val="IndexLink"/>
                <w:rtl w:val="true"/>
              </w:rPr>
              <w:t>أبحاث تکمیلیة للتحقیق ولمزید الاطّلاع</w:t>
            </w:r>
            <w:r>
              <w:rPr>
                <w:rStyle w:val="IndexLink"/>
                <w:rtl w:val="true"/>
              </w:rPr>
              <w:tab/>
            </w:r>
            <w:r>
              <w:rPr>
                <w:rStyle w:val="IndexLink"/>
              </w:rPr>
              <w:t>309</w:t>
            </w:r>
          </w:hyperlink>
        </w:p>
        <w:p>
          <w:pPr>
            <w:pStyle w:val="Contents4"/>
            <w:tabs>
              <w:tab w:val="clear" w:pos="8176"/>
              <w:tab w:val="right" w:pos="9026" w:leader="dot"/>
            </w:tabs>
            <w:rPr/>
          </w:pPr>
          <w:hyperlink w:anchor="__RefHeading___Toc3818509_581953129">
            <w:r>
              <w:rPr>
                <w:webHidden/>
                <w:rStyle w:val="IndexLink"/>
                <w:rtl w:val="true"/>
              </w:rPr>
              <w:t>النصّ الأوّل</w:t>
            </w:r>
            <w:r>
              <w:rPr>
                <w:rStyle w:val="IndexLink"/>
                <w:rtl w:val="true"/>
              </w:rPr>
              <w:tab/>
            </w:r>
            <w:r>
              <w:rPr>
                <w:rStyle w:val="IndexLink"/>
              </w:rPr>
              <w:t>309</w:t>
            </w:r>
          </w:hyperlink>
        </w:p>
        <w:p>
          <w:pPr>
            <w:pStyle w:val="Contents4"/>
            <w:tabs>
              <w:tab w:val="clear" w:pos="8176"/>
              <w:tab w:val="right" w:pos="9026" w:leader="dot"/>
            </w:tabs>
            <w:rPr/>
          </w:pPr>
          <w:hyperlink w:anchor="__RefHeading___Toc3818511_581953129">
            <w:r>
              <w:rPr>
                <w:webHidden/>
                <w:rStyle w:val="IndexLink"/>
                <w:rtl w:val="true"/>
              </w:rPr>
              <w:t>النصّ الثانی</w:t>
            </w:r>
            <w:r>
              <w:rPr>
                <w:rStyle w:val="IndexLink"/>
                <w:rtl w:val="true"/>
              </w:rPr>
              <w:tab/>
            </w:r>
            <w:r>
              <w:rPr>
                <w:rStyle w:val="IndexLink"/>
              </w:rPr>
              <w:t>312</w:t>
            </w:r>
          </w:hyperlink>
        </w:p>
        <w:p>
          <w:pPr>
            <w:pStyle w:val="Contents4"/>
            <w:tabs>
              <w:tab w:val="clear" w:pos="8176"/>
              <w:tab w:val="right" w:pos="9026" w:leader="dot"/>
            </w:tabs>
            <w:rPr/>
          </w:pPr>
          <w:hyperlink w:anchor="__RefHeading___Toc3818513_581953129">
            <w:r>
              <w:rPr>
                <w:webHidden/>
                <w:rStyle w:val="IndexLink"/>
                <w:rtl w:val="true"/>
              </w:rPr>
              <w:t>النصّ الثالث</w:t>
            </w:r>
            <w:r>
              <w:rPr>
                <w:rStyle w:val="IndexLink"/>
                <w:rtl w:val="true"/>
              </w:rPr>
              <w:tab/>
            </w:r>
            <w:r>
              <w:rPr>
                <w:rStyle w:val="IndexLink"/>
              </w:rPr>
              <w:t>315</w:t>
            </w:r>
          </w:hyperlink>
        </w:p>
        <w:p>
          <w:pPr>
            <w:pStyle w:val="Contents4"/>
            <w:tabs>
              <w:tab w:val="clear" w:pos="8176"/>
              <w:tab w:val="right" w:pos="9026" w:leader="dot"/>
            </w:tabs>
            <w:rPr/>
          </w:pPr>
          <w:hyperlink w:anchor="__RefHeading___Toc3818515_581953129">
            <w:r>
              <w:rPr>
                <w:webHidden/>
                <w:rStyle w:val="IndexLink"/>
                <w:rtl w:val="true"/>
              </w:rPr>
              <w:t>النصّ الرابع</w:t>
            </w:r>
            <w:r>
              <w:rPr>
                <w:rStyle w:val="IndexLink"/>
                <w:rtl w:val="true"/>
              </w:rPr>
              <w:tab/>
            </w:r>
            <w:r>
              <w:rPr>
                <w:rStyle w:val="IndexLink"/>
              </w:rPr>
              <w:t>316</w:t>
            </w:r>
          </w:hyperlink>
        </w:p>
        <w:p>
          <w:pPr>
            <w:pStyle w:val="Contents4"/>
            <w:tabs>
              <w:tab w:val="clear" w:pos="8176"/>
              <w:tab w:val="right" w:pos="9026" w:leader="dot"/>
            </w:tabs>
            <w:rPr/>
          </w:pPr>
          <w:hyperlink w:anchor="__RefHeading___Toc3818517_581953129">
            <w:r>
              <w:rPr>
                <w:webHidden/>
                <w:rStyle w:val="IndexLink"/>
                <w:rtl w:val="true"/>
              </w:rPr>
              <w:t>النصّ الخامس</w:t>
            </w:r>
            <w:r>
              <w:rPr>
                <w:rStyle w:val="IndexLink"/>
                <w:rtl w:val="true"/>
              </w:rPr>
              <w:tab/>
            </w:r>
            <w:r>
              <w:rPr>
                <w:rStyle w:val="IndexLink"/>
              </w:rPr>
              <w:t>316</w:t>
            </w:r>
          </w:hyperlink>
        </w:p>
        <w:p>
          <w:pPr>
            <w:pStyle w:val="Contents4"/>
            <w:tabs>
              <w:tab w:val="clear" w:pos="8176"/>
              <w:tab w:val="right" w:pos="9026" w:leader="dot"/>
            </w:tabs>
            <w:rPr/>
          </w:pPr>
          <w:hyperlink w:anchor="__RefHeading___Toc3818519_581953129">
            <w:r>
              <w:rPr>
                <w:webHidden/>
                <w:rStyle w:val="IndexLink"/>
                <w:rtl w:val="true"/>
              </w:rPr>
              <w:t>النصّ السادس</w:t>
            </w:r>
            <w:r>
              <w:rPr>
                <w:rStyle w:val="IndexLink"/>
                <w:rtl w:val="true"/>
              </w:rPr>
              <w:tab/>
            </w:r>
            <w:r>
              <w:rPr>
                <w:rStyle w:val="IndexLink"/>
              </w:rPr>
              <w:t>317</w:t>
            </w:r>
          </w:hyperlink>
        </w:p>
        <w:p>
          <w:pPr>
            <w:pStyle w:val="Contents4"/>
            <w:tabs>
              <w:tab w:val="clear" w:pos="8176"/>
              <w:tab w:val="right" w:pos="9026" w:leader="dot"/>
            </w:tabs>
            <w:rPr/>
          </w:pPr>
          <w:hyperlink w:anchor="__RefHeading___Toc3818521_581953129">
            <w:r>
              <w:rPr>
                <w:webHidden/>
                <w:rStyle w:val="IndexLink"/>
                <w:rtl w:val="true"/>
              </w:rPr>
              <w:t>النصّ السابع</w:t>
            </w:r>
            <w:r>
              <w:rPr>
                <w:rStyle w:val="IndexLink"/>
                <w:rtl w:val="true"/>
              </w:rPr>
              <w:tab/>
            </w:r>
            <w:r>
              <w:rPr>
                <w:rStyle w:val="IndexLink"/>
              </w:rPr>
              <w:t>317</w:t>
            </w:r>
          </w:hyperlink>
        </w:p>
        <w:p>
          <w:pPr>
            <w:pStyle w:val="Contents2"/>
            <w:tabs>
              <w:tab w:val="clear" w:pos="8743"/>
              <w:tab w:val="right" w:pos="9026" w:leader="dot"/>
            </w:tabs>
            <w:rPr/>
          </w:pPr>
          <w:hyperlink w:anchor="__RefHeading___Toc3818523_581953129">
            <w:r>
              <w:rPr>
                <w:webHidden/>
                <w:rStyle w:val="IndexLink"/>
                <w:rtl w:val="true"/>
              </w:rPr>
              <w:t>المصادر</w:t>
            </w:r>
            <w:r>
              <w:rPr>
                <w:rStyle w:val="IndexLink"/>
                <w:rtl w:val="true"/>
              </w:rPr>
              <w:tab/>
            </w:r>
            <w:r>
              <w:rPr>
                <w:rStyle w:val="IndexLink"/>
              </w:rPr>
              <w:t>318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07_46370"/>
      <w:bookmarkStart w:id="1" w:name="pg5707_46370"/>
      <w:bookmarkEnd w:id="1"/>
    </w:p>
    <w:p>
      <w:pPr>
        <w:pStyle w:val="Heading2"/>
        <w:numPr>
          <w:ilvl w:val="1"/>
          <w:numId w:val="1"/>
        </w:numPr>
        <w:rPr/>
      </w:pPr>
      <w:bookmarkStart w:id="2" w:name="pg5707_46370"/>
      <w:bookmarkStart w:id="3" w:name="__RefHeading___Toc3818197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غفوری، خالد</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مدخل عام لدارسة فقه‌القرآن‌المقارن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غفوری‌الحسنی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العالمی للترجمه والنشر،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مرکزالمصطفی صلی‌الله علیه و آله‌العالمی للدراسات والتحقیق؛ </w:t>
      </w:r>
      <w:r>
        <w:rPr>
          <w:rFonts w:ascii="IRNazanin" w:hAnsi="IRNazanin" w:eastAsia="IRNazanin"/>
          <w:color w:val="111111"/>
          <w:sz w:val="28"/>
          <w:sz w:val="28"/>
          <w:szCs w:val="28"/>
          <w:lang w:bidi="fa-IR"/>
        </w:rPr>
        <w:t>۷۳۷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818</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قوانین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تطبیقی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۹۹</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۳۴۷۱۷۹۳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18199_581953129"/>
      <w:bookmarkStart w:id="6" w:name="_Toc2"/>
      <w:bookmarkEnd w:id="5"/>
      <w:r>
        <w:rPr>
          <w:rtl w:val="true"/>
        </w:rPr>
        <w:t>اشارة</w:t>
      </w:r>
      <w:bookmarkStart w:id="7" w:name="pg5707_46374"/>
      <w:bookmarkEnd w:id="6"/>
    </w:p>
    <w:p>
      <w:pPr>
        <w:pStyle w:val="Heading2"/>
        <w:numPr>
          <w:ilvl w:val="1"/>
          <w:numId w:val="1"/>
        </w:numPr>
        <w:rPr/>
      </w:pPr>
      <w:bookmarkStart w:id="8" w:name="__RefHeading___Toc3818201_581953129"/>
      <w:bookmarkStart w:id="9" w:name="_Toc3"/>
      <w:bookmarkEnd w:id="7"/>
      <w:bookmarkEnd w:id="8"/>
      <w:r>
        <w:rPr>
          <w:rtl w:val="true"/>
        </w:rPr>
        <w:t>کلمة الناشر</w:t>
      </w:r>
      <w:bookmarkEnd w:id="9"/>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والصلاة والسلام علی سیدنا ونبینا محمد وعلی آله الطیبین الطاهرین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w:t>
      </w:r>
    </w:p>
    <w:p>
      <w:pPr>
        <w:pStyle w:val="BookText"/>
        <w:rPr/>
      </w:pPr>
      <w:r>
        <w:rPr>
          <w:rFonts w:ascii="IRNazanin" w:hAnsi="IRNazanin" w:eastAsia="IRNazanin"/>
          <w:color w:val="111111"/>
          <w:sz w:val="28"/>
          <w:sz w:val="28"/>
          <w:szCs w:val="28"/>
          <w:rtl w:val="true"/>
          <w:lang w:bidi="fa-IR"/>
        </w:rPr>
        <w:t>إنّ التطوّر المعرفی الذی یشهده عالمنا الیوم فی مختلف المجالات، بخاصّة بعد ثورة الاتصالات الحدیثة التی هیأت فرصاً فریدة للاطلاع الواسع، ودفعت بعجلة الفکر والثقافة والتعلیم إلی آفاق 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وغدا الإنسان یترقّب فی کلّ یوم تطوّراً جدیداً فی البحوث العلمیة، وفی المناهج التی تنسجم مع هذا التطوّر الهائل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کلّ ذلک بقیت بعض المناهج الدراسیة حبیسة الماضی ومقرراته</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أن بزغ فجر الثورة الاسلامیة المبارکة بقیادة الإمام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انبثقت ثورة علمیة وثقافیة کبری، مما حدا برجال العلم والفکر فی الجمهوریة الإسلامیة أن یعملوا علی صیاغة مناهج دراسیة جدیدة لمجمل العلوم الإنسانیة، الإسلامیة بشکل خاص؛ فأحدث هذا الأمر تغییراً جذریاً وأساسیاً فی الکتب الدراسیة فی الحوزات العلمیة والجامعات الأکادیمیة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ظل إرشادات قائد الجمهوریة الإسلامیة الإمام الخامنئی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أخذت المؤسسات العلمیة والثقافیة علی عاتقها تجدید الکتب الدراسیة وتحدیثها علی مختلف الصعد، بخاصة مناهج الحوزة العلمیة، التی هی ثمرة جهود کبار الفقهاء والمفکرین عبر تاریخها المجید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بادرت 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 إلی تبنّی المنهج العلمی الحدیث فی نظامها الدراسی، وفی التألیف، والتحقیق وتدوین الکتب الدراسیة لمختلف المراحل الدراسیة ولجمیع الفروع العلمیة، ولشتی الموضوعات بما ینسجم مع المتغیّرات الحاصلة فی مجمل دوائر الفکر والمعرفة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فقامت بمخاطبة العلماء والأساتذة، لیساهموا فی تدوین کتب دراسیة علی الاُسس المنهجیة الحدیثة للعلوم الإسلامیة خاصّة، ولسائر العلوم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کعلوم القرآن، والحدیث والفقه، والتفسیر، والاُصول، وعلم الکلام والفلسفة، والسیرة والتأریخ، والأخلاق، والآداب، والاجتماع، والنفس، وغیرها، حملت هذه المناهج طابعاً أکادیمیاً مع حفاظها علی الجانب العلمی الأصیل المتّبع فی الحوزات العلمیة فی مدرسة أهل‌البیت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أجل نشر هذه المعارف والعلوم، بادرت جامعة المصطفی العالمیة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 للترجمة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لتحقیق، وترجمة، ونشر کلِّ ما یصدر عن هذه الجامعة الکبیرة، مما ألّفه أو حقّقه العلماء والأساتذة فی مختلف الاختصاصات وبمختلف اللغات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والکتاب الذی بین یدیک عزیزی القارئ، مدخل عام لدراسة فقه القرآن المقارن هو مفردة من مفردات هذه المنظومة الدراسیة الواسعة، قام بتألیفه الأستاذ الفاضل الشیخ خالد غفوری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ویحرص مرکز المصطفی العالمی علی تسجیل تقدیره لمؤلفه الجلیل علی مابذله من جهد وعنایة، کما یشکر کلَّ من ساهم بجهوده لإعداد هذا الکتاب وتقدیمه للقراء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نتوجّه بالرجاء إلی العلماء والأساتذة وأصحاب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للمساهمة فی ترشید هذا المشروع الإسلامی بما لدیهم من آراء بنّاءة وخبرات علمیة ومنهجیة، وأن یبعثوا إلینا بما یستدرکون علیه من خطأ أو نقص یلازم الإنسان عادة، لتلافیهما فی الطبعات اللاحقة، نسأله تبارک وتعالی التوفیق والسداد، والله من وراء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للترجمة والنشر</w:t>
      </w:r>
      <w:bookmarkStart w:id="10" w:name="pg5707_46378"/>
    </w:p>
    <w:p>
      <w:pPr>
        <w:pStyle w:val="Heading2"/>
        <w:numPr>
          <w:ilvl w:val="1"/>
          <w:numId w:val="1"/>
        </w:numPr>
        <w:rPr/>
      </w:pPr>
      <w:bookmarkStart w:id="11" w:name="__RefHeading___Toc3818203_581953129"/>
      <w:bookmarkStart w:id="12" w:name="_Toc4"/>
      <w:bookmarkEnd w:id="10"/>
      <w:bookmarkEnd w:id="11"/>
      <w:r>
        <w:rPr>
          <w:rtl w:val="true"/>
        </w:rPr>
        <w:t>کلمة مرکز المصطفی</w:t>
      </w:r>
      <w:r>
        <w:rPr>
          <w:rtl w:val="true"/>
        </w:rPr>
        <w:t>(</w:t>
      </w:r>
      <w:r>
        <w:rPr>
          <w:rtl w:val="true"/>
        </w:rPr>
        <w:t>صلی الله علیه و آله</w:t>
      </w:r>
      <w:r>
        <w:rPr>
          <w:rtl w:val="true"/>
        </w:rPr>
        <w:t xml:space="preserve">) </w:t>
      </w:r>
      <w:r>
        <w:rPr>
          <w:rtl w:val="true"/>
        </w:rPr>
        <w:t>العالمی للدراسات والتحقیق</w:t>
      </w:r>
      <w:bookmarkEnd w:id="12"/>
    </w:p>
    <w:p>
      <w:pPr>
        <w:pStyle w:val="BookText"/>
        <w:rPr/>
      </w:pPr>
      <w:r>
        <w:rPr>
          <w:rFonts w:ascii="IRNazanin" w:hAnsi="IRNazanin" w:eastAsia="IRNazanin"/>
          <w:color w:val="111111"/>
          <w:sz w:val="28"/>
          <w:sz w:val="28"/>
          <w:szCs w:val="28"/>
          <w:rtl w:val="true"/>
          <w:lang w:bidi="fa-IR"/>
        </w:rPr>
        <w:t xml:space="preserve">وضعت الحوزات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تاریخها المجید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مهمّة التربیة والتعلیم علی رأس مهامهّا و جزءاً من رسالاتها الأساسیة، الأمر الذی ضمن إیصال معارف الإسلام السامیة وعلوم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إلینا خلال الأجیال المتعاقبة بأمانة علمیة صارمة، وفی هذا الإطار جاء اهتمام الحوزات العلمیّة بالمناهج الدراسیة التعلیمیة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لا شکّ فیه، أنّ التطوّر التکنولوجی الذی شهده عصرنا الحالی وثورة الاتصالات الکبری أفرزتا تحوّلاً هائلاً فی حقول العلم والمعرفة، حتی أصبح بمقدور البشریة فی عالم الیوم أن تحصل علی المعلومات والمعارف اللازمة فی جمیع الفروع بسرعة قیاسیة وبسهولة ویسر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حلّت الأسالیب التعلیمیة الحدیثة والمتطورة محلّ الأسالیب القدیمة والموروثة کمّا ونوعاً ، وسارت هذه التطّورات بسرعة نحو تحقیق الأهداف التعلیمیة المنشودة</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وبرزت جامعة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 فی هذا المجال کمؤسسة إسلامیة تعلیمیة حوزویة وأکادیمیة تأخذ علی عاتقها مسؤولیة إعداد الکوادر العلمیة والتعلیمیة غیر الإیرانیة فی مجال العلوم الإسلامیة، حیث تعکف أعداد غفیرة من الطلبة الأجانب الذین ینتمون إلی جنسیات مختلفة علی مواصلة الدراسة فی مختلف المستویات التعلیمیة وضمن العدید من فروع العلوم الإسلامیة والعلوم الإنسانیة التابعة لهذه الجامعة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وبطبیعة الحال، إنّ العلوم والمعارف الإسلامیة التی یتوافر علیها الطلبة الأجانب تتمایز بتمایز البلدان والأصقاع التی ینتمون إلیها، مما یدفع جامعة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 إلی تدوین مناهج حدیثة وکتب دراسیة تستجیب لطبیعة التمایز الذی یفرضه تنوّع البلدان وتنوع حاجات مواطینها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لطالما أکّد أساتذة الحوزة ومفکّریها ولا سیّما الإمام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وسماحة قائد الثورة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ضرورة أن یستند التعلیم الحوزوی إلی الأسالیب الحدیثة المستلهمة من مناهج الاستنباط فی الفقه الجواهری، وأن یتمّ سوقه نحو مسارات التألّق والازدهار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السیاق، نشیر إلی مقطع من الکلمة المهمّة التی ألقاها سماحة قائد الثورة السید الخامنئی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عام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 مخاطباً فیها رجال الدین الأفاضل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بالطبع، إنّ حرکة العلم فی العقدین القادمین ستشهد تعجیلاً متسارعاً فی حقول العلم والتکنولوجیا مقارنة بما مرّ علینا فی العقدین المنصرمین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یتعلّق بالمناهج الدراسیة یجب علینا توضیح العبارات والأفکار التی تتضمّنها تلک المناهج إلی الدرجة التی تنزاح معها کلّ العقبات التی تقف فی طریق من یرید فهم تلک الأفکار، طبعاً، دون أن نُهبط بمستوی الفکرة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الحقیقة، لقد استطاعت الثورة الإسلامیة المبارکة فی 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تسند المحافل العلمیة والجامعات بطاقات وإمکانات هائلة لتفعیلها و تطویرها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المنطلق، واستلهاماً من نمیر علوم أهل‌البیت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وبفضل الأجواء التی أتاحتها هذه الثورة العظیمة لإحداث طفرة فی النظام التعلیمی، أناطت جامعة‌المصطفی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 مهمّة ترجمة وطباعة ونشر المناهج الدراسیة التی تنسجم مع النظام المذکور إلی مرکز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 وذلک بالاعتماد علی اللّجان العلمیة والتربویة الکفوءة، وتنظیم هذه المناهج بالترکیز علی الأهمیة الإقلیمیة والدولیة الخاصّة بها</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وللحقیقة فإنّ 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 تملک خبرة عالیة فی مجال تدوین</w:t>
      </w:r>
    </w:p>
    <w:p>
      <w:pPr>
        <w:pStyle w:val="BookText"/>
        <w:rPr/>
      </w:pPr>
      <w:r>
        <w:rPr>
          <w:rFonts w:ascii="IRNazanin" w:hAnsi="IRNazanin" w:eastAsia="IRNazanin"/>
          <w:color w:val="111111"/>
          <w:sz w:val="28"/>
          <w:sz w:val="28"/>
          <w:szCs w:val="28"/>
          <w:rtl w:val="true"/>
          <w:lang w:bidi="fa-IR"/>
        </w:rPr>
        <w:t>المناهج الدراسیة والبحوث العلمیة، حیث حقّقت تحوّلاً جدیداً فی میدان انتاج المعرفة، وذلک من خلال تجربتها فی تدوین المناهج الدراسیة فی مختلف العلوم الإسلامیة والإنسانیة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حصیلة الإنجازات العلمیة لهذه الجامعة فی مجال تدوین المناهج؛ إصدار أکثر من مئتی منهجٍ دراسی لداخل البلاد وخارجها، وإعداد أکثر من مئتی منهجٍ وکرّاسةٍ علمیّة، والتی نأمل بفضل العنایة الإلهیة وفی ظلّ رعایة الإمام المهدی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قد ساهمت بقسط ولو غیر قلیل فی نشر الثقافة والمعارف الإسلامیة المحمدیة الأصیلة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وبدوره یشدّ مرکز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 علی أیدی الروّاد الأوائل ویثمّن جهودهم المخلصة، کما یعلن عن شکره للتعاون البنّاء للّجان العلمیة التابعة لجامعة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 علی مواصلة هذه الانطلاقة المبارکة فی تلبیة المتطلبات التربویة والتعلیمیة من خلال توفیر المناهج الدراسیة طبقاً للمعاییر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والکتاب الذی بین یدی القارئ الکریم الذی یحمل عنوان مدخل عام لدراسة فقه القرآن المقارن هو ثمرة جهود الأستاذ الفاضل الشیخ خالد غفوری الحسنی، ویحرص مرکز المصطفی العالمی علی تسجیل تقدیره و شکره لمؤلفه الجلیل علی ما بذله من جهد وعنایة، کما یشکر کلّ من ساهم بجهوده لإعداد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یفوتنا أن نتوجّه بالرجاء إلی العلماء والأساتذة وأصحاب الفضیلة أن یبعثوا إلینا بإرشاداتهم، وبما یستدرکونه علیه منه خطأ أو اشتباه؛ لتلافیه فی الطبعات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نسأله تعالی التوفیق والسداد، والله من وراء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للدراسات والتحقیق</w:t>
      </w:r>
      <w:bookmarkStart w:id="13" w:name="pg5707_46382"/>
    </w:p>
    <w:p>
      <w:pPr>
        <w:pStyle w:val="Heading2"/>
        <w:numPr>
          <w:ilvl w:val="1"/>
          <w:numId w:val="1"/>
        </w:numPr>
        <w:rPr/>
      </w:pPr>
      <w:bookmarkStart w:id="14" w:name="__RefHeading___Toc3818205_581953129"/>
      <w:bookmarkStart w:id="15" w:name="_Toc5"/>
      <w:bookmarkEnd w:id="13"/>
      <w:bookmarkEnd w:id="14"/>
      <w:r>
        <w:rPr>
          <w:rtl w:val="true"/>
        </w:rPr>
        <w:t>الفهرس</w:t>
      </w:r>
      <w:bookmarkEnd w:id="15"/>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الاُسس المعتمدة فی إعداد هذا المنهج الدراسی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نبذة حول علوم القرآن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المراد بعلوم القرآن؟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بعض الکتب المختصّة فی علوم القرآن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 الاعتبارات التی تتفاوت فیها علوم القرآن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الاعتبار الأوّل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نماذج من کتب التفسیر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الاعتبار الثانی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أمثلة لبعض المصادر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إعجاز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الاعتبار الثالث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أمثلة لبعض المصادر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إعراب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الاعتبار الرابع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أمثلة لبعض المصادر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بلاغة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الاعتبار الخامس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أمثلة لبعض المصادر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عدم أسباب النزول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الاعتبار السادس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أمثلة لبعض المصادر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الرسم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الاعتبار السابع </w:t>
      </w:r>
      <w:r>
        <w:rPr>
          <w:rFonts w:eastAsia="IRNazanin" w:cs="IRNazanin"/>
          <w:color w:val="111111"/>
          <w:sz w:val="28"/>
          <w:szCs w:val="28"/>
          <w:lang w:bidi="fa-IR"/>
        </w:rPr>
        <w:t>30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أمثلة لبعض المصادر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علم القراءة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الاعتبار الثامن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أمثلة لبعض المصادر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آیات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الاعتبار التاسع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أمثلة لبعض المصادر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المکّی والمدنی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الاعتبار العاشر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أمثلة لبعض المصادر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المحکم والمتشابه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الاعتبار الحادی عشر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أمثلة لبعض المصادر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الناسخ والمنسوخ</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دائرة علوم القرآن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مناقشات وردود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إشکال وردّ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فقه القرآن وآیات الأحکام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تعریف فقه القرآن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آیات الأحکام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البحث فی فقه القرآن وآیات الأحکام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التدبّر فی القرآن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مناقشات وردود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العلاقة بین القرآن والسنّة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النسبة بین دور السنّة التشریعی وبین الکتاب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القرآن علی السنّة رتبیّاً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المناقشة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الکتاب بالسنّة وعدمه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المناقشة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الکتاب بالسنّة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آیات الأحکام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الأقوال فی عدد آیات الأحکام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آیات الأحکام خمسمئة آیة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آیات الأحکام لا تبلغ خمسمئة آیة </w:t>
      </w:r>
      <w:r>
        <w:rPr>
          <w:rFonts w:eastAsia="IRNazanin" w:cs="IRNazanin"/>
          <w:color w:val="111111"/>
          <w:sz w:val="28"/>
          <w:szCs w:val="28"/>
          <w:lang w:bidi="fa-IR"/>
        </w:rPr>
        <w:t>93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آیات الأحکام أکثر من خمسمئة آیة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صحة حصر آیات الأحکام فی عدد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 الاختلاف فی عدد آیات الأحکام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آیات الأحکام إلی مجموع القرآن الکریم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الوجوه المحتملة فی تفسیر الروایات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الروایات أنّها ناظرةٌ إلی التنویع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الروایات أن الحکم بالمعنی اللغوی والعرفی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الروایات ناظرة إلی التنویع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نماذج من آیات الأحکام وبیان تقسیماتها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نماذج من آیات الأحکام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تقسیمات آیات الأحکام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التقسیم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تقسیمها بلحاظ نوع القضیة المشرّعة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التقسیم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تقسیمها بلحاظ شمول الحکم وخصوصه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التقسیم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تقسیمها بلحاظ کون الحکم فردیاً أو اجتماعیاً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البحث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التألیف فی فقه القرآن وآیات الأحکام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البذور والمنطلقات الاُولی لتفسیر آیات الأحکام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التألیف فی فقه القرآن وآیات الأحکام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الشیعة الإمامیة 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أسالیب التألیف فی فقه القرآن وآیات الأحکام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الاُسلوب الترتیبی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الاُسلوب الموضوعی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ملاحظات حول ما الّف فی فقه القرآن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البحث فی فقه القرآن وآیات الأحکام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المنهج الأثری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المنهج التقلیدی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المنهج الاجتهادی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المنهج التقنینی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المنهج المقارن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البحث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البحث فی فقه القرآن المقارن </w:t>
      </w:r>
      <w:r>
        <w:rPr>
          <w:rFonts w:eastAsia="IRNazanin" w:cs="IRNazanin"/>
          <w:color w:val="111111"/>
          <w:sz w:val="28"/>
          <w:szCs w:val="28"/>
          <w:lang w:bidi="fa-IR"/>
        </w:rPr>
        <w:t>137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منهج البحث فی فقه القرآن المقارن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نماذج للبحث فی فقه القرآن المقارن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النموذج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الإجارة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مشروعیة الإجارة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الاجارة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الإجارة علی الرعی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العوض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الشروط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الآداب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أحکام لا ترتبط بالإجارة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النموذج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إلی الغیر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 البصر</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أسباب ومناسبات النزول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الفروج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النموذج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إبداء الزینة والحجاب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المدلول التشریعی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إبداء الزینة للنساء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الستر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النظر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الضرب بالأرجل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الموقف حالة الشکّ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بالتوبة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الملاحق</w:t>
      </w:r>
    </w:p>
    <w:p>
      <w:pPr>
        <w:pStyle w:val="BookText"/>
        <w:rPr/>
      </w:pPr>
      <w:r>
        <w:rPr>
          <w:rFonts w:ascii="IRNazanin" w:hAnsi="IRNazanin" w:eastAsia="IRNazanin"/>
          <w:color w:val="111111"/>
          <w:sz w:val="28"/>
          <w:sz w:val="28"/>
          <w:szCs w:val="28"/>
          <w:rtl w:val="true"/>
          <w:lang w:bidi="fa-IR"/>
        </w:rPr>
        <w:t xml:space="preserve">ملحق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ببلوغرافیا الکتب المؤلّفة فی آیات الأحکام بحسب القرون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القرن الأوّل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القرن الثانی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القرن الثالث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القرن الرابع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القرن الخامس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القرن السادس </w:t>
      </w:r>
      <w:r>
        <w:rPr>
          <w:rFonts w:eastAsia="IRNazanin" w:cs="IRNazanin"/>
          <w:color w:val="111111"/>
          <w:sz w:val="28"/>
          <w:szCs w:val="28"/>
          <w:lang w:bidi="fa-IR"/>
        </w:rPr>
        <w:t>222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القرن السابع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القرن الثامن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القرن التاسع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القرن العاشر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القرن الحادی عشر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القرن الثانی عشر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القرن الثالث عشر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القرن الرابع عشر وما بعده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ملحق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نماذج من أهمّ التفاسیر ذات الاتجاه الفقهی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ملحق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بروایات کتاب وسائل‌الشیعة المتضمّنة لآیات الأحکام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مرتّب بحسب ترتیب مجلّدات الکتاب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ملحق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بالآیات التی یمکن الإفادة منها فی استنباط الأحکام مرتّب بحسب ترتیب سور القرآن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ملحق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أبحاث تکمیلیة للتحقیق ولمزید الاطّلاع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النصّ الأوّل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xml:space="preserve">النصّ الثانی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النصّ الثالث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النصّ الرابع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النصّ الخامس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النصّ السادس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النصّ السابع </w:t>
      </w:r>
      <w:r>
        <w:rPr>
          <w:rFonts w:eastAsia="IRNazanin" w:cs="IRNazanin"/>
          <w:color w:val="111111"/>
          <w:sz w:val="28"/>
          <w:szCs w:val="28"/>
          <w:lang w:bidi="fa-IR"/>
        </w:rPr>
        <w:t>321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lang w:bidi="fa-IR"/>
        </w:rPr>
        <w:t>323</w:t>
      </w:r>
      <w:bookmarkStart w:id="16" w:name="pg5707_46388"/>
    </w:p>
    <w:p>
      <w:pPr>
        <w:pStyle w:val="Heading2"/>
        <w:numPr>
          <w:ilvl w:val="1"/>
          <w:numId w:val="1"/>
        </w:numPr>
        <w:rPr/>
      </w:pPr>
      <w:bookmarkStart w:id="17" w:name="__RefHeading___Toc3818207_581953129"/>
      <w:bookmarkStart w:id="18" w:name="_Toc6"/>
      <w:bookmarkEnd w:id="16"/>
      <w:bookmarkEnd w:id="17"/>
      <w:r>
        <w:rPr>
          <w:rtl w:val="true"/>
        </w:rPr>
        <w:t>المقدّمة</w:t>
      </w:r>
      <w:bookmarkEnd w:id="18"/>
    </w:p>
    <w:p>
      <w:pPr>
        <w:pStyle w:val="Heading3"/>
        <w:numPr>
          <w:ilvl w:val="2"/>
          <w:numId w:val="1"/>
        </w:numPr>
        <w:rPr/>
      </w:pPr>
      <w:bookmarkStart w:id="19" w:name="__RefHeading___Toc3818209_581953129"/>
      <w:bookmarkStart w:id="20" w:name="_Toc7"/>
      <w:bookmarkEnd w:id="19"/>
      <w:r>
        <w:rPr>
          <w:rtl w:val="true"/>
        </w:rPr>
        <w:t>اشارة</w:t>
      </w:r>
      <w:bookmarkEnd w:id="20"/>
    </w:p>
    <w:p>
      <w:pPr>
        <w:pStyle w:val="BookText"/>
        <w:rPr/>
      </w:pPr>
      <w:r>
        <w:rPr>
          <w:rFonts w:ascii="IRNazanin" w:hAnsi="IRNazanin" w:eastAsia="IRNazanin"/>
          <w:color w:val="111111"/>
          <w:sz w:val="28"/>
          <w:sz w:val="28"/>
          <w:szCs w:val="28"/>
          <w:rtl w:val="true"/>
          <w:lang w:bidi="fa-IR"/>
        </w:rPr>
        <w:t>الحمد لله ربّ العالمین، وأفضل الصلاة وأتمّ التسلیم علی سیّدنا وحبیبنا محمّد وآله الطاهرین، ورضوانه علی صحبه السابقین الأوّلین من الأنصار والمهاجرین، والتابعین لهم بإحسان إلی یوم الدین، ورحمته علی عباده الصالحین، وبرکاته علی حاملی علوم الدین من معلّمین ومتعلّمین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فإنّ البحث فی آیات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یسمّی بفقه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أحد علوم الشریعة المهمّة، وتتجلّی هذه الأهمّیة فی ناحیتین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کون البحث یقع عن آیات الکتاب وتحدید دلالاتها، فیُعدّ ضمن معارف القرآن وعلومه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کون البحث یدور عن الآیات التی تتضمّن أحکاماً شرعیة بشکل خاصّ وکیفیة استخراج تلک الأحکام واستنباطها، فیقع فی دائرة علم الفقه وسائر المعارف الاجتهادیة والتشریعیة، کعلم اٌصول الفقه</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یتّضح مدی ضرورة هذا المجال المعرفی لطالب العلوم والمعارف الشرعیة، ولقد عُنی به الأوائل من سلفنا الصالح ووضعوا له مؤلّفات بید أنّه بمرور الزمن وعلی أثر نموّ المعارف والعلوم الإسلامیة سیّما علم الفقه الذی یتعامل مع الأدلّة الشرعیة کافّة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والسنّة والإجماع والعقل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ادغم فقه القرآن ضمن علم الفقه</w:t>
      </w:r>
      <w:bookmarkStart w:id="21" w:name="pg5707_46389"/>
    </w:p>
    <w:p>
      <w:pPr>
        <w:pStyle w:val="BookText"/>
        <w:rPr/>
      </w:pPr>
      <w:bookmarkEnd w:id="21"/>
      <w:r>
        <w:rPr>
          <w:rFonts w:ascii="IRNazanin" w:hAnsi="IRNazanin" w:eastAsia="IRNazanin"/>
          <w:color w:val="111111"/>
          <w:sz w:val="28"/>
          <w:sz w:val="28"/>
          <w:szCs w:val="28"/>
          <w:rtl w:val="true"/>
          <w:lang w:bidi="fa-IR"/>
        </w:rPr>
        <w:t>وتداخلت بحوثهما، وقلّ التألیف فیه بشکل مستقلّ إلی حدّ ضمرت أبحاثه وصارت من المجالات التراثیة المنقرضة، هذا من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ثانیة فإنّ الاُمور العامّة والمطالب الکلّیة لم تُفرَد بالبحث، ولم یتمّ تنقیحها بصورة مستقلّة عن تطبیقاتها، وإنّما یُتعرّض لبعضها أحیاناً فی غضون البحث عن مسائل فقه القرآن، واُهمل بحث أکثرها ممّا ضاعف من درجة الضرورة فی العنایة بهذه البحوث وجمعها وانتزاعها من ثنایا المصنّفات وتکمیلها وصبّها فی قالب فنّی، نظیر ما هو متعارف فی سائر العلوم والمعارف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ثالثة تبرز الحاجة إلی تناول هذا الموضوع بصورة مقارنة کی تتبیّن للدارس خصائص المناهج المعتمدة لدی علماء هذا الفنّ علی اختلاف مذاهبهم الفقهیة ومشاربهم التفسیریة ومسالکهم الاستنباطیة، ولیتّضح جلیّاً مدی الانفتاح العلمی الذی یتحلّی به البحث فی آیات الأحکام وفقه القرآن</w:t>
      </w:r>
      <w:r>
        <w:rPr>
          <w:rFonts w:eastAsia="IRNazanin" w:cs="IRNazanin"/>
          <w:color w:val="111111"/>
          <w:sz w:val="28"/>
          <w:szCs w:val="28"/>
          <w:rtl w:val="true"/>
          <w:lang w:bidi="fa-IR"/>
        </w:rPr>
        <w:t>.</w:t>
      </w:r>
    </w:p>
    <w:p>
      <w:pPr>
        <w:pStyle w:val="Heading3"/>
        <w:numPr>
          <w:ilvl w:val="2"/>
          <w:numId w:val="1"/>
        </w:numPr>
        <w:rPr/>
      </w:pPr>
      <w:bookmarkStart w:id="22" w:name="__RefHeading___Toc3818211_581953129"/>
      <w:bookmarkStart w:id="23" w:name="_Toc8"/>
      <w:bookmarkEnd w:id="22"/>
      <w:r>
        <w:rPr>
          <w:rtl w:val="true"/>
        </w:rPr>
        <w:t>الاُسس المعتمدة فی إعداد هذا المنهج الدراسی</w:t>
      </w:r>
      <w:bookmarkEnd w:id="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سعیت إلیالتعرّض إلیکثیر من المقدّمات والمبادئ وعملت جاهداً لتحکیمها؛ باعتبارها مبانٍ ضروریة وأساسیة للورود فی هذا المجال المعرفی، والذی لم یُعتنَ به فی أوساطنا العلمیة بما یتناسب معه، فإنّ عملیة إحیائه تطلّب جهداً مضاعفاً لإقناع تلک الأوساط برهانیاً، فلا یظنّ الظانّون أنّ ثمّة إسفاف وإغراق فی مساحة الشرح والتفصیل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خشینا من وقوع الخلط فی أذهان بعض الدارسین لعلوم الشریعة بین ما یُقال فی مجال فقه القرآن وبین ما تعلّموه من مطالب فی علم اصول الفقه أو علم التفسیر وغیر ذلک من المجالات المعرفیة التی یواجهها الدارس عادة، فتعرّضنا إلیما یمکن أن یعلق فی الذهن من شبهات وحاولنا تقدیم إجابة علمیة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التألیف یشتمل علی المحاور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تدوین مدخل لدراسة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القرآن وآیات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یتناول البحوث العامّة والاُمور الکلّیة؛ للتعریف بهذا المجال التخصّصی، والذی هو بمنزلة المقدّمة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نکتفِ بعرض البحوث العامّة فحسب، وإنّما قدّمنا نماذج لدراسات تخصّصیة معمّقة ودقیقة لیقف الدارسون علی کیفیة البحث التخصّصی فی فقه القرآن وآیات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ودفعاً لمحذور تعقید المادة علی الدارسین الأعزّاء وعدم إثقال کاهلهم، اقتصرنا علی طرح البحوث بمستوی متناسب مع مرحلة الماجستیر، لکنّنا أدرجنا فی الهامش إفادات علمیة لمزید الاطّلاع وللجمع بین أداء حقّ المرحلة الدراسیة وبین أداء حقّ البحث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سیاق إثراء حرکة التحقیق لدی الدارسین الأفاضل ألحقنا فی آخر هذا التألیف مجموعة من الملاحق العلمیة التی تعینهم فی الخوض فی عُباب هذا البحر الزخّار واستخراج جواهره ولآلئه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ولقد منّ الله علیّ أن وفّقنی للتصدّی لهذا المشروع الإحیائی المبارک، کما منّ علیّ لإکمال هذا المؤلّف القیّم الصغیر فی حجمه، الکبیر فی هدفه، فأحمده حمداً لا غایة له کما یلیق بجماله، واُسبّحه تسبیحاً لا نهایة له کما ینبغی لجلاله، وأشکره علی ما شرّفنی به من وسام الخدمة لدینه الحنیف وإحیاء معارف کتابة الشریف، واُثنی علیه لما حبانی به من فرصة الإرشاد وبیان الأحکام، ولما أتحفنی به من نعمة التبلیغ والترویج لمعالم الإسلام، یا لها نعمة عظیمة، لا یلقّاها إلّا الذین صبروا ولا یلقّاها إلّا ذو حظّ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 الله تعالی أن یجعل ذلک عزّاً لنا فی الاُولی، ویحفظه ذخراً لنا فی الاُخری، وأن ینفع به طلاب العلم وروّاده، إنّه سمیع 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غفوری الحسنی</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24" w:name="pg5707_46392"/>
    </w:p>
    <w:p>
      <w:pPr>
        <w:pStyle w:val="Heading2"/>
        <w:numPr>
          <w:ilvl w:val="1"/>
          <w:numId w:val="1"/>
        </w:numPr>
        <w:rPr/>
      </w:pPr>
      <w:bookmarkStart w:id="25" w:name="__RefHeading___Toc3818213_581953129"/>
      <w:bookmarkStart w:id="26" w:name="_Toc9"/>
      <w:bookmarkEnd w:id="24"/>
      <w:bookmarkEnd w:id="25"/>
      <w:r>
        <w:rPr>
          <w:rtl w:val="true"/>
        </w:rPr>
        <w:t xml:space="preserve">البحث الأوّل </w:t>
      </w:r>
      <w:r>
        <w:rPr>
          <w:rtl w:val="true"/>
        </w:rPr>
        <w:t xml:space="preserve">: </w:t>
      </w:r>
      <w:r>
        <w:rPr>
          <w:rtl w:val="true"/>
        </w:rPr>
        <w:t>نبذة حول علوم القرآن</w:t>
      </w:r>
      <w:bookmarkEnd w:id="26"/>
    </w:p>
    <w:p>
      <w:pPr>
        <w:pStyle w:val="Heading3"/>
        <w:numPr>
          <w:ilvl w:val="2"/>
          <w:numId w:val="1"/>
        </w:numPr>
        <w:rPr/>
      </w:pPr>
      <w:bookmarkStart w:id="27" w:name="__RefHeading___Toc3818215_581953129"/>
      <w:bookmarkStart w:id="28" w:name="_Toc10"/>
      <w:bookmarkEnd w:id="27"/>
      <w:r>
        <w:rPr>
          <w:rtl w:val="true"/>
        </w:rPr>
        <w:t>اشارة</w:t>
      </w:r>
      <w:bookmarkEnd w:id="28"/>
    </w:p>
    <w:p>
      <w:pPr>
        <w:pStyle w:val="BookText"/>
        <w:rPr/>
      </w:pPr>
      <w:r>
        <w:rPr>
          <w:rFonts w:ascii="IRNazanin" w:hAnsi="IRNazanin" w:eastAsia="IRNazanin"/>
          <w:color w:val="111111"/>
          <w:sz w:val="28"/>
          <w:sz w:val="28"/>
          <w:szCs w:val="28"/>
          <w:rtl w:val="true"/>
          <w:lang w:bidi="fa-IR"/>
        </w:rPr>
        <w:t>ینبغی تقدیم نبذة مختصرة حول علوم القرآن وما هو المراد بها؛ وذلک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لکون البحث فی آیات الأحکام وفقه القرآن یُعدّ ضمن علوم القرآن بنظر البعض</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لوجود ارتباط بین البحث فی آیات الأحکام وبین علوم القرآن بصورة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کالقراءة، وإعراب القرآن، وأسباب النزول، والناسخ والمنسوخ؛ فإنّ لهذه المعارف تأثیراً علی کیفیة فهم الآیة والمدالیل المستفادة منها والأحکام المستنبطة منها</w:t>
      </w:r>
      <w:r>
        <w:rPr>
          <w:rFonts w:eastAsia="IRNazanin" w:cs="IRNazanin"/>
          <w:color w:val="111111"/>
          <w:sz w:val="28"/>
          <w:szCs w:val="28"/>
          <w:rtl w:val="true"/>
          <w:lang w:bidi="fa-IR"/>
        </w:rPr>
        <w:t>.</w:t>
      </w:r>
    </w:p>
    <w:p>
      <w:pPr>
        <w:pStyle w:val="Heading3"/>
        <w:numPr>
          <w:ilvl w:val="2"/>
          <w:numId w:val="1"/>
        </w:numPr>
        <w:rPr/>
      </w:pPr>
      <w:bookmarkStart w:id="29" w:name="__RefHeading___Toc3818217_581953129"/>
      <w:bookmarkStart w:id="30" w:name="_Toc11"/>
      <w:bookmarkEnd w:id="29"/>
      <w:r>
        <w:rPr>
          <w:rtl w:val="true"/>
        </w:rPr>
        <w:t>أوّلاً</w:t>
      </w:r>
      <w:r>
        <w:rPr>
          <w:rtl w:val="true"/>
        </w:rPr>
        <w:t xml:space="preserve">: </w:t>
      </w:r>
      <w:r>
        <w:rPr>
          <w:rtl w:val="true"/>
        </w:rPr>
        <w:t>ما المراد بعلوم القرآن ؟</w:t>
      </w:r>
      <w:bookmarkEnd w:id="30"/>
    </w:p>
    <w:p>
      <w:pPr>
        <w:pStyle w:val="Heading4"/>
        <w:numPr>
          <w:ilvl w:val="3"/>
          <w:numId w:val="1"/>
        </w:numPr>
        <w:rPr/>
      </w:pPr>
      <w:bookmarkStart w:id="31" w:name="__RefHeading___Toc3818219_581953129"/>
      <w:bookmarkStart w:id="32" w:name="_Toc12"/>
      <w:bookmarkEnd w:id="31"/>
      <w:r>
        <w:rPr>
          <w:rtl w:val="true"/>
        </w:rPr>
        <w:t>اشارة</w:t>
      </w:r>
      <w:bookmarkEnd w:id="3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ولیُعلم أنّ البحوث التی تختصّ بدراسة القرآن الکریم ومجالاته المعرفیة کثیرة ومتنوّعة، لکن یطلق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بعضها، إذاً، فالمراد بعلوم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المعارف والبحوث التی تتعلّق بالقرآن الکریم، وتختلف هذه البحوث فیما بینها بحسب اختلاف الناحیة التی تتناولها من الکتاب الکریم، کما سیأتی بیان ذلک</w:t>
      </w:r>
      <w:r>
        <w:rPr>
          <w:rFonts w:eastAsia="IRNazanin" w:cs="IRNazanin"/>
          <w:color w:val="111111"/>
          <w:sz w:val="28"/>
          <w:szCs w:val="28"/>
          <w:rtl w:val="true"/>
          <w:lang w:bidi="fa-IR"/>
        </w:rPr>
        <w:t>.</w:t>
      </w:r>
      <w:bookmarkStart w:id="33" w:name="pg5707_46393"/>
    </w:p>
    <w:p>
      <w:pPr>
        <w:pStyle w:val="BookText"/>
        <w:rPr/>
      </w:pPr>
      <w:bookmarkEnd w:id="33"/>
      <w:r>
        <w:rPr>
          <w:rFonts w:ascii="IRNazanin" w:hAnsi="IRNazanin" w:eastAsia="IRNazanin"/>
          <w:color w:val="111111"/>
          <w:sz w:val="28"/>
          <w:sz w:val="28"/>
          <w:szCs w:val="28"/>
          <w:rtl w:val="true"/>
          <w:lang w:bidi="fa-IR"/>
        </w:rPr>
        <w:t>والمعروف أنّ علوم القرآن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التفسیر، علم إعجاز القرآن، علم إعراب القرآن، علم البلاغة القرآنیة، علم أسباب النزول، علم رسم القرآن، علم القراءة، علم فقه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المکّی والمدنی، علم الناسخ والمنسوخ، علم المحکَم والمتشابه</w:t>
      </w:r>
      <w:r>
        <w:rPr>
          <w:rFonts w:eastAsia="IRNazanin" w:cs="IRNazanin"/>
          <w:color w:val="111111"/>
          <w:sz w:val="28"/>
          <w:szCs w:val="28"/>
          <w:rtl w:val="true"/>
          <w:lang w:bidi="fa-IR"/>
        </w:rPr>
        <w:t xml:space="preserve">. </w:t>
      </w:r>
      <w:r>
        <w:rPr>
          <w:rStyle w:val="FootnoteAnchor"/>
          <w:rtl w:val="true"/>
        </w:rPr>
        <w:footnoteReference w:id="3"/>
      </w:r>
    </w:p>
    <w:p>
      <w:pPr>
        <w:pStyle w:val="Heading4"/>
        <w:numPr>
          <w:ilvl w:val="3"/>
          <w:numId w:val="1"/>
        </w:numPr>
        <w:rPr/>
      </w:pPr>
      <w:bookmarkStart w:id="34" w:name="__RefHeading___Toc3818221_581953129"/>
      <w:bookmarkStart w:id="35" w:name="_Toc13"/>
      <w:bookmarkEnd w:id="34"/>
      <w:r>
        <w:rPr>
          <w:rtl w:val="true"/>
        </w:rPr>
        <w:t>بعض الکتب المختصّة فی علوم القرآن</w:t>
      </w:r>
      <w:bookmarkEnd w:id="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الإتقان فی علوم القرآن، جلال الدین السیوطی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فی علوم القرآن، بدر الدین الزرکشی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التمهید فی علوم القرآن، محمد هادی معرفة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القرآن، محمّد باقر الحکیم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فی علوم القرآن، صبحی الصالح</w:t>
      </w:r>
    </w:p>
    <w:p>
      <w:pPr>
        <w:pStyle w:val="Heading3"/>
        <w:numPr>
          <w:ilvl w:val="2"/>
          <w:numId w:val="1"/>
        </w:numPr>
        <w:rPr/>
      </w:pPr>
      <w:bookmarkStart w:id="36" w:name="__RefHeading___Toc3818223_581953129"/>
      <w:bookmarkStart w:id="37" w:name="_Toc14"/>
      <w:bookmarkEnd w:id="36"/>
      <w:r>
        <w:rPr>
          <w:rtl w:val="true"/>
        </w:rPr>
        <w:t>ثانیاً</w:t>
      </w:r>
      <w:r>
        <w:rPr>
          <w:rtl w:val="true"/>
        </w:rPr>
        <w:t xml:space="preserve">: </w:t>
      </w:r>
      <w:r>
        <w:rPr>
          <w:rtl w:val="true"/>
        </w:rPr>
        <w:t>أهمّ الاعتبارات التی تتفاوت فیها علوم القرآن</w:t>
      </w:r>
      <w:bookmarkEnd w:id="37"/>
    </w:p>
    <w:p>
      <w:pPr>
        <w:pStyle w:val="Heading4"/>
        <w:numPr>
          <w:ilvl w:val="3"/>
          <w:numId w:val="1"/>
        </w:numPr>
        <w:rPr/>
      </w:pPr>
      <w:bookmarkStart w:id="38" w:name="__RefHeading___Toc3818225_581953129"/>
      <w:bookmarkStart w:id="39" w:name="_Toc15"/>
      <w:bookmarkEnd w:id="38"/>
      <w:r>
        <w:rPr>
          <w:rtl w:val="true"/>
        </w:rPr>
        <w:t>اشارة</w:t>
      </w:r>
      <w:bookmarkEnd w:id="39"/>
    </w:p>
    <w:p>
      <w:pPr>
        <w:pStyle w:val="BookText"/>
        <w:rPr/>
      </w:pPr>
      <w:r>
        <w:rPr>
          <w:rFonts w:ascii="IRNazanin" w:hAnsi="IRNazanin" w:eastAsia="IRNazanin"/>
          <w:color w:val="111111"/>
          <w:sz w:val="28"/>
          <w:sz w:val="28"/>
          <w:szCs w:val="28"/>
          <w:rtl w:val="true"/>
          <w:lang w:bidi="fa-IR"/>
        </w:rPr>
        <w:t xml:space="preserve">من الواضح أنّ المحور الذی تدور حوله بحوث علوم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أمراً واحداً فی عالم الخارج إلّا أنّه نظراً لاختلاف الحیثیّات والجهات المبحوث عنها تعدّدت علوم القرآن واختلفت فیما بینها تبعاً لذلک، فإنّ للقرآن اعتبارات متعدّدة، وهو بکلّ واحد من تلک الاعتبارات یکون موضوعاً لأحد علوم القرآن المعروفة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وإلیک بیان ذلک</w:t>
      </w:r>
      <w:r>
        <w:rPr>
          <w:rFonts w:eastAsia="IRNazanin" w:cs="IRNazanin"/>
          <w:color w:val="111111"/>
          <w:sz w:val="28"/>
          <w:szCs w:val="28"/>
          <w:rtl w:val="true"/>
          <w:lang w:bidi="fa-IR"/>
        </w:rPr>
        <w:t>:</w:t>
      </w:r>
    </w:p>
    <w:p>
      <w:pPr>
        <w:pStyle w:val="Heading4"/>
        <w:numPr>
          <w:ilvl w:val="3"/>
          <w:numId w:val="1"/>
        </w:numPr>
        <w:rPr/>
      </w:pPr>
      <w:bookmarkStart w:id="40" w:name="__RefHeading___Toc3818227_581953129"/>
      <w:bookmarkStart w:id="41" w:name="_Toc16"/>
      <w:bookmarkEnd w:id="40"/>
      <w:r>
        <w:rPr>
          <w:rtl w:val="true"/>
        </w:rPr>
        <w:t>الاعتبار الأوّل</w:t>
      </w:r>
      <w:bookmarkEnd w:id="41"/>
    </w:p>
    <w:p>
      <w:pPr>
        <w:pStyle w:val="Heading5"/>
        <w:numPr>
          <w:ilvl w:val="4"/>
          <w:numId w:val="1"/>
        </w:numPr>
        <w:rPr/>
      </w:pPr>
      <w:bookmarkStart w:id="42" w:name="__RefHeading___Toc3818229_581953129"/>
      <w:bookmarkStart w:id="43" w:name="_Toc17"/>
      <w:bookmarkEnd w:id="42"/>
      <w:r>
        <w:rPr>
          <w:rtl w:val="true"/>
        </w:rPr>
        <w:t>اشارة</w:t>
      </w:r>
      <w:bookmarkEnd w:id="4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القرآن الکریم بوصفه کلاماً دالّاً علی معنی یکون موضوعاً لعلم التفسیر، فعلم التفسیر یشتمل علی دراسة القرآن باعتباره کلاماً ذا معنی، فیشرح معانیه، ویفصّل</w:t>
      </w:r>
      <w:bookmarkStart w:id="44" w:name="pg5707_46394"/>
    </w:p>
    <w:p>
      <w:pPr>
        <w:pStyle w:val="BookText"/>
        <w:rPr/>
      </w:pPr>
      <w:bookmarkEnd w:id="44"/>
      <w:r>
        <w:rPr>
          <w:rFonts w:ascii="IRNazanin" w:hAnsi="IRNazanin" w:eastAsia="IRNazanin"/>
          <w:color w:val="111111"/>
          <w:sz w:val="28"/>
          <w:sz w:val="28"/>
          <w:szCs w:val="28"/>
          <w:rtl w:val="true"/>
          <w:lang w:bidi="fa-IR"/>
        </w:rPr>
        <w:t>القول فی مدلولاته ومقاصده؛ ولأجل ذلک کان علم التفسیر من أهمّ علوم القرآن وأساسها جمیعاً؛ لأنّه یکشف عن المعانی المرادة من کلام الله سبحانه، وذلک بالإستناد إلیجملة من العناصر الموضوعیة،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معطیات اللغة العربیة وقواعدها وأسالیبها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الفهم العرفی وضوابطه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الارتکازات العقلائیة العامّة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القرائن المتّصلة والمنفصلة اللفظیة واللبّیة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الآیات فی ضوء الآیات ذات الارتباط، وهو ما یطلق علیه بتفسیر القرآن بالقرآن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السنّة النبویة الشریفة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الإجماعات والارتکازات المتشرّعیة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فعلم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العلم الذی یبیّن ویکشف عن معانی آیات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ولایکاد یخفی مدی اهتمام علماء الإسلام بهذا العلم، وأوضح دلیل علی ذلک کثرة ما نراه من تفاسیر متنوّعة بحیث یصعب حصرها من قِبل علماء المسلمین علی اختلاف مذاهبهم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وننبّه علی أنّ هناک مَن لم یعتبر علم التفسیر ضمن علوم القرآن، بل یعتبره علماً فی مقابلها؛ وهذا مبنی علی رؤیة خاصّة لما یُعرف بعلوم القرآن من أنّها مجموعة مبادی ومقدّمات تُفید وتُساعد فی فهم القرآن، وبالتالی تنفع فی علم التفسیر، لا أنّها تکون فی عرضه</w:t>
      </w:r>
      <w:r>
        <w:rPr>
          <w:rFonts w:eastAsia="IRNazanin" w:cs="IRNazanin"/>
          <w:color w:val="111111"/>
          <w:sz w:val="28"/>
          <w:szCs w:val="28"/>
          <w:rtl w:val="true"/>
          <w:lang w:bidi="fa-IR"/>
        </w:rPr>
        <w:t>.</w:t>
      </w:r>
    </w:p>
    <w:p>
      <w:pPr>
        <w:pStyle w:val="Heading5"/>
        <w:numPr>
          <w:ilvl w:val="4"/>
          <w:numId w:val="1"/>
        </w:numPr>
        <w:rPr/>
      </w:pPr>
      <w:bookmarkStart w:id="45" w:name="__RefHeading___Toc3818231_581953129"/>
      <w:bookmarkStart w:id="46" w:name="_Toc18"/>
      <w:bookmarkEnd w:id="45"/>
      <w:r>
        <w:rPr>
          <w:rtl w:val="true"/>
        </w:rPr>
        <w:t>نماذج من کتب التفسیر</w:t>
      </w:r>
      <w:bookmarkEnd w:id="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التبیان، الشیخ الطوسی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مجمع البیان، الشیخ الطبرسی</w:t>
      </w:r>
      <w:bookmarkStart w:id="47" w:name="pg5707_46395"/>
    </w:p>
    <w:p>
      <w:pPr>
        <w:pStyle w:val="BookText"/>
        <w:rPr/>
      </w:pPr>
      <w:bookmarkEnd w:id="4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المیزان، السید محمد حسین الطباطبائی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الثعلبی، الثعلبی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 جلال الدین السیوطی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الکشّاف عن حقائق التأویل وعیون الأقاویل، الزمخشری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الفخر الرازی</w:t>
      </w:r>
    </w:p>
    <w:p>
      <w:pPr>
        <w:pStyle w:val="Heading4"/>
        <w:numPr>
          <w:ilvl w:val="3"/>
          <w:numId w:val="1"/>
        </w:numPr>
        <w:rPr/>
      </w:pPr>
      <w:bookmarkStart w:id="48" w:name="__RefHeading___Toc3818233_581953129"/>
      <w:bookmarkStart w:id="49" w:name="_Toc19"/>
      <w:bookmarkEnd w:id="48"/>
      <w:r>
        <w:rPr>
          <w:rtl w:val="true"/>
        </w:rPr>
        <w:t>الاعتبار الثانی</w:t>
      </w:r>
      <w:bookmarkEnd w:id="49"/>
    </w:p>
    <w:p>
      <w:pPr>
        <w:pStyle w:val="Heading5"/>
        <w:numPr>
          <w:ilvl w:val="4"/>
          <w:numId w:val="1"/>
        </w:numPr>
        <w:rPr/>
      </w:pPr>
      <w:bookmarkStart w:id="50" w:name="__RefHeading___Toc3818235_581953129"/>
      <w:bookmarkStart w:id="51" w:name="_Toc20"/>
      <w:bookmarkEnd w:id="50"/>
      <w:r>
        <w:rPr>
          <w:rtl w:val="true"/>
        </w:rPr>
        <w:t>اشارة</w:t>
      </w:r>
      <w:bookmarkEnd w:id="51"/>
    </w:p>
    <w:p>
      <w:pPr>
        <w:pStyle w:val="BookText"/>
        <w:rPr/>
      </w:pPr>
      <w:r>
        <w:rPr>
          <w:rFonts w:ascii="IRNazanin" w:hAnsi="IRNazanin" w:eastAsia="IRNazanin"/>
          <w:color w:val="111111"/>
          <w:sz w:val="28"/>
          <w:sz w:val="28"/>
          <w:szCs w:val="28"/>
          <w:rtl w:val="true"/>
          <w:lang w:bidi="fa-IR"/>
        </w:rPr>
        <w:t>إنّ القرآن الکریم بوصفه دلیلاً لنبوّة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موضوعاً لعلم إعجاز القرآن، وهو علم یشرح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الکتاب الکریم وحی إلهی، ویستدلّ علی ذلک بالصفات والخصائص التی تمیّزه عن الکلام البشری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فعلم إعجاز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العلم الذی یبحث خصائص إعجاز القرآن</w:t>
      </w:r>
      <w:r>
        <w:rPr>
          <w:rFonts w:eastAsia="IRNazanin" w:cs="IRNazanin"/>
          <w:color w:val="111111"/>
          <w:sz w:val="28"/>
          <w:szCs w:val="28"/>
          <w:rtl w:val="true"/>
          <w:lang w:bidi="fa-IR"/>
        </w:rPr>
        <w:t>.</w:t>
      </w:r>
    </w:p>
    <w:p>
      <w:pPr>
        <w:pStyle w:val="Heading5"/>
        <w:numPr>
          <w:ilvl w:val="4"/>
          <w:numId w:val="1"/>
        </w:numPr>
        <w:rPr/>
      </w:pPr>
      <w:bookmarkStart w:id="52" w:name="__RefHeading___Toc3818237_581953129"/>
      <w:bookmarkStart w:id="53" w:name="_Toc21"/>
      <w:bookmarkEnd w:id="52"/>
      <w:r>
        <w:rPr>
          <w:rtl w:val="true"/>
        </w:rPr>
        <w:t xml:space="preserve">أمثلة لبعض المصادر </w:t>
      </w:r>
      <w:r>
        <w:rPr>
          <w:rtl w:val="true"/>
        </w:rPr>
        <w:t>(</w:t>
      </w:r>
      <w:r>
        <w:rPr>
          <w:rtl w:val="true"/>
        </w:rPr>
        <w:t>فی إعجاز القرآن</w:t>
      </w:r>
      <w:r>
        <w:rPr>
          <w:rtl w:val="true"/>
        </w:rPr>
        <w:t>)</w:t>
      </w:r>
      <w:bookmarkEnd w:id="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إعجاز القرآن، أبو بکر محمد بن الطیب الباقلانی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الإعجاز، عبد القاهر الجرجانی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معترک الأقران فی إعجاز القرآن، عبد الرحمن بن أبی بکر السیوطی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نهایة الإیجاز فی درایة الإعجاز، فخر الدین الرازی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إشارات الإعجاز فی مظانّ الإیجاز، بدیع الزمان النَّورسی</w:t>
      </w:r>
    </w:p>
    <w:p>
      <w:pPr>
        <w:pStyle w:val="Heading4"/>
        <w:numPr>
          <w:ilvl w:val="3"/>
          <w:numId w:val="1"/>
        </w:numPr>
        <w:rPr/>
      </w:pPr>
      <w:bookmarkStart w:id="54" w:name="__RefHeading___Toc3818239_581953129"/>
      <w:bookmarkStart w:id="55" w:name="_Toc22"/>
      <w:bookmarkEnd w:id="54"/>
      <w:r>
        <w:rPr>
          <w:rtl w:val="true"/>
        </w:rPr>
        <w:t>الاعتبار الثالث</w:t>
      </w:r>
      <w:bookmarkEnd w:id="55"/>
    </w:p>
    <w:p>
      <w:pPr>
        <w:pStyle w:val="Heading5"/>
        <w:numPr>
          <w:ilvl w:val="4"/>
          <w:numId w:val="1"/>
        </w:numPr>
        <w:rPr/>
      </w:pPr>
      <w:bookmarkStart w:id="56" w:name="__RefHeading___Toc3818241_581953129"/>
      <w:bookmarkStart w:id="57" w:name="_Toc23"/>
      <w:bookmarkEnd w:id="56"/>
      <w:r>
        <w:rPr>
          <w:rtl w:val="true"/>
        </w:rPr>
        <w:t>اشارة</w:t>
      </w:r>
      <w:bookmarkEnd w:id="5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القرآن الکریم بوصفه نصّاً عربیاً جاریاً وفق اصول وضوابط اللغة العربیة یکون موضوعاً لعلم إعراب القرآن، وهو علم یشرح مجیء النصّ القرآنی وفق قواعد اللغة العربیة فی علم النحو</w:t>
      </w:r>
      <w:r>
        <w:rPr>
          <w:rFonts w:eastAsia="IRNazanin" w:cs="IRNazanin"/>
          <w:color w:val="111111"/>
          <w:sz w:val="28"/>
          <w:szCs w:val="28"/>
          <w:rtl w:val="true"/>
          <w:lang w:bidi="fa-IR"/>
        </w:rPr>
        <w:t>.</w:t>
      </w:r>
      <w:bookmarkStart w:id="58" w:name="pg5707_46396"/>
    </w:p>
    <w:p>
      <w:pPr>
        <w:pStyle w:val="Heading5"/>
        <w:numPr>
          <w:ilvl w:val="4"/>
          <w:numId w:val="1"/>
        </w:numPr>
        <w:rPr/>
      </w:pPr>
      <w:bookmarkStart w:id="59" w:name="__RefHeading___Toc3818243_581953129"/>
      <w:bookmarkStart w:id="60" w:name="_Toc24"/>
      <w:bookmarkEnd w:id="58"/>
      <w:bookmarkEnd w:id="59"/>
      <w:r>
        <w:rPr>
          <w:rtl w:val="true"/>
        </w:rPr>
        <w:t xml:space="preserve">أمثلة لبعض المصادر </w:t>
      </w:r>
      <w:r>
        <w:rPr>
          <w:rtl w:val="true"/>
        </w:rPr>
        <w:t>(</w:t>
      </w:r>
      <w:r>
        <w:rPr>
          <w:rtl w:val="true"/>
        </w:rPr>
        <w:t>فی إعراب القرآن</w:t>
      </w:r>
      <w:r>
        <w:rPr>
          <w:rtl w:val="true"/>
        </w:rPr>
        <w:t>)</w:t>
      </w:r>
      <w:bookmarkEnd w:id="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إعراب القرآن، أحمد بن محمد النحّاس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إملاء ما منّ به الرحمن من وجوه الإعراب والقراءات علوم القرآن، أبو البقاء العکبری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التبیان فی إعراب القرآن، أبو البقاء العکبری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إعراب القرآن، مکّی بن أبی طالب القیسی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إعراب القرآن وبیانه، محیی الدین الدرویش</w:t>
      </w:r>
    </w:p>
    <w:p>
      <w:pPr>
        <w:pStyle w:val="Heading4"/>
        <w:numPr>
          <w:ilvl w:val="3"/>
          <w:numId w:val="1"/>
        </w:numPr>
        <w:rPr/>
      </w:pPr>
      <w:bookmarkStart w:id="61" w:name="__RefHeading___Toc3818245_581953129"/>
      <w:bookmarkStart w:id="62" w:name="_Toc25"/>
      <w:bookmarkEnd w:id="61"/>
      <w:r>
        <w:rPr>
          <w:rtl w:val="true"/>
        </w:rPr>
        <w:t>الاعتبار الرابع</w:t>
      </w:r>
      <w:bookmarkEnd w:id="62"/>
    </w:p>
    <w:p>
      <w:pPr>
        <w:pStyle w:val="Heading5"/>
        <w:numPr>
          <w:ilvl w:val="4"/>
          <w:numId w:val="1"/>
        </w:numPr>
        <w:rPr/>
      </w:pPr>
      <w:bookmarkStart w:id="63" w:name="__RefHeading___Toc3818247_581953129"/>
      <w:bookmarkStart w:id="64" w:name="_Toc26"/>
      <w:bookmarkEnd w:id="63"/>
      <w:r>
        <w:rPr>
          <w:rtl w:val="true"/>
        </w:rPr>
        <w:t>اشارة</w:t>
      </w:r>
      <w:bookmarkEnd w:id="64"/>
    </w:p>
    <w:p>
      <w:pPr>
        <w:pStyle w:val="BookText"/>
        <w:rPr/>
      </w:pPr>
      <w:r>
        <w:rPr>
          <w:rFonts w:ascii="IRNazanin" w:hAnsi="IRNazanin" w:eastAsia="IRNazanin"/>
          <w:color w:val="111111"/>
          <w:sz w:val="28"/>
          <w:sz w:val="28"/>
          <w:szCs w:val="28"/>
          <w:rtl w:val="true"/>
          <w:lang w:bidi="fa-IR"/>
        </w:rPr>
        <w:t>علی الرغم من کون القرآن الکریم کلاماً عربیاً إلّا أنّه تمیّز بأسالیب تعبیریة خاصة به، فهو بلیغ فی قوالبه اللفظیة، بل هو فی غایة البلاغة، فقد جاءت تعابیره مطابقة لما یقتضیه حال الخطاب مع فصاحة ألفاظه مفردها ومرکّبها، ولم یقتصر القرآن الکریم فی بیانه علی إیجاد المعانی الجلیلة واختیار ألفاظ واضحة وعذبة، بل امتاز أیضاً باعتماده أسالیب مناسبة للتألیف بین تلک المعانی والألفاظ ممّا یکسبها قوة وجمالاً وروعة، ومعرفة هذا یتطلّب خبرة بکلام العرب، من هنا حاول العلماء الترکیز علی هذه الناحیة القرآنیة وإبراز ما فیها من بلاغة وفصاحة، فإنّ القرآن الکریم بوصفه مجموعة مفردات وتراکیب لفظیة تعبّر عن معانٍ یکون موضوعاً لعلم البلاغة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فعلم البلاغة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علم یبیّن کون النصّ القرآنی معبّراً عن المعانی التی یریدها بأفضل الألفاظ، والصیغ العربیة الممکنة، وبأدقّ التعابیر التی تتوفّر علیها اللغة العربیة</w:t>
      </w:r>
      <w:r>
        <w:rPr>
          <w:rFonts w:eastAsia="IRNazanin" w:cs="IRNazanin"/>
          <w:color w:val="111111"/>
          <w:sz w:val="28"/>
          <w:szCs w:val="28"/>
          <w:rtl w:val="true"/>
          <w:lang w:bidi="fa-IR"/>
        </w:rPr>
        <w:t>.</w:t>
      </w:r>
    </w:p>
    <w:p>
      <w:pPr>
        <w:pStyle w:val="Heading5"/>
        <w:numPr>
          <w:ilvl w:val="4"/>
          <w:numId w:val="1"/>
        </w:numPr>
        <w:rPr/>
      </w:pPr>
      <w:bookmarkStart w:id="65" w:name="__RefHeading___Toc3818249_581953129"/>
      <w:bookmarkStart w:id="66" w:name="_Toc27"/>
      <w:bookmarkEnd w:id="65"/>
      <w:r>
        <w:rPr>
          <w:rtl w:val="true"/>
        </w:rPr>
        <w:t xml:space="preserve">أمثلة لبعض المصادر </w:t>
      </w:r>
      <w:r>
        <w:rPr>
          <w:rtl w:val="true"/>
        </w:rPr>
        <w:t>(</w:t>
      </w:r>
      <w:r>
        <w:rPr>
          <w:rtl w:val="true"/>
        </w:rPr>
        <w:t>فی بلاغة القرآن</w:t>
      </w:r>
      <w:r>
        <w:rPr>
          <w:rtl w:val="true"/>
        </w:rPr>
        <w:t>)</w:t>
      </w:r>
      <w:bookmarkEnd w:id="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أسرار ترتیب القرآن، عبد الرحمن بن أبی بکر السیوطی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أسرار التکرار فی القرآن، محمود بن حمزة بن نصر الکرمانی</w:t>
      </w:r>
      <w:bookmarkStart w:id="67" w:name="pg5707_46397"/>
    </w:p>
    <w:p>
      <w:pPr>
        <w:pStyle w:val="BookText"/>
        <w:rPr/>
      </w:pPr>
      <w:bookmarkEnd w:id="6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الأمثال فی القرآن، شمس الدین محمّد بن أبی بکر الزرعی الدمشقی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الجمان فی تشبیهات القرآن، ابن ناقیا البغدادی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الدرر فی تناسب الآیات والسور، برهان الدین إبراهیم بن عمر البقاعی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التعبیرات القرآنیة، محمّد عتریس</w:t>
      </w:r>
    </w:p>
    <w:p>
      <w:pPr>
        <w:pStyle w:val="Heading4"/>
        <w:numPr>
          <w:ilvl w:val="3"/>
          <w:numId w:val="1"/>
        </w:numPr>
        <w:rPr/>
      </w:pPr>
      <w:bookmarkStart w:id="68" w:name="__RefHeading___Toc3818251_581953129"/>
      <w:bookmarkStart w:id="69" w:name="_Toc28"/>
      <w:bookmarkEnd w:id="68"/>
      <w:r>
        <w:rPr>
          <w:rtl w:val="true"/>
        </w:rPr>
        <w:t>الاعتبار الخامس</w:t>
      </w:r>
      <w:bookmarkEnd w:id="69"/>
    </w:p>
    <w:p>
      <w:pPr>
        <w:pStyle w:val="Heading5"/>
        <w:numPr>
          <w:ilvl w:val="4"/>
          <w:numId w:val="1"/>
        </w:numPr>
        <w:rPr/>
      </w:pPr>
      <w:bookmarkStart w:id="70" w:name="__RefHeading___Toc3818253_581953129"/>
      <w:bookmarkStart w:id="71" w:name="_Toc29"/>
      <w:bookmarkEnd w:id="70"/>
      <w:r>
        <w:rPr>
          <w:rtl w:val="true"/>
        </w:rPr>
        <w:t>اشارة</w:t>
      </w:r>
      <w:bookmarkEnd w:id="71"/>
    </w:p>
    <w:p>
      <w:pPr>
        <w:pStyle w:val="BookText"/>
        <w:rPr/>
      </w:pPr>
      <w:r>
        <w:rPr>
          <w:rFonts w:ascii="IRNazanin" w:hAnsi="IRNazanin" w:eastAsia="IRNazanin"/>
          <w:color w:val="111111"/>
          <w:sz w:val="28"/>
          <w:sz w:val="28"/>
          <w:szCs w:val="28"/>
          <w:rtl w:val="true"/>
          <w:lang w:bidi="fa-IR"/>
        </w:rPr>
        <w:t>إنّ القرآن الکریم، حیث إنّه لم ینزل دفعة واحدة وإنّما نزل نجوماً بحسب الحاجة و متناسباً مع الظروف، وهذا النزول علی 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نزل ابتداءً وقسم نزل عقب واقعة أو سؤال ونحو ذلک، وهذا القسم الثانی یشکّل مقداراً معتدّاً به من آیات القرآن، ومن ثَمّ وقع البحث عن تلک الأحداث التی اقترنت وارتبطت بنزولها، فإنّ القرآن بوصفه مرتبطاً بوقائع معیّنة فی عهد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موضوعاً لعلم أسباب النزول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فعلم أسباب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علم یبیّن مدی ارتباط نزول بعض آیات الکتاب بوقائع ما، سواءً أکانت وقائع 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اجتماعیة أو سیاسیة أو 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وقائع شخصیة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ولهذا العلم عدّة فوائد،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معرفة أسباب النزول له تأثیر علی المعنی المراد من الآیة ویکشف عن مفادها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سبب النزول ربّما ینفع فی معرفة ما إذا کان النصّ القرآنی خاصّاً أو عامّاً، فإنّ مورد النزول قد یخصّص النصّ الوارد فی بعض الأحیان، وقد لایخصّصه فی أحیان اخری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وجه الحکمة فی تشریع بعض الأحکام أو فی توجیه بعض الخطابات، أو فی استخدام بعض الأسالیب والتعابیر</w:t>
      </w:r>
      <w:r>
        <w:rPr>
          <w:rFonts w:eastAsia="IRNazanin" w:cs="IRNazanin"/>
          <w:color w:val="111111"/>
          <w:sz w:val="28"/>
          <w:szCs w:val="28"/>
          <w:rtl w:val="true"/>
          <w:lang w:bidi="fa-IR"/>
        </w:rPr>
        <w:t>.</w:t>
      </w:r>
    </w:p>
    <w:p>
      <w:pPr>
        <w:pStyle w:val="Heading5"/>
        <w:numPr>
          <w:ilvl w:val="4"/>
          <w:numId w:val="1"/>
        </w:numPr>
        <w:rPr/>
      </w:pPr>
      <w:bookmarkStart w:id="72" w:name="__RefHeading___Toc3818255_581953129"/>
      <w:bookmarkStart w:id="73" w:name="_Toc30"/>
      <w:bookmarkEnd w:id="72"/>
      <w:r>
        <w:rPr>
          <w:rtl w:val="true"/>
        </w:rPr>
        <w:t xml:space="preserve">أمثلة لبعض المصادر </w:t>
      </w:r>
      <w:r>
        <w:rPr>
          <w:rtl w:val="true"/>
        </w:rPr>
        <w:t>(</w:t>
      </w:r>
      <w:r>
        <w:rPr>
          <w:rtl w:val="true"/>
        </w:rPr>
        <w:t>فی عدم أسباب النزول</w:t>
      </w:r>
      <w:r>
        <w:rPr>
          <w:rtl w:val="true"/>
        </w:rPr>
        <w:t>)</w:t>
      </w:r>
      <w:bookmarkEnd w:id="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العجاب فی بیان الأسباب، شهاب الدین أحمد بن علی</w:t>
      </w:r>
      <w:bookmarkStart w:id="74" w:name="pg5707_46398"/>
    </w:p>
    <w:p>
      <w:pPr>
        <w:pStyle w:val="BookText"/>
        <w:rPr/>
      </w:pPr>
      <w:bookmarkEnd w:id="7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لباب النقول فی أسباب النزول، عبد الرحمن بن أبی بکر السیوطی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أسباب النزول، علی بن أحمد الواحدی النیسابوری</w:t>
      </w:r>
    </w:p>
    <w:p>
      <w:pPr>
        <w:pStyle w:val="Heading4"/>
        <w:numPr>
          <w:ilvl w:val="3"/>
          <w:numId w:val="1"/>
        </w:numPr>
        <w:rPr/>
      </w:pPr>
      <w:bookmarkStart w:id="75" w:name="__RefHeading___Toc3818257_581953129"/>
      <w:bookmarkStart w:id="76" w:name="_Toc31"/>
      <w:bookmarkEnd w:id="75"/>
      <w:r>
        <w:rPr>
          <w:rtl w:val="true"/>
        </w:rPr>
        <w:t>الاعتبار السادس</w:t>
      </w:r>
      <w:bookmarkEnd w:id="76"/>
    </w:p>
    <w:p>
      <w:pPr>
        <w:pStyle w:val="Heading5"/>
        <w:numPr>
          <w:ilvl w:val="4"/>
          <w:numId w:val="1"/>
        </w:numPr>
        <w:rPr/>
      </w:pPr>
      <w:bookmarkStart w:id="77" w:name="__RefHeading___Toc3818259_581953129"/>
      <w:bookmarkStart w:id="78" w:name="_Toc32"/>
      <w:bookmarkEnd w:id="77"/>
      <w:r>
        <w:rPr>
          <w:rtl w:val="true"/>
        </w:rPr>
        <w:t>اشارة</w:t>
      </w:r>
      <w:bookmarkEnd w:id="78"/>
    </w:p>
    <w:p>
      <w:pPr>
        <w:pStyle w:val="BookText"/>
        <w:rPr/>
      </w:pPr>
      <w:r>
        <w:rPr>
          <w:rFonts w:ascii="IRNazanin" w:hAnsi="IRNazanin" w:eastAsia="IRNazanin"/>
          <w:color w:val="111111"/>
          <w:sz w:val="28"/>
          <w:sz w:val="28"/>
          <w:szCs w:val="28"/>
          <w:rtl w:val="true"/>
          <w:lang w:bidi="fa-IR"/>
        </w:rPr>
        <w:t>من المقطوع به أنّ القرآن الکریم کان یُکتَب من قِبل بعض المسلمین منذ أول نزوله، وأیضاً کان یُکتَب بعد نزوله إلّا أنّه کتب بطریقة خاصّة، وهی وإن کانت متعارفة آنذاک بید أنّها تختلف عمّا هو متعارف الآن من قواعد وضوابط الخطّ العربی، لکن المسلمین ظلّوا محافظین علی الطریقة التقلیدیة المتوارثة ذاتها ولم یغیّروا منها شیئاً، ویُصطَلح علی ذلک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رسم المصحف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القرآن الکریم باعتبار لفظه المکتوب یکون موضوعاً لعلم رسم القرآن، وهو علم یبحث فی رسم القرآن وطریقة کتابتها لخاصّة به، 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الیاء فی بأیید </w:t>
      </w:r>
      <w:r>
        <w:rPr>
          <w:rStyle w:val="FootnoteAnchor"/>
          <w:rtl w:val="true"/>
        </w:rPr>
        <w:footnoteReference w:id="4"/>
      </w:r>
      <w:r>
        <w:rPr>
          <w:rFonts w:ascii="IRNazanin" w:hAnsi="IRNazanin" w:eastAsia="IRNazanin"/>
          <w:color w:val="111111"/>
          <w:sz w:val="28"/>
          <w:sz w:val="28"/>
          <w:szCs w:val="28"/>
          <w:rtl w:val="true"/>
          <w:lang w:bidi="fa-IR"/>
        </w:rPr>
        <w:t xml:space="preserve">و بأییکم </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زیادة الألف فی سَعَوا </w:t>
      </w:r>
      <w:r>
        <w:rPr>
          <w:rStyle w:val="FootnoteAnchor"/>
          <w:rtl w:val="true"/>
        </w:rPr>
        <w:footnoteReference w:id="6"/>
      </w:r>
      <w:r>
        <w:rPr>
          <w:rFonts w:ascii="Amiri" w:hAnsi="Amiri" w:eastAsia="Amiri" w:cs="Amiri"/>
          <w:color w:val="111111"/>
          <w:sz w:val="28"/>
          <w:sz w:val="28"/>
          <w:szCs w:val="28"/>
          <w:rtl w:val="true"/>
          <w:lang w:bidi="ar-SA"/>
        </w:rPr>
        <w:t xml:space="preserve">فی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ونقصانها من سَعَوا </w:t>
      </w:r>
      <w:r>
        <w:rPr>
          <w:rStyle w:val="FootnoteAnchor"/>
          <w:rtl w:val="true"/>
        </w:rPr>
        <w:footnoteReference w:id="7"/>
      </w:r>
      <w:r>
        <w:rPr>
          <w:rFonts w:ascii="IRNazanin" w:hAnsi="IRNazanin" w:eastAsia="IRNazanin"/>
          <w:color w:val="111111"/>
          <w:sz w:val="28"/>
          <w:sz w:val="28"/>
          <w:szCs w:val="28"/>
          <w:rtl w:val="true"/>
          <w:lang w:bidi="fa-IR"/>
        </w:rPr>
        <w:t xml:space="preserve">فی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زیادة الألف فی یَعفُوَا الَّذِی </w:t>
      </w:r>
      <w:r>
        <w:rPr>
          <w:rStyle w:val="FootnoteAnchor"/>
          <w:rtl w:val="true"/>
        </w:rPr>
        <w:footnoteReference w:id="8"/>
      </w:r>
      <w:r>
        <w:rPr>
          <w:rFonts w:ascii="Amiri" w:hAnsi="Amiri" w:eastAsia="Amiri" w:cs="Amiri"/>
          <w:color w:val="111111"/>
          <w:sz w:val="28"/>
          <w:sz w:val="28"/>
          <w:szCs w:val="28"/>
          <w:rtl w:val="true"/>
          <w:lang w:bidi="ar-SA"/>
        </w:rPr>
        <w:t xml:space="preserve">فی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ونقصانها من یَعفُوَ عَنهُم </w:t>
      </w:r>
      <w:r>
        <w:rPr>
          <w:rStyle w:val="FootnoteAnchor"/>
          <w:rtl w:val="true"/>
        </w:rPr>
        <w:footnoteReference w:id="9"/>
      </w:r>
      <w:r>
        <w:rPr>
          <w:rFonts w:ascii="IRNazanin" w:hAnsi="IRNazanin" w:eastAsia="IRNazanin"/>
          <w:color w:val="111111"/>
          <w:sz w:val="28"/>
          <w:sz w:val="28"/>
          <w:szCs w:val="28"/>
          <w:rtl w:val="true"/>
          <w:lang w:bidi="fa-IR"/>
        </w:rPr>
        <w:t xml:space="preserve">فی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حدّدوا للرسم القرآنی قواعد خاصّة حصرها بعضهم فی ستّ، هی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الحذف، والزیادة، والهمز، والبدل، والفصل، والوصل</w:t>
      </w:r>
      <w:r>
        <w:rPr>
          <w:rFonts w:eastAsia="IRNazanin" w:cs="IRNazanin"/>
          <w:color w:val="111111"/>
          <w:sz w:val="28"/>
          <w:szCs w:val="28"/>
          <w:rtl w:val="true"/>
          <w:lang w:bidi="fa-IR"/>
        </w:rPr>
        <w:t>.</w:t>
      </w:r>
      <w:bookmarkStart w:id="79" w:name="pg5707_46399"/>
    </w:p>
    <w:p>
      <w:pPr>
        <w:pStyle w:val="Heading5"/>
        <w:numPr>
          <w:ilvl w:val="4"/>
          <w:numId w:val="1"/>
        </w:numPr>
        <w:rPr/>
      </w:pPr>
      <w:bookmarkStart w:id="80" w:name="__RefHeading___Toc3818261_581953129"/>
      <w:bookmarkStart w:id="81" w:name="_Toc33"/>
      <w:bookmarkEnd w:id="79"/>
      <w:bookmarkEnd w:id="80"/>
      <w:r>
        <w:rPr>
          <w:rtl w:val="true"/>
        </w:rPr>
        <w:t xml:space="preserve">أمثلة لبعض المصادر </w:t>
      </w:r>
      <w:r>
        <w:rPr>
          <w:rtl w:val="true"/>
        </w:rPr>
        <w:t>(</w:t>
      </w:r>
      <w:r>
        <w:rPr>
          <w:rtl w:val="true"/>
        </w:rPr>
        <w:t>فی الرسم القرآن</w:t>
      </w:r>
      <w:r>
        <w:rPr>
          <w:rtl w:val="true"/>
        </w:rPr>
        <w:t>)</w:t>
      </w:r>
      <w:bookmarkEnd w:id="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المحکم فی نقط المصاحف، عثمان بن سعید الدانی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رسم المصحف، غانم قدّوری الحَمَد</w:t>
      </w:r>
    </w:p>
    <w:p>
      <w:pPr>
        <w:pStyle w:val="Heading4"/>
        <w:numPr>
          <w:ilvl w:val="3"/>
          <w:numId w:val="1"/>
        </w:numPr>
        <w:rPr/>
      </w:pPr>
      <w:bookmarkStart w:id="82" w:name="__RefHeading___Toc3818263_581953129"/>
      <w:bookmarkStart w:id="83" w:name="_Toc34"/>
      <w:bookmarkEnd w:id="82"/>
      <w:r>
        <w:rPr>
          <w:rtl w:val="true"/>
        </w:rPr>
        <w:t>الاعتبار السابع</w:t>
      </w:r>
      <w:bookmarkEnd w:id="83"/>
    </w:p>
    <w:p>
      <w:pPr>
        <w:pStyle w:val="Heading5"/>
        <w:numPr>
          <w:ilvl w:val="4"/>
          <w:numId w:val="1"/>
        </w:numPr>
        <w:rPr/>
      </w:pPr>
      <w:bookmarkStart w:id="84" w:name="__RefHeading___Toc3818265_581953129"/>
      <w:bookmarkStart w:id="85" w:name="_Toc35"/>
      <w:bookmarkEnd w:id="84"/>
      <w:r>
        <w:rPr>
          <w:rtl w:val="true"/>
        </w:rPr>
        <w:t>اشارة</w:t>
      </w:r>
      <w:bookmarkEnd w:id="85"/>
    </w:p>
    <w:p>
      <w:pPr>
        <w:pStyle w:val="BookText"/>
        <w:rPr/>
      </w:pPr>
      <w:r>
        <w:rPr>
          <w:rFonts w:ascii="IRNazanin" w:hAnsi="IRNazanin" w:eastAsia="IRNazanin"/>
          <w:color w:val="111111"/>
          <w:sz w:val="28"/>
          <w:sz w:val="28"/>
          <w:szCs w:val="28"/>
          <w:rtl w:val="true"/>
          <w:lang w:bidi="fa-IR"/>
        </w:rPr>
        <w:t>إنّ القرآن الکریم بوصفه کلاماً مقروءاً یکون موضوعاً لعلم قراءة القرآن، وهو علم یبحث فی ضبط حروف الکلمات القرآنیة وحرکاتها وطریقة قراءتها، ومنه یُعلم اتفاق الناقلین لکتاب الله واختلافهم فی الحذف والإثبات والتحریک والتسکین والفصل والوصل وغیر ذلک من هیئة النطق والإبدال، وغیره من حیث السماع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أقدم العلوم فی الإسلام نشأة وعهداً، حیث إنّ أوّل ما تعلّمه المسلمون من علوم الدین کان حفظ القرآن وقراءته، وقد مرّت القراءات القرآنیة بأدوار مختلفة قطعتها ضمن مراحل شتّی حتّی استقرّت علماً بین علوم القرآن الکریم، ولمّا اختلف الناس فی قراءة القرآن وضبط ألفاظه مسّت الحاجة إلی علم قراءة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وفائدته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به یمیّز بین ما تسوغ القراءة به وما لا تسوغ وقایة لکلمات القرآن من التحریف، وفی بعض الأحیان یکون لکیفیة القراءة تأثیر علی تفسیر الآیة ومفادها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أفاد علم القراءة المسلمین فائدة لم تحظَ بها امّة سواهم؛ وذلک أنّ البحث فی مخارج الحروف والاهتمام بضبطها علی وجوهها الصحیحة کان له أبلغ العوامل فی عنایة المسلمین بدقائق اللغة العربیة وقواعدها</w:t>
      </w:r>
      <w:r>
        <w:rPr>
          <w:rFonts w:eastAsia="IRNazanin" w:cs="IRNazanin"/>
          <w:color w:val="111111"/>
          <w:sz w:val="28"/>
          <w:szCs w:val="28"/>
          <w:rtl w:val="true"/>
          <w:lang w:bidi="fa-IR"/>
        </w:rPr>
        <w:t>.</w:t>
      </w:r>
    </w:p>
    <w:p>
      <w:pPr>
        <w:pStyle w:val="Heading5"/>
        <w:numPr>
          <w:ilvl w:val="4"/>
          <w:numId w:val="1"/>
        </w:numPr>
        <w:rPr/>
      </w:pPr>
      <w:bookmarkStart w:id="86" w:name="__RefHeading___Toc3818267_581953129"/>
      <w:bookmarkStart w:id="87" w:name="_Toc36"/>
      <w:bookmarkEnd w:id="86"/>
      <w:r>
        <w:rPr>
          <w:rtl w:val="true"/>
        </w:rPr>
        <w:t xml:space="preserve">أمثلة لبعض المصادر </w:t>
      </w:r>
      <w:r>
        <w:rPr>
          <w:rtl w:val="true"/>
        </w:rPr>
        <w:t>(</w:t>
      </w:r>
      <w:r>
        <w:rPr>
          <w:rtl w:val="true"/>
        </w:rPr>
        <w:t>فی علم القراءة</w:t>
      </w:r>
      <w:r>
        <w:rPr>
          <w:rtl w:val="true"/>
        </w:rPr>
        <w:t>)</w:t>
      </w:r>
      <w:bookmarkEnd w:id="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القراءات، أحمد بن عمر الحموی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إتحاف فضلاء البشر فی القراءات الأربعة عشر، شهاب الدین أحمد بن محمّد الدمیاطی</w:t>
      </w:r>
      <w:bookmarkStart w:id="88" w:name="pg5707_46400"/>
    </w:p>
    <w:p>
      <w:pPr>
        <w:pStyle w:val="BookText"/>
        <w:rPr/>
      </w:pPr>
      <w:bookmarkEnd w:id="8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التیسیر فی القراءات السبع، أبو عمرو عثمان بن سعید الدانی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الحجّة فی القراءات السبع، الحسین بن أحمد بن خالویه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القراءات، الخطیب</w:t>
      </w:r>
    </w:p>
    <w:p>
      <w:pPr>
        <w:pStyle w:val="Heading4"/>
        <w:numPr>
          <w:ilvl w:val="3"/>
          <w:numId w:val="1"/>
        </w:numPr>
        <w:rPr/>
      </w:pPr>
      <w:bookmarkStart w:id="89" w:name="__RefHeading___Toc3818269_581953129"/>
      <w:bookmarkStart w:id="90" w:name="_Toc37"/>
      <w:bookmarkEnd w:id="89"/>
      <w:r>
        <w:rPr>
          <w:rtl w:val="true"/>
        </w:rPr>
        <w:t>الاعتبار الثامن</w:t>
      </w:r>
      <w:bookmarkEnd w:id="90"/>
    </w:p>
    <w:p>
      <w:pPr>
        <w:pStyle w:val="Heading5"/>
        <w:numPr>
          <w:ilvl w:val="4"/>
          <w:numId w:val="1"/>
        </w:numPr>
        <w:rPr/>
      </w:pPr>
      <w:bookmarkStart w:id="91" w:name="__RefHeading___Toc3818271_581953129"/>
      <w:bookmarkStart w:id="92" w:name="_Toc38"/>
      <w:bookmarkEnd w:id="91"/>
      <w:r>
        <w:rPr>
          <w:rtl w:val="true"/>
        </w:rPr>
        <w:t>اشارة</w:t>
      </w:r>
      <w:bookmarkEnd w:id="92"/>
    </w:p>
    <w:p>
      <w:pPr>
        <w:pStyle w:val="BookText"/>
        <w:rPr/>
      </w:pPr>
      <w:r>
        <w:rPr>
          <w:rFonts w:ascii="IRNazanin" w:hAnsi="IRNazanin" w:eastAsia="IRNazanin"/>
          <w:color w:val="111111"/>
          <w:sz w:val="28"/>
          <w:sz w:val="28"/>
          <w:szCs w:val="28"/>
          <w:rtl w:val="true"/>
          <w:lang w:bidi="fa-IR"/>
        </w:rPr>
        <w:t>إنّ القرآن الکریم بوصفه مصدراً من مصادر التشریع یکون موضوعاً لعلم آیات الأحکام وفقه القرآن، وسیأتی لذلک مزید بیان</w:t>
      </w:r>
      <w:r>
        <w:rPr>
          <w:rFonts w:eastAsia="IRNazanin" w:cs="IRNazanin"/>
          <w:color w:val="111111"/>
          <w:sz w:val="28"/>
          <w:szCs w:val="28"/>
          <w:rtl w:val="true"/>
          <w:lang w:bidi="fa-IR"/>
        </w:rPr>
        <w:t>.</w:t>
      </w:r>
    </w:p>
    <w:p>
      <w:pPr>
        <w:pStyle w:val="Heading5"/>
        <w:numPr>
          <w:ilvl w:val="4"/>
          <w:numId w:val="1"/>
        </w:numPr>
        <w:rPr/>
      </w:pPr>
      <w:bookmarkStart w:id="93" w:name="__RefHeading___Toc3818273_581953129"/>
      <w:bookmarkStart w:id="94" w:name="_Toc39"/>
      <w:bookmarkEnd w:id="93"/>
      <w:r>
        <w:rPr>
          <w:rtl w:val="true"/>
        </w:rPr>
        <w:t xml:space="preserve">أمثلة لبعض المصادر </w:t>
      </w:r>
      <w:r>
        <w:rPr>
          <w:rtl w:val="true"/>
        </w:rPr>
        <w:t>(</w:t>
      </w:r>
      <w:r>
        <w:rPr>
          <w:rtl w:val="true"/>
        </w:rPr>
        <w:t>علم آیات الأحکام</w:t>
      </w:r>
      <w:r>
        <w:rPr>
          <w:rtl w:val="true"/>
        </w:rPr>
        <w:t>)</w:t>
      </w:r>
      <w:bookmarkEnd w:id="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أحکام القرآن، أحمد بن علی الجصّاص الرازی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أحکام القرآن، علی بن محمّد الطبری الکیاهراسی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أحکام القرآن، محمّد بن عبد الله الأندلسی، المعروف بابن العربی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القرآن، قطب الدین سعید بن هبة الدین الراوندی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العرفان، الفاضل المقداد السیوری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زبدة البیان فی شرح آیات الأحکام، أحمد بن محمّد، المعروف بالمقدّس الأردبیلی</w:t>
      </w:r>
    </w:p>
    <w:p>
      <w:pPr>
        <w:pStyle w:val="Heading4"/>
        <w:numPr>
          <w:ilvl w:val="3"/>
          <w:numId w:val="1"/>
        </w:numPr>
        <w:rPr/>
      </w:pPr>
      <w:bookmarkStart w:id="95" w:name="__RefHeading___Toc3818275_581953129"/>
      <w:bookmarkStart w:id="96" w:name="_Toc40"/>
      <w:bookmarkEnd w:id="95"/>
      <w:r>
        <w:rPr>
          <w:rtl w:val="true"/>
        </w:rPr>
        <w:t>الاعتبار التاسع</w:t>
      </w:r>
      <w:bookmarkEnd w:id="96"/>
    </w:p>
    <w:p>
      <w:pPr>
        <w:pStyle w:val="Heading5"/>
        <w:numPr>
          <w:ilvl w:val="4"/>
          <w:numId w:val="1"/>
        </w:numPr>
        <w:rPr/>
      </w:pPr>
      <w:bookmarkStart w:id="97" w:name="__RefHeading___Toc3818277_581953129"/>
      <w:bookmarkStart w:id="98" w:name="_Toc41"/>
      <w:bookmarkEnd w:id="97"/>
      <w:r>
        <w:rPr>
          <w:rtl w:val="true"/>
        </w:rPr>
        <w:t>اشارة</w:t>
      </w:r>
      <w:bookmarkEnd w:id="98"/>
    </w:p>
    <w:p>
      <w:pPr>
        <w:pStyle w:val="BookText"/>
        <w:rPr/>
      </w:pPr>
      <w:r>
        <w:rPr>
          <w:rFonts w:ascii="IRNazanin" w:hAnsi="IRNazanin" w:eastAsia="IRNazanin"/>
          <w:color w:val="111111"/>
          <w:sz w:val="28"/>
          <w:sz w:val="28"/>
          <w:szCs w:val="28"/>
          <w:rtl w:val="true"/>
          <w:lang w:bidi="fa-IR"/>
        </w:rPr>
        <w:t xml:space="preserve">إنّ القرآن الکریم بوصفه آیات نزلت فی مکّة والمدینة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الفترة المکّیة أو المدنیة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موضوعاً لعلم المکّی والمدنی</w:t>
      </w:r>
      <w:r>
        <w:rPr>
          <w:rFonts w:eastAsia="IRNazanin" w:cs="IRNazanin"/>
          <w:color w:val="111111"/>
          <w:sz w:val="28"/>
          <w:szCs w:val="28"/>
          <w:rtl w:val="true"/>
          <w:lang w:bidi="fa-IR"/>
        </w:rPr>
        <w:t>.</w:t>
      </w:r>
    </w:p>
    <w:p>
      <w:pPr>
        <w:pStyle w:val="Heading5"/>
        <w:numPr>
          <w:ilvl w:val="4"/>
          <w:numId w:val="1"/>
        </w:numPr>
        <w:rPr/>
      </w:pPr>
      <w:bookmarkStart w:id="99" w:name="__RefHeading___Toc3818279_581953129"/>
      <w:bookmarkStart w:id="100" w:name="_Toc42"/>
      <w:bookmarkEnd w:id="99"/>
      <w:r>
        <w:rPr>
          <w:rtl w:val="true"/>
        </w:rPr>
        <w:t xml:space="preserve">أمثلة لبعض المصادر </w:t>
      </w:r>
      <w:r>
        <w:rPr>
          <w:rtl w:val="true"/>
        </w:rPr>
        <w:t>(</w:t>
      </w:r>
      <w:r>
        <w:rPr>
          <w:rtl w:val="true"/>
        </w:rPr>
        <w:t>علم المکّی والمدنی</w:t>
      </w:r>
      <w:r>
        <w:rPr>
          <w:rtl w:val="true"/>
        </w:rPr>
        <w:t>)</w:t>
      </w:r>
      <w:bookmarkEnd w:id="1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تنزیل القرآن بمکّة والمدینة، ابن شهاب الزهری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البیان فی عدّ آی القرآن، عبد الرحمن بن أبی بکر السیوطی</w:t>
      </w:r>
      <w:bookmarkStart w:id="101" w:name="pg5707_46401"/>
    </w:p>
    <w:p>
      <w:pPr>
        <w:pStyle w:val="Heading4"/>
        <w:numPr>
          <w:ilvl w:val="3"/>
          <w:numId w:val="1"/>
        </w:numPr>
        <w:rPr/>
      </w:pPr>
      <w:bookmarkStart w:id="102" w:name="__RefHeading___Toc3818281_581953129"/>
      <w:bookmarkStart w:id="103" w:name="_Toc43"/>
      <w:bookmarkEnd w:id="101"/>
      <w:bookmarkEnd w:id="102"/>
      <w:r>
        <w:rPr>
          <w:rtl w:val="true"/>
        </w:rPr>
        <w:t>الاعتبار العاشر</w:t>
      </w:r>
      <w:bookmarkEnd w:id="103"/>
    </w:p>
    <w:p>
      <w:pPr>
        <w:pStyle w:val="Heading5"/>
        <w:numPr>
          <w:ilvl w:val="4"/>
          <w:numId w:val="1"/>
        </w:numPr>
        <w:rPr/>
      </w:pPr>
      <w:bookmarkStart w:id="104" w:name="__RefHeading___Toc3818283_581953129"/>
      <w:bookmarkStart w:id="105" w:name="_Toc44"/>
      <w:bookmarkEnd w:id="104"/>
      <w:r>
        <w:rPr>
          <w:rtl w:val="true"/>
        </w:rPr>
        <w:t>اشارة</w:t>
      </w:r>
      <w:bookmarkEnd w:id="105"/>
    </w:p>
    <w:p>
      <w:pPr>
        <w:pStyle w:val="BookText"/>
        <w:rPr/>
      </w:pPr>
      <w:r>
        <w:rPr>
          <w:rFonts w:ascii="IRNazanin" w:hAnsi="IRNazanin" w:eastAsia="IRNazanin"/>
          <w:color w:val="111111"/>
          <w:sz w:val="28"/>
          <w:sz w:val="28"/>
          <w:szCs w:val="28"/>
          <w:rtl w:val="true"/>
          <w:lang w:bidi="fa-IR"/>
        </w:rPr>
        <w:t>إنّ القرآن الکریم باعتباره متضمّناً لبعض الآیات الدالّة علی عدم استمراریة بعض الأحکام التی شرّعها یکون موضوعاً لعلم الناسخ والمنسوخ</w:t>
      </w:r>
      <w:r>
        <w:rPr>
          <w:rFonts w:eastAsia="IRNazanin" w:cs="IRNazanin"/>
          <w:color w:val="111111"/>
          <w:sz w:val="28"/>
          <w:szCs w:val="28"/>
          <w:rtl w:val="true"/>
          <w:lang w:bidi="fa-IR"/>
        </w:rPr>
        <w:t>.</w:t>
      </w:r>
    </w:p>
    <w:p>
      <w:pPr>
        <w:pStyle w:val="Heading5"/>
        <w:numPr>
          <w:ilvl w:val="4"/>
          <w:numId w:val="1"/>
        </w:numPr>
        <w:rPr/>
      </w:pPr>
      <w:bookmarkStart w:id="106" w:name="__RefHeading___Toc3818285_581953129"/>
      <w:bookmarkStart w:id="107" w:name="_Toc45"/>
      <w:bookmarkEnd w:id="106"/>
      <w:r>
        <w:rPr>
          <w:rtl w:val="true"/>
        </w:rPr>
        <w:t xml:space="preserve">أمثلة لبعض المصادر </w:t>
      </w:r>
      <w:r>
        <w:rPr>
          <w:rtl w:val="true"/>
        </w:rPr>
        <w:t>(</w:t>
      </w:r>
      <w:r>
        <w:rPr>
          <w:rtl w:val="true"/>
        </w:rPr>
        <w:t>علم المحکم والمتشابه</w:t>
      </w:r>
      <w:r>
        <w:rPr>
          <w:rtl w:val="true"/>
        </w:rPr>
        <w:t>)</w:t>
      </w:r>
      <w:bookmarkEnd w:id="1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المصفّی من علم الناسخ والمنسوخ، عبد الرحمن بن الجوزی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الناسخ والمنسوخ، علی بن أحمد بن حزم الظاهری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الناسخ والمنسوخ، أحمد بن محمّد المرادی النحّاس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الناسخ والمنسوخ، قتادة بن دعامة السدوسی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الناسخ والمنسوخ، هبة الله بن سلامة بن نصر المقری</w:t>
      </w:r>
    </w:p>
    <w:p>
      <w:pPr>
        <w:pStyle w:val="Heading4"/>
        <w:numPr>
          <w:ilvl w:val="3"/>
          <w:numId w:val="1"/>
        </w:numPr>
        <w:rPr/>
      </w:pPr>
      <w:bookmarkStart w:id="108" w:name="__RefHeading___Toc3818287_581953129"/>
      <w:bookmarkStart w:id="109" w:name="_Toc46"/>
      <w:bookmarkEnd w:id="108"/>
      <w:r>
        <w:rPr>
          <w:rtl w:val="true"/>
        </w:rPr>
        <w:t>الاعتبار الحادی عشر</w:t>
      </w:r>
      <w:bookmarkEnd w:id="109"/>
    </w:p>
    <w:p>
      <w:pPr>
        <w:pStyle w:val="Heading5"/>
        <w:numPr>
          <w:ilvl w:val="4"/>
          <w:numId w:val="1"/>
        </w:numPr>
        <w:rPr/>
      </w:pPr>
      <w:bookmarkStart w:id="110" w:name="__RefHeading___Toc3818289_581953129"/>
      <w:bookmarkStart w:id="111" w:name="_Toc47"/>
      <w:bookmarkEnd w:id="110"/>
      <w:r>
        <w:rPr>
          <w:rtl w:val="true"/>
        </w:rPr>
        <w:t>اشارة</w:t>
      </w:r>
      <w:bookmarkEnd w:id="111"/>
    </w:p>
    <w:p>
      <w:pPr>
        <w:pStyle w:val="BookText"/>
        <w:rPr/>
      </w:pPr>
      <w:r>
        <w:rPr>
          <w:rFonts w:ascii="IRNazanin" w:hAnsi="IRNazanin" w:eastAsia="IRNazanin"/>
          <w:color w:val="111111"/>
          <w:sz w:val="28"/>
          <w:sz w:val="28"/>
          <w:szCs w:val="28"/>
          <w:rtl w:val="true"/>
          <w:lang w:bidi="fa-IR"/>
        </w:rPr>
        <w:t>إنّ القرآن الکریم باعتباره متضمّناً لبعض الآیات الواضحة الدلالة، وبعض آخر فی دلالتها خفاء یکون موضوعاً لعلم المحکَم والمتشابه</w:t>
      </w:r>
      <w:r>
        <w:rPr>
          <w:rFonts w:eastAsia="IRNazanin" w:cs="IRNazanin"/>
          <w:color w:val="111111"/>
          <w:sz w:val="28"/>
          <w:szCs w:val="28"/>
          <w:rtl w:val="true"/>
          <w:lang w:bidi="fa-IR"/>
        </w:rPr>
        <w:t>.</w:t>
      </w:r>
    </w:p>
    <w:p>
      <w:pPr>
        <w:pStyle w:val="Heading5"/>
        <w:numPr>
          <w:ilvl w:val="4"/>
          <w:numId w:val="1"/>
        </w:numPr>
        <w:rPr/>
      </w:pPr>
      <w:bookmarkStart w:id="112" w:name="__RefHeading___Toc3818291_581953129"/>
      <w:bookmarkStart w:id="113" w:name="_Toc48"/>
      <w:bookmarkEnd w:id="112"/>
      <w:r>
        <w:rPr>
          <w:rtl w:val="true"/>
        </w:rPr>
        <w:t xml:space="preserve">أمثلة لبعض المصادر </w:t>
      </w:r>
      <w:r>
        <w:rPr>
          <w:rtl w:val="true"/>
        </w:rPr>
        <w:t>(</w:t>
      </w:r>
      <w:r>
        <w:rPr>
          <w:rtl w:val="true"/>
        </w:rPr>
        <w:t>فی الناسخ والمنسوخ</w:t>
      </w:r>
      <w:r>
        <w:rPr>
          <w:rtl w:val="true"/>
        </w:rPr>
        <w:t>)</w:t>
      </w:r>
      <w:bookmarkEnd w:id="1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متشابه القرآن ومختلفه، رشید الدین محمّد بن علی بن شهر آشوب المازندرانی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أقاویل الثقات فی تأویل الأسماء والصفات والآیات المحکمات والمتشابهات، زین الدین مرعی بن یوسف الکرمی المقدسی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درّة التنزیل وغرّة التأویل فی بیان الآیات المتشابهات فی کتاب الله العزیز، الخطیب الإسکافی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 مشکل القرآن، عبد الله بن مسلم بن قتیبة الدینوری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البرهان فی متشابه القرآن، محمّد بن حمزة الکرمانی</w:t>
      </w:r>
      <w:bookmarkStart w:id="114" w:name="pg5707_46402"/>
    </w:p>
    <w:p>
      <w:pPr>
        <w:pStyle w:val="BookText"/>
        <w:rPr/>
      </w:pPr>
      <w:bookmarkEnd w:id="114"/>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متشابه القرآن العظیم، أحمد بن جعفر بن أبی داوود المنادی</w:t>
      </w:r>
    </w:p>
    <w:p>
      <w:pPr>
        <w:pStyle w:val="BookText"/>
        <w:rPr/>
      </w:pPr>
      <w:r>
        <w:rPr>
          <w:rFonts w:ascii="IRNazanin" w:hAnsi="IRNazanin" w:eastAsia="IRNazanin"/>
          <w:color w:val="111111"/>
          <w:sz w:val="28"/>
          <w:sz w:val="28"/>
          <w:szCs w:val="28"/>
          <w:rtl w:val="true"/>
          <w:lang w:bidi="fa-IR"/>
        </w:rPr>
        <w:t xml:space="preserve">ثُمّ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 تلتقی وتشترک فی اتخاذها القرآن موضوعاً لدراستها، وتختلف فی الناحیة الملحوظة فیها من القرآن الکریم</w:t>
      </w:r>
      <w:r>
        <w:rPr>
          <w:rFonts w:eastAsia="IRNazanin" w:cs="IRNazanin"/>
          <w:color w:val="111111"/>
          <w:sz w:val="28"/>
          <w:szCs w:val="28"/>
          <w:rtl w:val="true"/>
          <w:lang w:bidi="fa-IR"/>
        </w:rPr>
        <w:t xml:space="preserve">. </w:t>
      </w:r>
      <w:r>
        <w:rPr>
          <w:rStyle w:val="FootnoteAnchor"/>
          <w:rtl w:val="true"/>
        </w:rPr>
        <w:footnoteReference w:id="10"/>
      </w:r>
    </w:p>
    <w:p>
      <w:pPr>
        <w:pStyle w:val="Heading3"/>
        <w:numPr>
          <w:ilvl w:val="2"/>
          <w:numId w:val="1"/>
        </w:numPr>
        <w:rPr/>
      </w:pPr>
      <w:bookmarkStart w:id="115" w:name="__RefHeading___Toc3818293_581953129"/>
      <w:bookmarkStart w:id="116" w:name="_Toc49"/>
      <w:bookmarkEnd w:id="115"/>
      <w:r>
        <w:rPr>
          <w:rtl w:val="true"/>
        </w:rPr>
        <w:t>ثالثاً</w:t>
      </w:r>
      <w:r>
        <w:rPr>
          <w:rtl w:val="true"/>
        </w:rPr>
        <w:t xml:space="preserve">: </w:t>
      </w:r>
      <w:r>
        <w:rPr>
          <w:rtl w:val="true"/>
        </w:rPr>
        <w:t>سعة دائرة علوم القرآن</w:t>
      </w:r>
      <w:bookmarkEnd w:id="116"/>
    </w:p>
    <w:p>
      <w:pPr>
        <w:pStyle w:val="Heading4"/>
        <w:numPr>
          <w:ilvl w:val="3"/>
          <w:numId w:val="1"/>
        </w:numPr>
        <w:rPr/>
      </w:pPr>
      <w:bookmarkStart w:id="117" w:name="__RefHeading___Toc3818295_581953129"/>
      <w:bookmarkStart w:id="118" w:name="_Toc50"/>
      <w:bookmarkEnd w:id="117"/>
      <w:r>
        <w:rPr>
          <w:rtl w:val="true"/>
        </w:rPr>
        <w:t>اشارة</w:t>
      </w:r>
      <w:bookmarkEnd w:id="118"/>
    </w:p>
    <w:p>
      <w:pPr>
        <w:pStyle w:val="BookText"/>
        <w:rPr/>
      </w:pPr>
      <w:r>
        <w:rPr>
          <w:rFonts w:ascii="IRNazanin" w:hAnsi="IRNazanin" w:eastAsia="IRNazanin"/>
          <w:color w:val="111111"/>
          <w:sz w:val="28"/>
          <w:sz w:val="28"/>
          <w:szCs w:val="28"/>
          <w:rtl w:val="true"/>
          <w:lang w:bidi="fa-IR"/>
        </w:rPr>
        <w:t xml:space="preserve">من الملفت للنظر أنّ المعنی الذی یوحیه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ذاته هو معنی واسع فی حین أنّ ما هو المعروف من علوم القرآن لا یتناول إلّا جانباً من المعارف المودَعة فی هذا الکتاب العظیم، فکان الأنسب تسمیتها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بالعلوم القرآنیة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هذا التعبیر لا دلالة فیه علی الحصر بخلاف المصطلح الشائع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من الیسیر تغییر هذا المصطلح المتداول، وإنّما المهم هو بیان سعة علوم ومعارف القرآن، فقد اشتمل القرآن الکریم علی رؤیة کونیة حول بدایة خلق الکون ونهایته وفلسفة وجوده، وکذلک رؤیة خاصّة حول وجود الإنسان، وفلسفة خاصّة حول الحیاة، کما تعرّض القرآن إلی نظریات أخلاقیة وتاریخیة واجتماعیة، وتعرّض إلی تاریخ الاُمم والنبوّات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ذلک فقد اشتمل القرآن علی بعض العلوم غیر المتعارفة کالعلوم المرتبطة بالغیب، والجنّ والملائکة، والوحی، والأحداث والملاحم، والإخبار ببعض المغیّبات إلی غیر ذلک من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من الصواب توهّم انحصار معارف القرآن فیما هو المتعارف من علوم القرآن بحسب الاصطلاح</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أشار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مدی سعة المعارف القرآنیة فی بیانات عدیدة،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119" w:name="pg5707_46403"/>
    </w:p>
    <w:p>
      <w:pPr>
        <w:pStyle w:val="BookText"/>
        <w:rPr/>
      </w:pPr>
      <w:bookmarkEnd w:id="119"/>
      <w:r>
        <w:rPr>
          <w:rFonts w:ascii="IRNazanin" w:hAnsi="IRNazanin" w:eastAsia="IRNazanin"/>
          <w:color w:val="111111"/>
          <w:sz w:val="28"/>
          <w:sz w:val="28"/>
          <w:szCs w:val="28"/>
          <w:rtl w:val="true"/>
          <w:lang w:bidi="fa-IR"/>
        </w:rPr>
        <w:t>ذلک القرآن فاستنطقوه، ولن ینطق، ولکن اخبرکم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فیه علم ما یأتی، والحدیث عن الماضی، ودواء دائکم ونظم ما بینکم</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القرآن نبأ ما قبلکم وخبر ما بعدکم وحکم ما بینکم</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لکن ما هو مقدار هذه السعة؟ وما هی حدودها؟</w:t>
      </w:r>
    </w:p>
    <w:p>
      <w:pPr>
        <w:pStyle w:val="BookText"/>
        <w:rPr/>
      </w:pPr>
      <w:r>
        <w:rPr>
          <w:rFonts w:ascii="IRNazanin" w:hAnsi="IRNazanin" w:eastAsia="IRNazanin"/>
          <w:color w:val="111111"/>
          <w:sz w:val="28"/>
          <w:sz w:val="28"/>
          <w:szCs w:val="28"/>
          <w:rtl w:val="true"/>
          <w:lang w:bidi="fa-IR"/>
        </w:rPr>
        <w:t>قال جلال الدین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اشتمل کتاب الله العزیز علی کلّ شیءٍ، أمّا أنواع العلوم فلیس منها باب ولا مسألة هی أصل إلّا وفی القرآن ما یدلّ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شرع فی تفصیل ذلک</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بل ذکر القاضی أبو بکر بن العربی فی قانون التأویل، أمراً نسبه إلی العلماء،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علوم القرآن خمسون علماً وأربعمئة علم وسبعة آلاف علم وسبعون ألف علم، علی عدد کلم القرآن مضروبة فی أربعة؛ إذ لکلّ کلمة منها ظاهر وباطن وحدّ ومطلع، وهذا مطلق دون اعتبار ترکیبه، ونضد بعضه إلی بعض، وما بینها من روابط علی الاستیفاء فی ذلک کلّه، وهذا ممّا لا یُحصی ولا یعلمه إلّا الله تعالی</w:t>
      </w:r>
      <w:r>
        <w:rPr>
          <w:rFonts w:eastAsia="IRNazanin" w:cs="IRNazanin"/>
          <w:color w:val="111111"/>
          <w:sz w:val="28"/>
          <w:szCs w:val="28"/>
          <w:rtl w:val="true"/>
          <w:lang w:bidi="fa-IR"/>
        </w:rPr>
        <w:t xml:space="preserve">». </w:t>
      </w:r>
      <w:r>
        <w:rPr>
          <w:rStyle w:val="FootnoteAnchor"/>
          <w:rtl w:val="true"/>
        </w:rPr>
        <w:footnoteReference w:id="14"/>
      </w:r>
    </w:p>
    <w:p>
      <w:pPr>
        <w:pStyle w:val="Heading4"/>
        <w:numPr>
          <w:ilvl w:val="3"/>
          <w:numId w:val="1"/>
        </w:numPr>
        <w:rPr/>
      </w:pPr>
      <w:bookmarkStart w:id="120" w:name="__RefHeading___Toc3818297_581953129"/>
      <w:bookmarkStart w:id="121" w:name="_Toc51"/>
      <w:bookmarkEnd w:id="120"/>
      <w:r>
        <w:rPr>
          <w:rtl w:val="true"/>
        </w:rPr>
        <w:t>مناقشات وردود</w:t>
      </w:r>
      <w:bookmarkEnd w:id="121"/>
    </w:p>
    <w:p>
      <w:pPr>
        <w:pStyle w:val="BookText"/>
        <w:rPr/>
      </w:pPr>
      <w:r>
        <w:rPr>
          <w:rFonts w:ascii="IRNazanin" w:hAnsi="IRNazanin" w:eastAsia="IRNazanin"/>
          <w:color w:val="111111"/>
          <w:sz w:val="28"/>
          <w:sz w:val="28"/>
          <w:szCs w:val="28"/>
          <w:rtl w:val="true"/>
          <w:lang w:bidi="fa-IR"/>
        </w:rPr>
        <w:t>إلّا أنّ هذا الکلام من ابن العربی مجرّد فرضیة بحاجة إلی إثبات، بل هو منتقض بعدّة نقوض وترد علیه جملة مناقشات، منها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المناقشة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الواضح أنّ حروف البناء فی ذاتها ومن حیث هی مستقلّة لا تدلّ علی أیّ معنی سواءً أکان جزئیاً أو کلّیاً، وسواء أکان تصوریاً أو تصدیقیاً، وإنّما</w:t>
      </w:r>
    </w:p>
    <w:p>
      <w:pPr>
        <w:pStyle w:val="BookText"/>
        <w:rPr/>
      </w:pPr>
      <w:r>
        <w:rPr>
          <w:rFonts w:ascii="IRNazanin" w:hAnsi="IRNazanin" w:eastAsia="IRNazanin"/>
          <w:color w:val="111111"/>
          <w:sz w:val="28"/>
          <w:sz w:val="28"/>
          <w:szCs w:val="28"/>
          <w:rtl w:val="true"/>
          <w:lang w:bidi="fa-IR"/>
        </w:rPr>
        <w:t>یتشکّل لها معنی تصوری فقط عندما یقترن بعضها مع بعض وتکون علی شکل کلمات، ولو اسندت الکلمات بعضها إلی بعض فیترکّب حینئذٍ الکلام الذی یصلح أن یولّد دلالة تصدیقیة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یُدّعی أنّ کلّ حرف یدلّ علی معرفة ما، وعلی علم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کیف یکون کلّ حرف دالّاً علی أربعة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لشیء عجاب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ورد فی طائفة من الأخبار المأثورة دلالة الحروف المقطّعة علی بعض المعانی والقضایا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هذا لیس مسلّماً عند الجمیع، بل هو أحد النظریات المطروحة فی تفسیر ظاهرة الحروف المقطّعة فی القرآن، وفی قبال ذلک نظریات اخری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هذا منحصر بهذه الحروف المقطّعة فحسب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المستفاد من تلک الأخبار، فکیف یمکننا تعمیم هذه الفکرة إلی جمیع حروف 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التسلیم بمضمون هذه الأخبار لا ینفع فی إثبات هذه الفکرة حتّی علی مستوی الموجَبة الجزئیة فضلاً عن تعمیمها کموجبة کلّیة؛ وذلک فإنّ غایة ما تدلّ علیه هو وجود دلالات قرآنیة تشیر إلی الکشف عن بعض الحقائق الغیبیة، ومن الواضح انحصار ذلک بالله سبحانه، وبمن خصّه من أولیائه وأنبیائه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وأین هذا من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المناقشة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ثمّة ألفاظاً فی کتاب الله لیس لها إلّا وجه واحد کأسماء الأعلام،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الجلالة وأسماء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والألفاظ الدالّة علی معانیها بالنصِّ لا بالظهور</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المناقشة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استطاع عدّه المتخصّصون وعلماء القرآن بما فیهم ابن العربی من علوم القرآن لم یبلغ عُشر معشار ذلک العدد</w:t>
      </w:r>
      <w:r>
        <w:rPr>
          <w:rFonts w:eastAsia="IRNazanin" w:cs="IRNazanin"/>
          <w:color w:val="111111"/>
          <w:sz w:val="28"/>
          <w:szCs w:val="28"/>
          <w:rtl w:val="true"/>
          <w:lang w:bidi="fa-IR"/>
        </w:rPr>
        <w:t>.</w:t>
      </w:r>
      <w:bookmarkStart w:id="122" w:name="pg5707_46405"/>
    </w:p>
    <w:p>
      <w:pPr>
        <w:pStyle w:val="Heading4"/>
        <w:numPr>
          <w:ilvl w:val="3"/>
          <w:numId w:val="1"/>
        </w:numPr>
        <w:rPr/>
      </w:pPr>
      <w:bookmarkStart w:id="123" w:name="__RefHeading___Toc3818299_581953129"/>
      <w:bookmarkStart w:id="124" w:name="_Toc52"/>
      <w:bookmarkEnd w:id="122"/>
      <w:bookmarkEnd w:id="123"/>
      <w:r>
        <w:rPr>
          <w:rtl w:val="true"/>
        </w:rPr>
        <w:t>إشکال وردّ</w:t>
      </w:r>
      <w:bookmarkEnd w:id="124"/>
    </w:p>
    <w:p>
      <w:pPr>
        <w:pStyle w:val="BookText"/>
        <w:rPr/>
      </w:pPr>
      <w:r>
        <w:rPr>
          <w:rFonts w:ascii="IRNazanin" w:hAnsi="IRNazanin" w:eastAsia="IRNazanin"/>
          <w:color w:val="111111"/>
          <w:sz w:val="28"/>
          <w:sz w:val="28"/>
          <w:szCs w:val="28"/>
          <w:rtl w:val="true"/>
          <w:lang w:bidi="fa-IR"/>
        </w:rPr>
        <w:t>ربّما یقول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معارف القرآن من حیث هی، فی الواقع وما هو فی علم الله تعالی وإن لم تدرکه عقول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ویجاب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من أین لنا أن نحدّها بحدّ معیّن؟ وأنّی لنا أن نعدّها بعدد مّاسواءً علی وجه التحقیق أو التقریب؟ وهل هذا إلّا رجم بالغیب وادّعاء من دون‌دلیل؟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المناقشة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بالإضافة إلی أنّ المعارف والعلوم لا تقاس بعدد الحروف والکلمات ولا الجمل والعبارات، فربّ عبارة قصیرة تعبّر عن علوم ومعارف کثیرة، کما هو الحال فی القواعد العامّة والقوانین الکلّیة، وربّ عبارات طویلة تعبّر عن قضیة عادیة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المناقشة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ورد فی القرآن الکریم آیات عدیدة تتحدّث عن قصص وأحداث تتعلّق بالأنبیاء والاُمم السابقة،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کَیفَ فَعَلَ رَبُّکَ بِأَصحابِ الفِیلِ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یَجعَل کَیدَهُم فِی تَضلِیلٍ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عَلَیهِم طَیراً أَبابِیلَ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تَرمِیهِم بِحِجارَةٍ مِن سِجِّیلٍ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کَعَصفٍ مَأکُولٍ </w:t>
      </w:r>
      <w:r>
        <w:rPr>
          <w:rStyle w:val="FootnoteAnchor"/>
          <w:rtl w:val="true"/>
        </w:rPr>
        <w:footnoteReference w:id="15"/>
      </w:r>
      <w:r>
        <w:rPr>
          <w:rFonts w:ascii="IRNazanin" w:hAnsi="IRNazanin" w:eastAsia="IRNazanin"/>
          <w:color w:val="111111"/>
          <w:sz w:val="28"/>
          <w:sz w:val="28"/>
          <w:szCs w:val="28"/>
          <w:rtl w:val="true"/>
          <w:lang w:bidi="fa-IR"/>
        </w:rPr>
        <w:t>، فکیف یمکن ادّعاء کون هذه السورة بجمیع آیاتها</w:t>
      </w:r>
    </w:p>
    <w:p>
      <w:pPr>
        <w:pStyle w:val="BookText"/>
        <w:rPr/>
      </w:pPr>
      <w:r>
        <w:rPr>
          <w:rFonts w:ascii="IRNazanin" w:hAnsi="IRNazanin" w:eastAsia="IRNazanin"/>
          <w:color w:val="111111"/>
          <w:sz w:val="28"/>
          <w:sz w:val="28"/>
          <w:szCs w:val="28"/>
          <w:rtl w:val="true"/>
          <w:lang w:bidi="fa-IR"/>
        </w:rPr>
        <w:t>تدلّ علی حقائق اخری غیر قصّة أصحاب الفیل فضلاً عن أن تکون کلّ آیة منها دالّة علی حقیقة، أو کون کلّ کلمة منها دالّة علی حقیقة أو یکون کلّ حرف فیها دالاً علی علم بل أربعة علوم؟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المناقشة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ثمّة آیات تکرّر ورودها بألفاظ واحدة أو متقاربة، أفهل یکون لحروف تلک الآیات دلالات واحدة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لاحظنا الکلمات المتکرّرة فی القرآن الکریم لاتّضح فساد هذه الدعوی لکلّ ذی مسکة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إیضاح</w:t>
      </w:r>
    </w:p>
    <w:p>
      <w:pPr>
        <w:pStyle w:val="BookText"/>
        <w:rPr/>
      </w:pPr>
      <w:r>
        <w:rPr>
          <w:rFonts w:ascii="IRNazanin" w:hAnsi="IRNazanin" w:eastAsia="IRNazanin"/>
          <w:color w:val="111111"/>
          <w:sz w:val="28"/>
          <w:sz w:val="28"/>
          <w:szCs w:val="28"/>
          <w:rtl w:val="true"/>
          <w:lang w:bidi="fa-IR"/>
        </w:rPr>
        <w:t>لیس المراد من ذلک نفی وجود دلالات قرآنیة تشیر إلی بعض الأسرار والحقائق التی لا یعرفها إلّا الخاصّة من أولیاء الله وأنبیائه باطلاع الله لهم؛ فإنّ هذا أمر لا نستطیع نفیه وهو ممکن فی نفسه إلّا أنّ هذا موقوف علی ورود الدلیل أوّلاً، وثانیاً إنّه أمر متعلّق بثلّة خاصّة ولا یتعلّق بغیرهم ممّن خوطب بالقرآن ومدعوّ للتدبّر فیه واستنطاقه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اتّضح ممّا تقدّم، أنّ علم آیات الأحکام هو أحد علوم القرآن أو أحد فنون المعارف القرآنیة، وبیّنا الجهة التی یختلف فیها عن سائر علوم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المراد بمصطلح علوم القرآن؟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فروع علوم القرآن المتعارفة؟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تعدّدت علوم القرآن بالرغم من أنّها جمیعاً تبحث فی موضوع واحد وهو القرآن الکریم؟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الاعتبارات التی علی أساسها اختصّ کلّ علم ببحث جانب من جوانب القرآن؟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هو المعنی الذی یوحیه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 وهل یتناسب مع ما هو المتعارف من علوم القرآن؟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بیّن السیوطی والقاضی ابن العربی مدی سعة العلوم والمعارف القرآنیة؟ اذکر مفاد کلامهما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اذکر ما یمکن أن یورد علی رأی السیوطی، وابن عربی من المناقشات؟</w:t>
      </w:r>
      <w:bookmarkStart w:id="125" w:name="pg5707_46408"/>
    </w:p>
    <w:p>
      <w:pPr>
        <w:pStyle w:val="Heading2"/>
        <w:numPr>
          <w:ilvl w:val="1"/>
          <w:numId w:val="1"/>
        </w:numPr>
        <w:rPr/>
      </w:pPr>
      <w:bookmarkStart w:id="126" w:name="__RefHeading___Toc3818301_581953129"/>
      <w:bookmarkStart w:id="127" w:name="_Toc53"/>
      <w:bookmarkEnd w:id="125"/>
      <w:bookmarkEnd w:id="126"/>
      <w:r>
        <w:rPr>
          <w:rtl w:val="true"/>
        </w:rPr>
        <w:t>البحث الثانی</w:t>
      </w:r>
      <w:r>
        <w:rPr>
          <w:rtl w:val="true"/>
        </w:rPr>
        <w:t>:</w:t>
      </w:r>
      <w:r>
        <w:rPr>
          <w:rtl w:val="true"/>
        </w:rPr>
        <w:t>تعریف فقه القرآن وآیات الأحکام</w:t>
      </w:r>
      <w:bookmarkEnd w:id="127"/>
    </w:p>
    <w:p>
      <w:pPr>
        <w:pStyle w:val="Heading3"/>
        <w:numPr>
          <w:ilvl w:val="2"/>
          <w:numId w:val="1"/>
        </w:numPr>
        <w:rPr/>
      </w:pPr>
      <w:bookmarkStart w:id="128" w:name="__RefHeading___Toc3818303_581953129"/>
      <w:bookmarkStart w:id="129" w:name="_Toc54"/>
      <w:bookmarkEnd w:id="128"/>
      <w:r>
        <w:rPr>
          <w:rtl w:val="true"/>
        </w:rPr>
        <w:t>أوّلاً</w:t>
      </w:r>
      <w:r>
        <w:rPr>
          <w:rtl w:val="true"/>
        </w:rPr>
        <w:t xml:space="preserve">: </w:t>
      </w:r>
      <w:r>
        <w:rPr>
          <w:rtl w:val="true"/>
        </w:rPr>
        <w:t>تعریف فقه القرآن</w:t>
      </w:r>
      <w:bookmarkEnd w:id="129"/>
    </w:p>
    <w:p>
      <w:pPr>
        <w:pStyle w:val="BookText"/>
        <w:rPr/>
      </w:pPr>
      <w:r>
        <w:rPr>
          <w:rFonts w:ascii="IRNazanin" w:hAnsi="IRNazanin" w:eastAsia="IRNazanin"/>
          <w:color w:val="111111"/>
          <w:sz w:val="28"/>
          <w:sz w:val="28"/>
          <w:szCs w:val="28"/>
          <w:rtl w:val="true"/>
          <w:lang w:bidi="fa-IR"/>
        </w:rPr>
        <w:t>وهو العلم أو الفنّ الذی یتوفّر علی بحث ودراسة القرآن بوصفه مصدراً من مصادر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القرآن بهذا الاعتبار موضوعاً لعلم آیات الأحکام، وبحوثه تختصّ بشرح آیات الأحکام، ویدرس نوع الأحکام التی یمکن استخراجها منها بعد المقارنة مع جمیع الأدلّة الشرعیة الاُخری من سنّة وإجماع وعقل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قد یطلق علی البحث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تجد الکتب والرسائل المؤلّفة فی هذا المجال تارة 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واُخری تحمل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وثالثة تحمل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بید أنّ المدلول واحد</w:t>
      </w:r>
      <w:r>
        <w:rPr>
          <w:rFonts w:eastAsia="IRNazanin" w:cs="IRNazanin"/>
          <w:color w:val="111111"/>
          <w:sz w:val="28"/>
          <w:szCs w:val="28"/>
          <w:rtl w:val="true"/>
          <w:lang w:bidi="fa-IR"/>
        </w:rPr>
        <w:t>.</w:t>
      </w:r>
    </w:p>
    <w:p>
      <w:pPr>
        <w:pStyle w:val="Heading3"/>
        <w:numPr>
          <w:ilvl w:val="2"/>
          <w:numId w:val="1"/>
        </w:numPr>
        <w:rPr/>
      </w:pPr>
      <w:bookmarkStart w:id="130" w:name="__RefHeading___Toc3818305_581953129"/>
      <w:bookmarkStart w:id="131" w:name="_Toc55"/>
      <w:bookmarkEnd w:id="130"/>
      <w:r>
        <w:rPr>
          <w:rtl w:val="true"/>
        </w:rPr>
        <w:t>ثانیاً</w:t>
      </w:r>
      <w:r>
        <w:rPr>
          <w:rtl w:val="true"/>
        </w:rPr>
        <w:t xml:space="preserve">: </w:t>
      </w:r>
      <w:r>
        <w:rPr>
          <w:rtl w:val="true"/>
        </w:rPr>
        <w:t>تعریف آیات الأحکام</w:t>
      </w:r>
      <w:bookmarkEnd w:id="13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موضوع البحث فی فقه القرآن هو بحث فی قسم من آیات الکتاب الکریم خاصّة لا جمیعها، والتی تسمّی بآیات الأحکام، والمنهج العلمی یقتضی تحدیدها وتعریفها أوّلاً، وبیان المراد بها من أجل أن تتعیّن دائرة البحث، وحیث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مرکّب فینبغی فی البدء تحلیل هذا الترکیب إلی مفرداته التی یتألّف منها،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بالآیات؟</w:t>
      </w:r>
    </w:p>
    <w:p>
      <w:p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آیة، ولها عدّة معانٍ، بعضها أصلی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الآیة فی معناها اللغوی الأصلی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أو العلامة الثابتة، أو العلامة الظاهرة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وآیات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عجائبه، وتأتی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العبرة </w:t>
      </w:r>
      <w:r>
        <w:rPr>
          <w:rStyle w:val="FootnoteAnchor"/>
          <w:rtl w:val="true"/>
        </w:rPr>
        <w:footnoteReference w:id="16"/>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المعجزة</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وقد تکرّر استعمالها فی هذه المعانی فی القرآن الکریم،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یَرَوا کُلَّ آیَةٍ لا یُؤمِنُوا بِها </w:t>
      </w:r>
      <w:r>
        <w:rPr>
          <w:rStyle w:val="FootnoteAnchor"/>
          <w:rtl w:val="true"/>
        </w:rPr>
        <w:footnoteReference w:id="18"/>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نُنَجِّیکَ بِبَدَنِکَ لِتَکُونَ لِمَن خَلفَکَ آیَةً وَ إِنَّ کَثِیراً مِنَ النّاسِ عَن آیاتِنا لَغافِلُونَ </w:t>
      </w:r>
      <w:r>
        <w:rPr>
          <w:rStyle w:val="FootnoteAnchor"/>
          <w:rtl w:val="true"/>
        </w:rPr>
        <w:footnoteReference w:id="19"/>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کَأَیِّن مِن آیَةٍ فِی السَّماواتِ وَ الأَرضِ یَمُرُّونَ عَلَیها وَ هُم عَنها مُعرِضُونَ </w:t>
      </w:r>
      <w:r>
        <w:rPr>
          <w:rStyle w:val="FootnoteAnchor"/>
          <w:rtl w:val="true"/>
        </w:rPr>
        <w:footnoteReference w:id="20"/>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عَلَیهِم مِنَ السَّماءِ آیَةً فَظَلَّت أَعناقُهُم لَها خاضِعِینَ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کما أنّها تأتی بمعنی الجماعة، کما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القوم بآیتهم؛ أی بجماعتهم، لم یدَعوا وراءهم شیئاً</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 بمعنی الکلام المفید القلیل أو الواحد، کما 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بلّغوا عنّی ولو</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 أی بلّغوا عنّی أحادیث ولو قلیلة </w:t>
      </w:r>
      <w:r>
        <w:rPr>
          <w:rStyle w:val="FootnoteAnchor"/>
          <w:rtl w:val="true"/>
        </w:rPr>
        <w:footnoteReference w:id="23"/>
      </w:r>
      <w:r>
        <w:rPr>
          <w:rFonts w:ascii="IRNazanin" w:hAnsi="IRNazanin" w:eastAsia="IRNazanin"/>
          <w:color w:val="111111"/>
          <w:sz w:val="28"/>
          <w:sz w:val="28"/>
          <w:szCs w:val="28"/>
          <w:rtl w:val="true"/>
          <w:lang w:bidi="fa-IR"/>
        </w:rPr>
        <w:t>، کذا قیل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الآیة من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أَنزَلَ عَلَیکَ الکِتابَ مِنهُ آیاتٌ مُحکَماتٌ هُنَّ أُمُّ الکِتابِ وَ أُخَرُ مُتَشابِهاتٌ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نَتلُوهُ عَلَیکَ مِنَ الآیاتِ وَ الذِّکرِ الحَکِیمِ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وهذا الإطلاق مأخوذ من المعنی اللغوی، فهو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مأخوذ من المعنی الأوّل، وهو العلامة، وقد صرّح به کثیر من اللغویین</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وإمّا مأخوذ من المعنی الثانی، فقد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آیة؛ لأنّها عجب یُتعجّب من إعجازه،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آیة من الآیات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وإمّا مأخوذ من المعنی الثالث، وهو الجماعة؛ لأنّها جماعة حروف من القرآن وطائفة منه</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وإمّا مأخوذ من المعنی الأخیر، قال الفیومی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الآیة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یحسن السکوت علیه</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ولکن 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الآیة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جملة من القرآن دالّة علی حکم آیة، سورةً کانت أو فصولاً، أو فصلاً، من سورة</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بالأحکام؟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الأحکام جمع حکم، والحکم أصله المنع </w:t>
      </w:r>
      <w:r>
        <w:rPr>
          <w:rStyle w:val="FootnoteAnchor"/>
          <w:rtl w:val="true"/>
        </w:rPr>
        <w:footnoteReference w:id="29"/>
      </w:r>
      <w:r>
        <w:rPr>
          <w:rFonts w:ascii="IRNazanin" w:hAnsi="IRNazanin" w:eastAsia="IRNazanin"/>
          <w:color w:val="111111"/>
          <w:sz w:val="28"/>
          <w:sz w:val="28"/>
          <w:szCs w:val="28"/>
          <w:rtl w:val="true"/>
          <w:lang w:bidi="fa-IR"/>
        </w:rPr>
        <w:t>، وأولُ ذلک الحکم، وهو المنع من</w:t>
      </w:r>
    </w:p>
    <w:p>
      <w:pPr>
        <w:pStyle w:val="BookText"/>
        <w:rPr/>
      </w:pP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وسُمّیت حَکَمَة الدابّة لأنّها تمنعها،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حکمت الدابّة وأحکمتها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والحِکمة هذا قیاسها؛ لأنّها تمنع من الجهل</w:t>
      </w:r>
      <w:r>
        <w:rPr>
          <w:rFonts w:eastAsia="Amiri" w:cs="Amiri" w:ascii="Amiri" w:hAnsi="Amiri"/>
          <w:color w:val="111111"/>
          <w:sz w:val="28"/>
          <w:szCs w:val="28"/>
          <w:rtl w:val="true"/>
          <w:lang w:bidi="ar-SA"/>
        </w:rPr>
        <w:t xml:space="preserve">. </w:t>
      </w:r>
      <w:r>
        <w:rPr>
          <w:rStyle w:val="FootnoteAnchor"/>
          <w:rtl w:val="true"/>
        </w:rPr>
        <w:footnoteReference w:id="30"/>
      </w:r>
      <w:r>
        <w:rPr>
          <w:rFonts w:ascii="IRNazanin" w:hAnsi="IRNazanin" w:eastAsia="IRNazanin"/>
          <w:color w:val="111111"/>
          <w:sz w:val="28"/>
          <w:sz w:val="28"/>
          <w:szCs w:val="28"/>
          <w:rtl w:val="true"/>
          <w:lang w:bidi="fa-IR"/>
        </w:rPr>
        <w:t>والحُکم مصدر حکم یحکم</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والحکم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تقضی بأنّه کذا أو لیس بکذا سواءً أکان مع إلزام للغیر أو لا</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والمراد هنا الحکم الشرعی خاصّة، وهو فی اصطلاح الاُصولیین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التشریع الصادر من قِبل الله سبحانه لتنظیم حیاة الإنسان</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والأحکام الشرعیة متنوّعة ، فبعضها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تکلیفیة ،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التشریعات الموجّهة لتتنظیم سلوک الإنسان مباشرة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أمراً ونهیاً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الأحکام الخمسة المعروفة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والحرمة، والاستحباب، والکراهة، والإباحة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وبعضها أحکام وضعیة ،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توجّه سلوک الإنسان بشکل غیر مباشر؛ کالأحکام التی تحدّد علاقات الإنسان بأخیه الإنسان؛ کالزوجیة، والاُبوّة، أو تحدّد علاقاته بالطبیعة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کالملکیة، والإباحة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بعضها أحکام تأسیسیة ، أحدثها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کالوضوء، والتیمّم، وبعضها أحکام إمضائیة 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متعارفة قبل مجیء الشرع لکنّه أمضاها ولم ینهَ عنها، کالبیع والإجارة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الأنواع المختلفة للأحکام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یساعد فی إعطاء رؤیة محیطة حول سعة دائرة آیات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بآیات الأحکام؟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نعثر علی تعریف لآیات الأحکام فی کلمات العلماء السابقین بحسب تتبّعنا، ولعلّهم لم یتعرّضوا لتعریفها؛ لوضوحها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فقد وجدنا لها عدّة تعاریف</w:t>
      </w:r>
    </w:p>
    <w:p>
      <w:pPr>
        <w:pStyle w:val="BookText"/>
        <w:rPr/>
      </w:pPr>
      <w:r>
        <w:rPr>
          <w:rFonts w:ascii="IRNazanin" w:hAnsi="IRNazanin" w:eastAsia="IRNazanin"/>
          <w:color w:val="111111"/>
          <w:sz w:val="28"/>
          <w:sz w:val="28"/>
          <w:szCs w:val="28"/>
          <w:rtl w:val="true"/>
          <w:lang w:bidi="fa-IR"/>
        </w:rPr>
        <w:t>فی کتب المتأخّرین وبعض مَن قارب عصرنا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الآیات التی تضمّنت تشریعات کلّیة</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الآیات التی تتضمّن الأحکام الفقهیة التی تتعلّق بمصالح العباد فی دنیاهم واُخراهم</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الآیات التی تتعلّق بغرض الفقیه؛ لاستنباطه منها حکماً شرعیاً</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ومن الواضح عدم جامعیة التعریف الأوّل، وعدم مانعیة التعریف الثانی، وأفضلها ثالثها وإن کان التعبیر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 تتعلّق بغرض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یوهم عدم المانعیة أیضاً؛ لدخول الآیات التی یُرجع إلیها فی تحدید المفادات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لا نکون مصیبین إذا أردنا الخوض فی تقویم هذه التعاریف ومحاکمتها علی ضوء الضوابط المنطقیة المثبّتة للتعریف؛ لأنّ الظاهر أنّه لا یقصد من هذه التعاریف معنی اصطلاحی خاصّ؛ لعدم توفّرها علی الشروط المنطقیة للتعریف، وعدم تصدّی الأوائل من مؤسّسی هذا العلم لبیانه، بل الظاهر أنّ هدف المتأخّرین من ذکره هو الإشارة إلی معناها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کان المنهج الأفضل فی التعریف هو لحاظ الاُمور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المدلول اللغوی لها وما یوحیه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ولدی العرف العامّ من 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الحیثیات التی بحثها المصنّفون فی هذا العلم وحدود دائرة بحثهم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 البحثی الذی یمکن أن یبلغه هذا العلم فی حدّ نفسه؛ وذلک بلحاظ رسالة القرآن الکریم الخطیرة وأهدافه التشریعیة الکبیرة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وانطلاقاً من هذه اللحاظات یصحّ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آیات الأحکام هی الآیات التی یمکن للفقیه أن یستنبط منها فی الجملة حکماً شرعیاً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إیضاحات حول تعریف آیات الأحکام</w:t>
      </w:r>
    </w:p>
    <w:p>
      <w:pPr>
        <w:pStyle w:val="BookText"/>
        <w:rPr/>
      </w:pPr>
      <w:r>
        <w:rPr>
          <w:rFonts w:ascii="IRNazanin" w:hAnsi="IRNazanin" w:eastAsia="IRNazanin"/>
          <w:color w:val="111111"/>
          <w:sz w:val="28"/>
          <w:sz w:val="28"/>
          <w:szCs w:val="28"/>
          <w:rtl w:val="true"/>
          <w:lang w:bidi="fa-IR"/>
        </w:rPr>
        <w:t>إنّ التعریف المتقدّم یمتاز بسعته وشمولیته، وسوف نشیر إلی أبعاد هذا التعریف بالنقاط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إمکانیة دخول الآیات التی تتضمّن بیان الأحکام الخاصّة بالنبی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اللَّیلَ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 أَوِ انقُص مِنهُ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زِد عَلَیهِ وَ رَتِّلِ القُرآنَ تَرتِیلاً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فقد وُجّه الأمر فی هذه الآیة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بالقیام فی اللیل مخیّراً بین النصف أو أقلّ من النصف بقلیل أو أکثر منه بقلیل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والوجه فی اعتبار هذه الآیة وشبهها من آیات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اختصاصها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تضمّنها لحکم شرعیّ، وربّما تتعلّق بغرض الفقیه من جهة البحث فی اختصاصها وعدم اختصاصها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وأدلّة ذلک، بل یمکن أن یقع الکلام والبحث فی دلالتها علی الوجوب أو الاستحباب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إمکانیة دخول الآیات التی تشتمل علی أحکام غیر نافذة المفعول الآن لانتفاء الحکم فیها ککونه منسوخاً ونحو ذلک،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عَقَدَت أَیمانُکُم فَآتُوهُم نَصِیبَهُم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بناء علی أنّها منسوخة بآیة اولی الأرحام، وهو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أَولی بِبَعضٍ فِی کِتابِ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لکونها غیر خارجة عن غرض الفقیه؛ لأنّ أصل النسخ یحتاج إلی إثبات وبحث، وأیضاً تحدید الناسخ والمنسوخ، وکذا تحدید دائرة</w:t>
      </w:r>
    </w:p>
    <w:p>
      <w:pPr>
        <w:pStyle w:val="BookText"/>
        <w:rPr/>
      </w:pPr>
      <w:r>
        <w:rPr>
          <w:rFonts w:ascii="IRNazanin" w:hAnsi="IRNazanin" w:eastAsia="IRNazanin"/>
          <w:color w:val="111111"/>
          <w:sz w:val="28"/>
          <w:sz w:val="28"/>
          <w:szCs w:val="28"/>
          <w:rtl w:val="true"/>
          <w:lang w:bidi="fa-IR"/>
        </w:rPr>
        <w:t>النسخ وتعلّقه بأصل الحکم أو ببعض حالاته ونحو ذلک من الجهات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بعض الآیات قد ذکرت فیها تشریعات تتعلّق بالاُمم السابقة، وهی علی نوعین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النوع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یختصّ بتلک الاُمم ولا یشملنا،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ادخُلُوا هذِهِ القَریَةَ فَکُلُوا مِنها حَیثُ شِئتُم رَغَداً وَ ادخُلُوا البابَ سُجَّداً وَ قُولُوا حِطَّةٌ نَغفِر لَکُم خَطایاکُم وَ سَنَزِیدُ المُحسِنِینَ </w:t>
      </w:r>
      <w:r>
        <w:rPr>
          <w:rStyle w:val="FootnoteAnchor"/>
          <w:rtl w:val="true"/>
        </w:rPr>
        <w:footnoteReference w:id="37"/>
      </w:r>
      <w:r>
        <w:rPr>
          <w:rFonts w:ascii="IRNazanin" w:hAnsi="IRNazanin" w:eastAsia="IRNazanin"/>
          <w:color w:val="111111"/>
          <w:sz w:val="28"/>
          <w:sz w:val="28"/>
          <w:szCs w:val="28"/>
          <w:rtl w:val="true"/>
          <w:lang w:bidi="fa-IR"/>
        </w:rPr>
        <w:t xml:space="preserve">، فقد ذکرت الآیة جانباً من أخبار بنی إسرائیل حینما أمرهم الله سبحانه بدخول بیت المقدّس وبدخول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اختلاف فی المراد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خاضعین مردّدین عبارة الاستغفار</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ومن الواضح أنّ هذا الحکم خاصّ ببنی إسرائیل، ولا یجری علی امّة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فمثل هذه الآیات لیست فی مقام الجعل والتشریع وإنشاء الحکم، وإنّما هی تتضمّن الإخبار عن وجود تشریعات لمن کان قبلنا، ومن هنا کان هذا النوع خارجاً عن آیات الأحکام؛ لأنّها لا تتعلّق بغرض الفقیه، إذ إنّ هدف الفقیه وغرضه إنّما یتعلّق ببحث الآیات ذات البعد التشریعی بالنسبة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النوع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الواردة فی بیان أحکام للاُمم السابقة إلّا أنّها عامّة لا تختصّ بها، بل تشمل امتنا أیضاً، أو ربّما یقع البحث فی شمولها وعدمه، فمثل هذه الآیات تکون داخلة فی دائرة البحث، بخلاف النوع الأوّل الذی یخرج عن دائرة هذا العلم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ثمّة آیات قرآنیة إنّما تتمّ دلالتها علی الحکم بضمیمة السنّة الشریفة، وهی علی أنواع</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الآیات التی یکون فیها انعقاد أصل دلالتها علی الحکم الشرعی متوقّفاً علی الروایة، حیث إنّها بالنظر الأوّلی لا دلالة فیها علی الحکم الشرعی ظاهراً</w:t>
      </w:r>
    </w:p>
    <w:p>
      <w:pPr>
        <w:pStyle w:val="BookText"/>
        <w:rPr/>
      </w:pPr>
      <w:r>
        <w:rPr>
          <w:rFonts w:ascii="IRNazanin" w:hAnsi="IRNazanin" w:eastAsia="IRNazanin"/>
          <w:color w:val="111111"/>
          <w:sz w:val="28"/>
          <w:sz w:val="28"/>
          <w:szCs w:val="28"/>
          <w:rtl w:val="true"/>
          <w:lang w:bidi="fa-IR"/>
        </w:rPr>
        <w:t>وبحسب القواعد المعروفة فی استنباط الأحکام، لکن وقع الاستدلال بها من قِبل مَن خُصّوا ببعض المعارف الإلهیة، کأهل البیت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قبیل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یُروی عن أمیر المؤمنین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فیمن أوصی بعتق کلّ عبد قدیم فی ملکه ومات، ولم یعرف الوصی ما یصنع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الاستدلال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قَدَّرناهُ مَنازِلَ حَتّی عادَ کَالعُرجُونِ القَدِیمِ </w:t>
      </w:r>
      <w:r>
        <w:rPr>
          <w:rStyle w:val="FootnoteAnchor"/>
          <w:rtl w:val="true"/>
        </w:rPr>
        <w:footnoteReference w:id="39"/>
      </w:r>
      <w:r>
        <w:rPr>
          <w:rFonts w:ascii="IRNazanin" w:hAnsi="IRNazanin" w:eastAsia="IRNazanin"/>
          <w:color w:val="111111"/>
          <w:sz w:val="28"/>
          <w:sz w:val="28"/>
          <w:szCs w:val="28"/>
          <w:rtl w:val="true"/>
          <w:lang w:bidi="fa-IR"/>
        </w:rPr>
        <w:t xml:space="preserve">علی عتق کلّ مملوک له أتی علیه ستّة أشهر؛ لصدق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لأنّ العرجون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أصل العذق الذی یعوج وتقطع منه الشماریخ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ینتهی إلی الشبه بالهلال فی تقوّسه وضآلته بعد ستّة أشهر من أخذ الثمرة منه</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وکذا ما یُروی عن الإمام محمّد بن علی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جوابه لسؤال المعتصم العبّاسی عن حدّ القطع فی 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الاستدلال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المَساجِدَ لِلّهِ فَلا تَدعُوا مَعَ اللّهِ أَحَداً </w:t>
      </w:r>
      <w:r>
        <w:rPr>
          <w:rStyle w:val="FootnoteAnchor"/>
          <w:rtl w:val="true"/>
        </w:rPr>
        <w:footnoteReference w:id="41"/>
      </w:r>
      <w:r>
        <w:rPr>
          <w:rFonts w:ascii="IRNazanin" w:hAnsi="IRNazanin" w:eastAsia="IRNazanin"/>
          <w:color w:val="111111"/>
          <w:sz w:val="28"/>
          <w:sz w:val="28"/>
          <w:szCs w:val="28"/>
          <w:rtl w:val="true"/>
          <w:lang w:bidi="fa-IR"/>
        </w:rPr>
        <w:t>علی أنّ المساجد هی الأعضاء السبعة التی یسجد علیها، وما کان لله لم یقطع، فیجب أن یکون القطع من مفصل اصول الأصابع ویترک الکفّ</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وهذا النوع من الآیات بلحاظ ما ورد فی شأنها من الروایات المفسِّرة فیه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دلالة أمثال هذه الآیات علی الحکم الشرعی مستندة إلی العلوم الخاصّة بالنبی 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وحینئذٍ یتجّه دخولها فی آیات الأحکام تعبّداً بناءً علی تمامیتها سنداً ودلالة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المراد بهذه الروایات الاستدلال بناءً علی المبانی المسلّمة لدی بعض المذاهب الفقهیة من التعویل علی الظنّ وإن کانت غیر تامّة بحسب اصول الاستنباط لدی مدرسة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کلا الاحتمالین یتّجه عدّ هذه الآیات من ضمن آیات الأحکام،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الآیات التی تکون لها نحو دلالة علی الحکم الشرعی، فأصل انعقاد الدلالة حاصل لکنّ تمامیة الدلالة تتوقّف علی السنّة، کالروایات المخصّصة للآیات العامّة، أو المقیّدة للآیات المطلقة أو المبیّنة للآیات المجملة،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النوع بأقسامه یکون داخلاً أیضاً ضمن آیات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یتّضح أنّه لیس المقصود من دلالة الآیة علی الحکم وإمکانیة استنباطه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الاعتماد علی الآیة فقط وفقط، بل المراد دلالة الآیة ولو کان بضمیمة سائر الأدلّة المعتبرة الاُخری، کالروایات، والإجماع، أو بضمیمة آیات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دلالتها علی الحکم بصورة مستقلّة، بل حتّی لو کانت دالّة علی حکم بضمّ دالّ آخر معتبر فتعدّ من آیات الأحکام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یتّضح أنّ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ذکرناه فی التعریف إنّما هو لأجل استیعاب هذه الحالات وأمثالها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الجدیر بالذکر أنّه لا یشترط فی آیات الأحکام کونها دالّة بکلّ فقراتها علی حکم تشریعی، بل یکفی دلالة جزءٍ منها علیه، وأیضاً لا یتوهّم أنّ المراد دلالة الآیة علی حکم شرعی واحد، بل ربّما یستفاد من آیة واحدة أو من بعضها أحکام عدیدة، کما سیأتی ذکره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المراد بفقه القرآن؟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ماهو تعریف الآیات؟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المراد بالأحکام؟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بعض التعاریف التی بیّنت آیات الأحکام؟ وما هو الغرض من ذکر تلک التعاریف؟ وبیّن ما هو المنهج الأفضل الذی ینبغی أن یُسلک قی تعریف آیات الأحکام؟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الآیات المتضمّنة للأحکام الخاصّة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داخلة فی آیات الأحکام؟ وما هو الوجه فی ذلک؟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الآیات المتضمّنة للأحکام غیر نافذة المفعول داخلة فی آیات الأحکام؟ وما هو الوجه فی ذلک؟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الآیات المتضمّنة للأحکام المتعلّقة بالاُمم السابقة داخلة فی آیات الأحکام؟ وما هو الوجه فی ذلک؟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الآیات الدالّة علی الحکم الشرعی بضمیمة الروایات المفسّرة داخلة فی آیات الأحکام؟ وما هو الوجه فی ذلک، مع المثال؟</w:t>
      </w:r>
      <w:r>
        <w:rPr>
          <w:rFonts w:eastAsia="IRNazanin" w:cs="IRNazanin"/>
          <w:color w:val="111111"/>
          <w:sz w:val="28"/>
          <w:szCs w:val="28"/>
          <w:rtl w:val="true"/>
          <w:lang w:bidi="fa-IR"/>
        </w:rPr>
        <w:t>.</w:t>
      </w:r>
      <w:bookmarkStart w:id="132" w:name="pg5707_46418"/>
    </w:p>
    <w:p>
      <w:pPr>
        <w:pStyle w:val="Heading2"/>
        <w:numPr>
          <w:ilvl w:val="1"/>
          <w:numId w:val="1"/>
        </w:numPr>
        <w:rPr/>
      </w:pPr>
      <w:bookmarkStart w:id="133" w:name="__RefHeading___Toc3818307_581953129"/>
      <w:bookmarkStart w:id="134" w:name="_Toc56"/>
      <w:bookmarkEnd w:id="132"/>
      <w:bookmarkEnd w:id="133"/>
      <w:r>
        <w:rPr>
          <w:rtl w:val="true"/>
        </w:rPr>
        <w:t xml:space="preserve">البحث الثالث </w:t>
      </w:r>
      <w:r>
        <w:rPr>
          <w:rtl w:val="true"/>
        </w:rPr>
        <w:t xml:space="preserve">: </w:t>
      </w:r>
      <w:r>
        <w:rPr>
          <w:rtl w:val="true"/>
        </w:rPr>
        <w:t>ضرورة البحث فی فقه القرآن وآیات الأحکام</w:t>
      </w:r>
      <w:bookmarkEnd w:id="134"/>
    </w:p>
    <w:p>
      <w:pPr>
        <w:pStyle w:val="Heading3"/>
        <w:numPr>
          <w:ilvl w:val="2"/>
          <w:numId w:val="1"/>
        </w:numPr>
        <w:rPr/>
      </w:pPr>
      <w:bookmarkStart w:id="135" w:name="__RefHeading___Toc3818309_581953129"/>
      <w:bookmarkStart w:id="136" w:name="_Toc57"/>
      <w:bookmarkEnd w:id="135"/>
      <w:r>
        <w:rPr>
          <w:rtl w:val="true"/>
        </w:rPr>
        <w:t>التدبّر فی القرآن</w:t>
      </w:r>
      <w:bookmarkEnd w:id="136"/>
    </w:p>
    <w:p>
      <w:pPr>
        <w:pStyle w:val="BookText"/>
        <w:rPr/>
      </w:pPr>
      <w:r>
        <w:rPr>
          <w:rFonts w:ascii="IRNazanin" w:hAnsi="IRNazanin" w:eastAsia="IRNazanin"/>
          <w:color w:val="111111"/>
          <w:sz w:val="28"/>
          <w:sz w:val="28"/>
          <w:szCs w:val="28"/>
          <w:rtl w:val="true"/>
          <w:lang w:bidi="fa-IR"/>
        </w:rPr>
        <w:t>لقد ورد الحثّ الشدید فی الکتاب العزیز والسنّة الشریفة علی تدارس القرآن والتدبّر فی معانیه والتفکّر فی مقاصده وأهدافه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الکتاب، فقد حثّ علی ذلک فی عدّة مواضع،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المُؤمِنُونَ لِیَنفِرُوا کَافَّةً فَلَو لا نَفَرَ مِن کُلِّ فِرقَةٍ مِنهُم طائِفَةٌ لِیَتَفَقَّهُوا فِی الدِّینِ وَ لِیُنذِرُوا قَومَهُم إِذا رَجَعُوا إِلَیهِم لَعَلَّهُم یَحذَرُونَ </w:t>
      </w:r>
      <w:r>
        <w:rPr>
          <w:rStyle w:val="FootnoteAnchor"/>
          <w:rtl w:val="true"/>
        </w:rPr>
        <w:footnoteReference w:id="43"/>
      </w:r>
      <w:r>
        <w:rPr>
          <w:rFonts w:ascii="Amiri" w:hAnsi="Amiri" w:eastAsia="Amiri" w:cs="Amiri"/>
          <w:color w:val="111111"/>
          <w:sz w:val="28"/>
          <w:sz w:val="28"/>
          <w:szCs w:val="28"/>
          <w:rtl w:val="true"/>
          <w:lang w:bidi="ar-SA"/>
        </w:rPr>
        <w:t>، فعلی الرغم من التأکید الشدید علی الجهاد نری هذه الآیة الکریمة تنبّه علی استثناء المتفقّهة وسمة اشتغالهم بطلب العلوم الشرعیة نفیراً، ومن الواضح أنّ هذا یُعبّر عن بالغ الاهتمام والعنایة بالتفقّه، ولیس ثمّة آیة فی القرآن تناظر هذه الآیة من حیث توزیعها لهذه الوظیفة علی جمیع المکوّنات للمجتمع فلم تخصّ فرقة دون اخری، حیث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نَفَرَ مِن کُلِّ فِرقَةٍ مِنهُم طائِفَةٌ لِیَتَفَقَّهُوا فِی الدِّینِ وَ لِیُنذِرُوا قَومَهُم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أنّ الله سبحانه قد ذمّ حالة عدم التدبّر فی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یَتَدَبَّرُونَ</w:t>
      </w:r>
    </w:p>
    <w:p>
      <w:pPr>
        <w:pStyle w:val="BookText"/>
        <w:rPr/>
      </w:pPr>
      <w:r>
        <w:rPr>
          <w:rFonts w:ascii="Amiri" w:hAnsi="Amiri" w:eastAsia="Amiri" w:cs="Amiri"/>
          <w:color w:val="111111"/>
          <w:sz w:val="28"/>
          <w:sz w:val="28"/>
          <w:szCs w:val="28"/>
          <w:rtl w:val="true"/>
          <w:lang w:bidi="ar-SA"/>
        </w:rPr>
        <w:t xml:space="preserve">اَلقُرآنَ أَم عَلی قُلُوبٍ أَقفالُها </w:t>
      </w:r>
      <w:r>
        <w:rPr>
          <w:rStyle w:val="FootnoteAnchor"/>
          <w:rtl w:val="true"/>
        </w:rPr>
        <w:footnoteReference w:id="44"/>
      </w:r>
      <w:r>
        <w:rPr>
          <w:rFonts w:ascii="IRNazanin" w:hAnsi="IRNazanin" w:eastAsia="IRNazanin"/>
          <w:color w:val="111111"/>
          <w:sz w:val="28"/>
          <w:sz w:val="28"/>
          <w:szCs w:val="28"/>
          <w:rtl w:val="true"/>
          <w:lang w:bidi="fa-IR"/>
        </w:rPr>
        <w:t>، ففی هذه الآیة الکریمة توبیخ قاسٍ علی عدم إعطاء القرآن حقّه من العنایة والتدبّر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والمتحصّل عدّة امور،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القرآن یمکن أن یدرکه الإنسان العرفی وممّا یناله الفهم العادی، ولیس هو کتاباً ملغّزاً، وإلّا فلو کان کتاباً غیر مفهوم أو مخاطباً للخواص فقط من البشر لما دعا القرآن الناس عامّة إلی التدبّر والتأمّل فی آیاته، ولما ذمّ الذین لا یتدبّرون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تُفید الآیة أنّ القرآن کتاب منسجم الأجزاء ومتناسق الآیات وخالٍ من‌الاضطراب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نفی الاختلاف والتهافت عن القرآن لا ینحصر فی زمان نزوله، بل إنّ هذه الصفة ثابتة للقرآن علی الدوام، فهو منزّه عن طروء الاختلاف فی طول الزمان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السنّة، فقد ورد الأمر بفهم القرآن فی أحادیث کثیرة،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عبّاس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أعربوا القرآن والتمسوا غرائبه</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عبدالرحمن السلمی،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من کان یقرؤنا من الصحابة، أنّهم کانوا یأخذون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آیات، فلا یأخذوا فی العشر الأخری حتّی یعلموا ما فی هذه من العلم والعمل</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أروع ما قیل فی هذا المجال هو کلام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واعلموا أنّ هذا القرآنَ هو الناصحُ الذی لا یغشّ، والهادی الذی لا یضلُّ، والمحدّثُ الذی لا یکذبُ، وما جالسَ هذا القرآنَ أحدٌ إلّا قام عنه بزیادةٍ أو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زیادةٍ فی هدی أو نقصانٍ من 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أنّه لیس علی أحدٍ بعد</w:t>
      </w:r>
    </w:p>
    <w:p>
      <w:pPr>
        <w:pStyle w:val="BookText"/>
        <w:rPr/>
      </w:pPr>
      <w:r>
        <w:rPr>
          <w:rFonts w:ascii="Amiri" w:hAnsi="Amiri" w:eastAsia="Amiri" w:cs="Amiri"/>
          <w:color w:val="111111"/>
          <w:sz w:val="28"/>
          <w:sz w:val="28"/>
          <w:szCs w:val="28"/>
          <w:rtl w:val="true"/>
          <w:lang w:bidi="ar-SA"/>
        </w:rPr>
        <w:t>القرآنِ من فاقةٍ، ولا لأحدٍ قبل القرآن من غنیً، فاستَشفُوه من أدوائِکُم، واستعینوا به علی لأوائِکُم، فإنّ فیه شفاءً من أکبرِ الداءِ؛ وهو الکفرُ والنفاقُ والغیُّ والضلالُ، فاسألوا اللهَ بِه، وتوجّهوا إلیه بحبِّه، ولا تسألوا به خَلقَهُ، إنّه ما توجّه العبادُ إلی اللهِ تعالی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ینادی منادٍ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کلَّ حارثٍ مبتلیً فی حرثهِ وعاقبةِ عملِهِ غیر حرثِةِ القرآنِ، فکونوا من حرثَتِهِ وأتباعِهِ واستدلُّوهُ علی رَبَّکُم واستنصحوه علی أنفسِکُم، واتهمُوا علیه آراءَکُم واستغشُّوا فیه أهواءَکم</w:t>
      </w:r>
      <w:r>
        <w:rPr>
          <w:rFonts w:eastAsia="Amiri" w:cs="Amiri" w:ascii="Amiri" w:hAnsi="Amiri"/>
          <w:color w:val="111111"/>
          <w:sz w:val="28"/>
          <w:szCs w:val="28"/>
          <w:rtl w:val="true"/>
          <w:lang w:bidi="ar-SA"/>
        </w:rPr>
        <w:t xml:space="preserve">... . </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لا خیرَ فی علم لیس فیه تفهّم، ألا لا خیر فی قراءة لیس فیها تدبّر، ألا لا خیر فی عبادة لیس فیها تفقّه</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الزهری قال سمعت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القرآنِ خزائنُ العلمِ، فکلّما فتحت خزانة فینبغی لک أن تنظر فیها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الأحادیث الواردة فی فضل التدبّر فی القرآن ودفع المسلمین نحو ذلک</w:t>
      </w:r>
      <w:r>
        <w:rPr>
          <w:rFonts w:eastAsia="IRNazanin" w:cs="IRNazanin"/>
          <w:color w:val="111111"/>
          <w:sz w:val="28"/>
          <w:szCs w:val="28"/>
          <w:rtl w:val="true"/>
          <w:lang w:bidi="fa-IR"/>
        </w:rPr>
        <w:t xml:space="preserve">. </w:t>
      </w:r>
      <w:r>
        <w:rPr>
          <w:rStyle w:val="FootnoteAnchor"/>
          <w:rtl w:val="true"/>
        </w:rPr>
        <w:footnoteReference w:id="5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الطبیعی أن یتّخذ الإسلام هذا الموقف ویدفع المسلمین بکلّ ما یملک من وسائل الترغیب إلی دراسة القرآن والتدبّر فیه؛ لأنّ القرآن هو الدلیل الخالد علی النبوة، والدستور الثابت من السماء للاُمة الإسلامیة فی مختلف شؤون حیاتها، وکتاب الهدایة البشریة الذی أخرج العالم من الظلمات إلی النور، وأنشأ امّة وفق المنهج الإلهی</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ولذا نری المسلمین قد أولوا کتاب الله عنایة خاصّة، فکانوا یرجعون إلی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توضیح ما یشکل علیهم فهمه، أو ما یحتاجون فیه إلی شیءٍ من التفصیل والتوسّع، وکانوا یأخذون هذه المعارف ویتداولونها فیما بینهم، فکانت هذه هی البذرة الاُولی لنشوء علم آیات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مرجعیة القرآن فی استنباط الأحکام</w:t>
      </w:r>
    </w:p>
    <w:p>
      <w:pPr>
        <w:pStyle w:val="BookText"/>
        <w:rPr/>
      </w:pPr>
      <w:r>
        <w:rPr>
          <w:rFonts w:ascii="IRNazanin" w:hAnsi="IRNazanin" w:eastAsia="IRNazanin"/>
          <w:color w:val="111111"/>
          <w:sz w:val="28"/>
          <w:sz w:val="28"/>
          <w:szCs w:val="28"/>
          <w:rtl w:val="true"/>
          <w:lang w:bidi="fa-IR"/>
        </w:rPr>
        <w:t>إنّ أهمّیة البحث فی آیات الأحکام من الوضوح بمکان؛ لکونه بحثاً عن کلام الله سبحانه وتدقیق فی کلماته التی یهتدی بها فی ظلمات الجهل، بید أنّ البحث من هذه الجهة لا یفترق عن سائر الأبحاث التفسیریة ولا یمتاز علیها، ونحن لا نخوص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یرتبط ببحثنا هو دراسة آیات الأحکام؛ باعتبار أنّها تهمّ الفقیه ولارتباطها بمجال الاستنباط، وسنذکر أهمّیة البحث فی هذه الجهة ضمن النقاط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النقطة 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شکّ فی أنّ القرآن الکریم هو المصدر الأوّل لأحکام الشریعة المقدّسة، بل وفیه تبیان کلّ شیء،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فِی الأَرضِ وَ لا طائِرٍ یَطِیرُ بِجَناحَیهِ إِلاّ أُمَمٌ أَمثالُکُم ما فَرَّطنا فِی الکِتابِ مِن شَی‌ءٍ ثُمَّ إِلی رَبِّهِم یُحشَرُونَ </w:t>
      </w:r>
      <w:r>
        <w:rPr>
          <w:rStyle w:val="FootnoteAnchor"/>
          <w:rtl w:val="true"/>
        </w:rPr>
        <w:footnoteReference w:id="52"/>
      </w:r>
      <w:r>
        <w:rPr>
          <w:rFonts w:ascii="IRNazanin" w:hAnsi="IRNazanin" w:eastAsia="IRNazanin"/>
          <w:color w:val="111111"/>
          <w:sz w:val="28"/>
          <w:sz w:val="28"/>
          <w:szCs w:val="28"/>
          <w:rtl w:val="true"/>
          <w:lang w:bidi="fa-IR"/>
        </w:rPr>
        <w:t xml:space="preserve">حیث دلّت الجملة المعترضة فی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فَرَّطنا فِی الکِتابِ مِن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نفی النقص عن الکتاب وأنّه لم یهمل شیئاً، فهو تامّ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بالکتاب هو القرآن علی الأرجح بمعونة القرائن المتصلة والمنفصلة، وهذا هو التفسیر الوارد فی الروایات أیضاً</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نَزَّلنا عَلَیکَ الکِتابَ تِبیاناً لِکُلِّ شَی‌ءٍ وَ هُدیً وَ رَحمَةً وَ بُشری لِلمُسلِمِینَ </w:t>
      </w:r>
      <w:r>
        <w:rPr>
          <w:rStyle w:val="FootnoteAnchor"/>
          <w:rtl w:val="true"/>
        </w:rPr>
        <w:footnoteReference w:id="54"/>
      </w:r>
      <w:r>
        <w:rPr>
          <w:rFonts w:ascii="IRNazanin" w:hAnsi="IRNazanin" w:eastAsia="IRNazanin"/>
          <w:color w:val="111111"/>
          <w:sz w:val="28"/>
          <w:sz w:val="28"/>
          <w:szCs w:val="28"/>
          <w:rtl w:val="true"/>
          <w:lang w:bidi="fa-IR"/>
        </w:rPr>
        <w:t>حیث دلّت هذه الآیة علی أنّ القرآن هو بیان لکلِ‌ّ شیءٍ یتعلّق بهدایة الناس سواء أکان فی المجال العقائدی والنظری وما یرتبط بالمبدأ والمعاد أو فی</w:t>
      </w:r>
    </w:p>
    <w:p>
      <w:pPr>
        <w:pStyle w:val="BookText"/>
        <w:rPr/>
      </w:pPr>
      <w:r>
        <w:rPr>
          <w:rFonts w:ascii="Amiri" w:hAnsi="Amiri" w:eastAsia="Amiri" w:cs="Amiri"/>
          <w:color w:val="111111"/>
          <w:sz w:val="28"/>
          <w:sz w:val="28"/>
          <w:szCs w:val="28"/>
          <w:rtl w:val="true"/>
          <w:lang w:bidi="ar-SA"/>
        </w:rPr>
        <w:t>المجال التشریعی أو فی المجال الأخلاقی؛ وذلک للعموم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شَی‌ءٍ فإنّ القرآن تکفّل ببیان ذلک کلّه؛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تِبیاناً لِکُلِّ شَی‌ءٍ وَ هُدیً وَ رَحمَةً، فیکون بذلک مصدراً یُرجع إلیه لأخذ الأحکام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الإمام أبی عبدالله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تبارک وتعالی أنزل فی القرآن تبیان کلّ شیء، حتّی واللهِ، ما ترک الله شیئاً یحتاج إلیه العباد، حتّی لا یستطیع عبد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انزل فی القرآن، إلّا وقد أنزل الله فیه</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وعن عمر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عمر بن قیس، أشعرت أنّ الله أرسل رسولاً، وأنزل علیه کتاباً، وأنزل فی الکتاب کلّ ما یحتاج إلیه، وجعل له دلیلاً یدلّ علیه، وجعل لکلّ شیء حدّاً، ولمن جاوز الحدّ 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رسولاً، وأنزل علیه کتاباً، وأنزل فی الکتاب کلّ ما یحتاج إلیه، وجعل له دلیلاً یدلّ علیه، وجعل علی من تعدّی ذلک الحدّ حدّاً، ولمن جاوز الحدّ 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واستناداً لذلک، فإنّ القرآن الکریم من الناحیة النظریة یحتلّ موقع الصدارة من بین سائر الأدلّة الشرعیة؛ وذلک للاُمور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جامعیته ؛ لکونه بیاناً لکلّ شیء، ولیس المراد هو جامعیته لجمیع المعارف والعلوم البشریّة، إذ إنّ التعبیر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شَی‌ءٍ وإن کان اللفظ عامّاً وشاملاً إلّا أنّ القرائن اللفظیة واللبیّة توجب تضییقاً فی المعنی المراد وتحوّل دون هذا الاستیعاب المتوهّم بدواً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القرائن بعضها متّصلة وبعضها منفصلة،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فی الآیة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 عطفاً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تِبیاناً لِکُلِّ شَی‌ءٍ، ومنها ما ورد فی آیات عدیدة من وصف القرآن</w:t>
      </w:r>
    </w:p>
    <w:p>
      <w:pPr>
        <w:pStyle w:val="BookText"/>
        <w:rPr/>
      </w:pPr>
      <w:r>
        <w:rPr>
          <w:rFonts w:ascii="Amiri" w:hAnsi="Amiri" w:eastAsia="Amiri" w:cs="Amiri"/>
          <w:color w:val="111111"/>
          <w:sz w:val="28"/>
          <w:sz w:val="28"/>
          <w:szCs w:val="28"/>
          <w:rtl w:val="true"/>
          <w:lang w:bidi="ar-SA"/>
        </w:rPr>
        <w:t>الکریم بأنّه کتاب هدایة وإرشاد للناس،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أَنزَلناهُ إِلَیکَ لِتُخرِجَ النّاسَ مِنَ الظُّلُماتِ إِلَی النُّورِ بِإِذنِ رَبِّهِم إِلی صِراطِ العَزِیزِ الحَمِیدِ،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الَّذِی أُنزِلَ فِیهِ القُرآنُ هُدیً لِلنّاسِ وَ بَیِّناتٍ مِنَ الهُدی وَ 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وعلیه فإنّ القرآن هو بیان لکلّ شیء یرتبط بأمر هدایة الناس وإرشادهم، وهذا الهدف هو المقصود للقرآن أوّلاً وبالذات، وإن کان ربّما یتعرّض القرآن ضمناً إلی بعض المعارف المتعلّقة بأسرار الخلق أو بتاریخ البشریة والأنبیاء إلّا أنّ ذلک مقصود ثانیاً وبالعرض</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ویتّضح لکلّ من یراجع آیات الأحکام مدی تنوّع وسعة الأحکام التی یمکن استنباطها من القرآن الکریم، بل إنّ أکثر موارد الاستدلال فی الفقه الإسلامی وإن کان فی ظاهره الأوّلی استدلال بالروایات إلّا أنّه لدی التأمّل والتحلیل نجده استدلالاً بالکتاب؛ نظراً لکون تلک الروایات بصدد تفسیر أو تطبیق آیات الکتاب الکریم، سواءً صُرّح فیها بذلک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کسب المغنّیات؟ فقال</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التی یدخل علیها الرجال حرام، والتی تُدعی إلی الأعراس لیس به بأس، وهو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یَشتَرِی لَهوَ الحَدِیثِ لِیُضِلَّ عَن سَبِیلِ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ومن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حفص بن البختری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غاضب الرجل امرأته فلم یقربها من غیر یمین أربعة أشهر استعدت علیه، فإمّا أن یفیء وإمّا أن یطلّق، فإن ترکها من غیر مغاضبة أو یمین فلیس بمؤلٍ</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فإنّ الروایة ناظرة إلی لتفسیر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یُؤلُونَ مِن نِسائِهِم تَرَبُّصُ أَربَعَةِ أَشهُرٍ فَإِن فاؤُ فَإِنَّ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عَزَمُوا الطَّلاقَ فَإِنَّ اللّهَ سَمِیعٌ عَلِیمٌ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یُصرّح بذلک فی الروایة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ذکر الفقهاء أنّ من جملة الاُمور التی یشترط التوفّر علیها لکلّ مَن أراد استنباط الأحکام الشرعیّة معرفة آیات الأحکام، إمّا بحفظها أو فهم مقتضاها؛ لیرجع إلیها متی شاء</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وقد تعرّضوا لذلک فی بحث الاجتهاد، وکذلک فی بحث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صدارته ؛ فإنّ القرآن هو المصدر الأوّل للشریعة، وسائر الأدلّة الشرعیة تؤول إلیه، وتوضیح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أهمّ مصادر الشریعة هو ما یسمّی بالأدلّة الأربعة،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السنّة، الإجماع، العقل</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السنّة، فإنّ أحد الأدلّة المثبتة لحجّیتها هو القرآن الکریم، </w:t>
      </w:r>
      <w:r>
        <w:rPr>
          <w:rStyle w:val="FootnoteAnchor"/>
          <w:rtl w:val="true"/>
        </w:rPr>
        <w:footnoteReference w:id="61"/>
      </w:r>
      <w:r>
        <w:rPr>
          <w:rFonts w:ascii="Amiri" w:hAnsi="Amiri" w:eastAsia="Amiri" w:cs="Amiri"/>
          <w:color w:val="111111"/>
          <w:sz w:val="28"/>
          <w:sz w:val="28"/>
          <w:szCs w:val="28"/>
          <w:rtl w:val="true"/>
          <w:lang w:bidi="ar-SA"/>
        </w:rPr>
        <w:t>حیث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آتاکُمُ الرَّسُولُ فَخُذُوهُ وَ ما نَهاکُم عَنهُ فَانتَهُوا </w:t>
      </w:r>
      <w:r>
        <w:rPr>
          <w:rStyle w:val="FootnoteAnchor"/>
          <w:rtl w:val="true"/>
        </w:rPr>
        <w:footnoteReference w:id="6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وبهذا اللحاظ یمکن القول بأنّ السنّة متأخّرة رتبة عن الکتاب، وهذا یمکن أن یکون أحد المعانی للتقدّم الرتبی للکتاب علی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لهذه النقطة مزید بیان فی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علاقة القرآن بالسنّة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الإجماع، فثمّة نظریتان لتفسیره لدی الاُصولیین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القائلة بأنّ الإجماع لیس له أیّة مرجعیة مستقلّة، ولیس هو فی عرض سائر الأدلّة، وإنّما دوره دور الکاشف عن السنّة الشریفة، وهذه هی النظریة المعروفة عند مذهب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القائلة بأنّ الإجماع یعدّ مصدراً مستقلّاً، وإن کان سبب حجّیته هو النصّ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تجتمع امتی علی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هی النظریة المعروفة عند المذاهب السنّیة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علیها یکون الإجماع متأخّراً عن السنّة رتبة؛ لأنّها هی مصدر الحجّیة فیه، وبالتالی فهو متأخّر عن القرآن الکریم برتبتین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 هنا العقل العملی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 یحکم به العقل من الأحکام إمّا أن تکون ظنّیة أو قطعیة، فالأحکام الظنّیة تفتقر لإثبات حجّیتها إلی الکتاب والسنّة، وأمّا الأحکام القطعیة فإنّها وإن کانت حجّیتها ذاتیة ومستقلّة بنفسها، لکن دور العقل فی ذلک دور الکاشف والمدرِک؛ فإنّ العقل یدرک ما فی الکتاب والسنّة ویکشف عنهما، ولیس دوره دور الحاکم، ولیس له حقّ التشریع؛ إذ لیس له طریق لإدراک ملاکات الأحکام غالباً باستثناء موارد قلیلة سنذکرها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یمکن أن یحصل له القطع فی موردین، وهما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یقطع بالملازمة بین وجوب شیءٍ، ووجوب مقدّمته، أو حرمة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ومتعلّق القطع فی هذا هو الملازمة دون الحکم، وبضمّ هذا القطع إلی</w:t>
      </w:r>
    </w:p>
    <w:p>
      <w:pPr>
        <w:pStyle w:val="BookText"/>
        <w:rPr/>
      </w:pPr>
      <w:r>
        <w:rPr>
          <w:rFonts w:ascii="IRNazanin" w:hAnsi="IRNazanin" w:eastAsia="IRNazanin"/>
          <w:color w:val="111111"/>
          <w:sz w:val="28"/>
          <w:sz w:val="28"/>
          <w:szCs w:val="28"/>
          <w:rtl w:val="true"/>
          <w:lang w:bidi="fa-IR"/>
        </w:rPr>
        <w:t>حکم الشارع بوجوب شیءٍ معیّن یُستکشف أنّ الشارع قد حکم بوجوب المقدّمة أو حرمة 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العقل لا یدرک الحکم مستقلاً عن حکم الشارع، ومن هنا سُمّی هذا النوع بغیر المُستقلات العقلیة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الأحکام البدیهیة، الواضحة الراجعة إلی الحسن والقبح العقلیین، کوجوب العدل وحرمة الظلم، وسُمّی هذا النوع بالمُستقلات العقلیة، لکن فی هذین الحکمین وما شابههما توجد أدلّة شرعیة تدلّ علی ذلک، وحینئذٍ لا ثمرة عملیة هنا فی عدّ العقل مصدراً من مصادر التشریع وإن ترتّبت علیه ثمرات منهجیة ومعرفیة، علماً بأنّ هذه الموارد محدودة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ونؤکّد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دور العقل فی هذین الموردین المذکورین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الملازمة والأحکام البدیهیة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المدرِک والمستکشِف دون المشرِّع والحاکم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السیرة فهی نوعان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ترجع إلی دلیل السنّة التی مرّ البحث فیها وبیان مآلها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غیر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تکون سیرة المتشرّعة فهی ناشئة من الأخذ عن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والتعلّم منه، وبالتالی تکشف عن وجود السنّة، فتعود إلی السنّة مرّة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أن تکون سیرة العقلاء، وهذه السیرة لا تُعدّ فی نفسها مصدراً من مصادر التشریع؛ لأنّ حجّیتها تنبع من کون الشارع لم یردع عنها، وإلّا فلا قیمة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الاستصحاب وسائر الاُصول العملیة فهی قواعد عامّة مستفادة من الکتاب أو</w:t>
      </w:r>
    </w:p>
    <w:p>
      <w:pPr>
        <w:pStyle w:val="BookText"/>
        <w:rPr/>
      </w:pPr>
      <w:r>
        <w:rPr>
          <w:rFonts w:ascii="IRNazanin" w:hAnsi="IRNazanin" w:eastAsia="IRNazanin"/>
          <w:color w:val="111111"/>
          <w:sz w:val="28"/>
          <w:sz w:val="28"/>
          <w:szCs w:val="28"/>
          <w:rtl w:val="true"/>
          <w:lang w:bidi="fa-IR"/>
        </w:rPr>
        <w:t>السنّة، ولیست شیئاً فی مقابلهما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بیانیّته؛ فإنّ من أحد أوصاف القرآن الکریم البیان، فقد وُصف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عدّة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ولیُعلم أنّ إثبات بیانیة القرآن لیس متوقّفاً علی دلالة دلیل لفظی من کتاب وسنّة؛ وذلک باعتبار أنّ کلّ کتاب لا بدّ أن یتناسب مع الغرض الذی من أجله دوِّن ذلک الکتاب، وکلّما کان کاتبه أعلی شأناً کان وفاء الکتاب بذلک الغرض أکمل وأتقن، فلو کان غرض صاحب الکتاب تبیان الحقائق العلمیة الهندسیة استوجب ذلک أن یکون الکتاب معمّقاً بدرجة تتناسب مع المخاطب، وأمّا إذا لم یکن الغرض ذلک، بل کان الغرض هدایة الناس عامّة بمختلف طبقاتهم وإخراجهم من الظلمات إلی النور وتربیتهم وتغذیتهم عقائدیاً وروحیاً وخلقیاً وسلوکیاً، فحیث إنّ المخاطب هنا العرف العام استلزم ذلک أن یکون الکتاب فی منتهی البیان وفی غایة الوضوح بما یتناسب مع فهم الإنسان العادی، لامبهماً ملغّزاً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لآیات الأحکام والتشریعات خصوصیة ؛ وذلک باعتبار أنّها خطابات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تکون إنشائیة بالمطابقة، أی تکون بصیغة أوامر أو نواهٍ، وإمّا أن تکون إخبارات تنتهی بالإلتزام إلی الإنشاء، وهذا النوع من الخطابات طبیعته الوضوح عادة، ففرق بین الإخبار عن المغیّبات أو امور نظریة قد یتعذّر إلقاؤها بصورة واضحة أو ربّما یقتضی الحال إبهامها، ولیس کذلک التشریع؛ فإنّ التشریع مقولة، طبیعتها البیان والوضوح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فهب أنّنا سلّمنا بدعوی من یدّعی وجود الإبهام فی القرآن، فإنّ هذه الدعوی لا موضوع لها بالنسبة لآیات الأحکام، إذ إنّ الشارع فی مقام توجیه المخاطب للقیام ببعض الأفعال وترک اخری، فینبغی له الإفصاح لمخاطبیه عن مراداته من إلزامات وترخیصات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وتأکیداً لبیانیة القرآن فقد صرّحت الأدلّة اللفظیة بهذه الحقیقة فی العدید من النصوص کتاباً وسنّة، وقد مرّ بعضها</w:t>
      </w:r>
      <w:r>
        <w:rPr>
          <w:rFonts w:eastAsia="IRNazanin" w:cs="IRNazanin"/>
          <w:color w:val="111111"/>
          <w:sz w:val="28"/>
          <w:szCs w:val="28"/>
          <w:rtl w:val="true"/>
          <w:lang w:bidi="fa-IR"/>
        </w:rPr>
        <w:t>.</w:t>
      </w:r>
      <w:bookmarkStart w:id="137" w:name="pg5707_46428"/>
    </w:p>
    <w:p>
      <w:pPr>
        <w:pStyle w:val="Heading3"/>
        <w:numPr>
          <w:ilvl w:val="2"/>
          <w:numId w:val="1"/>
        </w:numPr>
        <w:rPr/>
      </w:pPr>
      <w:bookmarkStart w:id="138" w:name="__RefHeading___Toc3818311_581953129"/>
      <w:bookmarkStart w:id="139" w:name="_Toc58"/>
      <w:bookmarkEnd w:id="137"/>
      <w:bookmarkEnd w:id="138"/>
      <w:r>
        <w:rPr>
          <w:rtl w:val="true"/>
        </w:rPr>
        <w:t>مناقشات وردود</w:t>
      </w:r>
      <w:bookmarkEnd w:id="139"/>
    </w:p>
    <w:p>
      <w:pPr>
        <w:pStyle w:val="BookText"/>
        <w:rPr/>
      </w:pPr>
      <w:r>
        <w:rPr>
          <w:rFonts w:ascii="IRNazanin" w:hAnsi="IRNazanin" w:eastAsia="IRNazanin"/>
          <w:color w:val="111111"/>
          <w:sz w:val="28"/>
          <w:sz w:val="28"/>
          <w:szCs w:val="28"/>
          <w:rtl w:val="true"/>
          <w:lang w:bidi="fa-IR"/>
        </w:rPr>
        <w:t>المناقشة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بأنّ الأحکام والتشریعات أیضاً مبهمة؛ وذلک باعتبار أنّ ملاکاتها غامضة، فنحن لا نعلم المصالح أو المفاسد التی استندت إلیها هذه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غموض ملاکات الأحکام وعدم وضوحها لا علاقة له بفهمنا للخطاب؛ فإنّ الملاک یرتبط بمرحلة مبادئ الحکم والمصالح والمفاسد التی لوحظت فی اعتباره ثبوتاً وما نحن فیه یرتبط بمرحلة إبراز الحکم وإنشائه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المناقشة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البیان علی 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المعهود من الکلام وهو إظهار المقاصد والمعانی من طریق الدلالة اللفظیة، واُخری، یُراد به البیان الأعمّ ممّا یکون من طریق الدلالة اللفظیة وغیرها، فلعلّ هناک إشارات غیر لفظیة تکشف عن أسرار وخبایا لا سبیل للفهم المتعارف إلیها، إذاً فلا داعٍ لحصر البیان فی المعنی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الدعوی فیها احتمالان، ولا تتمّ علی شیء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نفی البیان عن القرآن کلاً أو بعضاً من جهة الدلالة اللفظیة؛ وذلک لاحتمال وجود قرائن غیر لفظیة صارفة للمدالیل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واضح البطلان؛ باعتبار أنّ القرآن الکریم حیث إنّه مجموعة ألفاظ فعندما یوصف بأنّه بیان یُفهم منه أنّ بیانیته تکون عن طریق الدلالة اللفظیة، ولا یُفهم غیر البیان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افترق البیان القرآنی عن البیان النبوی؛ إذ إنّ البیان النبوی غیر منحصر باللفظ، فقد یبیّن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عن طریق اللفظ، کما قد یبیّنه عن طریق الفعل، أو عن طریق التقریر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یُراد بهذه الدعوی نفی البیان اللفظی، بل المراد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یلتفت إلی حقائق مرتبطة بوظیفته کرسول من خلال بعض الرموز والإشارات غیر اللفظیة أو اللفظیة غیر المتعارفة، بحیث لا تعتبر دلالة لفظیة وضعیة، وهذا أمر منحصر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لتعلیم الله له، ولا یستطیع غیره إدراکها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الاحتمال علی تقدیر قیام الدلیل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ینفی بیانیة القرآن وکونه واضحاً بالنسبة إلینا بالمقدار الذی یرتبط بنا کمکلّفین، ویکون هذا المستوی من البیان القرآنی حجّة تنجیزاً وتعذیراً علی کلّ مکلّف؛ فکأنّه توجد مرتبتان من البیان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متناسبة مع المکلّفین، والاُخری متناسبة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 ذلک لا یمکن استفادته من هذه الآیة، ولا بدّ من التماس دلیل آخر لإثباته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ولیت شعری ما هو الداعی إلی التکلّف فی إثارة الشبه الغریبة والاحتمالات البعیدة بالنسبة لهذه الآیة ونحوها من الآیات الواضحة الدلالة علی المطلوب غایة الوضوح، وهل یمکن الإتیان بتعبیر أدلّ من هذه الآیة علی مرجعیة القرآن وحجّیته وبیانیته؟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فسحنا المجال أمام مثل هذه الشبه والاحتمالات للتشکیک فی بیانیة القرآن ومرجعیته الذی هو أساس الدین، فمعنی ذلک حصر دائرة الإفادة منه فی حدود ضیّقة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المناقشة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نفسه قد صرّح بأنّ القرآن بعضه واضح وبعضه غامض کما فی قوله تعإلی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 </w:t>
      </w:r>
      <w:r>
        <w:rPr>
          <w:rStyle w:val="FootnoteAnchor"/>
          <w:rtl w:val="true"/>
        </w:rPr>
        <w:footnoteReference w:id="63"/>
      </w:r>
      <w:r>
        <w:rPr>
          <w:rFonts w:ascii="IRNazanin" w:hAnsi="IRNazanin" w:eastAsia="IRNazanin"/>
          <w:color w:val="111111"/>
          <w:sz w:val="28"/>
          <w:sz w:val="28"/>
          <w:szCs w:val="28"/>
          <w:rtl w:val="true"/>
          <w:lang w:bidi="fa-IR"/>
        </w:rPr>
        <w:t>، فکیف یُدّعی أنّ القرآن الکریم خالٍ من الغموض والإبهام؟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الشبهة إنّما نشأت بناءً علی اتجاه معیّن فی فهم هذه الآیة وکیفیة تفسیر مفهوم التشابه الوارد فیها، ولبیان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ثمّة اتجاهان قی تفسیر هذه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تبیّن کیفیة فهم القرآن وطریقة التعامل مع الآیات، حیث بیّنت طریقتین وأنّ الطریقة الثانیة هی الصحیحة دون الاُولی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الطریقة 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الأخذ بنوع خاصّ من الآیات وترک ما سواها، وهو الأخذ بالمتشابه من دون الرجوع إلی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طریقة المنحرفین والسطحیین ومن فی قلوبهم زیغ الذین یریدون فتنة الناس عن دینهم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 هؤلاء حال من یأخذ ببعض الکتاب دون بعض والذین ذمّهم القرآن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فَتُؤمِنُونَ بِبَعضِ الکِتابِ وَ تَکفُرُونَ بِبَعضٍ فَما جَزاءُ مَن یَفعَلُ ذلِکَ مِنکُم إِلاّ خِزیٌ فِی الحَیاةِ الدُّنیا وَ یَومَ القِیامَةِ یُرَدُّونَ إِلی أَشَدِّ العَذابِ وَ مَا اللّهُ بِغافِلٍ عَمّا تَعمَلُونَ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وأمّا الطریقة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فالأخذ بکلّ آیات القرآن من دون تبعیض، وهذا هو المنهج المنطقی الذی یتّبعه الراسخون فی العلم والذین یؤمنون بالکتاب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التفسیر للآیة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تنهی عن اتباع نوع خاصّ من الآیات وهو الآیات المتشابهة، وهذا النهی یشمل الظواهر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المحکم ما یکون نصّاً فی معنی واحد لا غبار علیه، بخلاف المتشابه وهو ما یکون له عدّة معان یشبه بعضها بعضاً فیحار معها اللبیب، ولیس من الصحیح أن یحمل اللفظ علی معنی دون آخر ما دام ثمة معان اخری ربّما تکون مرادة من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المتشابه قد لوحظ فیه وجود معنیین متشابهین کلّ منهما له صلاحیة لئن یکون مراداً للقرآن، وإن کان أحدهما أقرب وأشدّ علقة باللفظ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ذلک ادّعی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یستفاد من هذه الآیة عدم حجّیة ظواهر الآیات القرآنیة؛ لأنّها من المتشابه المنهی عنه بالآیة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أورد المحقّقون علی هذا الاستدلال مناقشات کثیرة،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المراد بالتشابه هو التشابه المفهومی وعدم تعیّن المعنی، بل المراد هو التشابه بلحاظ عالم المصادیق والتطبیق، بمعنی أنّ هناک اناساً منحرفین فی قلوبهم زیغ فیتبعون الآیات التی لا تخلو مصادیقها من غموض وإبهام،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استواء الرحمن 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لیس لفظاً متشابه المعنی، بل الإبهام فیه ینشأ فی مقام تصوّر المصداق المناسب له تعالی وما یؤول إلیه المعنی من المصداق المتحقّق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المنحرفون یعمدون إلی هذا الصنف من الآیات لتشویش الأذهان ابتغاء الفتنة، ویترکون الآیات المحکمة التی یسهل تصوّر مصادیقها وتطبیقها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التشابه لا یشمل الظاهر؛ وذلک لأنّ مجرّد قابلیة اللفظ لئن یستعمل فی کلّ من المعنیین لا یجعله متشابهاً إذا کان واضحاً بیّناً فی أحدهما، بل التشابه یتحقّق عندما تکون نسبة کلّ من المعنیین إلی اللفظ متساویة أو متقاربة، وهذا لا یکون إلّا فی المجمل ولا یشمل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الآیة لم تنهَ عن اتباع المتشابهات ولم ترد بلسان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تتبع المتشابهات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نهت عن الاقتصار علی العمل بالمتشابهات فقط وقطع صلتها بالمحکمات رغم أنّها 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 عمل المشاغبین فی صدر الإسلام، ویؤیّده ما قیل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نزلت فی نصاری نجران الذین کانوا یثیرون الشبهات حول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ویتمسّکون بالآیات المتشابهة فقط ویترکون المحکمات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عدم جواز الأخذ بالمتشابهات من دون مراجعة النصوص المحکمة، وکذلک عدم جواز تبعیض القرآن والعمل ببعض الآیات دون بعض</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فتبیّن من ذلک کلّه أنّ الصحیح عدم دلالة الآیة علی النهی عن العمل بحجّیة ظواهر الآیات الکریمة، وإلّا فإنّ التسلیم بتلک الشبهة سیؤدّی إلی تعطیل المصدر الأوّل للشریعة الغرّاء، وهذا ما یتنافی مع الضرورة الدینیة القطعیة، فقد وردت الأحادیث الکثیرة التی</w:t>
      </w:r>
    </w:p>
    <w:p>
      <w:pPr>
        <w:pStyle w:val="BookText"/>
        <w:rPr/>
      </w:pPr>
      <w:r>
        <w:rPr>
          <w:rFonts w:ascii="IRNazanin" w:hAnsi="IRNazanin" w:eastAsia="IRNazanin"/>
          <w:color w:val="111111"/>
          <w:sz w:val="28"/>
          <w:sz w:val="28"/>
          <w:szCs w:val="28"/>
          <w:rtl w:val="true"/>
          <w:lang w:bidi="fa-IR"/>
        </w:rPr>
        <w:t>تضمّنت الاستدلال بظواهر الکتاب علی بعض الأحکام الشرعیة حتّی تحوّل ذلک إلی سیرة مستحکمة فی المجتمع الاسلامی حیث بات ذلک من المسلّمات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منافاة تلک الشبهة لصریح القرآن نفسه بأنّ آیاته إنّما نزلت بیاناً وتبیاناً وهدی ونوراً وبلسان عربی مبین، وکذلک منافاتها للروایات الکثیرة الآمرة بالتمسّک بالکتاب والأخذ به والعمل بموجبه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الکتاب هو المیزان الذی به تُوزن الروایات، فیُقبل منها ما وافقه، ویُطرح ما خالفه وعارضه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الحدیث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ما جاءکم عنّی یوافق کتاب الله فأنا قُلتُه، وما جاءکم یخالف کتاب الله فلم أقلهُ</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ما إنّ موافقة إطلاق أو عموم فی الکتاب الکریم یکون مرجّحاً لأحد الخبرین المتعارضین، وتفصیل ذلک یُرجع فیه إلی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علم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ینحصر الأمر فی ذلک، بل للکتاب دور مهمّ فی باب شروط المعاملات إذا ارید معرفة صحّة شرط وعدمه تلزم ملاحظة الکتاب الکریم فما کان مخالفاً له یرفض وما لم یکن لذلک یقبل، ففی الحدیث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اشترط شرطاً مخالفاً لکتاب الله، فلا یجوز له ولا یجوز علی الذی اشترط علیه، والمسلمون عند شروطهم ممّا وافق کتاب الله عزّ وجلّ</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هذا، أوَ لیس من الجدیر أن یولی الفقیه اهتمامه بآیات الأحکام لیعرف ما یستفاد منها لتکون مدرکاً له فی استنباط الأحکام الشرعیة ومؤشّراً لما خالف الکتاب فیترکه، ولما وافق الکتاب فیأخذ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قائلاً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البحوث التفسیریة العامة تقوم بهذه المهمة، فما الحاجة بعد هذا إلی بحث خاص عن فقه القرآن وآیات الأحکام نتلقّاه بعنوان الدرس والتدریس؟</w:t>
      </w:r>
    </w:p>
    <w:p>
      <w:pPr>
        <w:pStyle w:val="BookText"/>
        <w:rPr/>
      </w:pPr>
      <w:r>
        <w:rPr>
          <w:rFonts w:ascii="IRNazanin" w:hAnsi="IRNazanin" w:eastAsia="IRNazanin"/>
          <w:color w:val="111111"/>
          <w:sz w:val="28"/>
          <w:sz w:val="28"/>
          <w:szCs w:val="28"/>
          <w:rtl w:val="true"/>
          <w:lang w:bidi="fa-IR"/>
        </w:rPr>
        <w:t>وقد خفی علی هذا القائل أنّ تصدّی الفقیه لمهمّته التی هی ضالّته المنشودة لا یعادله تصدّی غیره لها ممّن لیس من أرباب الفقه، فالمفسِّر إذا لم یکن فقیهاً یأخذ الآیة ویشبعها بحثاً من جوانب بلاغیة وعلمیة وتاریخیة وما شاکل ذلک ولا یرکّز البحث فی الجانب الفقهی والأحکامی الذی یمکن أن یستفاد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الجلیّ أنّ تسلیط أضواء البحث علی جوانب مختلفة یُفقد المقصود الأصلی للباحث، و هو العمق والترکیز ویجعل عمق البحث موزّعاً علی تلک الجوانب المختلفة ولن یهتدی الفقیه إلی جملة من النکات التی یتعطّش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الفقیه یأخذ الجانب الأحکامی من الآیة ویغضّ النظر عن الجوانب البلاغیة والفنّیة والعلمیة الاُخری إلّا بمقدار ما یرتبط بهدفه، وذلک ما یعطیه دقة فی بحثه، فالمفسِّر غیر الفقیه قد لا یلتفت إلی النکتة التی یستفیدها الفقیه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التَّوّابِینَ وَ یُحِبُّ المُتَطَهِّرِینَ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وهی محبوبیة الکون علی الطهارة وأنّ بإمکان المکلّف الوضوء أو الغسل لهذه الغایة بلا حاجة إلی ضمّ غایة اخری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لا یهتدی أیضاً إلی جواز قضاء الحاکم بعلمه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یَحکُم بِما أَنزَلَ اللّهُ فَأُولئِکَ هُمُ الکافِرُونَ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إِنّا أَنزَلنا إِلَیکَ الکِتابَ بِالحَقِّ لِتَحکُمَ بَینَ النّاسِ بِما أَراکَ اللّهُ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فی الوقت الذی قد یهتدی الفقیه إلی ذلک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لا یستفید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أَقرَرتُم وَ أَخَذتُم عَلی ذلِکُم إِصرِی قالُوا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کُونُوا قَوّامِینَ بِالقِسطِ شُهَداءَ لِلّهِ وَ لَو عَلی أَنفُسِکُم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حجیة الإقرار علی النفس، ولکنّ الفقیه یستفید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والسرّ فی ذلک لیس إلّا کون الفقیه یتأمّل فی حقله التخصّصی أکثر فیهتدی إلی نتاج أکبر ککلّ صاحب فنٍ إذا تحرّک فی دائرة اختصاصه، فإنّه یتأمّل من زاویة فنّه بدرجة أکبر فیحصل علی نتاج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معظم الکتب التی الّفت فی هذا المجال لم تستوفِ البحث فی آیات الأحکام استیفاءً تامّاً، فنری کثیراً من الموارد یکتفی فیها الباحث ببیان إمکان استنباط الحکم من الآیة ولو مبتنیاً علی بعض الوجوه والاحتمالات التی قد لا تفیدنا فی إثبات الحکم الشرعی أو نفیه، وکثیراً ما یغضّ النظر عن التعرّض إلی ما یمکن أن یورد علی البحث من المناقشات، خلافاً لما هو المتعارف فی البحوث الاستدلالیّة الفقهیّة من ناحیة استیعاب البحث، وطرح المناقشات نقضاً وإبراماً، حتّی ینتهی البحث إلی النتیجة النهائیّة بنفی الحکم أو إثباته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هذامن جهة، ومن جهة اخری نجد الباحث علی صعید الاستدلال الفقهی یحاول بذل کلّ ما فی وسعه فی سبیل استثمار کلّ الحیثیّات فی الآیة الواحدة فی رفد عملیّة استنباطه للأحکام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فثمّة آیات تشتمل علی عدّة جهات یمکن الاستدلال بکلّ واحدة منها علی حکم فقهی، کالآیات الواردة فی الحدود، من قبیل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اَلزّانِیَةُ وَ الزّانِی فَاجلِدُوا کُلَّ واحِدٍ مِنهُما مِائَةَ جَلدَةٍ وَ لا تَأخُذکُم بِهِما رَأفَةٌ فِی دِینِ اللّهِ إِن کُنتُم تُؤمِنُونَ بِاللّهِ وَ الیَومِ الآخِرِ وَ لیَشهَد عَذابَهُما طائِفَةٌ 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اَلزّانِی لا یَنکِحُ إِلاّ زانِیَةً أَو مُشرِکَةً وَ الزّانِیَةُ لا یَنکِحُها إِلاّ زانٍ أَو مُشرِکٌ وَ حُرِّمَ ذلِکَ عَلَی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یَرمُونَ المُحصَناتِ ثُمَّ لَم یَأتُوا بِأَربَعَةِ</w:t>
      </w:r>
    </w:p>
    <w:p>
      <w:pPr>
        <w:pStyle w:val="BookText"/>
        <w:rPr/>
      </w:pPr>
      <w:r>
        <w:rPr>
          <w:rFonts w:ascii="Amiri" w:hAnsi="Amiri" w:eastAsia="Amiri" w:cs="Amiri"/>
          <w:color w:val="111111"/>
          <w:sz w:val="28"/>
          <w:sz w:val="28"/>
          <w:szCs w:val="28"/>
          <w:rtl w:val="true"/>
          <w:lang w:bidi="ar-SA"/>
        </w:rPr>
        <w:t>شُهَداءَ فَاجلِدُوهُم ثَمانِینَ جَلدَةً وَ لا تَقبَلُوا لَهُم شَهادَةً أَبَداً وَ أُولئِکَ 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تابُوا مِن بَعدِ ذلِکَ وَ أَصلَحُوا فَإِنَّ اللّهَ غَفُورٌ 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السّارِقُ وَ السّارِقَةُ فَاقطَعُوا أَیدِیَهُما جَزاءً بِما کَسَبا نَکالاً مِنَ اللّهِ وَ اللّهُ عَزِیزٌ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تابَ مِن بَعدِ ظُلمِهِ وَ أَصلَحَ فَإِنَّ اللّهَ یَتُوبُ عَلَیهِ إِنَّ اللّهَ غَفُورٌ رَحِیمٌ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وهذه الجهات کثیرة، ولنشر إلی 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إمکانیة الاستدلال بهذه الآیات لتشخیص نوع العقوبة، والحدّ المذکور فی الآیة، کالجلد والقطع، وکذلک کیفیّة الإجراء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إمکانیة الاستدلال علی تشخیص المخاطب الذی له إجراء هذه الحدود، فهل هو عموم الاُمّة أم کلّ مکلّف أو مخاطب خاصّ؟</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إمکانیة الاستدلال علی کون هذه العقوبات من حقوق الله لا من حقوق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إمکانیة الاستدلال علی جواز حکم القاضی بعلمه؛ باعتبار أنّ الآیات رتّبت الحکم علی مَن علم کونه زانیاً أو سارقاً</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إمکانیة الاستدلال علی سلطة الحاکم علی العفو عن هذه العقوبات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إمکانیة الاستدلال علی عدم جواز تخدیر العضو الذی هو محلّ العقوبة؛ باعتبار کون الإیلام شرطاً مأخوذاً فی العقوبة</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المؤسف أن نجد أحیاناً بعض الدراسات والبحوث الفقهیة الاستدلالیة ترکّز علی الاهتمام بالسنّة الشریفة، وتولیها کامل العنایة، وتغضّ الطرف عن</w:t>
      </w:r>
    </w:p>
    <w:p>
      <w:pPr>
        <w:pStyle w:val="BookText"/>
        <w:rPr/>
      </w:pPr>
      <w:r>
        <w:rPr>
          <w:rFonts w:ascii="IRNazanin" w:hAnsi="IRNazanin" w:eastAsia="IRNazanin"/>
          <w:color w:val="111111"/>
          <w:sz w:val="28"/>
          <w:sz w:val="28"/>
          <w:szCs w:val="28"/>
          <w:rtl w:val="true"/>
          <w:lang w:bidi="fa-IR"/>
        </w:rPr>
        <w:t>دراسة الآیات ذات العلاقة بالحکم الشرعی والتی یمکن أن تفید فی عملیة استنباطه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قلّة العنایة بالکتاب الکریم یؤدّی إلی فوات کثیر من فرص الاستدلال، بل ربّما یؤدّی إلی الغفلة عن بعض الأحکام الشرعیة، وممّا یشهد لذلک أنّه بمراجعة ما کُتب فی آیات الأحکام ومقارنته بالکتاب الکریم نلاحظ إهمال مجموعة کبیرة من الآیات التی لا یمکن للفقیه وغیره الاستغناء عنها لثقل مضمونها وقوة ما تعطیه من 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الآیات المرتبطة ببعض المسائل الأُصولیة ، والتی یمکن الاستفادة منها فی المجال المذکور، کالآیات التی یمکن استفادة حجیة خبر الواحد منها أو حجیة البیّنة أو حجّیة السنّة الشریفة، وما قد یستدلّ به علی حجّیة سنّة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وسنّة الصحابی، أو القیاس، أو الإجماع، وما شاکل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الآیات المرتبطة بالقواعد الفقهیة ، التی یمکن الاستفادة منها فی المجال المذکور، کالآیات الدالّة علی قاعدة نفی الحرج، وحجیّة القرعة، والحمل علی الصحة والجبّ، ونفی السبیل، والإحسان، والأُسوة، وتعظیم شعائر الله سبحانه، ونحو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الآیات المشتملة علی جملة من المحرّمات، التی قد لا یسهل إدراجها تحت أحد الأبواب الفقهیة المتداولة، کالآیات الدالّة علی حرمة الإسراف، ورمی المحصنة، والبخس فی المکیال والمیزان، والغیبة، والنمیمة، والتنابز بالألقاب، والتجسس، والخیانة، والظلم، وإشاعة الفاحشة، والرکون إلی الظالم، ومودّة الکفّار، وقطیعة الرحم، والیأس من روح الله تعالی، والأمن من مکر الله تعالی، والإفساد فی الأرض، وکتمان البیّنات والهدی، وکنز الذهب والفضة، والنسیء، والسحر، والکذب، والمیسر،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الآیات المشتملة علی جملة من الواجبات، التی قد لا یسهل أیضاً إدراجها</w:t>
      </w:r>
    </w:p>
    <w:p>
      <w:pPr>
        <w:pStyle w:val="BookText"/>
        <w:rPr/>
      </w:pPr>
      <w:r>
        <w:rPr>
          <w:rFonts w:ascii="IRNazanin" w:hAnsi="IRNazanin" w:eastAsia="IRNazanin"/>
          <w:color w:val="111111"/>
          <w:sz w:val="28"/>
          <w:sz w:val="28"/>
          <w:szCs w:val="28"/>
          <w:rtl w:val="true"/>
          <w:lang w:bidi="fa-IR"/>
        </w:rPr>
        <w:t>تحت أحد الأبواب الفقهیة المتداولة، کالآیات الدالّة علی وجوب الاعتصام بالله سبحانه، وإطاعة أُولی الأمر، والاستقامة، والسعی للإصلاح، والتوبة، والتفقّه فی الدین، وردّ التحیة، والإحسان للوالدین، والهجرة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کثیرة تتضمّن آداباً إسلامیة متعدّدة ومهمّة ، کالآیات الدالّة علی الإنصات لقراءة الکتاب الکریم، والاستعاذة بالله سبحانه، والتوکّل علیه، والذکر، والاستغفار، والتهجّد فی اللیل، والصلاة علی النبی وآله صلوات الله علیهم أجمعین، والتعقیب، والدعاء، والتواضع، والصفح، والدعوة بالحکمة والتعامل الحسن، والإنفاق فی سبیل الله، وخفض الصوت، والاستباق إلی الخیر، والمشاورة، والإیثار، والتفسّح فی المجالس، والإعراض عن اللغو،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ترتبط بأحکام مختلفة لاتدخل تحت باب معیّن ، کالآیات التی قد تستفاد منها نظریة ولایة الفقیه، أو المرتبطة بزیارة القبور، أو أحکام المساجد، أو أحکام الیتیم، أو قیمومة الرجال علی النساء، أو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الآیات التی یمکن أن یستنبط منها النظم والنظریات الفقهیة العامّة، التی تمثّل الأبنیة التحتیة الجامعة لشتات الأحکام الفقهیة الفرعیة المتناثرة أو النظریات التی تنفع فی کیفیة إجراء الاحکام الإلهیة وتطبیقها علی الصعد العامة کالصعید الإداری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الآیات المرتبطة بالامم السابقة، والتی ربّما تکون منجّزة بحقّنا أو لا، فلا بدّ من بحثها ودراستها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وننبّه علی أنّ البعض قد أفرط فی الاستدلال ببعض الآیات التی لا دلالة فیها علی حکم شرعی، بأیّ نوع من الدلالة إطلاقاً، کدعوی الاستدلال علی عدم اجتماع البنوّة والعبودیة، وأنّ الابن لا یُملک،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یَنبَغِی لِلرَّحمنِ أَن یَتَّخِذَ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کُلُّ مَن فِی السَّماواتِ وَ الأَرضِ إِلاّ آتِی الرَّحمنِ عَبداً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وهو کما تری فیه من التکلّف والتعسّف ما لا یخفی، فإنّ هذا الاستدلال لا تنطبق علیه الموازین والضوابط الاصولیة؛ إذ إنّ عدم اتخاذ الرحمن للولد لیس منشأه محذور اجتماع البنوّة والعبودیة، بل من جهة استحالة نسبة الولد إلی الله سبحانه فی نفسه؛ لمنافاته مع الخالقیة التی تقتضی التنزیه عن صفات المخلوقین</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مشروعیة تفسیر القرآن</w:t>
      </w:r>
    </w:p>
    <w:p>
      <w:pPr>
        <w:pStyle w:val="BookText"/>
        <w:rPr/>
      </w:pPr>
      <w:r>
        <w:rPr>
          <w:rFonts w:ascii="IRNazanin" w:hAnsi="IRNazanin" w:eastAsia="IRNazanin"/>
          <w:color w:val="111111"/>
          <w:sz w:val="28"/>
          <w:sz w:val="28"/>
          <w:szCs w:val="28"/>
          <w:rtl w:val="true"/>
          <w:lang w:bidi="fa-IR"/>
        </w:rPr>
        <w:t>هناک شبهة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تفسیر القرآن الکریم بما فی ذلک آیات الأحکام ولا یحق لنا عقد بحث عنها؛ لأنّ القرآن الکریم ذو مضامین عالیة لا یفهمها کلّ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وعادة تُنسب هذه الشبهة إلی الأخباریین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عدّة منهم نفوا ذلک، وفرّق بعضهم بین دعوی عدم العلم بمرادات القرآن وبین عدم حجّیته وأنّ الذی ذهب إلیه الأخباریون هو الأوّل دون الثانی، قال الفاضل الخلیل القزوینی فی شرح العدّة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حجیة القرآن وإن لم یحصل العلم بالمراد به من ضروری الدین، إن عُلم أنّه الظاهر فیجب العمل به ویجوز الحکم بأنّه الظاهر وإن لم یجز الحکم بأنّه 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جواز التمسّک بظاهر القرآن فی مسائل الاُصول والفروع ثابت ضرورة من الدین أو بإجماع خاص معلوم تحقّقه وإفادته القطع وإن لم یُعلم حجیة کلّ 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موضع 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طریقة قدماء أصحابنا وهم الأخباریون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مع بذل الوسع فی المطلب وعدم وجدان الحکم فی ظاهر الکتاب العمل بأخبار الآحاد خاصة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المدقّق الرضیّ القزوینی فی لسان الخواص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وجوب العمل بظاهر القرآن من ضروریات الدین، ولکنّه لا یستلزم العلم بالحکم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القول</w:t>
      </w:r>
    </w:p>
    <w:p>
      <w:pPr>
        <w:pStyle w:val="BookText"/>
        <w:rPr/>
      </w:pPr>
      <w:r>
        <w:rPr>
          <w:rFonts w:ascii="IRNazanin" w:hAnsi="IRNazanin" w:eastAsia="IRNazanin"/>
          <w:color w:val="111111"/>
          <w:sz w:val="28"/>
          <w:sz w:val="28"/>
          <w:szCs w:val="28"/>
          <w:rtl w:val="true"/>
          <w:lang w:bidi="fa-IR"/>
        </w:rPr>
        <w:t>بعدم جواز استنباط الأحکام من ظواهر الکتاب بدون سؤال الأئمّة عن تفسیرها ساقط بالضرورة الدینیة والأخبار المتواترة معنی</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ومهما یکن من أمر ربّما یستدلّ علی ذلک ببعض النصوص، ففی حدیث زید الشحّام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قتادة بن دعامة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قتادة أنت فقیه أهل البصرة؟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یزعمون، 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أنّک تفسّر القرآن، فقال له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قتادة، إن کنت إنّما فسّرت القرآن من تلقاء نفسک فقد هلکت وأهلکت، وإن کنت قد فسّرته من الرجال فقد هلکت وأهلکت، ویحک یا قتادة، إنّما یعرف القرآن من خُوطب به</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وفی حدیث الریّان بن الصلت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آمن بی من فسّر برأیه کلامی</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هذا، ویمکن التعلیق علی الشبهة المذکورة بما یأتی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بالنسبة إلی الحدیث الأول وما هو بمضمونه، فالمراد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القرآن الکریم لا یعرفه بتمام خصوصیاته من الناسخ والمنسوخ، والخاص والعام، إلاّ من خُوطب به، لا أنّه لا یجوز التمسّک بظواهره حتی بعد مراجعة السنّة للتأکّد من عدم وجود النسخ أو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عدّة مؤشّرات تدلّ علی ما قلناه نذکر من بینها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القرآن الکریم أمرنا بالتدبّر فی آیاته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یَتَدَبَّرُونَ القُرآنَ وَ لَو کانَ مِن عِندِ غَیرِ اللّهِ لَوَجَدُوا فِیهِ اختِلافاً کَثِیراً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فلو لم تکن ظواهره حجّة فلا معنی للأمر بالتدبّر فی آیاته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ظواهر الکتاب الکریم إذا لم تکن حجّة وکان فهمه یختص بمن خُوطب به فلا معنی لتحدّی القرآن الکریم بالإتیان بسورة من مثله، فالتحدّی المذکور یدلّ علی عدم اختصاص فهمه بمن خُوطب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حدیث الثقلین المتواتر لدی الفریقین والذی قال فیه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إنّی تارک فیکم الثقلین أحدهما أکبر من الآخر، کتاب الله حبل ممدود من السماء إلی الأرض، وعترتی أهل بیتی وإنّهما لن یفترقا حتی یردا علیَّ الحوض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یدلّ علی لزوم التمسّک بالکتاب الکریم، والتمسّک به غیر ممکن إذا لم تکن ظواهره حجة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یُرجعون أصحابهم إلی الکتاب الکریم ویعلّمونهم کیفیة استفادة المطالب منه، ففی صحیح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تخبرنی من أین علمت،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المسح ببعض الرأس وبعض الرجلین؟ فضحک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فعرفنا 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بِرُؤُسِکُم أنّ المسح ببعض الرأس لمکان الباء</w:t>
      </w:r>
      <w:r>
        <w:rPr>
          <w:rFonts w:eastAsia="IRNazanin" w:cs="IRNazanin"/>
          <w:color w:val="111111"/>
          <w:sz w:val="28"/>
          <w:szCs w:val="28"/>
          <w:rtl w:val="true"/>
          <w:lang w:bidi="fa-IR"/>
        </w:rPr>
        <w:t xml:space="preserve">... .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وظواهر الکتاب الکریم إذا لم تکن حجّة فلا معنی لتعلیم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استفادة کون المسح ببعض الرأس ولیس بتمامه، بل کان من المناسب أن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قضیة لا ترتبط بک؛ إذ نحن المخاطبون بالقرآن الکریم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حدیث عبد الأعلی مولی آل سام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عثرت، فانقطع ظفری، فجعلت علی إصبعی مرارة،</w:t>
      </w:r>
    </w:p>
    <w:p>
      <w:pPr>
        <w:pStyle w:val="BookText"/>
        <w:rPr/>
      </w:pPr>
      <w:r>
        <w:rPr>
          <w:rFonts w:ascii="Amiri" w:hAnsi="Amiri" w:eastAsia="Amiri" w:cs="Amiri"/>
          <w:color w:val="111111"/>
          <w:sz w:val="28"/>
          <w:sz w:val="28"/>
          <w:szCs w:val="28"/>
          <w:rtl w:val="true"/>
          <w:lang w:bidi="ar-SA"/>
        </w:rPr>
        <w:t>فکیف أصنع بالوضوء؟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یعرف هذا وأشباهه من کتاب الله عزّ وجلّ،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 عَلَیکُم فِی الدِّینِ مِن حَرَجٍ </w:t>
      </w:r>
      <w:r>
        <w:rPr>
          <w:rStyle w:val="FootnoteAnchor"/>
          <w:rtl w:val="true"/>
        </w:rPr>
        <w:footnoteReference w:id="75"/>
      </w:r>
      <w:r>
        <w:rPr>
          <w:rFonts w:ascii="IRNazanin" w:hAnsi="IRNazanin" w:eastAsia="IRNazanin"/>
          <w:color w:val="111111"/>
          <w:sz w:val="28"/>
          <w:sz w:val="28"/>
          <w:szCs w:val="28"/>
          <w:rtl w:val="true"/>
          <w:lang w:bidi="fa-IR"/>
        </w:rPr>
        <w:t>، امسح علیه</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فإنّ ظواهر الکتاب الکریم إذا لم تکن حجة فلا معنی لجواب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المناسب معرفة هذا وأشباهه من کتاب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النصوص أمرتنا بعرض الروایات حالة تعارضها علی الکتاب الکریم فما وافقه یُؤخذ به وما خالفه یُترک، کما تقدّم الإشارة إلی ذلک فی حدیث خطبة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بمنی، وظواهر الکتاب الکریم إذا لم تکن حجّة فلا معنی للأمر بعرض الأخبار المتعارضة علیه لتشخیص الأخذ بالموافق وطرح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الحال بالنسبة إلی الشروط المذکورة فی العقود والمعاملات، فإنّ الشرط متی ما کان مخالفاً للکتاب الکریم فلا یکون صحیحاً، ومتی لم یکن کذلک یکون صحیحاً، وهذا یدلّ علی حجّیة ظواهر الکتاب الکریم، کما هو واضح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من الاُمور البدیهیة رجحان قراءة القرآن الکریم وتکرار تلاوته، وهذا بنفسه یُدلّل علی حجّیة ظواهره، وإلّا فلا نحتمل أنّ الراجح خصوص قراءته من دون تدبّر فی آیاته وعلی مستوی لقلقة اللسان، وأنّ قراءته مع التدبّر لیست راجحة، کما هو لازم القول بعدم حجیّة ظواهره؛ إذ لا فائدة فی التدّبر بعد عدم حجیّة ظواهره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القول بعدم حجّیة ظواهر القرآن معناه إلغاء حجیّة السنّة والسیرة العقلائیة وکذلک سیرة المتشرّعة والإجماع؛ لأنّ حجیّتها تثبت بالکتاب، وهذا یعنی تعطیل لکلّ الأدلّة الشرعیة؛ من هنا صرّح بعضهم بأنّ حجّیة ظواهر الکتاب من ضروریات الدین،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جواز التمسّک بظاهر القرآن فی مسائل الاُصول والفروع ثابت ضرورةً من</w:t>
      </w:r>
    </w:p>
    <w:p>
      <w:pPr>
        <w:pStyle w:val="BookText"/>
        <w:rPr/>
      </w:pPr>
      <w:r>
        <w:rPr>
          <w:rFonts w:ascii="IRNazanin" w:hAnsi="IRNazanin" w:eastAsia="IRNazanin"/>
          <w:color w:val="111111"/>
          <w:sz w:val="28"/>
          <w:sz w:val="28"/>
          <w:szCs w:val="28"/>
          <w:rtl w:val="true"/>
          <w:lang w:bidi="fa-IR"/>
        </w:rPr>
        <w:t>الدین، أو بإجماع خاصّ معلوم تحقّقه وإفادته القطع وإن لم یُعلم حجّیة کلّ إجماع</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ویحسن التنبیه علی أنّ حجّیة ظواهر آیات الکتاب لیست بمعنی حجّیة ظهور کلّ آیة بمعزل عن سائر الأدلّة، فقد نعثر علی مقیّد أو مخصّص فی آیات اخری، وقد یرد التقیید أو التخصیص فی السنّة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تعارض مستقرّ بین آیات الکتاب ذاتها، وأمّا التعارض المستقرّ بین الکتاب والروایات الحاکیة للسنّة فهو ممکن الوقوع، ویتمّ علاجه بطرح تلک الروایات والرجوع إلی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بالنسبة إلی الحدیث الثانی وما هو بمضمونه فالمراد منه واضح، فإنّ حمل الظاهر علی ظاهره لیس تفسیراً، إذ التفسیر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القناع وتوضیح الکلام الغامض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الکلام الظاهر لیس علیه قناع لیحتاج إلی کشف، ولیس فیه غموض لیحتاج إلی 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التنزّل عن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المنهیّ عنه هو التفسیر بالرأی دون مطلق التفسیر، وعنوان التفسیر بالرأی لا یصدق علی حمل الظاهر علی ظاهره؛ إذ لیس فی ذلک إعمال للرأی بأیّ شکل، وإنّما یصدق فیما لو حمل الظاهر علی غیر ظاهره لاستحسانات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لم یکن ما ذکرناه هو الظاهر من الحدیث المذکور ونظائره، فلابدّ من حمله علیه وإن کان ذلک مخالفاً لظاهره؛ لما أشرنا إلیه من الوجوه السابقة الدالّة علی حجّیة ظواهر الکتاب ولزوم الأخذ بها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شبهة اختصاص فهم القرآن الکریم بمن خوطب به، وحرمة التفسیر بالرأی لا ینبغی أن تحول دون بحثنا فی آیات الأحکام والتدبّر فیها</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الآیة التی حثّت علی التفقّه فی الدین؟ وبیّن بعض خصائصها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اذکر نصّاً نبویاً یحثّ علی التدبّر فی القرآن؟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اذکر نصّاً مرویاً عن أحد الأئمّة المعصومین یحثّ علی التدبّر فی القرآن؟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شبهة مفادها نفی حجیة الظواهر القرآنیة استناداً إلی عدم إمکانیة فهم مرادات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تناقش هذه الشبهة؟</w:t>
      </w:r>
      <w:bookmarkStart w:id="140" w:name="pg5707_46444"/>
    </w:p>
    <w:p>
      <w:pPr>
        <w:pStyle w:val="Heading2"/>
        <w:numPr>
          <w:ilvl w:val="1"/>
          <w:numId w:val="1"/>
        </w:numPr>
        <w:rPr/>
      </w:pPr>
      <w:bookmarkStart w:id="141" w:name="__RefHeading___Toc3818313_581953129"/>
      <w:bookmarkStart w:id="142" w:name="_Toc59"/>
      <w:bookmarkEnd w:id="140"/>
      <w:bookmarkEnd w:id="141"/>
      <w:r>
        <w:rPr>
          <w:rtl w:val="true"/>
        </w:rPr>
        <w:t xml:space="preserve">البحث الرابع </w:t>
      </w:r>
      <w:r>
        <w:rPr>
          <w:rtl w:val="true"/>
        </w:rPr>
        <w:t xml:space="preserve">: </w:t>
      </w:r>
      <w:r>
        <w:rPr>
          <w:rtl w:val="true"/>
        </w:rPr>
        <w:t>العلاقة بین القرآن والسنّة</w:t>
      </w:r>
      <w:bookmarkEnd w:id="142"/>
    </w:p>
    <w:p>
      <w:pPr>
        <w:pStyle w:val="Heading3"/>
        <w:numPr>
          <w:ilvl w:val="2"/>
          <w:numId w:val="1"/>
        </w:numPr>
        <w:rPr/>
      </w:pPr>
      <w:bookmarkStart w:id="143" w:name="__RefHeading___Toc3818315_581953129"/>
      <w:bookmarkStart w:id="144" w:name="_Toc60"/>
      <w:bookmarkEnd w:id="143"/>
      <w:r>
        <w:rPr>
          <w:rtl w:val="true"/>
        </w:rPr>
        <w:t>اشارة</w:t>
      </w:r>
      <w:bookmarkEnd w:id="144"/>
    </w:p>
    <w:p>
      <w:pPr>
        <w:pStyle w:val="BookText"/>
        <w:rPr/>
      </w:pPr>
      <w:r>
        <w:rPr>
          <w:rFonts w:ascii="IRNazanin" w:hAnsi="IRNazanin" w:eastAsia="IRNazanin"/>
          <w:color w:val="111111"/>
          <w:sz w:val="28"/>
          <w:sz w:val="28"/>
          <w:szCs w:val="28"/>
          <w:rtl w:val="true"/>
          <w:lang w:bidi="fa-IR"/>
        </w:rPr>
        <w:t>وسنوضح ذلک ضمن المحاور التالیة</w:t>
      </w:r>
      <w:r>
        <w:rPr>
          <w:rFonts w:eastAsia="IRNazanin" w:cs="IRNazanin"/>
          <w:color w:val="111111"/>
          <w:sz w:val="28"/>
          <w:szCs w:val="28"/>
          <w:rtl w:val="true"/>
          <w:lang w:bidi="fa-IR"/>
        </w:rPr>
        <w:t>:</w:t>
      </w:r>
    </w:p>
    <w:p>
      <w:pPr>
        <w:pStyle w:val="Heading3"/>
        <w:numPr>
          <w:ilvl w:val="2"/>
          <w:numId w:val="1"/>
        </w:numPr>
        <w:rPr/>
      </w:pPr>
      <w:bookmarkStart w:id="145" w:name="__RefHeading___Toc3818317_581953129"/>
      <w:bookmarkStart w:id="146" w:name="_Toc61"/>
      <w:bookmarkEnd w:id="145"/>
      <w:r>
        <w:rPr>
          <w:rtl w:val="true"/>
        </w:rPr>
        <w:t>أوّلاً</w:t>
      </w:r>
      <w:r>
        <w:rPr>
          <w:rtl w:val="true"/>
        </w:rPr>
        <w:t xml:space="preserve">: </w:t>
      </w:r>
      <w:r>
        <w:rPr>
          <w:rtl w:val="true"/>
        </w:rPr>
        <w:t>النسبة بین دور السنّة التشریعی وبین الکتاب</w:t>
      </w:r>
      <w:bookmarkEnd w:id="146"/>
    </w:p>
    <w:p>
      <w:pPr>
        <w:pStyle w:val="BookText"/>
        <w:rPr/>
      </w:pPr>
      <w:r>
        <w:rPr>
          <w:rFonts w:ascii="IRNazanin" w:hAnsi="IRNazanin" w:eastAsia="IRNazanin"/>
          <w:color w:val="111111"/>
          <w:sz w:val="28"/>
          <w:sz w:val="28"/>
          <w:szCs w:val="28"/>
          <w:rtl w:val="true"/>
          <w:lang w:bidi="fa-IR"/>
        </w:rPr>
        <w:t>یمکن التعرّف علی النسبة بین ما تشرّعه السنّة من أحکام، وبین الأحکام المشرّعة فی القرآن من خلال التعرّف علی نوعیة الأحکام الثابتة بالسنّة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نوعیة أحکام السنّة فهی حسبما یدلّ علیه استقراؤها فی مصادرها لا تخرج عن أحد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ما ورد فی الکتاب من أحکام عامة، کالأحادیث الآمرة بأصل الصلاة، والصیام، والزکاة، والحجّ، والأمر بالمعروف والنهی عن المنکر، وکالأحادیث الناهیة عن الخمر، والمیسر، والأنصاب والأزلام، وما اهلّ به لغیر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وحساب هذا النوع من الأحکام حساب الآیات المتعدّدة الدالّة علی حکم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ما ورد من آیات عامّة فی القرآن، وبیان أسالیب أدائها وامتثالها، والتعرّض لکلّ ما یتصل بها من أجزاء وشرائط وموانع، کالأحادیث المحدّدة للمراد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والصیام، والحجّ، والمبیّنة لأجزائها وشرائطها وموانعها، وکلّ ما یرتبط بها من شؤون الأداء</w:t>
      </w:r>
      <w:r>
        <w:rPr>
          <w:rFonts w:eastAsia="IRNazanin" w:cs="IRNazanin"/>
          <w:color w:val="111111"/>
          <w:sz w:val="28"/>
          <w:szCs w:val="28"/>
          <w:rtl w:val="true"/>
          <w:lang w:bidi="fa-IR"/>
        </w:rPr>
        <w:t>.</w:t>
      </w:r>
      <w:bookmarkStart w:id="147" w:name="pg5707_46445"/>
    </w:p>
    <w:p>
      <w:pPr>
        <w:pStyle w:val="BookText"/>
        <w:rPr/>
      </w:pPr>
      <w:bookmarkEnd w:id="14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أحکام جدیدة لم یتعرّض لها الکتاب فیما نعرف من آیات أحکامه،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حرمان القاتل من المیراث إذا قتل موروثه، وتحریم الجمع بین نکاح العمّة وابنة أخیها، أو الخالة وابنة اختها إلّا بإذنهما، وکتحریم لبس الحریر للرجال وأمثالها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وبهذا الصدد یقول ابن القیّم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والسنّة مع القرآن ثلاثة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موافقة له من کلّ وجه فیکون توارد القرآن والسنّة علی الحکم الواحد من باب توارد الأدلّة وتظافرها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بیاناً لما ارید بالقرآن وتفسیراً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موجبةٍ لحکم سکَتَ القرآنُ عن إیجابه، أو محرّمة لما سکت عن تحریمه</w:t>
      </w:r>
      <w:r>
        <w:rPr>
          <w:rFonts w:eastAsia="IRNazanin" w:cs="IRNazanin"/>
          <w:color w:val="111111"/>
          <w:sz w:val="28"/>
          <w:szCs w:val="28"/>
          <w:rtl w:val="true"/>
          <w:lang w:bidi="fa-IR"/>
        </w:rPr>
        <w:t xml:space="preserve">». </w:t>
      </w:r>
      <w:r>
        <w:rPr>
          <w:rStyle w:val="FootnoteAnchor"/>
          <w:rtl w:val="true"/>
        </w:rPr>
        <w:footnoteReference w:id="79"/>
      </w:r>
    </w:p>
    <w:p>
      <w:pPr>
        <w:pStyle w:val="Heading3"/>
        <w:numPr>
          <w:ilvl w:val="2"/>
          <w:numId w:val="1"/>
        </w:numPr>
        <w:rPr/>
      </w:pPr>
      <w:bookmarkStart w:id="148" w:name="__RefHeading___Toc3818319_581953129"/>
      <w:bookmarkStart w:id="149" w:name="_Toc62"/>
      <w:bookmarkEnd w:id="148"/>
      <w:r>
        <w:rPr>
          <w:rtl w:val="true"/>
        </w:rPr>
        <w:t>ثانیاً</w:t>
      </w:r>
      <w:r>
        <w:rPr>
          <w:rtl w:val="true"/>
        </w:rPr>
        <w:t xml:space="preserve">: </w:t>
      </w:r>
      <w:r>
        <w:rPr>
          <w:rtl w:val="true"/>
        </w:rPr>
        <w:t>تقدّم القرآن علی السنّة رتبیّاً</w:t>
      </w:r>
      <w:bookmarkEnd w:id="149"/>
    </w:p>
    <w:p>
      <w:pPr>
        <w:pStyle w:val="Heading4"/>
        <w:numPr>
          <w:ilvl w:val="3"/>
          <w:numId w:val="1"/>
        </w:numPr>
        <w:rPr/>
      </w:pPr>
      <w:bookmarkStart w:id="150" w:name="__RefHeading___Toc3818321_581953129"/>
      <w:bookmarkStart w:id="151" w:name="_Toc63"/>
      <w:bookmarkEnd w:id="150"/>
      <w:r>
        <w:rPr>
          <w:rtl w:val="true"/>
        </w:rPr>
        <w:t>اشارة</w:t>
      </w:r>
      <w:bookmarkEnd w:id="151"/>
    </w:p>
    <w:p>
      <w:pPr>
        <w:pStyle w:val="BookText"/>
        <w:rPr/>
      </w:pPr>
      <w:r>
        <w:rPr>
          <w:rFonts w:ascii="Amiri" w:hAnsi="Amiri" w:eastAsia="Amiri" w:cs="Amiri"/>
          <w:color w:val="111111"/>
          <w:sz w:val="28"/>
          <w:sz w:val="28"/>
          <w:szCs w:val="28"/>
          <w:rtl w:val="true"/>
          <w:lang w:bidi="ar-SA"/>
        </w:rPr>
        <w:t>إنّ التقدّم الرتبی للکتاب علی السنّة یمکن أن یُفسّر بعدّة تفاسیر، وحی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التفسیر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السبق الرتبی من حیث الشرف والأهمیة، فوجود السنّة کالوجود الظلّی بالنسبة للکتاب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واستدلّوا له بأنّ السنّة إمّا بیان للکتاب أو زیادة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بیاناً، فالبیان تالٍ للمبیَّن فی الاعتبار؛ إذ یلزم من سقوط المبیِّن سقوط البیان لا العکس، وما شأنه هذا فهو أولی بالتقدّم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تکن بیاناً فلا تُعتبر إلّا بعد أن لا یوجد فی الکتاب، وهذا دلیل علی تقدّم اعتبار الکتاب من حیث الشرف والأولویة والمکانة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ثمرة لذلک فی مجال الاستنباط، و لا أثر له فقهیاً ولا اصولیاً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التفسیر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السبق الرتبی من حیث أرجحیة الکتاب علی السنّة، فإنّه یُقدّم علی السنّة عند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واستدلّوا بأنّ الکتاب دلیل قطعی والسنّة دلیل ظنی؛ فإنّ القطع فی السنّة إنّما یصحّ علی الجملة لا علی التفصیل، بخلاف الکتاب فإنّه مقطوع به علی الجملة والتفصیل، ومن المعلوم أنّ المقطوع به مقدّم علی المظنون، وأمّا السنّة المتواترة فهی وإن کانت مفیدة للقطع لکن موارد السنّة القولیة المتواترة لعلّه لا یوجد منها شیء، وعلی فرض وجوده فهو نادر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الدلیل أخصّ من المدّعی؛ وذلک لأنّه لا یقتضی التقدّم الرتبی للکتاب علی السنّة مطلقاً وفی جمیع الحالات بل عند المعارضة فحسب؛ إذ لا معنی لرفع الید عن المظنون بالمقطوع مع عدم المعارضة مع أنّ کلیهما حجّة کما هو الفرض سیما مع الإلتفات إلی أنّ الدلیل الظنّی إنّما یکون حجة فیما إذا ثبتت حجیتة واعتباره بالدلیل القطعی، أی أنّ الدلیل الظنّی الحجّة لا أن یؤول إلی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قد یُقال بانتفاء الحاجة إلی الدلیل الظنّی مع وجود الدلیل القطعی؛ لوفائه بإثبات الحکم وکفایته، لکن هذا لا یُسقط الدلیل الظنّی عن حجیته، کما لو کان لدینا عدّة أدلّة قطعیة، فإنّ الاستدلال بأحدها وإن کان یکفی لإثبات المطلوب لکنّه لا یُسقط باقی الأدلّة عن حجیتها وإمکان التمسّک بها فی عملیة الاستدلال، کما هو واضح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غایة ما یُثبته هذا الدلیل هو تقدّم الدلیل القطعی علی الدلیل الظنّی عند المعارضة، وهذا المقدار لاینفع فی إثبات المدّعی؛ لأنّ المعارضة لا تُتعقّل بین الکتاب وبین السنّة من حیث هی، وبما هی قول أو فعل أو تقریر؛ وذلک لاستحالة تناقض الشارع مع نفسه، وإنّما یمکن تعقّل المعارضة بین الکتاب وبین أخبار الآحاد الحاکیة لها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ویتّضح من ذلک کلّه أنّ الصیاغة الفنّیة لهذه القضیة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حالة وقوع التعارض المستقرّ بین الکتاب وأخبار الآحاد بحیث لا یمکن الجمع بینها لا بدّ من طرح تلک الأخبار المخالفة للکتاب وتقدیم الکتاب علی أخبار الآحاد التی هی غیر</w:t>
      </w:r>
      <w:bookmarkStart w:id="152" w:name="pg5707_46447"/>
    </w:p>
    <w:p>
      <w:pPr>
        <w:pStyle w:val="BookText"/>
        <w:rPr/>
      </w:pPr>
      <w:bookmarkEnd w:id="152"/>
      <w:r>
        <w:rPr>
          <w:rFonts w:ascii="IRNazanin" w:hAnsi="IRNazanin" w:eastAsia="IRNazanin"/>
          <w:color w:val="111111"/>
          <w:sz w:val="28"/>
          <w:sz w:val="28"/>
          <w:szCs w:val="28"/>
          <w:rtl w:val="true"/>
          <w:lang w:bidi="fa-IR"/>
        </w:rPr>
        <w:t>السنّة وإنّما هی حاکیة للسنّة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هذا من دعوی کون الکتاب متقدّم رتبة علی السنّة عند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السبق الرتبی الذی هو من قبیل تقدّم الحاکم علی المحکوم، بمعنی أنّه مع وجود دلیل من الکتاب لا یُنظر إلی السنّة ولا تُعتمد کدلیل،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التقدّم الرتبی لأدلّة الأمارات علی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واستدلّوا له بطائفة من الأخبار، من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بعثه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الیمن قاضیاً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تقضی؟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اجتهد رأیی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آلو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أستأذن جلسائی</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فضرب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وفّق رسول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یحبّ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ویمکن تقریب الاستدلال بنحوین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إقرار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لمعاذ ما یصلح للاستدلال؛ باعتبار أنّ الإقرار من السنّة، فالاستدلال بها استدلال بالسنّة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بالفقرة الأخیرة من إبراز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رضاه بجواب معاذ</w:t>
      </w:r>
      <w:r>
        <w:rPr>
          <w:rFonts w:eastAsia="IRNazanin" w:cs="IRNazanin"/>
          <w:color w:val="111111"/>
          <w:sz w:val="28"/>
          <w:szCs w:val="28"/>
          <w:rtl w:val="true"/>
          <w:lang w:bidi="fa-IR"/>
        </w:rPr>
        <w:t>.</w:t>
      </w:r>
    </w:p>
    <w:p>
      <w:pPr>
        <w:pStyle w:val="Heading4"/>
        <w:numPr>
          <w:ilvl w:val="3"/>
          <w:numId w:val="1"/>
        </w:numPr>
        <w:rPr/>
      </w:pPr>
      <w:bookmarkStart w:id="153" w:name="__RefHeading___Toc3818323_581953129"/>
      <w:bookmarkStart w:id="154" w:name="_Toc64"/>
      <w:bookmarkEnd w:id="153"/>
      <w:r>
        <w:rPr>
          <w:rtl w:val="true"/>
        </w:rPr>
        <w:t>المناقشة</w:t>
      </w:r>
      <w:bookmarkEnd w:id="154"/>
    </w:p>
    <w:p>
      <w:pPr>
        <w:pStyle w:val="BookText"/>
        <w:rPr/>
      </w:pPr>
      <w:r>
        <w:rPr>
          <w:rFonts w:ascii="IRNazanin" w:hAnsi="IRNazanin" w:eastAsia="IRNazanin"/>
          <w:color w:val="111111"/>
          <w:sz w:val="28"/>
          <w:sz w:val="28"/>
          <w:szCs w:val="28"/>
          <w:rtl w:val="true"/>
          <w:lang w:bidi="fa-IR"/>
        </w:rPr>
        <w:t>إنّ حدیث معاذ ضعیف سنداً ودلالة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سنداً ؛ فإنّ هذا الحدیث لم یروه إلّا الحارث بن عمرو، وهو مجهول لا ندری</w:t>
      </w:r>
    </w:p>
    <w:p>
      <w:pPr>
        <w:pStyle w:val="BookText"/>
        <w:rPr/>
      </w:pPr>
      <w:r>
        <w:rPr>
          <w:rFonts w:ascii="IRNazanin" w:hAnsi="IRNazanin" w:eastAsia="IRNazanin"/>
          <w:color w:val="111111"/>
          <w:sz w:val="28"/>
          <w:sz w:val="28"/>
          <w:szCs w:val="28"/>
          <w:rtl w:val="true"/>
          <w:lang w:bidi="fa-IR"/>
        </w:rPr>
        <w:t>مَن هو؟ والحارث رواه عن رجال من أهل حمص لم یسمّهم عن معاذ</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وأمّا متناً؛ فإنّه یرد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المعلوم أنّ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فی عصر متأخّر جدّاً عن العصر النبوی، فبحسب الوثائق إنّ ظهور هذا المصطلح فی الأدبیات الاُصولیة والفقهیة کان علی ید محمد بن إدریس الشافعی، الذی أعلن کون الاجتهاد بمعنی القیاس، وقد کرّر طرح هذه الفکرة وراح ینظّر لها ویؤسّس، ولا یخفی أنّ الفاصل الزمنی بین العهد النبوی وعهد الشافعی یقارب القرن ونصف القرن، فکیف یُتعقّل تفسیر النص النبوی بمعنیً ظهر بعد حین من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حتی لو ادّعی بأنّ هناک من سبق الشافعی إلی هذا الاصطلاح أو ما یقاربه فذلک لا یحلّ الإشکال بعد وقوع الفاصل الزمنی سواءً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قرن ونصف أو أقلّ من ذلک بقلیل؛ إذ إنّ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معهوداً آنذاک، لا فی زمان صدور الروایة ولا ما قاربه من الأزمنة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لفظة الاجتهاد ومشتقّاتها لفظة عربیة، وقد وردت فی الخطابات الدینیة أیضاً لکنّنا إذا تتبّعنا موارد استعمالها نجد أنّها مستعملة فی مجال الفعل الجارحی، ولم تُستعمل فی موارد إعمال النظر ولا التأمّل العقلی ولا العمل العلمی، بل کان یُستعمل فی موارد بذل الجهد العملی والمادی،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اجتهد فی العبادة أو الدعاء أو البکاء، واجتهد فی تحصیل القبلة ونحو ذلک، فقد روی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صلّوا علیَّ واجتهدوا فی الدعاء</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السجود فاجتهدوا بالدعاء</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فی بنی إسرائیل رجل فقیه عالم عابد مجتهد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بل یظهر لنا جلیاً أنّ المراد بالاجتهاد آنذاک غیر الممارسة العلمیة من الحدیث المروی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العالم علی المجتهد مئة درجة</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حیث جعل المجتهد فی مقابل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تُستعمل هذه اللفظة قطّ فی المجال الفکری والعلمی،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وقدّر وتدبّر ونحو ذلک، وفی مجال التعمّق فی فهم الدین وإدراک تعالیمه وعقائده وأحکامه کان یِعبّر بالفقه وهو الفهم أو خصوص الفهم الدقیق والاستیعاب والإحاطة العلمیة بالشیء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استعمل القرآن الکریم کلمة الفقه بالمعنی اللغوی نفسه فی عدّة موارد،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المُؤمِنُونَ لِیَنفِرُوا کَافَّةً فَلَو لا نَفَرَ مِن کُلِّ فِرقَةٍ مِنهُم طائِفَةٌ لِیَتَفَقَّهُوا فِی الدِّینِ وَ لِیُنذِرُوا قَومَهُم إِذا رَجَعُوا إِلَیهِم لَعَلَّهُم یَحذَرُونَ </w:t>
      </w:r>
      <w:r>
        <w:rPr>
          <w:rStyle w:val="FootnoteAnchor"/>
          <w:rtl w:val="true"/>
        </w:rPr>
        <w:footnoteReference w:id="87"/>
      </w:r>
      <w:r>
        <w:rPr>
          <w:rFonts w:ascii="IRNazanin" w:hAnsi="IRNazanin" w:eastAsia="IRNazanin"/>
          <w:color w:val="111111"/>
          <w:sz w:val="28"/>
          <w:sz w:val="28"/>
          <w:szCs w:val="28"/>
          <w:rtl w:val="true"/>
          <w:lang w:bidi="fa-IR"/>
        </w:rPr>
        <w:t>، کما ورد استعمال هذه اللفظة فی أحادیث عدیدة رویت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قبیل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الله عبداً سمع مقالتی هذه فبلّغها، فربّ حامل فقه غیر فقیه، وربّ حامل فقه إلی من هو أفقه منه </w:t>
      </w:r>
      <w:r>
        <w:rPr>
          <w:rStyle w:val="FootnoteAnchor"/>
          <w:rtl w:val="true"/>
        </w:rPr>
        <w:footnoteReference w:id="8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أشدّ علی الشیطان من ألف عابد </w:t>
      </w:r>
      <w:r>
        <w:rPr>
          <w:rStyle w:val="FootnoteAnchor"/>
          <w:rtl w:val="true"/>
        </w:rPr>
        <w:footnoteReference w:id="8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یرد الله به خیراً یفقهّه فی الدین </w:t>
      </w:r>
      <w:r>
        <w:rPr>
          <w:rStyle w:val="FootnoteAnchor"/>
          <w:rtl w:val="true"/>
        </w:rPr>
        <w:footnoteReference w:id="9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فقهّه فی الدین</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أجل، هناک ألفاظ استُحدث استعمالها عقیب العصر النبوی، کالتأویل، </w:t>
      </w:r>
      <w:r>
        <w:rPr>
          <w:rStyle w:val="FootnoteAnchor"/>
          <w:rtl w:val="true"/>
        </w:rPr>
        <w:footnoteReference w:id="92"/>
      </w:r>
      <w:r>
        <w:rPr>
          <w:rFonts w:ascii="IRNazanin" w:hAnsi="IRNazanin" w:eastAsia="IRNazanin"/>
          <w:color w:val="111111"/>
          <w:sz w:val="28"/>
          <w:sz w:val="28"/>
          <w:szCs w:val="28"/>
          <w:rtl w:val="true"/>
          <w:lang w:bidi="fa-IR"/>
        </w:rPr>
        <w:t>الذی کان یُستعمل بما یقارب معنی الاجتهاد إلّا أنّه لیس مرادفاً له؛ إذ إنّ التأویل آنذاک یراد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من ارتکب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یبدو منکراً وغیر مرضیّ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هناک مجال لحمل فعله علی وجه یمکن أن یکون معذوراً عند الله مع اشتباهه بحسب الظاهر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تأوّل فأخطأ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ما رواه الصنعانی عن ابن شهاب عن عروة بن الزبیر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عائشة زوج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أخبرته أنّ الصلاة أول ما فرضت، فرضت رکعتین، ثمّ أتمّ الصلاة فی الحضر، واُقرّت الرکعتّان علی هیئتهما فی السفر،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یحمل عائشة علی أن تصلّی أربع رکعات فی السفر وقد علمت أنّها فرضها الله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تأوّلت من ذلک ما تأوّل عثمان من إتمام الصلاة بمنی</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أیّة حال فإنّ بحثنا منحصر فی العهد النبوی؛ فإنّه زمان صدور حدیث معاذ، فنحن حتّی لو لم نحمل لفظ الاجتهاد الوارد فی الحدیث علی خصوص المعنی المصطلح لدی الشافعی وهو القیاس، فلا یمکن حمله علی معنی مقارب ولا علی</w:t>
      </w:r>
    </w:p>
    <w:p>
      <w:pPr>
        <w:pStyle w:val="BookText"/>
        <w:rPr/>
      </w:pPr>
      <w:r>
        <w:rPr>
          <w:rFonts w:ascii="IRNazanin" w:hAnsi="IRNazanin" w:eastAsia="IRNazanin"/>
          <w:color w:val="111111"/>
          <w:sz w:val="28"/>
          <w:sz w:val="28"/>
          <w:szCs w:val="28"/>
          <w:rtl w:val="true"/>
          <w:lang w:bidi="fa-IR"/>
        </w:rPr>
        <w:t>الاجتهاد الفقهی بمعناه الواسع ولو بغیر قیاس؛ لأنّ هذه المعانی أیضاً متأخّرة عن زمن صدور النصّ، فلا یصحّ حمله علیها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ما ورد فی الحدیث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تجد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لا یوجد فی تلک الواقعة نصّ فی الحادثة من کتاب وسنّة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بدواً فی تفسیره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ثمّة حوادث لا حکم لها فی الکتاب والسنّة، أی أنّ الشریعة بمصدریها لا تشمل فی واقعها طائفة من الاُمور الحیاتیة کما هو المناسب 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الاحتمال فی منتهی الفساد نظراً لمخالفته لمبدأ شمولیة الشریعة وکمالها، فإهمالها لحکم شیء یدلّ علی محدودیتها ونقصها،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وَ أَتمَمتُ عَلَیکُم نِعمَتِی وَ رَضِیتُ لَکُمُ الإِسلامَ دِیناً </w:t>
      </w:r>
      <w:r>
        <w:rPr>
          <w:rStyle w:val="FootnoteAnchor"/>
          <w:rtl w:val="true"/>
        </w:rPr>
        <w:footnoteReference w:id="94"/>
      </w:r>
      <w:r>
        <w:rPr>
          <w:rFonts w:ascii="IRNazanin" w:hAnsi="IRNazanin" w:eastAsia="IRNazanin"/>
          <w:color w:val="111111"/>
          <w:sz w:val="28"/>
          <w:sz w:val="28"/>
          <w:szCs w:val="28"/>
          <w:rtl w:val="true"/>
          <w:lang w:bidi="fa-IR"/>
        </w:rPr>
        <w:t>، فهذا المعنی لو فرضنا جدلاً کان قد خطر فی ذهن معاذ فلا یُعقل أن یعتقد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بنقص شریعته، ومن ثَمّ طفق یحاول استنطاق معاذ لکیفیة سدّ تلک الثغرة الواسعة التی تمکّن معاذ من حلّها بکلّ سهولة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عدم وصول النص الشرعی إلی معاذ، فالمراد بعدم النصّ فی الحدیث عدم وصوله إلی معاذ لا عدمه فی الواقع کما هو المناسب 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الاحتمال وإن نجا ممّا ابتُلی به الاحتمال الأوّل لکن الجواب النبوی غیر منسجم مع الاتجاه العام للشریعة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وسنّة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المعقول فی مثل هذه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یوصیه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بالعمل بالاحتیاط سیما وأنّ الأمر یرتبط عادة بأموال ونفوس الناس وأعراضهم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وإمّا أن یأمره بالانتظار حتّی یأتیه أمره، أو السؤال والاستفتاء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أو ممّن وصله النصّ من الصحابة الآخرین، لا أن یفوّض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معاذاً للعمل</w:t>
      </w:r>
    </w:p>
    <w:p>
      <w:pPr>
        <w:pStyle w:val="BookText"/>
        <w:rPr/>
      </w:pPr>
      <w:r>
        <w:rPr>
          <w:rFonts w:ascii="IRNazanin" w:hAnsi="IRNazanin" w:eastAsia="IRNazanin"/>
          <w:color w:val="111111"/>
          <w:sz w:val="28"/>
          <w:sz w:val="28"/>
          <w:szCs w:val="28"/>
          <w:rtl w:val="true"/>
          <w:lang w:bidi="fa-IR"/>
        </w:rPr>
        <w:t>برأیه کیفما کان، فهذا الموقف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یصدر من صاحب رسالة حریص علی تبلیغها وتطبیقها، بل یُستبعد صدروه حتّی من القادة الدنیویین الحریصین علی بسط نفوذهم وقدرتهم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موقف عمر، فقد روی عن فاطمة بنت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زوجها طلّقها ثلاثاً، فلم یجعل لها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نفقة ولا سکنی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ندع کتاب ربنا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وسنّة نبیّنا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تدری أحفظت ذلک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فجعل لها السکنی والنفقة</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والاستدلال به یمکن أن یتمّ بناءً علی عدم وجود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وسنّة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فبناءً علی وجودها فسوف یکون الحدیث خارجاً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ارید من الاستدلال التمسّک بالحدیث باعتباره سنّة واجبة الاتباع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مال إلیه الشاطبی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مردود بعدم تمامیة هذا المبنی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ارید الاستدلال بموقف عمر من حیث هو مذهب الصحابی واجتهاده؛ ففیه إنّه حجّة علیه وعلی مقلّدیه، ولیس علی المجتهدین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الروایة لا ظهور لها فی عدم العمل بالسنّة عند وجود الدلیل الکتابی، بل الظاهر من ذیل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تدری أحفظت ذلک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موقف عمر کان ناشئاً من عدم ثبوت السنّة بنقل فاطمة بنت قیس للتشکیک فی روایتها، وهذا أجنبی عن محلّ البحث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أثر ابن مسعود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عرض له منکم قضاء فلیقضِ بما فی کتاب الله، فإن لم یکن فی کتاب الله، فلیقضِ بما قضی فیه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جاءه أمر لیس فی کتاب الله،</w:t>
      </w:r>
    </w:p>
    <w:p>
      <w:pPr>
        <w:pStyle w:val="BookText"/>
        <w:rPr/>
      </w:pPr>
      <w:r>
        <w:rPr>
          <w:rFonts w:ascii="IRNazanin" w:hAnsi="IRNazanin" w:eastAsia="IRNazanin"/>
          <w:color w:val="111111"/>
          <w:sz w:val="28"/>
          <w:sz w:val="28"/>
          <w:szCs w:val="28"/>
          <w:rtl w:val="true"/>
          <w:lang w:bidi="fa-IR"/>
        </w:rPr>
        <w:t>ولم یقضِ فیه نبیّه، ولم یقضِ به الصالحون فلیجتهد برأیه، فإن لم یُحسن فلیقرّ، ولایستحیی</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والمناقشة فیه تظهر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کثیر فی کلام السلف والعلماء، وهو الوجه فی تفرقة الحنفیة بین الفرض والواجب</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وهذا المذهب من أغرب المذاهب؛ إذ کیف یُعقل الاستغناء بالکتاب عن السنّة ومنها بیانه وشروحه وشروط أحکامه وأدلّتها، فهل یکتفی ابن مسعود، أو عمر، أو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صحّ عنهم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بالرجوع إلی الکتاب والاکتفاء به فی حکم واحد من الأحکام فضلاً عن جمیع ما ورد فیه منها، وهم یعلمون من طریقة الکتاب فی البیان هی الاتکال علی القرائن المنفصلة، والسنّة هی الکفیلة ببیانها، وکیف یسوغ لهم العمل بظواهره مع هذا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هذه الأقوال لا تصلح للاستدلال بها؛ لأنّها لا تمثّل أکثر من رأی أصحابها لو أرادوا ظواهرها، وهو بعید، وهم لیسوا بمعصومین، لیجب علینا التعبّد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السنّة فی مجالات الاستدلال صنو للکتاب وفی رتبته، بل هما واحد من حیث انتسابهما الی المشرّع الأوّل وهو الله عزّ وجلّ، ولا یمکن الاستغناء به عنها</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وما أروع ما قاله الأوزاعی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 أحوج إلی السنّة من السنّة إلی الکتاب؛ وذلک لأنّها تبیّن المراد منه</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رجل لمطرف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تحدّثونا إلّا بالقرآن،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نرید بالقرآن بدلاً، ولکن نرید من هو أعلم بالقرآن منّا</w:t>
      </w:r>
      <w:r>
        <w:rPr>
          <w:rFonts w:eastAsia="IRNazanin" w:cs="IRNazanin"/>
          <w:color w:val="111111"/>
          <w:sz w:val="28"/>
          <w:szCs w:val="28"/>
          <w:rtl w:val="true"/>
          <w:lang w:bidi="fa-IR"/>
        </w:rPr>
        <w:t xml:space="preserve">». </w:t>
      </w:r>
      <w:r>
        <w:rPr>
          <w:rStyle w:val="FootnoteAnchor"/>
          <w:rtl w:val="true"/>
        </w:rPr>
        <w:footnoteReference w:id="100"/>
      </w:r>
      <w:bookmarkStart w:id="155" w:name="pg5707_46454"/>
    </w:p>
    <w:p>
      <w:pPr>
        <w:pStyle w:val="Heading3"/>
        <w:numPr>
          <w:ilvl w:val="2"/>
          <w:numId w:val="1"/>
        </w:numPr>
        <w:rPr/>
      </w:pPr>
      <w:bookmarkStart w:id="156" w:name="__RefHeading___Toc3818325_581953129"/>
      <w:bookmarkStart w:id="157" w:name="_Toc65"/>
      <w:bookmarkEnd w:id="155"/>
      <w:bookmarkEnd w:id="156"/>
      <w:r>
        <w:rPr>
          <w:rtl w:val="true"/>
        </w:rPr>
        <w:t>ثالثاً</w:t>
      </w:r>
      <w:r>
        <w:rPr>
          <w:rtl w:val="true"/>
        </w:rPr>
        <w:t xml:space="preserve">: </w:t>
      </w:r>
      <w:r>
        <w:rPr>
          <w:rtl w:val="true"/>
        </w:rPr>
        <w:t>تخصیص الکتاب بالسنّة وعدمه</w:t>
      </w:r>
      <w:bookmarkEnd w:id="157"/>
    </w:p>
    <w:p>
      <w:pPr>
        <w:pStyle w:val="Heading4"/>
        <w:numPr>
          <w:ilvl w:val="3"/>
          <w:numId w:val="1"/>
        </w:numPr>
        <w:rPr/>
      </w:pPr>
      <w:bookmarkStart w:id="158" w:name="__RefHeading___Toc3818327_581953129"/>
      <w:bookmarkStart w:id="159" w:name="_Toc66"/>
      <w:bookmarkEnd w:id="158"/>
      <w:r>
        <w:rPr>
          <w:rtl w:val="true"/>
        </w:rPr>
        <w:t>اشارة</w:t>
      </w:r>
      <w:bookmarkEnd w:id="159"/>
    </w:p>
    <w:p>
      <w:pPr>
        <w:pStyle w:val="BookText"/>
        <w:rPr/>
      </w:pPr>
      <w:r>
        <w:rPr>
          <w:rFonts w:ascii="IRNazanin" w:hAnsi="IRNazanin" w:eastAsia="IRNazanin"/>
          <w:color w:val="111111"/>
          <w:sz w:val="28"/>
          <w:sz w:val="28"/>
          <w:szCs w:val="28"/>
          <w:rtl w:val="true"/>
          <w:lang w:bidi="fa-IR"/>
        </w:rPr>
        <w:t xml:space="preserve">نظراً لکون أحد مجالات السنّة هو تصدّیها لشرح وبیان الکتاب، وتفصیل ما جاء به من تشریعات وأحکام یتضح أنّه لیس هناک ما یمنع من تخصیص الکتاب بها ما دام المخصّص بمنزلة القرینة الکاشفة عن المراد من العام، والظاهر أنّه بهذا المقدار موضع اتفاق المسلمین، ولذلک أرسلوا إرسال المسلّمات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تخصیص الکتاب بما تواتر من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موضع الخلاف فی السنّة التی تثبت بأخبار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علیه الجمهور؛ أنّ خبر الواحد یخصّ عام الکتاب کما یخصّه المتواتر</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وفصّل الحنفیة بین أن یکون العام الکتابی قد خُصّص من قبل بقطعی حتّی صار بذلک التخصیص ظنّیاً، وبین ما لم یخصّص فجوّزوه فی الأوّل ومنعوه فی الثانی</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وذهب البعض إلی المنع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وعمدة ما استدلّوا به دلیلان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أنّ الخبر الواحد لا یقوی علی معارضة الکتاب؛ لأنّ الکتاب قطعی وخبر الواحد ظنّی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عمر بن الخطاب من حدیث فاطمة بنت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حینما روت،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یجعل لها نفقة، ولا سکنی وهی بائن، فقال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نترک کتاب ربِّنا، ولا سنَّة نبینا لقول امرأة لا ندری أحفظت ذلک أم لا</w:t>
      </w:r>
      <w:r>
        <w:rPr>
          <w:rFonts w:eastAsia="IRNazanin" w:cs="IRNazanin"/>
          <w:color w:val="111111"/>
          <w:sz w:val="28"/>
          <w:szCs w:val="28"/>
          <w:rtl w:val="true"/>
          <w:lang w:bidi="fa-IR"/>
        </w:rPr>
        <w:t xml:space="preserve">». </w:t>
      </w:r>
      <w:r>
        <w:rPr>
          <w:rStyle w:val="FootnoteAnchor"/>
          <w:rtl w:val="true"/>
        </w:rPr>
        <w:footnoteReference w:id="103"/>
      </w:r>
    </w:p>
    <w:p>
      <w:pPr>
        <w:pStyle w:val="Heading4"/>
        <w:numPr>
          <w:ilvl w:val="3"/>
          <w:numId w:val="1"/>
        </w:numPr>
        <w:rPr/>
      </w:pPr>
      <w:bookmarkStart w:id="160" w:name="__RefHeading___Toc3818329_581953129"/>
      <w:bookmarkStart w:id="161" w:name="_Toc67"/>
      <w:bookmarkEnd w:id="160"/>
      <w:r>
        <w:rPr>
          <w:rtl w:val="true"/>
        </w:rPr>
        <w:t>المناقشة</w:t>
      </w:r>
      <w:r>
        <w:rPr>
          <w:rtl w:val="true"/>
        </w:rPr>
        <w:t>:</w:t>
      </w:r>
      <w:bookmarkEnd w:id="16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کلا الدلیلین لا یصلحان للدلالة علی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منهما؛ فلأنّ نسبة الخاصّ إلی العام نسبة القرینة إلی ذی القرینة، ولیس بینهما تعارض کما هو فحوی الدلیل، وحیث یمکن الجمع بین الدلیلین لا مجال لطرح أحدهما وإلغائه، ولو فرض التعارض وعدم إمکان الجمع بینهما عرفاً لما أمکن رفع الید عن الکتاب بالتخصیص حتّی فی السنّة المتواترة، بینما لم یلتزم أحد منهم بذلک، بل لما أمکن ورود الخاصّ من الشارع أصلاً؛ لاستحالة تناقضه علی نفسه کما هو الشأن فی المتباینین أو العامّین من وجه، عندما یلتقی الحکمان فی موضع التقائهما حیث حکموا بالتساقط فی الأخبار الحاکیة لذلک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افتراض حجیّة الخاصّ فی نفسه وإن کان مرویاً بأخبار الآحاد، فأیّ مانع من إعطائه صفة الشرح لما ارید من العام الکتابی؟</w:t>
      </w:r>
    </w:p>
    <w:p>
      <w:pPr>
        <w:pStyle w:val="BookText"/>
        <w:rPr/>
      </w:pPr>
      <w:r>
        <w:rPr>
          <w:rFonts w:ascii="IRNazanin" w:hAnsi="IRNazanin" w:eastAsia="IRNazanin"/>
          <w:color w:val="111111"/>
          <w:sz w:val="28"/>
          <w:sz w:val="28"/>
          <w:szCs w:val="28"/>
          <w:rtl w:val="true"/>
          <w:lang w:bidi="fa-IR"/>
        </w:rPr>
        <w:t>ومع التنزّل فإنّ التعارض فی الحقیقة لیس بین سندیهما لیقدّم القطعی علی الظنّی، وإنّما هو بین ظنّیة الطریق فی خبر الآحاد وظنّیة الدلالة فی العام الکتابی، فالکتاب وإن کان قطعی الصدور إلّا أنّه ظنّی الدلالة بحکم ما له من ظهور فی العموم، ولا موجب لإسقاط أحدهما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کان العموم الکتابی ممّا لا یقبل التخصیص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 نصّاً فی مدلوله لا یحتمل الخلاف ولا یتقبّل قرینة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لتعیّن القول بإسقاط الخبر وتکذیبه؛ لاستحالة صدور التناقض من الشارع، وحیث إنّ الکتاب مقطوع الصدور ومقطوع الدلالة، فلا بدّ أن یکون الکذب منسوباً إلی الخبر، ویتعیّن لذلک طرحه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العرض یتّضح معنی الأخبار الواردة عن المعصومین فی اعتبار ما خالف کتاب الله زخرفاً، أو یُرمی به عرض الجدار، وجعل الکتاب مقیاساً لصحّة الخبر عند المعارضة فی الأحکام التی تعرّض لها الکتاب</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واتهام الزنادقة بوضع هذه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علی لسان بعض الاُصولیین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منشؤه عدم إدراک معنی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النسخ یقتضی أحیاناً مصادمة الحدیث الناسخ للکتاب، فکیف یُجعل الکتاب مقیاساً لصحته؟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الإشکال صحیح لو کانت هذه الأحادیث واردة فی غیر أبواب التعادل المستدعی لتعارض الأخبار، والتعارض لا یکون إلّا فی أخبار الآحاد، وسیأتی أنّ النسخ لا یکون بخبر الواحد إجماعاً، علی أنّ النسخ لولا الإجماع علی عدم وقوعه بخبر الآحاد لأمکن القول به هنا أیضاً؛ لحکومة الدلیل الناسخ علی الدلیل المنسوخ، ولا تصادم بین الدلیل الحاکم والدلیل المحکوم، فلا تصدق المخالفة مع عدم التصادم، وسیأتی إیضاح ذلک عمّا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الدلیل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رأی الخلیفة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تقدّمت مناقشته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یظهر من إقرار الخلیفة عمر للخلیفة الأوّل فی تخصیصه لآیة المواریث بخبره الذی انفرد بنقله؛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الإنکار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القائلین بجواز التخصیص بخبر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البعض </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الحدیث ونظائرة قد یکون مستفیضاً إلی درجة توجب القطع غریبة؛ لأنّها تصادم کلّ ما یصحّ نقله فی هذا الباب من انفراد الخلیفة بنقله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یُقال عن التخصیص یُقال عن التقیید بأخبار الآحاد؛ لمطلقات الکتاب، والحدیث فیهما واحد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صحّ هذا لم نعد بحاجة إلی استعراض ما طرأ علی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أُحِلَّ لَکُم ما وَراءَ ذلِکُم أَن تَبتَغُوا بِأَموالِکُم مُحصِنِینَ غَیرَ مُسافِحِینَ </w:t>
      </w:r>
      <w:r>
        <w:rPr>
          <w:rStyle w:val="FootnoteAnchor"/>
          <w:rtl w:val="true"/>
        </w:rPr>
        <w:footnoteReference w:id="105"/>
      </w:r>
      <w:r>
        <w:rPr>
          <w:rFonts w:ascii="IRNazanin" w:hAnsi="IRNazanin" w:eastAsia="IRNazanin"/>
          <w:color w:val="111111"/>
          <w:sz w:val="28"/>
          <w:sz w:val="28"/>
          <w:szCs w:val="28"/>
          <w:rtl w:val="true"/>
          <w:lang w:bidi="fa-IR"/>
        </w:rPr>
        <w:t>ونظائرها من الآیات من التخصیصات المأثورة بأخبار الآحاد والمقرّة من قبل الصحابة، کما أنّا لم نعد بحاجة إلی مناقشة الحنفیة فی تفصیلهم الذی لا یُعرف له مأخذ یمکن الرکون إلیه</w:t>
      </w:r>
      <w:r>
        <w:rPr>
          <w:rFonts w:eastAsia="IRNazanin" w:cs="IRNazanin"/>
          <w:color w:val="111111"/>
          <w:sz w:val="28"/>
          <w:szCs w:val="28"/>
          <w:rtl w:val="true"/>
          <w:lang w:bidi="fa-IR"/>
        </w:rPr>
        <w:t xml:space="preserve">. </w:t>
      </w:r>
      <w:r>
        <w:rPr>
          <w:rStyle w:val="FootnoteAnchor"/>
          <w:rtl w:val="true"/>
        </w:rPr>
        <w:footnoteReference w:id="106"/>
      </w:r>
      <w:bookmarkStart w:id="162" w:name="pg5707_46457"/>
    </w:p>
    <w:p>
      <w:pPr>
        <w:pStyle w:val="Heading3"/>
        <w:numPr>
          <w:ilvl w:val="2"/>
          <w:numId w:val="1"/>
        </w:numPr>
        <w:rPr/>
      </w:pPr>
      <w:bookmarkStart w:id="163" w:name="__RefHeading___Toc3818331_581953129"/>
      <w:bookmarkStart w:id="164" w:name="_Toc68"/>
      <w:bookmarkEnd w:id="162"/>
      <w:bookmarkEnd w:id="163"/>
      <w:r>
        <w:rPr>
          <w:rtl w:val="true"/>
        </w:rPr>
        <w:t>رابعاً</w:t>
      </w:r>
      <w:r>
        <w:rPr>
          <w:rtl w:val="true"/>
        </w:rPr>
        <w:t xml:space="preserve">: </w:t>
      </w:r>
      <w:r>
        <w:rPr>
          <w:rtl w:val="true"/>
        </w:rPr>
        <w:t>نسخ الکتاب بالسنّة</w:t>
      </w:r>
      <w:bookmarkEnd w:id="164"/>
    </w:p>
    <w:p>
      <w:pPr>
        <w:pStyle w:val="BookText"/>
        <w:rPr/>
      </w:pPr>
      <w:r>
        <w:rPr>
          <w:rFonts w:ascii="IRNazanin" w:hAnsi="IRNazanin" w:eastAsia="IRNazanin"/>
          <w:color w:val="111111"/>
          <w:sz w:val="28"/>
          <w:sz w:val="28"/>
          <w:szCs w:val="28"/>
          <w:rtl w:val="true"/>
          <w:lang w:bidi="fa-IR"/>
        </w:rPr>
        <w:t>ویُراد من النسخ علی ما هو التحقیق فی مفهومه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الحکم فی مقام الإثبات عن الأزمنة اللاحقة مع ارتفاعه فی مقام الثبوت لارتفاع ملاکه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لا یتأتّی إلّا فی الأحکام التی تؤدّی بصیغ العموم، أو کلّ ما یدلّ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بمعونة القرائن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التعمیم لجمیع الأزمنة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وارتفاع الأحکام التی تقیّد بوقت معیّن لانتهاء وقتها لا یُسمّی نسخاً اصطلاحاً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أحال النسخ فریق لأدلّة عقلیة لا تنهض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ولکن قد أشار القرآن الکریم إلی إمکانه، بل ورد التصریح بوقوعه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نَنسَخ مِن آیَةٍ أَو نُنسِها نَأتِ بِخَیرٍ مِنها أَو مِثلِها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وقد أجمع المسلمون علی وقوعه، ولم یُنقل الخلاف إلّا عن أبی مسلم الإصفهانی ولم یحقّق الناقلون مذهبه</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والظاهر أنّ النسخ واقع فی الکتاب من الکتاب ومن السنّة علی خلاف فی قلّة وکثرة الأحکام التی یُدّعی لها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والخلاف الذی وقع إنّما هو فی إمکان نسخ الأحکام المقطوعة أسانیدها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کالأحکام الکتابیة والمتواترة من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بأخبار الآحاد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وأکثریة المسلمین علی المنع، وربّما ادّعی علیه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وأهمّ ما لدیهم من الشبه هی شبهة أنّ الظنّی لا یقاوم القطعی فیبطله، وهی شبهة عرفت قیمتها فی الحدیث عن التخصیص؛ لعدم المعارضة بینهما؛ لأنّ الدلیل الناسخ لا یزید علی کونه شارحاً للمراد من الدلیل المنسوخ، وقرینة علی عدم إرادة الظهور، وحاله حال التخصیص، علی أنّ الخبر وإن کان ظنّیاً فی طریقه إلّا أنّه مقطوع الحجیّة للأدلّة السابقة، ومع الغضّ وافتراض المعارضة فإنّها فی الحقیقة قائمة بین ظنّین، لا بین قطعی وظنّی، أی بین ظنّیة الدلالة فی مقطوع السند وظنّیة الطریق</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منشأ الإجماع المدّعی أو اتفاق الأکثریة إنّما هو فی وضع حدّ لما یمکن أن یقع من التسامح فی دعوی النسخ وإبطال الأحکام لمجرّد ورود خبر ما، وهو عمل فی موضعه، وربّما استدعته صیانة الشریعة عن عبث المتلاعبین بأحکام الله والوقوف دون تصرّفاتهم، وعلی الأخص إنّ فی الدخلاء علی الإسلام من تمثّل بصورة القدّیسین لیتسنّی له هدم الإسلام وتقویض قواعده</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أنواع الأحکام الشرعیة الثابتة بالسنّة النبویة بلحاظ الأحکام المشرّعة فی القرآن؟ اذکر مثالاً لکلّ نوع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المراد من القول بتقدّم القرآن علی السنّة رتبیاً؟ وما هی التفسیرات المذکورة للتقدّم الرتبی؟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الدلیل علی التفسیر الأول للتقدّم الرتبی؟ وما هی المناقشات الواردة علیه؟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الدلیل علی التفسیر الثانی للتقدّم الرتبی؟ وما هی المناقشات الواردة علیه؟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الدلیل علی التفسیر الثالث للتقدّم الرتبی؟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اذکر مناقشتین من المناقشات التی اوردت علی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سنداً ومتناً؟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مناقشتین من المناقشات التی اوردت علی موقف عمر من حدیث فاطمة بنت قیس؟</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یمکن تخصیص الکتاب بالسنّة؟ وما هی أدلّة المانعین؟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یمکن نسخ الکتاب بالسنّة مطلقاً؟</w:t>
      </w:r>
      <w:bookmarkStart w:id="165" w:name="pg5707_46460"/>
    </w:p>
    <w:p>
      <w:pPr>
        <w:pStyle w:val="Heading2"/>
        <w:numPr>
          <w:ilvl w:val="1"/>
          <w:numId w:val="1"/>
        </w:numPr>
        <w:rPr/>
      </w:pPr>
      <w:bookmarkStart w:id="166" w:name="__RefHeading___Toc3818333_581953129"/>
      <w:bookmarkStart w:id="167" w:name="_Toc69"/>
      <w:bookmarkEnd w:id="165"/>
      <w:bookmarkEnd w:id="166"/>
      <w:r>
        <w:rPr>
          <w:rtl w:val="true"/>
        </w:rPr>
        <w:t xml:space="preserve">البحث الخامس </w:t>
      </w:r>
      <w:r>
        <w:rPr>
          <w:rtl w:val="true"/>
        </w:rPr>
        <w:t xml:space="preserve">: </w:t>
      </w:r>
      <w:r>
        <w:rPr>
          <w:rtl w:val="true"/>
        </w:rPr>
        <w:t>عدد آیات الأحکام</w:t>
      </w:r>
      <w:bookmarkEnd w:id="167"/>
    </w:p>
    <w:p>
      <w:pPr>
        <w:pStyle w:val="Heading3"/>
        <w:numPr>
          <w:ilvl w:val="2"/>
          <w:numId w:val="1"/>
        </w:numPr>
        <w:rPr/>
      </w:pPr>
      <w:bookmarkStart w:id="168" w:name="__RefHeading___Toc3818335_581953129"/>
      <w:bookmarkStart w:id="169" w:name="_Toc70"/>
      <w:bookmarkEnd w:id="168"/>
      <w:r>
        <w:rPr>
          <w:rtl w:val="true"/>
        </w:rPr>
        <w:t>اشارة</w:t>
      </w:r>
      <w:bookmarkEnd w:id="169"/>
    </w:p>
    <w:p>
      <w:pPr>
        <w:pStyle w:val="BookText"/>
        <w:rPr/>
      </w:pPr>
      <w:r>
        <w:rPr>
          <w:rFonts w:ascii="IRNazanin" w:hAnsi="IRNazanin" w:eastAsia="IRNazanin"/>
          <w:color w:val="111111"/>
          <w:sz w:val="28"/>
          <w:sz w:val="28"/>
          <w:szCs w:val="28"/>
          <w:rtl w:val="true"/>
          <w:lang w:bidi="fa-IR"/>
        </w:rPr>
        <w:t xml:space="preserve">إنّ الإحصائیات المذکورة حول عدد آیات القرآن الکریم تتراوح بین </w:t>
      </w:r>
      <w:r>
        <w:rPr>
          <w:rFonts w:eastAsia="IRNazanin" w:cs="IRNazanin"/>
          <w:color w:val="111111"/>
          <w:sz w:val="28"/>
          <w:szCs w:val="28"/>
          <w:rtl w:val="true"/>
          <w:lang w:bidi="fa-IR"/>
        </w:rPr>
        <w:t>(</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مع اختلاف فی عدّ بعضها آیة مستقلّة أو جزء آیة أو عدّ البسملة آیة أو عدّ الحروف المقطّعة آیة، ولیس هذا الاختلاف ناشئاً من الاختلاف فی وجود زیادة أو نقیصة فی الکتاب، لکن الإحصائیة المعروفة هی </w:t>
      </w:r>
      <w:r>
        <w:rPr>
          <w:rFonts w:eastAsia="IRNazanin" w:cs="IRNazanin"/>
          <w:color w:val="111111"/>
          <w:sz w:val="28"/>
          <w:szCs w:val="28"/>
          <w:rtl w:val="true"/>
          <w:lang w:bidi="fa-IR"/>
        </w:rPr>
        <w:t>(</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هذه الإحصائیة الأخیرة التی ذکرناها حسب قراءة حفص عن نافع، وهی المطابقة مع الترقیم المتعارف فی المصاحف المتداولة </w:t>
      </w:r>
      <w:r>
        <w:rPr>
          <w:rStyle w:val="FootnoteAnchor"/>
          <w:rtl w:val="true"/>
        </w:rPr>
        <w:footnoteReference w:id="109"/>
      </w:r>
      <w:r>
        <w:rPr>
          <w:rFonts w:ascii="IRNazanin" w:hAnsi="IRNazanin" w:eastAsia="IRNazanin"/>
          <w:color w:val="111111"/>
          <w:sz w:val="28"/>
          <w:sz w:val="28"/>
          <w:szCs w:val="28"/>
          <w:rtl w:val="true"/>
          <w:lang w:bidi="fa-IR"/>
        </w:rPr>
        <w:t>، وهی الإحصائیة التی رجّحها الطبرسی، واعتبرها أعلاها إسناداً؛ لأنّها مأخوذة عن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ومن الواضح أنّ هذه الآیات تتفاوت من حیث الطول والقصر، فبعضها یتألّف من کلمة واحدة نحو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وبعضها یتألّف من عشرات الکلمات کآیة الدَّین وهی الآیة </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 وقسم من هذه الآیات تعدّ آیات أحکام</w:t>
      </w:r>
      <w:r>
        <w:rPr>
          <w:rFonts w:eastAsia="IRNazanin" w:cs="IRNazanin"/>
          <w:color w:val="111111"/>
          <w:sz w:val="28"/>
          <w:szCs w:val="28"/>
          <w:rtl w:val="true"/>
          <w:lang w:bidi="fa-IR"/>
        </w:rPr>
        <w:t>.</w:t>
      </w:r>
      <w:bookmarkStart w:id="170" w:name="pg5707_46461"/>
    </w:p>
    <w:p>
      <w:pPr>
        <w:pStyle w:val="Heading3"/>
        <w:numPr>
          <w:ilvl w:val="2"/>
          <w:numId w:val="1"/>
        </w:numPr>
        <w:rPr/>
      </w:pPr>
      <w:bookmarkStart w:id="171" w:name="__RefHeading___Toc3818337_581953129"/>
      <w:bookmarkStart w:id="172" w:name="_Toc71"/>
      <w:bookmarkEnd w:id="170"/>
      <w:bookmarkEnd w:id="171"/>
      <w:r>
        <w:rPr>
          <w:rtl w:val="true"/>
        </w:rPr>
        <w:t>أوّلاً</w:t>
      </w:r>
      <w:r>
        <w:rPr>
          <w:rtl w:val="true"/>
        </w:rPr>
        <w:t xml:space="preserve">: </w:t>
      </w:r>
      <w:r>
        <w:rPr>
          <w:rtl w:val="true"/>
        </w:rPr>
        <w:t>الأقوال فی عدد آیات الأحکام</w:t>
      </w:r>
      <w:bookmarkEnd w:id="172"/>
    </w:p>
    <w:p>
      <w:pPr>
        <w:pStyle w:val="Heading4"/>
        <w:numPr>
          <w:ilvl w:val="3"/>
          <w:numId w:val="1"/>
        </w:numPr>
        <w:rPr/>
      </w:pPr>
      <w:bookmarkStart w:id="173" w:name="__RefHeading___Toc3818339_581953129"/>
      <w:bookmarkStart w:id="174" w:name="_Toc72"/>
      <w:bookmarkEnd w:id="173"/>
      <w:r>
        <w:rPr>
          <w:rtl w:val="true"/>
        </w:rPr>
        <w:t>اشارة</w:t>
      </w:r>
      <w:bookmarkEnd w:id="174"/>
    </w:p>
    <w:p>
      <w:pPr>
        <w:pStyle w:val="BookText"/>
        <w:rPr/>
      </w:pPr>
      <w:r>
        <w:rPr>
          <w:rFonts w:ascii="IRNazanin" w:hAnsi="IRNazanin" w:eastAsia="IRNazanin"/>
          <w:color w:val="111111"/>
          <w:sz w:val="28"/>
          <w:sz w:val="28"/>
          <w:szCs w:val="28"/>
          <w:rtl w:val="true"/>
          <w:lang w:bidi="fa-IR"/>
        </w:rPr>
        <w:t>لقد حاول کثیر من الباحثین فی هذا الفنّ ومن بدایة تأسیسه إعطاء إحصائیة لآیات الأحکام، ومن الواضح أنّه لا بحث فی کون بعض آیات الکتاب العزیز دالّة علی أحکام شرعیة کما لا بحث فی إمکان استنباط الأحکام من القرآن فی الجملة، وإنّما وقع الاختلاف فی تحدید عددها، وقد تباینت المواقف تجاه ذلک تبایناً کبیراً، ویمکن تقسیمها إلی ما یلی</w:t>
      </w:r>
      <w:r>
        <w:rPr>
          <w:rFonts w:eastAsia="IRNazanin" w:cs="IRNazanin"/>
          <w:color w:val="111111"/>
          <w:sz w:val="28"/>
          <w:szCs w:val="28"/>
          <w:rtl w:val="true"/>
          <w:lang w:bidi="fa-IR"/>
        </w:rPr>
        <w:t>:</w:t>
      </w:r>
    </w:p>
    <w:p>
      <w:pPr>
        <w:pStyle w:val="Heading4"/>
        <w:numPr>
          <w:ilvl w:val="3"/>
          <w:numId w:val="1"/>
        </w:numPr>
        <w:rPr/>
      </w:pPr>
      <w:bookmarkStart w:id="175" w:name="__RefHeading___Toc3818341_581953129"/>
      <w:bookmarkStart w:id="176" w:name="_Toc73"/>
      <w:bookmarkEnd w:id="175"/>
      <w:r>
        <w:rPr>
          <w:rtl w:val="true"/>
        </w:rPr>
        <w:t>القول الأوّل</w:t>
      </w:r>
      <w:r>
        <w:rPr>
          <w:rtl w:val="true"/>
        </w:rPr>
        <w:t xml:space="preserve">: </w:t>
      </w:r>
      <w:r>
        <w:rPr>
          <w:rtl w:val="true"/>
        </w:rPr>
        <w:t>عدد آیات الأحکام خمسمئة آیة</w:t>
      </w:r>
      <w:bookmarkEnd w:id="176"/>
    </w:p>
    <w:p>
      <w:pPr>
        <w:pStyle w:val="BookText"/>
        <w:rPr/>
      </w:pPr>
      <w:r>
        <w:rPr>
          <w:rFonts w:ascii="IRNazanin" w:hAnsi="IRNazanin" w:eastAsia="IRNazanin"/>
          <w:color w:val="111111"/>
          <w:sz w:val="28"/>
          <w:sz w:val="28"/>
          <w:szCs w:val="28"/>
          <w:rtl w:val="true"/>
          <w:lang w:bidi="fa-IR"/>
        </w:rPr>
        <w:t>إنّ عدد آیات الأحکام خمسمئة آیة من مجموع القرآن، وهذا هو الرأی المشهور والمتداول فی کثیر من المجالات، قال الفاضل التونی فی الوافیة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والمشهور أنّ الآیات المتعلّقة بالأحکام نحو من خمسمئة آیة، ولم أطّلع علی خلاف فی ذلک</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والرائج علی الألسن أنّ أوّل من طرح هذه الإحصائیة هو مقاتل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هو أوّل من ألّف فی آیات الأحکام، والظاهر أنّ مراده من هذا العدد هو الأحکام الفرعیة</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وقد تلقّی ذلک کثیر من العلماء بالقبول،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منذر بن سعید البلوطی، قاضی قرطبة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وأبی بکر الجصّاص أحمد بن علی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والقاضی ابن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وغیرهم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أنّ هذا الرقم دخل فی عناوین بعض کتب آیات الأحکام وأسامیها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خمسمئة آیة فی الأحکام، لمقاتل بن سلیمان، و تفسیر خمسمئة آیة، للبهلاوی، و شفاء العلیل فی شرح خمسمئة آیة من التنزیل،، و النهایة فی تفسیر الخمسمئة آیة، لفخر الدین</w:t>
      </w:r>
      <w:bookmarkStart w:id="177" w:name="pg5707_46462"/>
    </w:p>
    <w:p>
      <w:pPr>
        <w:pStyle w:val="BookText"/>
        <w:rPr/>
      </w:pPr>
      <w:bookmarkEnd w:id="177"/>
      <w:r>
        <w:rPr>
          <w:rFonts w:ascii="IRNazanin" w:hAnsi="IRNazanin" w:eastAsia="IRNazanin"/>
          <w:color w:val="111111"/>
          <w:sz w:val="28"/>
          <w:sz w:val="28"/>
          <w:szCs w:val="28"/>
          <w:rtl w:val="true"/>
          <w:lang w:bidi="fa-IR"/>
        </w:rPr>
        <w:t xml:space="preserve">ناصر بن أحمد بن عبدالله بن متوج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منهاج الهدایة فی بیان خمسمئة الآیة، لجمال الدین أحمد بن عبدالله بن محمد بن المتوّج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ذُکرت هذه الإحصائیة فی کتب فقه القرآن وغیرها کبعض الکتب الاُصولیة</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ولکن لم یقبل بعض المحقّقین هذه الإحصائیة وبدؤوا یشکّکون فیها، وهذا ما یظهر من المنقول عن الماوردی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14"/>
      </w:r>
    </w:p>
    <w:p>
      <w:pPr>
        <w:pStyle w:val="Heading4"/>
        <w:numPr>
          <w:ilvl w:val="3"/>
          <w:numId w:val="1"/>
        </w:numPr>
        <w:rPr/>
      </w:pPr>
      <w:bookmarkStart w:id="178" w:name="__RefHeading___Toc3818343_581953129"/>
      <w:bookmarkStart w:id="179" w:name="_Toc74"/>
      <w:bookmarkEnd w:id="178"/>
      <w:r>
        <w:rPr>
          <w:rtl w:val="true"/>
        </w:rPr>
        <w:t>القول الثانی</w:t>
      </w:r>
      <w:r>
        <w:rPr>
          <w:rtl w:val="true"/>
        </w:rPr>
        <w:t xml:space="preserve">: </w:t>
      </w:r>
      <w:r>
        <w:rPr>
          <w:rtl w:val="true"/>
        </w:rPr>
        <w:t>عدد آیات الأحکام لا تبلغ خمسمئة آیة</w:t>
      </w:r>
      <w:bookmarkEnd w:id="179"/>
    </w:p>
    <w:p>
      <w:pPr>
        <w:pStyle w:val="BookText"/>
        <w:rPr/>
      </w:pPr>
      <w:r>
        <w:rPr>
          <w:rFonts w:ascii="IRNazanin" w:hAnsi="IRNazanin" w:eastAsia="IRNazanin"/>
          <w:color w:val="111111"/>
          <w:sz w:val="28"/>
          <w:sz w:val="28"/>
          <w:szCs w:val="28"/>
          <w:rtl w:val="true"/>
          <w:lang w:bidi="fa-IR"/>
        </w:rPr>
        <w:t>ثمّة من یری أنّ عدد آیات الأحکام لا تبلغ خمسمئة آیة، و یعتقد زیادة هذا العدد، وأنّ العدد الواقعی أقلّ بکثیر ممّا یدّعی، ومن هنا یری البعض أنّ المراد من هذا العدد التقریب لا التحقیق</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وإلیک آراء بعض من اختار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الفاضل المقداد حیث یعتقد بأنّها بعد حذف المکرّر منها فی الأحکام الشرعیة لا تبلغ هذا العدد </w:t>
      </w:r>
      <w:r>
        <w:rPr>
          <w:rStyle w:val="FootnoteAnchor"/>
          <w:rtl w:val="true"/>
        </w:rPr>
        <w:footnoteReference w:id="116"/>
      </w:r>
      <w:r>
        <w:rPr>
          <w:rFonts w:ascii="IRNazanin" w:hAnsi="IRNazanin" w:eastAsia="IRNazanin"/>
          <w:color w:val="111111"/>
          <w:sz w:val="28"/>
          <w:sz w:val="28"/>
          <w:szCs w:val="28"/>
          <w:rtl w:val="true"/>
          <w:lang w:bidi="fa-IR"/>
        </w:rPr>
        <w:t xml:space="preserve">، بل إنّ مجموع ما بحثه الفاضل المقداد نفسه فی کتابه کنز العرفان قد بلغ </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کما قیل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واقتصر المحقّق الأردبیلی علی بحث ثلاثمئة وسبعین آیة تقریباً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باعتبار العنوان ثلاثمئة وثمانیة وأربعون آیة، وباعتبار المعنون أربعمئة وسبعة وستّون آیة</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واعتبر شلتوت أنّ آیات الأحکام ثلاثمئة وأربعون آیة، لکنّه أوضح بعد ذلک بأنّ هذا الرقم لیس قطعیاً؛ لعدم الاتفاق علی العدد بین أهل النظر، وأنّ ما ذکره کان علی نحو التقریب، وإلّا فإنّ لکلٍّ رأیه</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ویری خضری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آیات الأحکام لا تتعدّی الثلاثمئة آیة، وأنّ الأحکام المدنیة والقضائیة والسیاسیة فی حدود عشر آیات</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إنّها فی حدود الثلاثمئة آیة أو تزید علیها بقلیل</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عبدالوهاب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عدّها مئتین وخمس وثمانین آیة، وفصّل ذلک کالتالی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مجال الأحوال الشخصیة والأسرة والأقارب حوالی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وفی المعاملات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وفی الأحکام الجنائیة والحقوقیة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وفی المرافعات والقضاء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وفیما یرتبط بالحاکم والعلاقة بالمجتمع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وفی الأحکام الدولیة والحرب والصلح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وفی الأحکام الاقتصادیة والغنی والفقر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ومنهم اکتفی بطرح مئتین وأربعین آیة، کمحمّد بن حسین قاسم بن محمّد من الزیدیة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نقل السیوطی عن بعض أنّها مئة وخمسون</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وعلّق بعض بأنّه لعلّ مرادهم خصوص المصرّح به من الأحکام</w:t>
      </w:r>
      <w:r>
        <w:rPr>
          <w:rFonts w:eastAsia="IRNazanin" w:cs="IRNazanin"/>
          <w:color w:val="111111"/>
          <w:sz w:val="28"/>
          <w:szCs w:val="28"/>
          <w:rtl w:val="true"/>
          <w:lang w:bidi="fa-IR"/>
        </w:rPr>
        <w:t xml:space="preserve">. </w:t>
      </w:r>
      <w:r>
        <w:rPr>
          <w:rStyle w:val="FootnoteAnchor"/>
          <w:rtl w:val="true"/>
        </w:rPr>
        <w:footnoteReference w:id="124"/>
      </w:r>
      <w:bookmarkStart w:id="180" w:name="pg5707_46464"/>
    </w:p>
    <w:p>
      <w:pPr>
        <w:pStyle w:val="Heading4"/>
        <w:numPr>
          <w:ilvl w:val="3"/>
          <w:numId w:val="1"/>
        </w:numPr>
        <w:rPr/>
      </w:pPr>
      <w:bookmarkStart w:id="181" w:name="__RefHeading___Toc3818345_581953129"/>
      <w:bookmarkStart w:id="182" w:name="_Toc75"/>
      <w:bookmarkEnd w:id="180"/>
      <w:bookmarkEnd w:id="181"/>
      <w:r>
        <w:rPr>
          <w:rtl w:val="true"/>
        </w:rPr>
        <w:t>القول الثالث</w:t>
      </w:r>
      <w:r>
        <w:rPr>
          <w:rtl w:val="true"/>
        </w:rPr>
        <w:t xml:space="preserve">: </w:t>
      </w:r>
      <w:r>
        <w:rPr>
          <w:rtl w:val="true"/>
        </w:rPr>
        <w:t>عدد آیات الأحکام أکثر من خمسمئة آیة</w:t>
      </w:r>
      <w:bookmarkEnd w:id="182"/>
    </w:p>
    <w:p>
      <w:pPr>
        <w:pStyle w:val="BookText"/>
        <w:rPr/>
      </w:pPr>
      <w:r>
        <w:rPr>
          <w:rFonts w:ascii="IRNazanin" w:hAnsi="IRNazanin" w:eastAsia="IRNazanin"/>
          <w:color w:val="111111"/>
          <w:sz w:val="28"/>
          <w:sz w:val="28"/>
          <w:szCs w:val="28"/>
          <w:rtl w:val="true"/>
          <w:lang w:bidi="fa-IR"/>
        </w:rPr>
        <w:t xml:space="preserve">إنّ عدد آیات الأحکام أکثر من خمسمئة آیة، فنری أنّ عبدالله بن المبارک، یعتقد بأنّ آیات الأحکام تسعمئة آیة، کما أنّ الشوکانی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نسب إلی أبی حامد الغزالی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القاضی ابن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الخمسمئة أبدی اعتراضه بأنّ دعوی انحصار الشریعة بهذا العدد بالقیاس إلی ظاهر الآیات، وإلّا فمن الممکن استخراج وعدّ أضعاف هذا العدد من الآیات المتعلّقة بالأحکام الشرعیة</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وادّعی بعض الکتّاب المُعاصرین من الإمامیة أنّ العدد القریب من الواقع یتراوح بین </w:t>
      </w: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وقد تتبّعنا ما بحثه ابن العربی من الآیات من خلال فهارس کتابه أحکام القرآن فوجدناها تربو علی الألف آیة</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وربّما نُسب إلی القرطبی القول بأنّ آیات الأحکام تتجاوز الألفین آیة </w:t>
      </w:r>
      <w:r>
        <w:rPr>
          <w:rStyle w:val="FootnoteAnchor"/>
          <w:rtl w:val="true"/>
        </w:rPr>
        <w:footnoteReference w:id="128"/>
      </w:r>
      <w:r>
        <w:rPr>
          <w:rFonts w:ascii="IRNazanin" w:hAnsi="IRNazanin" w:eastAsia="IRNazanin"/>
          <w:color w:val="111111"/>
          <w:sz w:val="28"/>
          <w:sz w:val="28"/>
          <w:szCs w:val="28"/>
          <w:rtl w:val="true"/>
          <w:lang w:bidi="fa-IR"/>
        </w:rPr>
        <w:t>، کما رجّح أحد المعاصرین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الأرجح أنّ الآیات المُرتبطة بأعمال المُکلّفین ارتباطاً تکلیفیاً فی حیاتهم تزید علی الخمسمئة بکثیر، وهی إلی الألفین آیة أقرب منها إلی الخمسمئة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أورد مؤیّداً لکلامه</w:t>
      </w:r>
      <w:r>
        <w:rPr>
          <w:rFonts w:eastAsia="IRNazanin" w:cs="IRNazanin"/>
          <w:color w:val="111111"/>
          <w:sz w:val="28"/>
          <w:szCs w:val="28"/>
          <w:rtl w:val="true"/>
          <w:lang w:bidi="fa-IR"/>
        </w:rPr>
        <w:t xml:space="preserve">. </w:t>
      </w:r>
      <w:r>
        <w:rPr>
          <w:rStyle w:val="FootnoteAnchor"/>
          <w:rtl w:val="true"/>
        </w:rPr>
        <w:footnoteReference w:id="12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وأنت إذا دقّقت النظر فی عبارته عرفت أنّه لا یری انحصار آیات الأحکام بهذا العدد ولو علی نحو التقریب لا التحقیق، بل إنّه یری اختصاص ذلک بآیات الأحکام</w:t>
      </w:r>
    </w:p>
    <w:p>
      <w:pPr>
        <w:pStyle w:val="BookText"/>
        <w:rPr/>
      </w:pPr>
      <w:r>
        <w:rPr>
          <w:rFonts w:ascii="IRNazanin" w:hAnsi="IRNazanin" w:eastAsia="IRNazanin"/>
          <w:color w:val="111111"/>
          <w:sz w:val="28"/>
          <w:sz w:val="28"/>
          <w:szCs w:val="28"/>
          <w:rtl w:val="true"/>
          <w:lang w:bidi="fa-IR"/>
        </w:rPr>
        <w:t>التکلیفیة فقط بحسب تعبیره، وإلّا فسوف یرتفع العدد بشکل مُذهل، کما سوف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المؤیّدات لهذا القول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الواضح أنّ الأحکام تعدّ جزءاً مهمّاً وأصلیاً من الدین وتمثّل القسم العملی من تعالیم الوحی، وحیث إنّ عدد آیات القرآن تربو علی ستة آلاف آیة، فمن المستبعد جدّاً تخصیص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قی الأحکام فقط والتی تبلغ نسبتها إلی مجموع القرآن أقلّ من 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إلی اثنی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یُجاب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أهمّیة الأحکام شیءٌ وبیان تفصیلاتها شیء آخر، فنجد القرآن الکریم رغم تأکیده علی فریضتی الصلاة والزکاة،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لکنّه لم یتعرّض إلی بیان أحکامهما مفصّلاً، فلم یذکر عدد رکعات الصلاة ولا أجزاءها ولا أحکامها، وکذلک لم یذکر الأعیان التی یجب فیها الزکاة ولا الأنصبة ولا المقدار الذی یجب إخراجه، وهکذا، وإنّما أوکل البیان إلی السنّة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أهمّیة الحکم لا تُقاس بعدد الآیات والمرّات التی ذکر فیها، فقد کرّر القرآن الکریم ذکر بعض الأحکام الترخیصیة، کما هو الحال بالنسبة لبعض الاُمور المستحبّة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کذکر الله وتسبیحه </w:t>
      </w:r>
      <w:r>
        <w:rPr>
          <w:rStyle w:val="FootnoteAnchor"/>
          <w:rtl w:val="true"/>
        </w:rPr>
        <w:footnoteReference w:id="130"/>
      </w:r>
      <w:r>
        <w:rPr>
          <w:rFonts w:ascii="IRNazanin" w:hAnsi="IRNazanin" w:eastAsia="IRNazanin"/>
          <w:color w:val="111111"/>
          <w:sz w:val="28"/>
          <w:sz w:val="28"/>
          <w:szCs w:val="28"/>
          <w:rtl w:val="true"/>
          <w:lang w:bidi="fa-IR"/>
        </w:rPr>
        <w:t>، أو المکروهة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کالنهی عن تزکیة النفس </w:t>
      </w:r>
      <w:r>
        <w:rPr>
          <w:rStyle w:val="FootnoteAnchor"/>
          <w:rtl w:val="true"/>
        </w:rPr>
        <w:footnoteReference w:id="131"/>
      </w:r>
      <w:r>
        <w:rPr>
          <w:rFonts w:ascii="Amiri" w:hAnsi="Amiri" w:eastAsia="Amiri" w:cs="Amiri"/>
          <w:color w:val="111111"/>
          <w:sz w:val="28"/>
          <w:sz w:val="28"/>
          <w:szCs w:val="28"/>
          <w:rtl w:val="true"/>
          <w:lang w:bidi="ar-SA"/>
        </w:rPr>
        <w:t>، أو المباحة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کالأکل من الطیّبات </w:t>
      </w:r>
      <w:r>
        <w:rPr>
          <w:rStyle w:val="FootnoteAnchor"/>
          <w:rtl w:val="true"/>
        </w:rPr>
        <w:footnoteReference w:id="132"/>
      </w:r>
      <w:r>
        <w:rPr>
          <w:rFonts w:ascii="IRNazanin" w:hAnsi="IRNazanin" w:eastAsia="IRNazanin"/>
          <w:color w:val="111111"/>
          <w:sz w:val="28"/>
          <w:sz w:val="28"/>
          <w:szCs w:val="28"/>
          <w:rtl w:val="true"/>
          <w:lang w:bidi="fa-IR"/>
        </w:rPr>
        <w:t xml:space="preserve">وطلب الرزق </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الوقت الذی لا نجد مثل ذلک التکرار بالنسبة</w:t>
      </w:r>
      <w:bookmarkStart w:id="183" w:name="pg5707_46466"/>
    </w:p>
    <w:p>
      <w:pPr>
        <w:pStyle w:val="BookText"/>
        <w:rPr/>
      </w:pPr>
      <w:bookmarkEnd w:id="183"/>
      <w:r>
        <w:rPr>
          <w:rFonts w:ascii="IRNazanin" w:hAnsi="IRNazanin" w:eastAsia="IRNazanin"/>
          <w:color w:val="111111"/>
          <w:sz w:val="28"/>
          <w:sz w:val="28"/>
          <w:szCs w:val="28"/>
          <w:rtl w:val="true"/>
          <w:lang w:bidi="fa-IR"/>
        </w:rPr>
        <w:t xml:space="preserve">لبعض الأحکام الإلزامیة کالوضوء الذی ذُکر مرّة فی آیة واحدة </w:t>
      </w:r>
      <w:r>
        <w:rPr>
          <w:rStyle w:val="FootnoteAnchor"/>
          <w:rtl w:val="true"/>
        </w:rPr>
        <w:footnoteReference w:id="134"/>
      </w:r>
      <w:r>
        <w:rPr>
          <w:rFonts w:ascii="IRNazanin" w:hAnsi="IRNazanin" w:eastAsia="IRNazanin"/>
          <w:color w:val="111111"/>
          <w:sz w:val="28"/>
          <w:sz w:val="28"/>
          <w:szCs w:val="28"/>
          <w:rtl w:val="true"/>
          <w:lang w:bidi="fa-IR"/>
        </w:rPr>
        <w:t>، وکحدّ السرقة الذی لم یتکرّر ذکره</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کما أنّ الأهمیة لا تُقاس بحجم البیان وکمّیته؛ فقد فصّل القرآن بیان الشهادة علی الدَّین فی آیة الدَّین الطویلة </w:t>
      </w:r>
      <w:r>
        <w:rPr>
          <w:rStyle w:val="FootnoteAnchor"/>
          <w:rtl w:val="true"/>
        </w:rPr>
        <w:footnoteReference w:id="136"/>
      </w:r>
      <w:r>
        <w:rPr>
          <w:rFonts w:ascii="IRNazanin" w:hAnsi="IRNazanin" w:eastAsia="IRNazanin"/>
          <w:color w:val="111111"/>
          <w:sz w:val="28"/>
          <w:sz w:val="28"/>
          <w:szCs w:val="28"/>
          <w:rtl w:val="true"/>
          <w:lang w:bidi="fa-IR"/>
        </w:rPr>
        <w:t>التی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أطول 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دلّت بعض الأحادیث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آیات الأحکام تمثّل نسبة عالیة من مجموع القرآن، کالربع، والثلث، بل والنصف، وهذا ما یتنافی مع الإحصائیة المشهورة لآیات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یُراد بهذه الروایات بیان العدد والکمّ</w:t>
      </w:r>
      <w:r>
        <w:rPr>
          <w:rFonts w:eastAsia="IRNazanin" w:cs="IRNazanin"/>
          <w:color w:val="111111"/>
          <w:sz w:val="28"/>
          <w:szCs w:val="28"/>
          <w:rtl w:val="true"/>
          <w:lang w:bidi="fa-IR"/>
        </w:rPr>
        <w:t>.</w:t>
      </w:r>
    </w:p>
    <w:p>
      <w:pPr>
        <w:pStyle w:val="Heading4"/>
        <w:numPr>
          <w:ilvl w:val="3"/>
          <w:numId w:val="1"/>
        </w:numPr>
        <w:rPr/>
      </w:pPr>
      <w:bookmarkStart w:id="184" w:name="__RefHeading___Toc3818347_581953129"/>
      <w:bookmarkStart w:id="185" w:name="_Toc76"/>
      <w:bookmarkEnd w:id="184"/>
      <w:r>
        <w:rPr>
          <w:rtl w:val="true"/>
        </w:rPr>
        <w:t>القول الرابع</w:t>
      </w:r>
      <w:r>
        <w:rPr>
          <w:rtl w:val="true"/>
        </w:rPr>
        <w:t xml:space="preserve">: </w:t>
      </w:r>
      <w:r>
        <w:rPr>
          <w:rtl w:val="true"/>
        </w:rPr>
        <w:t>عدم صحة حصر آیات الأحکام فی عدد</w:t>
      </w:r>
      <w:bookmarkEnd w:id="185"/>
    </w:p>
    <w:p>
      <w:pPr>
        <w:pStyle w:val="BookText"/>
        <w:rPr/>
      </w:pPr>
      <w:r>
        <w:rPr>
          <w:rFonts w:ascii="IRNazanin" w:hAnsi="IRNazanin" w:eastAsia="IRNazanin"/>
          <w:color w:val="111111"/>
          <w:sz w:val="28"/>
          <w:sz w:val="28"/>
          <w:szCs w:val="28"/>
          <w:rtl w:val="true"/>
          <w:lang w:bidi="fa-IR"/>
        </w:rPr>
        <w:t xml:space="preserve">ذهب ابن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عدم صحة حصر آیات الأحکام فی عدد معیّن، بسبب اختلاف الأنظار، فَمن مَنّ الله علیه بملکة الاستنباط یمکنه الإفادة من کثیر من آیات الکتاب حتّی ما ورد منها فی القصص والأمثال</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وقد یُؤیّد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یُری من اختلاف فی عدد آیات الأحکام المبحوثة فی الکتب المؤلّفة فی هذا المجال، بل وممّا یُضاعف فی قوّة هذا القول ما سنذکره عند بیان الأسباب الکامنة وراء اختلاف الأقوال فی تعداد آیات الأحکام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یمکن تقدیم إحصائیة وفقاً لأحد اللحاظات التالیة</w:t>
      </w:r>
      <w:r>
        <w:rPr>
          <w:rFonts w:eastAsia="IRNazanin" w:cs="IRNazanin"/>
          <w:color w:val="111111"/>
          <w:sz w:val="28"/>
          <w:szCs w:val="28"/>
          <w:rtl w:val="true"/>
          <w:lang w:bidi="fa-IR"/>
        </w:rPr>
        <w:t>:</w:t>
      </w:r>
      <w:bookmarkStart w:id="186" w:name="pg5707_46467"/>
    </w:p>
    <w:p>
      <w:pPr>
        <w:pStyle w:val="BookText"/>
        <w:rPr/>
      </w:pPr>
      <w:bookmarkEnd w:id="18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إمّا بلحاظ الحدّ الأدنی، وهو القدر المتفق علیه من عدد آیات الأحکام، سواء أکان الاتفاق بین الجمیع؛ إذ لا شکّ فی وجود مقدار من الآیات المتضمّنة لتشریع جملة من الأحکام، کالصلاة، والزکاة، والحجّ، والصیام، أم کان الاتفاق بین الأکثر أو بین المشهور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وإمّا بلحاظ کلّ ما یمکن أن یُستنبط منه حکم شرعی ولو بحسب نظر بعض دون آخر، أو تقدیم إحصائیة تقریبیة</w:t>
      </w:r>
      <w:r>
        <w:rPr>
          <w:rFonts w:eastAsia="IRNazanin" w:cs="IRNazanin"/>
          <w:color w:val="111111"/>
          <w:sz w:val="28"/>
          <w:szCs w:val="28"/>
          <w:rtl w:val="true"/>
          <w:lang w:bidi="fa-IR"/>
        </w:rPr>
        <w:t>.</w:t>
      </w:r>
    </w:p>
    <w:p>
      <w:pPr>
        <w:pStyle w:val="Heading3"/>
        <w:numPr>
          <w:ilvl w:val="2"/>
          <w:numId w:val="1"/>
        </w:numPr>
        <w:rPr/>
      </w:pPr>
      <w:bookmarkStart w:id="187" w:name="__RefHeading___Toc3818349_581953129"/>
      <w:bookmarkStart w:id="188" w:name="_Toc77"/>
      <w:bookmarkEnd w:id="187"/>
      <w:r>
        <w:rPr>
          <w:rtl w:val="true"/>
        </w:rPr>
        <w:t>ثانیاً</w:t>
      </w:r>
      <w:r>
        <w:rPr>
          <w:rtl w:val="true"/>
        </w:rPr>
        <w:t xml:space="preserve">: </w:t>
      </w:r>
      <w:r>
        <w:rPr>
          <w:rtl w:val="true"/>
        </w:rPr>
        <w:t>أسباب الاختلاف فی عدد آیات الأحکام</w:t>
      </w:r>
      <w:bookmarkEnd w:id="188"/>
    </w:p>
    <w:p>
      <w:pPr>
        <w:pStyle w:val="BookText"/>
        <w:rPr/>
      </w:pPr>
      <w:r>
        <w:rPr>
          <w:rFonts w:ascii="IRNazanin" w:hAnsi="IRNazanin" w:eastAsia="IRNazanin"/>
          <w:color w:val="111111"/>
          <w:sz w:val="28"/>
          <w:sz w:val="28"/>
          <w:szCs w:val="28"/>
          <w:rtl w:val="true"/>
          <w:lang w:bidi="fa-IR"/>
        </w:rPr>
        <w:t>والوجه فی اختلاف المحقّقین فی عدد آیات الأحکام یعود إلی عدّة أسباب، وهی کثیرة،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حصر آیات الأحکام فی دائرة الأحکام الفقهیة فحسب، فی حین یری آخرون توسعة الحکم لما یشمل الحکم الاُصولی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هناک مجموعة کبیرة من الآیات ناظرة إلی بیان آداب إسلامیة قد اهملت الإشارة إلیها فی کتب آیات الأحکام، ولو ادرجت ضمن قائمة آیات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لارتفع العدد بشکل ملحوظ</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ارید إضافة الآیات المرتبطة بالأخلاق، </w:t>
      </w:r>
      <w:r>
        <w:rPr>
          <w:rStyle w:val="FootnoteAnchor"/>
          <w:rtl w:val="true"/>
        </w:rPr>
        <w:footnoteReference w:id="139"/>
      </w:r>
      <w:r>
        <w:rPr>
          <w:rFonts w:ascii="IRNazanin" w:hAnsi="IRNazanin" w:eastAsia="IRNazanin"/>
          <w:color w:val="111111"/>
          <w:sz w:val="28"/>
          <w:sz w:val="28"/>
          <w:szCs w:val="28"/>
          <w:rtl w:val="true"/>
          <w:lang w:bidi="fa-IR"/>
        </w:rPr>
        <w:t xml:space="preserve">أو الأحکام العقائدیة؛ </w:t>
      </w:r>
      <w:r>
        <w:rPr>
          <w:rStyle w:val="FootnoteAnchor"/>
          <w:rtl w:val="true"/>
        </w:rPr>
        <w:footnoteReference w:id="140"/>
      </w:r>
      <w:r>
        <w:rPr>
          <w:rFonts w:ascii="IRNazanin" w:hAnsi="IRNazanin" w:eastAsia="IRNazanin"/>
          <w:color w:val="111111"/>
          <w:sz w:val="28"/>
          <w:sz w:val="28"/>
          <w:szCs w:val="28"/>
          <w:rtl w:val="true"/>
          <w:lang w:bidi="fa-IR"/>
        </w:rPr>
        <w:t>لاشتمالها علی أوامر ونواهٍ، لارتفع العدد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ثمّة آیات تکرّر ذکرها فی القرآن الکریم، فعدُّ المتکرّر وعدمُ عدّه یؤثّر علی اختلاف الإحصائیات لآیات الأحکام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هناک مجموعة من الآیات هی من آیات الأحکام حقیقة، ولکن ربّما لا تعدُّ منها؛ لعدم دخولها فی محلّ الابتلاء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من قبیل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یُنادُونَکَ مِن وَراءِ الحُجُراتِ أَکثَرُهُم لا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صَبَرُوا حَتّی تَخرُجَ إِلَیهِم لَکانَ خَیراً لَهُم وَ اللّهُ غَفُورٌ 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ناجَیتُمُ الرَّسُولَ فَقَدِّمُوا بَینَ یَدَی نَجواکُم صَدَقَةً ذلِکَ خَیرٌ لَکُم وَ أَطهَرُ فَإِن لَم تَجِدُوا فَإِنَّ اللّهَ غَفُورٌ 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آیات الأحکام بعضها صریح الدلالة علی الحکم، ولعلّ ذلک هو الملحوظ لدی مَن حصر الآیات فی عدد معیّن، وبعضها دلالته علی الحکم غیر صریحة وهذه کثیرة</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هناک بعض الآیات التی لا یمکن 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لوحظت بانفرادها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آیات الأحکام إلّا أنّه بضمّها إلی آیات اخری یمکن عدُّها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هذه الآیات إذا تمّ إدراجها فی آیات الأحکام فسوف یختلف العدد </w:t>
      </w:r>
      <w:r>
        <w:rPr>
          <w:rStyle w:val="FootnoteAnchor"/>
          <w:rtl w:val="true"/>
        </w:rPr>
        <w:footnoteReference w:id="142"/>
      </w:r>
      <w:r>
        <w:rPr>
          <w:rFonts w:ascii="IRNazanin" w:hAnsi="IRNazanin" w:eastAsia="IRNazanin"/>
          <w:color w:val="111111"/>
          <w:sz w:val="28"/>
          <w:sz w:val="28"/>
          <w:szCs w:val="28"/>
          <w:rtl w:val="true"/>
          <w:lang w:bidi="fa-IR"/>
        </w:rPr>
        <w:t>، من قبیل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یَظُنُّ أُولئِکَ أَنَّهُم مَبعُوثُونَ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لِیَومٍ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یَقُومُ النّاسُ لِرَبِّ العالَمِینَ </w:t>
      </w:r>
      <w:r>
        <w:rPr>
          <w:rStyle w:val="FootnoteAnchor"/>
          <w:rtl w:val="true"/>
        </w:rPr>
        <w:footnoteReference w:id="143"/>
      </w:r>
      <w:r>
        <w:rPr>
          <w:rFonts w:ascii="Amiri" w:hAnsi="Amiri" w:eastAsia="Amiri" w:cs="Amiri"/>
          <w:color w:val="111111"/>
          <w:sz w:val="28"/>
          <w:sz w:val="28"/>
          <w:szCs w:val="28"/>
          <w:rtl w:val="true"/>
          <w:lang w:bidi="ar-SA"/>
        </w:rPr>
        <w:t>، فإنها بدواً لیست من آیات الأحکام، ولکن مع ملاحظة اتصاله بما سبقه فقد یحسن إدراجه فی ذلک، فانظر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لِلمُطَفِّفِینَ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إِذَا اکتالُوا عَلَی النّاسِ یَستَوفُونَ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کالُوهُم أَو وَزَنُوهُم یُخسِرُونَ </w:t>
      </w:r>
      <w:r>
        <w:rPr>
          <w:rStyle w:val="FootnoteAnchor"/>
          <w:rtl w:val="true"/>
        </w:rPr>
        <w:footnoteReference w:id="144"/>
      </w:r>
      <w:r>
        <w:rPr>
          <w:rFonts w:ascii="IRNazanin" w:hAnsi="IRNazanin" w:eastAsia="IRNazanin"/>
          <w:color w:val="111111"/>
          <w:sz w:val="28"/>
          <w:sz w:val="28"/>
          <w:szCs w:val="28"/>
          <w:rtl w:val="true"/>
          <w:lang w:bidi="fa-IR"/>
        </w:rPr>
        <w:t>، فإنّه بملاحظته سوف یستفاد من ذلک حرمة التطفیف، حیث یُهدَّد من خلاله المطفّف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تَشهَدُ عَلَیهِم أَلسِنَتُهُم وَ أَیدِیهِم وَ أَرجُلُهُم بِما کانُوا یَعمَلُونَ </w:t>
      </w:r>
      <w:r>
        <w:rPr>
          <w:rStyle w:val="FootnoteAnchor"/>
          <w:rtl w:val="true"/>
        </w:rPr>
        <w:footnoteReference w:id="145"/>
      </w:r>
      <w:r>
        <w:rPr>
          <w:rFonts w:ascii="Amiri" w:hAnsi="Amiri" w:eastAsia="Amiri" w:cs="Amiri"/>
          <w:color w:val="111111"/>
          <w:sz w:val="28"/>
          <w:sz w:val="28"/>
          <w:szCs w:val="28"/>
          <w:rtl w:val="true"/>
          <w:lang w:bidi="ar-SA"/>
        </w:rPr>
        <w:t>، فإنّه لا یتضمّن حکماً شرعیاً لو لاحظناه بانفراده إلاّ أنّه مع ضمّه إلی ما قبله، وهو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یَرمُونَ المُحصَناتِ الغافِلاتِ المُؤمِناتِ لُعِنُوا فِی الدُّنیا وَ الآخِرَةِ وَ لَهُم عَذابٌ عَظِیمٌ </w:t>
      </w:r>
      <w:r>
        <w:rPr>
          <w:rStyle w:val="FootnoteAnchor"/>
          <w:rtl w:val="true"/>
        </w:rPr>
        <w:footnoteReference w:id="146"/>
      </w:r>
      <w:r>
        <w:rPr>
          <w:rFonts w:ascii="IRNazanin" w:hAnsi="IRNazanin" w:eastAsia="IRNazanin"/>
          <w:color w:val="111111"/>
          <w:sz w:val="28"/>
          <w:sz w:val="28"/>
          <w:szCs w:val="28"/>
          <w:rtl w:val="true"/>
          <w:lang w:bidi="fa-IR"/>
        </w:rPr>
        <w:t>یستفاد منه حکم شرعی، وهو حرمة القذف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الأخیر وإن کان یدلّ علی حرمة القذف بنفسه إلا أنّ هذا لا ینافی دلالة الأوّل علیها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الاختلاف فی فهم الحکم من الآیة، فهناک آیات ادّعی دلالتها علی أحکام معیّنة، ولکنّها بنظر آخرین قد یُدّعی عدم دلالتها علی ذلک فلا تکون من آیات الأحکام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ونذکر لذلک عدّة أمثلة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بعضٌ علی حجیّة الإقرار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أَقرَرتُم وَ أَخَذتُم عَلی ذلِکُم إِصرِی قالُوا أَقرَرنا </w:t>
      </w:r>
      <w:r>
        <w:rPr>
          <w:rStyle w:val="FootnoteAnchor"/>
          <w:rtl w:val="true"/>
        </w:rPr>
        <w:footnoteReference w:id="147"/>
      </w:r>
      <w:r>
        <w:rPr>
          <w:rFonts w:ascii="Amiri" w:hAnsi="Amiri" w:eastAsia="Amiri" w:cs="Amiri"/>
          <w:color w:val="111111"/>
          <w:sz w:val="28"/>
          <w:sz w:val="28"/>
          <w:szCs w:val="28"/>
          <w:rtl w:val="true"/>
          <w:lang w:bidi="ar-SA"/>
        </w:rPr>
        <w:t xml:space="preserve">، وَ آخَرُونَ اعتَرَفُوا بِذُنُوبِهِم خَلَطُوا عَمَلاً صالِحاً وَ آخَرَ سَیِّئاً </w:t>
      </w:r>
      <w:r>
        <w:rPr>
          <w:rStyle w:val="FootnoteAnchor"/>
          <w:rtl w:val="true"/>
        </w:rPr>
        <w:footnoteReference w:id="148"/>
      </w:r>
      <w:r>
        <w:rPr>
          <w:rFonts w:ascii="Amiri" w:hAnsi="Amiri" w:eastAsia="Amiri" w:cs="Amiri"/>
          <w:color w:val="111111"/>
          <w:sz w:val="28"/>
          <w:sz w:val="28"/>
          <w:szCs w:val="28"/>
          <w:rtl w:val="true"/>
          <w:lang w:bidi="ar-SA"/>
        </w:rPr>
        <w:t xml:space="preserve">، وَ إِذ أَخَذَ رَبُّکَ مِن بَنِی آدَمَ مِن ظُهُورِهِم ذُرِّیَّتَهُم وَ أَشهَدَهُم عَلی أَنفُسِهِم أَ لَستُ بِرَبِّکُم قالُوا بَلی شَهِدنا </w:t>
      </w:r>
      <w:r>
        <w:rPr>
          <w:rStyle w:val="FootnoteAnchor"/>
          <w:rtl w:val="true"/>
        </w:rPr>
        <w:footnoteReference w:id="149"/>
      </w:r>
      <w:r>
        <w:rPr>
          <w:rFonts w:ascii="IRNazanin" w:hAnsi="IRNazanin" w:eastAsia="IRNazanin"/>
          <w:color w:val="111111"/>
          <w:sz w:val="28"/>
          <w:sz w:val="28"/>
          <w:szCs w:val="28"/>
          <w:rtl w:val="true"/>
          <w:lang w:bidi="fa-IR"/>
        </w:rPr>
        <w:t>، لکنّها بنظر آخرین قد تکون بعیدة عن ذلک کلّ البعد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بعضٌ علی حجیّة قضاء الحاکم بعلمه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خَلَقنا أُمَّةٌ یَهدُونَ بِالحَقِّ وَ بِهِ یَعدِلُونَ </w:t>
      </w:r>
      <w:r>
        <w:rPr>
          <w:rStyle w:val="FootnoteAnchor"/>
          <w:rtl w:val="true"/>
        </w:rPr>
        <w:footnoteReference w:id="150"/>
      </w:r>
      <w:r>
        <w:rPr>
          <w:rFonts w:ascii="Amiri" w:hAnsi="Amiri" w:eastAsia="Amiri" w:cs="Amiri"/>
          <w:color w:val="111111"/>
          <w:sz w:val="28"/>
          <w:sz w:val="28"/>
          <w:szCs w:val="28"/>
          <w:rtl w:val="true"/>
          <w:lang w:bidi="ar-SA"/>
        </w:rPr>
        <w:t xml:space="preserve">، وَ مِن قَومِ مُوسی أُمَّةٌ یَهدُونَ بِالحَقِّ وَ بِهِ یَعدِلُونَ </w:t>
      </w:r>
      <w:r>
        <w:rPr>
          <w:rStyle w:val="FootnoteAnchor"/>
          <w:rtl w:val="true"/>
        </w:rPr>
        <w:footnoteReference w:id="151"/>
      </w:r>
      <w:r>
        <w:rPr>
          <w:rFonts w:ascii="Amiri" w:hAnsi="Amiri" w:eastAsia="Amiri" w:cs="Amiri"/>
          <w:color w:val="111111"/>
          <w:sz w:val="28"/>
          <w:sz w:val="28"/>
          <w:szCs w:val="28"/>
          <w:rtl w:val="true"/>
          <w:lang w:bidi="ar-SA"/>
        </w:rPr>
        <w:t>، إِنّا أَنزَلنا</w:t>
      </w:r>
    </w:p>
    <w:p>
      <w:pPr>
        <w:pStyle w:val="BookText"/>
        <w:rPr/>
      </w:pPr>
      <w:r>
        <w:rPr>
          <w:rFonts w:ascii="Amiri" w:hAnsi="Amiri" w:eastAsia="Amiri" w:cs="Amiri"/>
          <w:color w:val="111111"/>
          <w:sz w:val="28"/>
          <w:sz w:val="28"/>
          <w:szCs w:val="28"/>
          <w:rtl w:val="true"/>
          <w:lang w:bidi="ar-SA"/>
        </w:rPr>
        <w:t xml:space="preserve">إِلَیکَ الکِتابَ بِالحَقِّ لِتَحکُمَ بَینَ النّاسِ بِما أَراکَ اللّهُ </w:t>
      </w:r>
      <w:r>
        <w:rPr>
          <w:rStyle w:val="FootnoteAnchor"/>
          <w:rtl w:val="true"/>
        </w:rPr>
        <w:footnoteReference w:id="152"/>
      </w:r>
      <w:r>
        <w:rPr>
          <w:rFonts w:ascii="IRNazanin" w:hAnsi="IRNazanin" w:eastAsia="IRNazanin"/>
          <w:color w:val="111111"/>
          <w:sz w:val="28"/>
          <w:sz w:val="28"/>
          <w:szCs w:val="28"/>
          <w:rtl w:val="true"/>
          <w:lang w:bidi="fa-IR"/>
        </w:rPr>
        <w:t>، لکنّها بنظر آخرین قد تکون هذه الآیات بعیدة عن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بعضٌ علی عدم جواز مسّ المحدث لخطّ الکتاب الکریم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Style w:val="FootnoteAnchor"/>
          <w:rtl w:val="true"/>
        </w:rPr>
        <w:footnoteReference w:id="153"/>
      </w:r>
      <w:r>
        <w:rPr>
          <w:rFonts w:ascii="IRNazanin" w:hAnsi="IRNazanin" w:eastAsia="IRNazanin"/>
          <w:color w:val="111111"/>
          <w:sz w:val="28"/>
          <w:sz w:val="28"/>
          <w:szCs w:val="28"/>
          <w:rtl w:val="true"/>
          <w:lang w:bidi="fa-IR"/>
        </w:rPr>
        <w:t>، لکنّه بنظر آخر أجنبی عن ذلک، باعتبار احتمال کون المقصود أنّ دقائق القرآن الکریم لا ینالها ولا یصل إلیها إلّا المطهرون من الزلل وهم أهل بیت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فالمقصود من المسّ هو هذا المعنی ولیس المسّ المادی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بعضٌ علی حجیّة القرعة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یُونُسَ لَمِنَ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أَبَقَ إِلَی الفُلکِ المَشحُونِ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فَکانَ مِنَ المُدحَضِینَ </w:t>
      </w:r>
      <w:r>
        <w:rPr>
          <w:rStyle w:val="FootnoteAnchor"/>
          <w:rtl w:val="true"/>
        </w:rPr>
        <w:footnoteReference w:id="154"/>
      </w:r>
      <w:r>
        <w:rPr>
          <w:rFonts w:ascii="Amiri" w:hAnsi="Amiri" w:eastAsia="Amiri" w:cs="Amiri"/>
          <w:color w:val="111111"/>
          <w:sz w:val="28"/>
          <w:sz w:val="28"/>
          <w:szCs w:val="28"/>
          <w:rtl w:val="true"/>
          <w:lang w:bidi="ar-SA"/>
        </w:rPr>
        <w:t xml:space="preserve">، وَ ما کُنتَ لَدَیهِم إِذ یُلقُونَ أَقلامَهُم أَیُّهُم یَکفُلُ مَریَمَ وَ ما کُنتَ لَدَیهِم إِذ یَختَصِمُونَ </w:t>
      </w:r>
      <w:r>
        <w:rPr>
          <w:rStyle w:val="FootnoteAnchor"/>
          <w:rtl w:val="true"/>
        </w:rPr>
        <w:footnoteReference w:id="155"/>
      </w:r>
      <w:r>
        <w:rPr>
          <w:rFonts w:ascii="IRNazanin" w:hAnsi="IRNazanin" w:eastAsia="IRNazanin"/>
          <w:color w:val="111111"/>
          <w:sz w:val="28"/>
          <w:sz w:val="28"/>
          <w:szCs w:val="28"/>
          <w:rtl w:val="true"/>
          <w:lang w:bidi="fa-IR"/>
        </w:rPr>
        <w:t>، لکنّهما بنظر آخر أجنبیان عن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 بعضٌ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فَصَلَ طالُوتُ بِالجُنُودِ قالَ إِنَّ اللّهَ مُبتَلِیکُم بِنَهَرٍ فَمَن شَرِبَ مِنهُ فَلَیسَ مِنِّی وَ مَن لَم یَطعَمهُ فَإِنَّهُ مِنِّی</w:t>
      </w:r>
      <w:r>
        <w:rPr>
          <w:rFonts w:eastAsia="Amiri" w:cs="Amiri" w:ascii="Amiri" w:hAnsi="Amiri"/>
          <w:color w:val="111111"/>
          <w:sz w:val="28"/>
          <w:szCs w:val="28"/>
          <w:rtl w:val="true"/>
          <w:lang w:bidi="ar-SA"/>
        </w:rPr>
        <w:t xml:space="preserve">... </w:t>
      </w:r>
      <w:r>
        <w:rPr>
          <w:rStyle w:val="FootnoteAnchor"/>
          <w:rtl w:val="true"/>
        </w:rPr>
        <w:footnoteReference w:id="156"/>
      </w:r>
      <w:r>
        <w:rPr>
          <w:rFonts w:ascii="IRNazanin" w:hAnsi="IRNazanin" w:eastAsia="IRNazanin"/>
          <w:color w:val="111111"/>
          <w:sz w:val="28"/>
          <w:sz w:val="28"/>
          <w:szCs w:val="28"/>
          <w:rtl w:val="true"/>
          <w:lang w:bidi="fa-IR"/>
        </w:rPr>
        <w:t>لزوم اختبار المقاتلین من قبل القائد لمعرفة مدی طاعتهم وثباتهم</w:t>
      </w:r>
      <w:r>
        <w:rPr>
          <w:rFonts w:eastAsia="IRNazanin" w:cs="IRNazanin"/>
          <w:color w:val="111111"/>
          <w:sz w:val="28"/>
          <w:szCs w:val="28"/>
          <w:rtl w:val="true"/>
          <w:lang w:bidi="fa-IR"/>
        </w:rPr>
        <w:t xml:space="preserve">. </w:t>
      </w:r>
      <w:r>
        <w:rPr>
          <w:rStyle w:val="FootnoteAnchor"/>
          <w:rtl w:val="true"/>
        </w:rPr>
        <w:footnoteReference w:id="157"/>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استفید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داوُدُ جالُوتَ وَ آتاهُ اللّهُ المُلکَ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إعطاء المسؤولیة لشخص لا بدّ وأن یکون بعد إحراز کفاءته</w:t>
      </w:r>
      <w:r>
        <w:rPr>
          <w:rFonts w:eastAsia="Amiri" w:cs="Amiri" w:ascii="Amiri" w:hAnsi="Amiri"/>
          <w:color w:val="111111"/>
          <w:sz w:val="28"/>
          <w:szCs w:val="28"/>
          <w:rtl w:val="true"/>
          <w:lang w:bidi="ar-SA"/>
        </w:rPr>
        <w:t xml:space="preserve">. </w:t>
      </w:r>
      <w:r>
        <w:rPr>
          <w:rStyle w:val="FootnoteAnchor"/>
          <w:rtl w:val="true"/>
        </w:rPr>
        <w:footnoteReference w:id="158"/>
      </w:r>
      <w:bookmarkStart w:id="189" w:name="pg5707_46471"/>
    </w:p>
    <w:p>
      <w:pPr>
        <w:pStyle w:val="BookText"/>
        <w:rPr/>
      </w:pPr>
      <w:bookmarkEnd w:id="189"/>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استفید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مَعرُوفٌ وَ مَغفِرَةٌ خَیرٌ مِن صَدَقَةٍ یَتبَعُها أَذیً وَ اللّهُ غَنِیٌّ حَلِیمٌ </w:t>
      </w:r>
      <w:r>
        <w:rPr>
          <w:rStyle w:val="FootnoteAnchor"/>
          <w:rtl w:val="true"/>
        </w:rPr>
        <w:footnoteReference w:id="159"/>
      </w:r>
      <w:r>
        <w:rPr>
          <w:rFonts w:ascii="IRNazanin" w:hAnsi="IRNazanin" w:eastAsia="IRNazanin"/>
          <w:color w:val="111111"/>
          <w:sz w:val="28"/>
          <w:sz w:val="28"/>
          <w:szCs w:val="28"/>
          <w:rtl w:val="true"/>
          <w:lang w:bidi="fa-IR"/>
        </w:rPr>
        <w:t>أفضلیة حفظ کرامة الإنسان بالقیاس إلی تأمین حاجته الاقتصادیة</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بعضٌ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قالَتِ امرَأَتُ عِمرانَ رَبِّ إِنِّی نَذَرتُ لَکَ ما فِی بَطنِی مُحَرَّراً،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تحقّق النذر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نذرت لک، لکن لا یری بعضٌ هذه الدلالة</w:t>
      </w:r>
      <w:r>
        <w:rPr>
          <w:rFonts w:eastAsia="Amiri" w:cs="Amiri" w:ascii="Amiri" w:hAnsi="Amiri"/>
          <w:color w:val="111111"/>
          <w:sz w:val="28"/>
          <w:szCs w:val="28"/>
          <w:rtl w:val="true"/>
          <w:lang w:bidi="ar-SA"/>
        </w:rPr>
        <w:t xml:space="preserve">. </w:t>
      </w:r>
      <w:r>
        <w:rPr>
          <w:rStyle w:val="FootnoteAnchor"/>
          <w:rtl w:val="true"/>
        </w:rPr>
        <w:footnoteReference w:id="161"/>
      </w:r>
    </w:p>
    <w:p>
      <w:pPr>
        <w:pStyle w:val="Heading3"/>
        <w:numPr>
          <w:ilvl w:val="2"/>
          <w:numId w:val="1"/>
        </w:numPr>
        <w:rPr/>
      </w:pPr>
      <w:bookmarkStart w:id="190" w:name="__RefHeading___Toc3818351_581953129"/>
      <w:bookmarkStart w:id="191" w:name="_Toc78"/>
      <w:bookmarkEnd w:id="190"/>
      <w:r>
        <w:rPr>
          <w:rtl w:val="true"/>
        </w:rPr>
        <w:t>ثالثاً</w:t>
      </w:r>
      <w:r>
        <w:rPr>
          <w:rtl w:val="true"/>
        </w:rPr>
        <w:t xml:space="preserve">: </w:t>
      </w:r>
      <w:r>
        <w:rPr>
          <w:rtl w:val="true"/>
        </w:rPr>
        <w:t>نسبة آیات الأحکام إلی مجموع القرآن الکریم</w:t>
      </w:r>
      <w:bookmarkEnd w:id="191"/>
    </w:p>
    <w:p>
      <w:pPr>
        <w:pStyle w:val="Heading4"/>
        <w:numPr>
          <w:ilvl w:val="3"/>
          <w:numId w:val="1"/>
        </w:numPr>
        <w:rPr/>
      </w:pPr>
      <w:bookmarkStart w:id="192" w:name="__RefHeading___Toc3818353_581953129"/>
      <w:bookmarkStart w:id="193" w:name="_Toc79"/>
      <w:bookmarkEnd w:id="192"/>
      <w:r>
        <w:rPr>
          <w:rtl w:val="true"/>
        </w:rPr>
        <w:t>اشارة</w:t>
      </w:r>
      <w:bookmarkEnd w:id="193"/>
    </w:p>
    <w:p>
      <w:pPr>
        <w:pStyle w:val="BookText"/>
        <w:rPr/>
      </w:pPr>
      <w:r>
        <w:rPr>
          <w:rFonts w:ascii="IRNazanin" w:hAnsi="IRNazanin" w:eastAsia="IRNazanin"/>
          <w:color w:val="111111"/>
          <w:sz w:val="28"/>
          <w:sz w:val="28"/>
          <w:szCs w:val="28"/>
          <w:rtl w:val="true"/>
          <w:lang w:bidi="fa-IR"/>
        </w:rPr>
        <w:t>قد اختلفت الأنظار فی تحدید نسبة الآیات المشتملة علی الأحکام الفقهیّة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روایات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ربع القرآن، أو ثلثه،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الکلینی فی الصحیح عن أبی بصیر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القرآن أربعة أرباع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فینا، وربع فی عدّونا، وربع سنن وأمثال، وربع فرائض وأحکام</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 القرآن أثلاثاً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فینا وفی عدوّنا، وثلث سنن وأمثال، وثلث فرائض وأحکام</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روی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انزل القرآن علی سبعة أحرف کلّها شافٍ 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وزجر، وترغیب، وترهیب، وجدل، ومَثَل، وقصص</w:t>
      </w:r>
      <w:r>
        <w:rPr>
          <w:rFonts w:eastAsia="IRNazanin" w:cs="IRNazanin"/>
          <w:color w:val="111111"/>
          <w:sz w:val="28"/>
          <w:szCs w:val="28"/>
          <w:rtl w:val="true"/>
          <w:lang w:bidi="fa-IR"/>
        </w:rPr>
        <w:t xml:space="preserve">. </w:t>
      </w:r>
      <w:r>
        <w:rPr>
          <w:rStyle w:val="FootnoteAnchor"/>
          <w:rtl w:val="true"/>
        </w:rPr>
        <w:footnoteReference w:id="164"/>
      </w:r>
      <w:bookmarkStart w:id="194" w:name="pg5707_46472"/>
    </w:p>
    <w:p>
      <w:pPr>
        <w:pStyle w:val="BookText"/>
        <w:rPr/>
      </w:pPr>
      <w:bookmarkEnd w:id="194"/>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ربّما یستفاد من الأمر والزجر والترغیب والترهیب، الحکم الشرعی أیضاً، فیصیر أکثر آیات القرآن من أدلّة الأحکام، أی من آیات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القرآن نزل أربعة أرباع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حلال، وربع حرام، وربع سنن وأحکام، وربع خبر ما کان قبلکم ونبأ ما یکون بعدکم، وفصل ما بینکم</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ومن الواضح کون الحلال والحرام من الأحکام الفقهیّة، فطبقاً لهذه الروایة تکون آیات الأحکام نصف القرآن تقریباً، وإن زدنا علیه السنن والأحکام الواردة فی الربع الثالث، وبعض ما ورد فی الربع الأخیر، وهو فصل ما بینکم فتصیر آیات الأحکام أکثر من ثلاثة أرباع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ونلاحظ أنّ هذه الروایات قد ذکرت مساحة واسعة لآیات الأحکام، وأنّها تشکّل نِسَباً عالیة من مجموع القرآن الکریم، فإنّ هذه النسب تتراوح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الربع، والثلث، وما یزید علی النصف، والثلاثة أرباع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من الواضح أنّ هذا یستوقف الباحث ویدعوه للتأمّل؛ نظراً إلی أنّ تلک النسب المذکورة فی الروایات لا تتلاءم مع النسبة الواقعیة، فإنّها أقلّ من ذلک بکثیر إلّا أنّه بعد التأمّل یمکن حلّ هذا المعضل</w:t>
      </w:r>
      <w:r>
        <w:rPr>
          <w:rFonts w:eastAsia="IRNazanin" w:cs="IRNazanin"/>
          <w:color w:val="111111"/>
          <w:sz w:val="28"/>
          <w:szCs w:val="28"/>
          <w:rtl w:val="true"/>
          <w:lang w:bidi="fa-IR"/>
        </w:rPr>
        <w:t>.</w:t>
      </w:r>
    </w:p>
    <w:p>
      <w:pPr>
        <w:pStyle w:val="Heading4"/>
        <w:numPr>
          <w:ilvl w:val="3"/>
          <w:numId w:val="1"/>
        </w:numPr>
        <w:rPr/>
      </w:pPr>
      <w:bookmarkStart w:id="195" w:name="__RefHeading___Toc3818355_581953129"/>
      <w:bookmarkStart w:id="196" w:name="_Toc80"/>
      <w:bookmarkEnd w:id="195"/>
      <w:r>
        <w:rPr>
          <w:rtl w:val="true"/>
        </w:rPr>
        <w:t>الوجوه المحتملة فی تفسیر الروایات</w:t>
      </w:r>
      <w:bookmarkEnd w:id="196"/>
    </w:p>
    <w:p>
      <w:pPr>
        <w:pStyle w:val="Heading5"/>
        <w:numPr>
          <w:ilvl w:val="4"/>
          <w:numId w:val="1"/>
        </w:numPr>
        <w:rPr/>
      </w:pPr>
      <w:bookmarkStart w:id="197" w:name="__RefHeading___Toc3818357_581953129"/>
      <w:bookmarkStart w:id="198" w:name="_Toc81"/>
      <w:bookmarkEnd w:id="197"/>
      <w:r>
        <w:rPr>
          <w:rtl w:val="true"/>
        </w:rPr>
        <w:t>الوجه الأوّل</w:t>
      </w:r>
      <w:r>
        <w:rPr>
          <w:rtl w:val="true"/>
        </w:rPr>
        <w:t xml:space="preserve">: </w:t>
      </w:r>
      <w:r>
        <w:rPr>
          <w:rtl w:val="true"/>
        </w:rPr>
        <w:t>المراد من الروایات أنّها ناظرةٌ إلی التنویع</w:t>
      </w:r>
      <w:bookmarkEnd w:id="19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یمکن فهم هذه الروایات فی الجملة علی أساس أنّها لیست ناظرة إلی التقسیم من جهة الکمّ الریاضی ولا من جهة عدد الآیات، بل ناظرة إلی التنویع، وهذا الاستعمال شائع فی اللغة، وأیضاً وارد فی النصوص الحدیثیة،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له لابن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بأنّ الدهر یومان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لک ویوم علیک</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إذ من الواضح هنا إرادة التنویع وأنّ الأیّام لیست کلّها علی نمط واحد، فکما تمرّ علی الإنسان أیّام مریحة کذلک تمرّ به أیّام صعبة، ولیس المراد تقسیم العمر إلی نصفین متساویین أو متقاربین قسمة ریاضیة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حلو ونصف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وثمّة قرائن عدیدة تشهد لهذا المعنی،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الاُولی</w:t>
      </w:r>
    </w:p>
    <w:p>
      <w:pPr>
        <w:pStyle w:val="BookText"/>
        <w:rPr/>
      </w:pPr>
      <w:r>
        <w:rPr>
          <w:rFonts w:ascii="IRNazanin" w:hAnsi="IRNazanin" w:eastAsia="IRNazanin"/>
          <w:color w:val="111111"/>
          <w:sz w:val="28"/>
          <w:sz w:val="28"/>
          <w:szCs w:val="28"/>
          <w:rtl w:val="true"/>
          <w:lang w:bidi="fa-IR"/>
        </w:rPr>
        <w:t>کون الغرض الذی سیقت له هذه الروایات هو بیان شمولیة القرآن لکلّ ما تقتضیه الهدایة من وسائل وأسالیب وأبعاد متنوّعة، سیّما مع لحاظ التفاوت فی تحدید نسبة آیات الأحکام من روایة إلی اخری، وکذا التفاوت فی بیان ما تضمّنته الروایات من أقسام، بل لم یرد فی بعض الروایات التعبیر بالأقسام، کالمروی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انزل القرآن علی سبعة أحرف کلّها شافٍ 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ظاهر فی إرادة التنویع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الثانیة</w:t>
      </w:r>
    </w:p>
    <w:p>
      <w:pPr>
        <w:pStyle w:val="BookText"/>
        <w:rPr/>
      </w:pPr>
      <w:r>
        <w:rPr>
          <w:rFonts w:ascii="IRNazanin" w:hAnsi="IRNazanin" w:eastAsia="IRNazanin"/>
          <w:color w:val="111111"/>
          <w:sz w:val="28"/>
          <w:sz w:val="28"/>
          <w:szCs w:val="28"/>
          <w:rtl w:val="true"/>
          <w:lang w:bidi="fa-IR"/>
        </w:rPr>
        <w:t>عدم تطابق النسب الاُخری المذکورة لسائر الأقسام الواردة فی عرض آیات الأحکام وفی مقابلها، فلیست المشکلة تختصّ بآیات الأحکام فحسب، بل هی عامّة لکلّ الأقسام التی تضمّنتها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الثالثة</w:t>
      </w:r>
    </w:p>
    <w:p>
      <w:pPr>
        <w:pStyle w:val="BookText"/>
        <w:rPr/>
      </w:pPr>
      <w:r>
        <w:rPr>
          <w:rFonts w:ascii="IRNazanin" w:hAnsi="IRNazanin" w:eastAsia="IRNazanin"/>
          <w:color w:val="111111"/>
          <w:sz w:val="28"/>
          <w:sz w:val="28"/>
          <w:szCs w:val="28"/>
          <w:rtl w:val="true"/>
          <w:lang w:bidi="fa-IR"/>
        </w:rPr>
        <w:t>تداخل هذه الأقسام المذکورة؛ فقد ورد فی 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ربع حلال، وربع حرام، وربع سنن وأحکام، </w:t>
      </w:r>
      <w:r>
        <w:rPr>
          <w:rFonts w:eastAsia="IRNazanin" w:cs="IRNazanin"/>
          <w:color w:val="111111"/>
          <w:sz w:val="28"/>
          <w:szCs w:val="28"/>
          <w:rtl w:val="true"/>
          <w:lang w:bidi="fa-IR"/>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الحلال والحرام والسنن غیر مباینة مع الأحکام، کما هو واضح</w:t>
      </w:r>
      <w:r>
        <w:rPr>
          <w:rFonts w:eastAsia="IRNazanin" w:cs="IRNazanin"/>
          <w:color w:val="111111"/>
          <w:sz w:val="28"/>
          <w:szCs w:val="28"/>
          <w:rtl w:val="true"/>
          <w:lang w:bidi="fa-IR"/>
        </w:rPr>
        <w:t>.</w:t>
      </w:r>
      <w:bookmarkStart w:id="199" w:name="pg5707_46474"/>
    </w:p>
    <w:p>
      <w:pPr>
        <w:pStyle w:val="BookText"/>
        <w:rPr/>
      </w:pPr>
      <w:bookmarkEnd w:id="199"/>
      <w:r>
        <w:rPr>
          <w:rFonts w:ascii="IRNazanin" w:hAnsi="IRNazanin" w:eastAsia="IRNazanin"/>
          <w:color w:val="111111"/>
          <w:sz w:val="28"/>
          <w:sz w:val="28"/>
          <w:szCs w:val="28"/>
          <w:rtl w:val="true"/>
          <w:lang w:bidi="fa-IR"/>
        </w:rPr>
        <w:t>القرینة الرابعة</w:t>
      </w:r>
    </w:p>
    <w:p>
      <w:pPr>
        <w:pStyle w:val="BookText"/>
        <w:rPr/>
      </w:pPr>
      <w:r>
        <w:rPr>
          <w:rFonts w:ascii="IRNazanin" w:hAnsi="IRNazanin" w:eastAsia="IRNazanin"/>
          <w:color w:val="111111"/>
          <w:sz w:val="28"/>
          <w:sz w:val="28"/>
          <w:szCs w:val="28"/>
          <w:rtl w:val="true"/>
          <w:lang w:bidi="fa-IR"/>
        </w:rPr>
        <w:t>عدم جامعیة القسمة؛ نظراً لإهمال أقسام مهمّة کالعقائد، وعلیه فالأقسام المذکورة ستکون أقلّ من مجموع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الخامسة</w:t>
      </w:r>
    </w:p>
    <w:p>
      <w:pPr>
        <w:pStyle w:val="BookText"/>
        <w:rPr/>
      </w:pPr>
      <w:r>
        <w:rPr>
          <w:rFonts w:ascii="IRNazanin" w:hAnsi="IRNazanin" w:eastAsia="IRNazanin"/>
          <w:color w:val="111111"/>
          <w:sz w:val="28"/>
          <w:sz w:val="28"/>
          <w:szCs w:val="28"/>
          <w:rtl w:val="true"/>
          <w:lang w:bidi="fa-IR"/>
        </w:rPr>
        <w:t xml:space="preserve">استبعاد إرادة التقسیم الکمّی والریاضی فی نفسه؛ وذلک لأنّه إن کان المراد التقسیم علی أساس عدد الآیات فإنّه متعذّر فی بعضها کالتقسیم الثلاثی والسباعی، مضافاً إلی أنّنا نری بعض الآیات تتضمّن أحکاماً وفی الوقت نفسه تتضمّن أقساماً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کالترهیب، والترغیب، وفصل ما بینکم،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وهذا ما یجعل القسمة غیر ممکنة والحال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المراد التقسیم علی أساس عدد الکلمات فهو غیر مقصود؛ لأنّ ما یعبّر عن المعانی الترکیبیة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کالأمر والزجر والترهیب والترغیب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الجمل والعبارات، مضافاً إلی أنّه غیر ممکن أیضاً؛ لاقتضائه تقسیم الکلمة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إرادة التقسیم علی أساس عدد الحروف فهو غیر محتمل عرفاً؛ لأنّ المقصود هو بیان معانی الألفاظ ومفاداتها، ومن الواضح أنّ ما یعبّر عن المعانی لیس حروف البناء، بل العبارات والجمل، کما ذکرنا</w:t>
      </w:r>
      <w:r>
        <w:rPr>
          <w:rFonts w:eastAsia="IRNazanin" w:cs="IRNazanin"/>
          <w:color w:val="111111"/>
          <w:sz w:val="28"/>
          <w:szCs w:val="28"/>
          <w:rtl w:val="true"/>
          <w:lang w:bidi="fa-IR"/>
        </w:rPr>
        <w:t>.</w:t>
      </w:r>
    </w:p>
    <w:p>
      <w:pPr>
        <w:pStyle w:val="Heading5"/>
        <w:numPr>
          <w:ilvl w:val="4"/>
          <w:numId w:val="1"/>
        </w:numPr>
        <w:rPr/>
      </w:pPr>
      <w:bookmarkStart w:id="200" w:name="__RefHeading___Toc3818359_581953129"/>
      <w:bookmarkStart w:id="201" w:name="_Toc82"/>
      <w:bookmarkEnd w:id="200"/>
      <w:r>
        <w:rPr>
          <w:rtl w:val="true"/>
        </w:rPr>
        <w:t>الوجه الثانی</w:t>
      </w:r>
      <w:r>
        <w:rPr>
          <w:rtl w:val="true"/>
        </w:rPr>
        <w:t xml:space="preserve">: </w:t>
      </w:r>
      <w:r>
        <w:rPr>
          <w:rtl w:val="true"/>
        </w:rPr>
        <w:t>المراد من الروایات أن الحکم بالمعنی اللغوی والعرفی</w:t>
      </w:r>
      <w:bookmarkEnd w:id="20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یمکن أن تفهم تلک الروایات علی أساس أنّ المراد بالحکم هنا الأعمّ من الحکم بالمعنی المصطلح، فلیس المراد خصوص الحکم الفقهی، کما یؤیّده بعض العبارات </w:t>
      </w:r>
      <w:r>
        <w:rPr>
          <w:rStyle w:val="FootnoteAnchor"/>
          <w:rtl w:val="true"/>
        </w:rPr>
        <w:footnoteReference w:id="167"/>
      </w:r>
      <w:r>
        <w:rPr>
          <w:rFonts w:ascii="IRNazanin" w:hAnsi="IRNazanin" w:eastAsia="IRNazanin"/>
          <w:color w:val="111111"/>
          <w:sz w:val="28"/>
          <w:sz w:val="28"/>
          <w:szCs w:val="28"/>
          <w:rtl w:val="true"/>
          <w:lang w:bidi="fa-IR"/>
        </w:rPr>
        <w:t>، بل المراد الحکم بالمعنی اللغوی أو العرفی الواسع الشامل للحکم الاُصولی والأخلاقی، أی کلّ موقف حدّده الشارع</w:t>
      </w:r>
      <w:r>
        <w:rPr>
          <w:rFonts w:eastAsia="IRNazanin" w:cs="IRNazanin"/>
          <w:color w:val="111111"/>
          <w:sz w:val="28"/>
          <w:szCs w:val="28"/>
          <w:rtl w:val="true"/>
          <w:lang w:bidi="fa-IR"/>
        </w:rPr>
        <w:t>.</w:t>
      </w:r>
      <w:bookmarkStart w:id="202" w:name="pg5707_46475"/>
    </w:p>
    <w:p>
      <w:pPr>
        <w:pStyle w:val="Heading5"/>
        <w:numPr>
          <w:ilvl w:val="4"/>
          <w:numId w:val="1"/>
        </w:numPr>
        <w:rPr/>
      </w:pPr>
      <w:bookmarkStart w:id="203" w:name="__RefHeading___Toc3818361_581953129"/>
      <w:bookmarkStart w:id="204" w:name="_Toc83"/>
      <w:bookmarkEnd w:id="202"/>
      <w:bookmarkEnd w:id="203"/>
      <w:r>
        <w:rPr>
          <w:rtl w:val="true"/>
        </w:rPr>
        <w:t>الوجه الثالث</w:t>
      </w:r>
      <w:r>
        <w:rPr>
          <w:rtl w:val="true"/>
        </w:rPr>
        <w:t xml:space="preserve">: </w:t>
      </w:r>
      <w:r>
        <w:rPr>
          <w:rtl w:val="true"/>
        </w:rPr>
        <w:t>أن الروایات ناظرة إلی التنویع</w:t>
      </w:r>
      <w:bookmarkEnd w:id="204"/>
    </w:p>
    <w:p>
      <w:pPr>
        <w:pStyle w:val="BookText"/>
        <w:rPr/>
      </w:pPr>
      <w:r>
        <w:rPr>
          <w:rFonts w:ascii="IRNazanin" w:hAnsi="IRNazanin" w:eastAsia="IRNazanin"/>
          <w:color w:val="111111"/>
          <w:sz w:val="28"/>
          <w:sz w:val="28"/>
          <w:szCs w:val="28"/>
          <w:rtl w:val="true"/>
          <w:lang w:bidi="fa-IR"/>
        </w:rPr>
        <w:t>وهو کون هذه الروایات ناظرة إلی الآیات التی یستفاد منها حکم شرعی فی نفسها وإن خفی علینا ذلک أحیاناً لقصور علمنا، لکنّه مبین بالنسبة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بدوره بیّنها لأهل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لبعض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ویدعمه ما روی عن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فجاءهم بنسخة ما فی الصحف الاُولی، وتصدیق الذی بین یدیه، وتفصیل الحلال من ریب الحرام، ذلک القرآن فاستنطقوه، ولن ینطق لکم، اخبرکم عنه، إنّ فیه علمَ ما مضی، وعلمَ ما یأتی إلی یوم القیامة، وحکم ما بینکم، وبیان ما أصبحتم فیه تختلفون، فلو سألتمونی عنه لعلّمتکم</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سبب الاختلاف فی تحدید عدد آیات القرآن الکریم؟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الإحصائیة المعروفة لآیات القرآن الکریم؟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الأقوال الرئیسیة فی بیان عدد آیات الأحکام؟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ثلاثة من أسباب الاختلاف فی تحدید عدد آیات الأحکام؟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ذکرت بعض الروایات أنّ نسبة آیات الأحکام إلی مجموع القرآن هی الربع و الثلث والنصف وأکثر من ذلک، بیّن وجهین لتفسیر هذه الروایات؟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هو التفسیر الراجح بحسب نظرک؟ اذکر قرینتین تدلّ علیه أو تؤیّده</w:t>
      </w:r>
      <w:r>
        <w:rPr>
          <w:rFonts w:eastAsia="IRNazanin" w:cs="IRNazanin"/>
          <w:color w:val="111111"/>
          <w:sz w:val="28"/>
          <w:szCs w:val="28"/>
          <w:rtl w:val="true"/>
          <w:lang w:bidi="fa-IR"/>
        </w:rPr>
        <w:t>.</w:t>
      </w:r>
      <w:bookmarkStart w:id="205" w:name="pg5707_46478"/>
    </w:p>
    <w:p>
      <w:pPr>
        <w:pStyle w:val="Heading2"/>
        <w:numPr>
          <w:ilvl w:val="1"/>
          <w:numId w:val="1"/>
        </w:numPr>
        <w:rPr/>
      </w:pPr>
      <w:bookmarkStart w:id="206" w:name="__RefHeading___Toc3818363_581953129"/>
      <w:bookmarkStart w:id="207" w:name="_Toc84"/>
      <w:bookmarkEnd w:id="205"/>
      <w:bookmarkEnd w:id="206"/>
      <w:r>
        <w:rPr>
          <w:rtl w:val="true"/>
        </w:rPr>
        <w:t xml:space="preserve">البحث السادس </w:t>
      </w:r>
      <w:r>
        <w:rPr>
          <w:rtl w:val="true"/>
        </w:rPr>
        <w:t xml:space="preserve">: </w:t>
      </w:r>
      <w:r>
        <w:rPr>
          <w:rtl w:val="true"/>
        </w:rPr>
        <w:t>عرض نماذج من آیات الأحکام وبیان تقسیماتها</w:t>
      </w:r>
      <w:bookmarkEnd w:id="207"/>
    </w:p>
    <w:p>
      <w:pPr>
        <w:pStyle w:val="Heading3"/>
        <w:numPr>
          <w:ilvl w:val="2"/>
          <w:numId w:val="1"/>
        </w:numPr>
        <w:rPr/>
      </w:pPr>
      <w:bookmarkStart w:id="208" w:name="__RefHeading___Toc3818365_581953129"/>
      <w:bookmarkStart w:id="209" w:name="_Toc85"/>
      <w:bookmarkEnd w:id="208"/>
      <w:r>
        <w:rPr>
          <w:rtl w:val="true"/>
        </w:rPr>
        <w:t>أوّلاً</w:t>
      </w:r>
      <w:r>
        <w:rPr>
          <w:rtl w:val="true"/>
        </w:rPr>
        <w:t xml:space="preserve">: </w:t>
      </w:r>
      <w:r>
        <w:rPr>
          <w:rtl w:val="true"/>
        </w:rPr>
        <w:t>عرض نماذج من آیات الأحکام</w:t>
      </w:r>
      <w:bookmarkEnd w:id="2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تضمّنت بعض الآیات أحکاماً وقواعد فقهیة کلّیة،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 عَلَیکُم فِی الدِّینِ مِن حَرَجٍ </w:t>
      </w:r>
      <w:r>
        <w:rPr>
          <w:rStyle w:val="FootnoteAnchor"/>
          <w:rtl w:val="true"/>
        </w:rPr>
        <w:footnoteReference w:id="169"/>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اللّهُ بِکُمُ الیُسرَ وَ لا یُرِیدُ بِکُمُ العُسرَ </w:t>
      </w:r>
      <w:r>
        <w:rPr>
          <w:rStyle w:val="FootnoteAnchor"/>
          <w:rtl w:val="true"/>
        </w:rPr>
        <w:footnoteReference w:id="170"/>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عَلَی المُحسِنِینَ مِن سَبِیلٍ </w:t>
      </w:r>
      <w:r>
        <w:rPr>
          <w:rStyle w:val="FootnoteAnchor"/>
          <w:rtl w:val="true"/>
        </w:rPr>
        <w:footnoteReference w:id="171"/>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یَجعَلَ اللّهُ لِلکافِرِینَ عَلَی المُؤمِنِینَ سَبِیلاً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حین وردت آیات اخری بیّنت أحکاماً فرعیة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عَلَی النّاسِ حِجُّ البَیتِ مَنِ استَطاعَ إِلَیهِ سَبِیلاً وَ مَن کَفَرَ فَإِنَّ اللّهَ غَنِیٌّ عَنِ العالَمِینَ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آیات الأحکام ورد فیها الإرشاد إلی حکم العقل،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أَطِیعُوا اللّهَ وَ الرَّسُولَ لَعَلَّکُم تُرحَمُونَ </w:t>
      </w:r>
      <w:r>
        <w:rPr>
          <w:rStyle w:val="FootnoteAnchor"/>
          <w:rtl w:val="true"/>
        </w:rPr>
        <w:footnoteReference w:id="172"/>
      </w:r>
      <w:r>
        <w:rPr>
          <w:rFonts w:ascii="IRNazanin" w:hAnsi="IRNazanin" w:eastAsia="IRNazanin"/>
          <w:color w:val="111111"/>
          <w:sz w:val="28"/>
          <w:sz w:val="28"/>
          <w:szCs w:val="28"/>
          <w:rtl w:val="true"/>
          <w:lang w:bidi="fa-IR"/>
        </w:rPr>
        <w:t>، حیث إنّ وجوب الطاعة وقبح المعصیة حکم</w:t>
      </w:r>
    </w:p>
    <w:p>
      <w:pPr>
        <w:pStyle w:val="BookText"/>
        <w:rPr/>
      </w:pPr>
      <w:r>
        <w:rPr>
          <w:rFonts w:ascii="IRNazanin" w:hAnsi="IRNazanin" w:eastAsia="IRNazanin"/>
          <w:color w:val="111111"/>
          <w:sz w:val="28"/>
          <w:sz w:val="28"/>
          <w:szCs w:val="28"/>
          <w:rtl w:val="true"/>
          <w:lang w:bidi="fa-IR"/>
        </w:rPr>
        <w:t xml:space="preserve">عقلی عملی، فتکون مثل هذه الآیات إرشاداً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إخباراً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أمراً مولویّاً؛ وذلک إمّا علی أساس قرینة أو ظهور فی سیاقها، أو علی أساس برهان عقلی أقامه علماء الاُصول لإثبات استحالة الأمر المولوی بمثل هذه الأحکام، کما هو مبحوث فی علم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قبال هذا النوع آیات الأحکام المولویّة، وهی التی تتضمّن أمراً أو نهیاً أو تشریعاً آخر مولویّاً، أی بجعل واعتبار حقیقی من المولی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آیات الأحکام المولویّة تقسّم إلی آیات أحکام تأسیسیّة وآیات أحکام إمضائیّة، ویقصد بالأوّل ما یکون بلسان التأسیس والجعل المستقلّ،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أَقِیمُوا الصَّلاةَ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وبالثانی ما یکون بلسان الإمضاء لما علیه العقلاء أو العرف وإن کان ثبوتاً لا بدّ من جعل الشارع لها أیضاً،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أَوفُوا بِالعُقُودِ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فالتقسیم إلی التأسیسی والإمضائی تقسیم بلحاظ عالم الإثبات والدلالة، بینما التقسیم إلی الإرشادی والمولوی تقسیم بلحاظ عالم الثبوت واللّب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تدلّ بعض الآیات علی قواعد اصولیة، تدخل فی عملیّة استنباط الأحکام الفقهیة، من قبیل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جاءَکُم فاسِقٌ بِنَبَإٍ فَتَبَیَّنُوا أَن تُصِیبُوا قَوماً بِجَهالَةٍ فَتُصبِحُوا عَلی ما فَعَلتُم نادِمِینَ </w:t>
      </w:r>
      <w:r>
        <w:rPr>
          <w:rStyle w:val="FootnoteAnchor"/>
          <w:rtl w:val="true"/>
        </w:rPr>
        <w:footnoteReference w:id="173"/>
      </w:r>
      <w:r>
        <w:rPr>
          <w:rFonts w:ascii="IRNazanin" w:hAnsi="IRNazanin" w:eastAsia="IRNazanin"/>
          <w:color w:val="111111"/>
          <w:sz w:val="28"/>
          <w:sz w:val="28"/>
          <w:szCs w:val="28"/>
          <w:rtl w:val="true"/>
          <w:lang w:bidi="fa-IR"/>
        </w:rPr>
        <w:t>، حیث استدلّ بها بعض الاُصولیین علی حجّیة خبر الواحد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المُؤمِنُونَ لِیَنفِرُوا کَافَّةً فَلَو لا نَفَرَ مِن کُلِّ فِرقَةٍ مِنهُم طائِفَةٌ لِیَتَفَقَّهُوا فِی الدِّینِ وَ لِیُنذِرُوا قَومَهُم إِذا رَجَعُوا إِلَیهِم لَعَلَّهُم یَحذَرُونَ </w:t>
      </w:r>
      <w:r>
        <w:rPr>
          <w:rStyle w:val="FootnoteAnchor"/>
          <w:rtl w:val="true"/>
        </w:rPr>
        <w:footnoteReference w:id="174"/>
      </w:r>
      <w:r>
        <w:rPr>
          <w:rFonts w:ascii="IRNazanin" w:hAnsi="IRNazanin" w:eastAsia="IRNazanin"/>
          <w:color w:val="111111"/>
          <w:sz w:val="28"/>
          <w:sz w:val="28"/>
          <w:szCs w:val="28"/>
          <w:rtl w:val="true"/>
          <w:lang w:bidi="fa-IR"/>
        </w:rPr>
        <w:t>، فقد استدلّ بها أیضاً علی حجّیة خبر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أَجِدُ فِی ما أُوحِیَ إِلَیَّ مُحَرَّماً عَلی طاعِمٍ یَطعَمُهُ إِلاّ أَن یَکُونَ مَیتَةً أَو دَماً مَسفُوحاً أَو لَحمَ خِنزِیرٍ فَإِنَّهُ رِجسٌ أَو فِسقاً أُهِلَّ لِغَیرِ اللّهِ بِهِ فَمَنِ اضطُرَّ غَیرَ باغٍ وَ لا عادٍ فَإِنَّ رَبَّکَ غَفُورٌ رَحِیمٌ </w:t>
      </w:r>
      <w:r>
        <w:rPr>
          <w:rStyle w:val="FootnoteAnchor"/>
          <w:rtl w:val="true"/>
        </w:rPr>
        <w:footnoteReference w:id="175"/>
      </w:r>
      <w:r>
        <w:rPr>
          <w:rFonts w:ascii="IRNazanin" w:hAnsi="IRNazanin" w:eastAsia="IRNazanin"/>
          <w:color w:val="111111"/>
          <w:sz w:val="28"/>
          <w:sz w:val="28"/>
          <w:szCs w:val="28"/>
          <w:rtl w:val="true"/>
          <w:lang w:bidi="fa-IR"/>
        </w:rPr>
        <w:t>، فإنّ الاُصولیّین استدلّوا بهذه الآیة علی إثبات البراءة الشرعیة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لِیُضِلَّ قَوماً بَعدَ إِذ هَداهُم حَتّی یُبَیِّنَ لَهُم ما یَتَّقُونَ إِنَّ اللّهَ بِکُلِّ شَی‌ءٍ عَلِیمٌ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حیث استدلّ به علی البراءة الشرعیة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یَتَّبِعُونَ إِلاَّ الظَّنَّ وَ إِن هُم إِلاّ یَخرُصُونَ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فإنّه استدلّ به علی عدم حجّیة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لا یُغنِی مِنَ الحَقِّ شَیئاً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إلی کثیر من الآیات الاُخری التی وقع الاستدلال بها علی قواعد اصولیّة عامّة تراجع فی محالّها من علم الاُصول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الاستدلال ببعض الآیات فی عملیّة استنباط النظم والنظریّات الفقهیّة العامّة، التی تمثّل الأبنیة التحتیّة الجامعة لشتات الأحکام الفقهیّة الفرعیّة المتناثرة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خَلَقَ السَّماواتِ وَ الأَرضَ وَ أَنزَلَ مِنَ السَّماءِ ماءً فَأَخرَجَ بِهِ مِنَ الثَّمَراتِ رِزقاً لَکُم وَ سَخَّرَ لَکُمُ الفُلکَ لِتَجرِیَ فِی البَحرِ بِأَمرِهِ وَ سَخَّرَ لَکُمُ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لَکُمُ الشَّمسَ وَ القَمَرَ دائِبَینِ وَ سَخَّرَ لَکُمُ اللَّیلَ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آتاکُم مِن کُلِّ ما سَأَلتُمُوهُ وَ إِن تَعُدُّوا نِعمَتَ اللّهِ لا تُحصُوها إِنَّ الإِنسانَ لَظَلُومٌ کَفّارٌ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الفقرات تقرّر بوضوح نظرة الشریعة تجاه المشکلة الاقتصادیّة وأسباب نشوئها؛ فإنّ الله تعالی قد حشد للإنسان فی هذا الکون کلّ الموارد التی یحتاجها،</w:t>
      </w:r>
    </w:p>
    <w:p>
      <w:pPr>
        <w:pStyle w:val="BookText"/>
        <w:rPr/>
      </w:pPr>
      <w:r>
        <w:rPr>
          <w:rFonts w:ascii="IRNazanin" w:hAnsi="IRNazanin" w:eastAsia="IRNazanin"/>
          <w:color w:val="111111"/>
          <w:sz w:val="28"/>
          <w:sz w:val="28"/>
          <w:szCs w:val="28"/>
          <w:rtl w:val="true"/>
          <w:lang w:bidi="fa-IR"/>
        </w:rPr>
        <w:t>ولکنّ الإنسان هو الذی ضیّع علی نفسه هذه الفرصة بظلمه وکفرانه، وهذا هما السببان الأساسیّان للمشکلة الاقتصادیّة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قبیل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رَبُّکَ لِلمَلائِکَةِ إِنِّی جاعِلٌ فِی الأَرضِ خَلِیفَةً قالُوا أَ تَجعَلُ فِیها مَن یُفسِدُ فِیها وَ یَسفِکُ الدِّماءَ وَ نَحنُ نُسَبِّحُ بِحَمدِکَ وَ نُقَدِّسُ لَکَ قالَ إِنِّی أَعلَمُ ما لا تَعلَمُونَ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عَرَضنَا الأَمانَةَ عَلَی السَّماواتِ وَ الأَرضِ وَ الجِبالِ فَأَبَینَ أَن یَحمِلنَها وَ أَشفَقنَ مِنها وَ حَمَلَهَا الإِنسانُ إِنَّهُ کانَ ظَلُوماً جَهُولاً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جَعَلناکُم أُمَّةً وَسَطاً لِتَکُونُوا شُهَداءَ عَلَی النّاسِ وَ یَکُونَ الرَّسُولُ عَلَیکُم شَهِیداً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فقد استدلّ بعض الفقهاء بهذه الآیات وأمثالها علی إثبات شکل الحکم فی الإسلام، القائم علی أساس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والشهادة</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یستفاد من بعض الآیات حکم واحد،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لِلمُطَلَّقاتِ مَتاعٌ بِالمَعرُوفِ حَقًّا عَلَی المُتَّقِینَ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فإنّه ینبغی أن تُعطی المطلّقة شیئاً متعارفاً فیما لو کان الطلاق قبل الدخول ولم یکن قد فُرض لها مهر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وبعضها یستفاد منه أحکام عدیدة ، فقد حکی الشیخ الطوسی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فی البقرة</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خمسمئة حکم، ثُمّ ذکر أنّه یستفاد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 الدَّین</w:t>
      </w:r>
      <w:r>
        <w:rPr>
          <w:rFonts w:eastAsia="Amiri" w:cs="Amiri" w:ascii="Amiri" w:hAnsi="Amiri"/>
          <w:color w:val="111111"/>
          <w:sz w:val="28"/>
          <w:szCs w:val="28"/>
          <w:rtl w:val="true"/>
          <w:lang w:bidi="ar-SA"/>
        </w:rPr>
        <w:t xml:space="preserve">) </w:t>
      </w:r>
      <w:r>
        <w:rPr>
          <w:rStyle w:val="FootnoteAnchor"/>
          <w:rtl w:val="true"/>
        </w:rPr>
        <w:footnoteReference w:id="177"/>
      </w:r>
      <w:r>
        <w:rPr>
          <w:rFonts w:ascii="IRNazanin" w:hAnsi="IRNazanin" w:eastAsia="IRNazanin"/>
          <w:color w:val="111111"/>
          <w:sz w:val="28"/>
          <w:sz w:val="28"/>
          <w:szCs w:val="28"/>
          <w:rtl w:val="true"/>
          <w:lang w:bidi="fa-IR"/>
        </w:rPr>
        <w:t>أربعة عشر حکماً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تَدایَنتُم بِدَینٍ إِلی أَجَلٍ مُسَمًّی فَاکتُبُوهُ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لیَکتُب بَینَکُم کاتِبٌ بِالعَدلِ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یَأبَ کاتِبٌ أَن یَکتُبَ کَما عَلَّمَهُ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فَلیَکتُب وَ لیُملِلِ الَّذِی عَلَیهِ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لیَتَّقِ اللّهَ رَبَّهُ وَ لا یَبخَس مِنهُ شَیئاً، أی لا یخون ولا ینقصه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الَّذِی عَلَیهِ الحَقُّ سَفِیهاً أَو ضَعِیفاً أَو لا یَستَطِیعُ أَن یُمِلَّ هُوَ فَلیُملِل وَلِیُّهُ بِالعَدلِ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استَشهِدُوا شَهِیدَینِ مِن رِجالِکُم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یَکُونا رَجُلَینِ فَرَجُلٌ وَ امرَأَتانِ مِمَّن تَرضَونَ مِنَ الشُّهَداءِ أَن تَضِلَّ إِحداهُما فَتُذَکِّرَ إِحداهُمَا الأُخری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یَأبَ الشُّهَداءُ إِذا ما دُعُوا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تَسئَمُوا أَن تَکتُبُوهُ صَغِیراً أَو کَبِیراً إِلی أَجَلِهِ ، أی لا تضجروا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الحادی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أَقسَطُ عِندَ اللّهِ وَ أَقوَمُ لِلشَّهادَةِ وَ أَدنی أَلاّ تَرتابُوا إِلاّ أَن تَکُونَ تِجارَةً حاضِرَةً تُدِیرُونَها بَینَکُم فَلَیسَ عَلَیکُم جُناحٌ أَلاّ تَکتُبُوها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الثانی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أَشهِدُوا إِذا تَبایَعتُم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یُضَارَّ کاتِبٌ وَ لا شَهِیدٌ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تَفعَلُوا فَإِنَّهُ فُسُوقٌ 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واحد وعشرون حکماً، وذکرها</w:t>
      </w:r>
      <w:r>
        <w:rPr>
          <w:rFonts w:eastAsia="IRNazanin" w:cs="IRNazanin"/>
          <w:color w:val="111111"/>
          <w:sz w:val="28"/>
          <w:szCs w:val="28"/>
          <w:rtl w:val="true"/>
          <w:lang w:bidi="fa-IR"/>
        </w:rPr>
        <w:t xml:space="preserve">. </w:t>
      </w:r>
      <w:r>
        <w:rPr>
          <w:rStyle w:val="FootnoteAnchor"/>
          <w:rtl w:val="true"/>
        </w:rPr>
        <w:footnoteReference w:id="178"/>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ذکر الفاضل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تَقرَبُوا الصَّلاةَ وَ أَنتُم سُکاری حَتّی تَعلَمُوا ما تَقُولُونَ وَ لا جُنُباً إِلاّ عابِرِی سَبِیلٍ حَتَّی تَغتَسِلُوا وَ إِن کُنتُم مَرضی أَو عَلی</w:t>
      </w:r>
    </w:p>
    <w:p>
      <w:pPr>
        <w:pStyle w:val="BookText"/>
        <w:rPr/>
      </w:pPr>
      <w:r>
        <w:rPr>
          <w:rFonts w:ascii="Amiri" w:hAnsi="Amiri" w:eastAsia="Amiri" w:cs="Amiri"/>
          <w:color w:val="111111"/>
          <w:sz w:val="28"/>
          <w:sz w:val="28"/>
          <w:szCs w:val="28"/>
          <w:rtl w:val="true"/>
          <w:lang w:bidi="ar-SA"/>
        </w:rPr>
        <w:t xml:space="preserve">سَفَرٍ أَو جاءَ أَحَدٌ مِنکُم مِنَ الغائِطِ أَو لامَستُمُ النِّساءَ فَلَم تَجِدُوا ماءً فَتَیَمَّمُوا صَعِیداً طَیِّباً فَامسَحُوا بِوُجُوهِکُم وَ أَیدِیکُم إِنَّ اللّهَ کانَ عَفُوًّا غَفُوراً </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فیها أحکاماً کثیرة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تحریم السکر؛ لکونه منافیاً للواجب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نقضه الوضوء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إبطاله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قضاء صلاة وقعت حالة السکر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عدم التعقّل مبطلاً للطهارة، فیدخل فیه النوم والإغماء والجنون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ذلک مبطلا للصلاة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الجنابة ناقضة للوضوء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کونها مبطلة للصلاة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کونها موجبة للغسل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التیمّم لا یرفع حدث الجنابة، بل یبیح معها الصلاة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المساجد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منع السکران وشبهه من دخولها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منع الجنب من الاستقرار 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تسویغ الجواز 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الغسل رافعاً لحکم الجنابة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افتقار الغسل إلی الوضوء؛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تَغتَسِلُوا، وإلاّ لکان بعض الغایة غایة، وهو باطل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تسویغ التیمّم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کونه بحیث یقع بدلا من کلّ واحد من الوضوء والغسل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إباحته حال المرض للمتضرّر باستعمال الماء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کونه مباحاً إمّا للعجز عن الماء بالضرر من استعماله أو لعدمه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وجود الماء ناقضاً للتیمّم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الغائط ناقضاً للوضوء موجباً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الجنابة تقع بمجرّد الوط‌ء من غیر إنزال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کون التیمّم بالتراب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جوازه بالحجر الصلب؛ لصدق اسم الصعید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کون الصعید طاهراً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کونه مباحاً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مسح الوجه والیدین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الوجه یراد به بعضه؛ لمکان الباء عند القائل بذلک، وکذا الید لعطفها علی الوجه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الابتداء بمسح الوجه؛ لفاء التعقیب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الموالاة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للفور</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توجد بعض الآیات وردت فی بعض الأحکام ثُمّ نسخت بعد ذلک،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ناجَیتُمُ الرَّسُولَ فَقَدِّمُوا بَینَ یَدَی نَجواکُم صَدَقَةً ذلِکَ خَیرٌ لَکُم وَ أَطهَرُ فَإِن لَم تَجِدُوا فَإِنَّ اللّهَ غَفُورٌ رَحِیمٌ </w:t>
      </w:r>
      <w:r>
        <w:rPr>
          <w:rStyle w:val="FootnoteAnchor"/>
          <w:rtl w:val="true"/>
        </w:rPr>
        <w:footnoteReference w:id="181"/>
      </w:r>
      <w:r>
        <w:rPr>
          <w:rFonts w:ascii="IRNazanin" w:hAnsi="IRNazanin" w:eastAsia="IRNazanin"/>
          <w:color w:val="111111"/>
          <w:sz w:val="28"/>
          <w:sz w:val="28"/>
          <w:szCs w:val="28"/>
          <w:rtl w:val="true"/>
          <w:lang w:bidi="fa-IR"/>
        </w:rPr>
        <w:t>، فقد أمرت الآیة بالتصدّق قبل مناجاة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وأوجبت ذلک علی الموسرین، وأمّا المعدَمُون الذین لا یجدون شیئاً</w:t>
      </w:r>
    </w:p>
    <w:p>
      <w:pPr>
        <w:pStyle w:val="BookText"/>
        <w:rPr/>
      </w:pPr>
      <w:r>
        <w:rPr>
          <w:rFonts w:ascii="Amiri" w:hAnsi="Amiri" w:eastAsia="Amiri" w:cs="Amiri"/>
          <w:color w:val="111111"/>
          <w:sz w:val="28"/>
          <w:sz w:val="28"/>
          <w:szCs w:val="28"/>
          <w:rtl w:val="true"/>
          <w:lang w:bidi="ar-SA"/>
        </w:rPr>
        <w:t>فقد رخّص لهم، ثُمّ نُسخت بالآیة التی تلیها، وهی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أَشفَقتُم أَن تُقَدِّمُوا بَینَ یَدَی نَجواکُم صَدَقاتٍ فَإِذ لَم تَفعَلُوا وَ تابَ اللّهُ عَلَیکُم فَأَقِیمُوا الصَّلاةَ وَ آتُوا الزَّکاةَ وَ أَطِیعُوا اللّهَ وَ رَسُولَهُ وَ اللّهُ خَبِیرٌ بِما تَعمَلُونَ </w:t>
      </w:r>
      <w:r>
        <w:rPr>
          <w:rStyle w:val="FootnoteAnchor"/>
          <w:rtl w:val="true"/>
        </w:rPr>
        <w:footnoteReference w:id="182"/>
      </w:r>
      <w:r>
        <w:rPr>
          <w:rFonts w:ascii="IRNazanin" w:hAnsi="IRNazanin" w:eastAsia="IRNazanin"/>
          <w:color w:val="111111"/>
          <w:sz w:val="28"/>
          <w:sz w:val="28"/>
          <w:szCs w:val="28"/>
          <w:rtl w:val="true"/>
          <w:lang w:bidi="fa-IR"/>
        </w:rPr>
        <w:t>، فإنّ المؤمنین ترکوا مناجاته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خوفاً من بذل المال بالصدقة، فلم یناجه منهم أحد إلاّ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ورد بذلک عدّة روایات من طرق الفریقین</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ثمّة آیات یتمّ الاستدلال بها علی حکم شرعی بعد ضمّها إلی غیرها، من قبیل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فِصالُهُ فِی عامَینِ</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الدالّ علی کون الإرضاع عامین، فإذا ضمّ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وَ فِصالُهُ ثَلاثُونَ شَهراً</w:t>
      </w:r>
      <w:r>
        <w:rPr>
          <w:rFonts w:eastAsia="Amiri" w:cs="Amiri" w:ascii="Amiri" w:hAnsi="Amiri"/>
          <w:color w:val="111111"/>
          <w:sz w:val="28"/>
          <w:szCs w:val="28"/>
          <w:rtl w:val="true"/>
          <w:lang w:bidi="ar-SA"/>
        </w:rPr>
        <w:t xml:space="preserve">... </w:t>
      </w:r>
      <w:r>
        <w:rPr>
          <w:rStyle w:val="FootnoteAnchor"/>
          <w:rtl w:val="true"/>
        </w:rPr>
        <w:footnoteReference w:id="185"/>
      </w:r>
      <w:r>
        <w:rPr>
          <w:rFonts w:ascii="IRNazanin" w:hAnsi="IRNazanin" w:eastAsia="IRNazanin"/>
          <w:color w:val="111111"/>
          <w:sz w:val="28"/>
          <w:sz w:val="28"/>
          <w:szCs w:val="28"/>
          <w:rtl w:val="true"/>
          <w:lang w:bidi="fa-IR"/>
        </w:rPr>
        <w:t>الدالّ علی کون مجموع مدّة الحمل ومدّة الرضاع ثلاثین شهراً، استفدنا إمکان کون الحمل ستّة أشهر، وهو أقلّ الحمل؛ وقد وقع هذا الاستدلال لأمیر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تتمّ دلالة بعض الآیات علی الحکم الشرعی، بناءً علی بعض الوجوه فی تقریب الاستدلال والتی قد تبدو بعیدة، کما ذکر ذلک المحقّق الأردبیلی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بیّن وجه الاستدلال ببعض آیات سورة الفاتحة علی بعض الأحکام مبتدئاً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حیث ذکر إمکان الاستدلال بالبسملة علی رجحان التسمیة عند کلّ فعل إلّا ما أخرجه الدلیل، کما یمکن الاستدلال بها علی وجوب ذلک إلّا ما وقع الاتّفاق أو قام دلیل آخر علی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w:t>
      </w:r>
    </w:p>
    <w:p>
      <w:pPr>
        <w:pStyle w:val="BookText"/>
        <w:rPr/>
      </w:pPr>
      <w:r>
        <w:rPr>
          <w:rFonts w:ascii="Amiri" w:hAnsi="Amiri" w:eastAsia="Amiri" w:cs="Amiri"/>
          <w:color w:val="111111"/>
          <w:sz w:val="28"/>
          <w:sz w:val="28"/>
          <w:szCs w:val="28"/>
          <w:rtl w:val="true"/>
          <w:lang w:bidi="ar-SA"/>
        </w:rPr>
        <w:t>الاستدلال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علی رجحان قولها عند کلّ 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نَعبُدُ، فإنّ الظاهر أنّ المقصود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التخصیص بالعبادة، أی العبادة والإخلاص فیها،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فیفهم وجوبها، وفیحرم ترکها، والریاء بقصد غیره تعالی بالعبادة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إِیّاکَ نَستَعِینُ یدلّ علی عدم جواز الاستعانة فی العبادة بغیره تعالی، بل فی شیءٍ من الاُمور إلاّ ما أخرجه الدلیل، والأوّل أظهر، والثانی 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یدلّ علی عدم جواز التولیة فی العبادات، مثل الوضوء والغسل، بل علی عدم جواز التوکیل فی سائر العبادات، وعلی عدم جواز الاستعانة فی الصلاة بالاعتماد علی الغیر، مثل الآدمی والحائط قیاماً أو قعوداً أو رکوعاً أو سجوداً وغیر ذلک ممّا لا یحصی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 یدلّ علیها وعلی عدم الاستعانة بغیره تعالی فی شیءٍ من الاُمور حتّی السؤال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المُستَقِیمَ یدلّ علی رجحان طلب الخیر من الله تعالی، سیّما أصل الخیر وأساسه، وهو الصراط المستقیم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أشار الأردبیلی إلی أنّ فی نظم السورة دلالةً ما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تعلیم الدعاء، وهو کونه بعد التسمیة والتحمید والثناء والتوسّل بالعبادة</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تعرّضت بعض الآیات إلی أدب التعامل مع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تَرفَعُوا أَصواتَکُم فَوقَ صَوتِ النَّبِیِّ وَ لا تَجهَرُوا لَهُ بِالقَولِ کَجَهرِ بَعضِکُم لِبَعضٍ أَن تَحبَطَ أَعمالُکُم وَ أَنتُم لا تَشعُرُونَ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فقد نهت هذه الآیة المؤمنین علی أن تکون أصواتهم أعلی من صوت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مخاطبته، بل نهت عن مطلق الجهر بالصوت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فیه إساءة أدب</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آیات الکتاب الکریم بیّنت مختلف الأحکام المرتبطة بجوانب مختلفة فی نظام الحیاة، فقد تکفّلت بعض الآیات ببیان العلاقات الاجتماعیّة بین المؤمنین، ورسمت الحدود للمجتمع الإسلامی، والاُصول التی یبنی علیها التعامل بین أبنائه،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اجتَنِبُوا کَثِیراً مِنَ الظَّنِّ إِنَّ بَعضَ الظَّنِّ إِثمٌ وَ لا تَجَسَّسُوا وَ لا یَغتَب بَعضُکُم بَعضاً أَ یُحِبُّ أَحَدُکُم أَن یَأکُلَ لَحمَ أَخِیهِ مَیتاً فَکَرِهتُمُوهُ وَ اتَّقُوا اللّهَ إِنَّ اللّهَ تَوّابٌ 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فذکرت الآیة جملة من الأحکام،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حرمة الظنّ السیّئ بالمؤمن،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یرتّب علی ذلک أثراً فی تعامله معه، کإهانة المظنون به، وقذفه، وغیر ذلک من الآثار السیّئة المحرّمة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حرمة التجسّس والاطّلاع علی امور الآخرین وتتبّع عیوبهم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تعرّضت الآیة إلی حرمة الغیبة، وبیّنت قبح ذلک</w:t>
      </w:r>
      <w:r>
        <w:rPr>
          <w:rFonts w:eastAsia="IRNazanin" w:cs="IRNazanin"/>
          <w:color w:val="111111"/>
          <w:sz w:val="28"/>
          <w:szCs w:val="28"/>
          <w:rtl w:val="true"/>
          <w:lang w:bidi="fa-IR"/>
        </w:rPr>
        <w:t xml:space="preserve">. </w:t>
      </w:r>
      <w:r>
        <w:rPr>
          <w:rStyle w:val="FootnoteAnchor"/>
          <w:rtl w:val="true"/>
        </w:rPr>
        <w:footnoteReference w:id="188"/>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أشارت مجموعة من الآیات إلی ظاهرة النفاق فی المجتمع الإسلامی، وبیّنت کیفیّة التعامل مع المنافقین حسب الظروف والحالات المختلفة، مثلاً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یَعلَمُ اللّهُ ما فِی قُلُوبِهِم فَأَعرِض عَنهُم وَ عِظهُم وَ قُل لَهُم فِی أَنفُسِهِم قَولاً بَلِیغاً </w:t>
      </w:r>
      <w:r>
        <w:rPr>
          <w:rStyle w:val="FootnoteAnchor"/>
          <w:rtl w:val="true"/>
        </w:rPr>
        <w:footnoteReference w:id="189"/>
      </w:r>
      <w:r>
        <w:rPr>
          <w:rFonts w:ascii="IRNazanin" w:hAnsi="IRNazanin" w:eastAsia="IRNazanin"/>
          <w:color w:val="111111"/>
          <w:sz w:val="28"/>
          <w:sz w:val="28"/>
          <w:szCs w:val="28"/>
          <w:rtl w:val="true"/>
          <w:lang w:bidi="fa-IR"/>
        </w:rPr>
        <w:t xml:space="preserve">، فالآیة الکریمة تأمر بعدم معاقبتهم، وانتهاج طریق الوعظ والنصح لهم، مشفوعاً بالتهدید بالعقاب الشدید إن لم ینتهوا عمّا ینطوون علیه من النفاق </w:t>
      </w:r>
      <w:r>
        <w:rPr>
          <w:rStyle w:val="FootnoteAnchor"/>
          <w:rtl w:val="true"/>
        </w:rPr>
        <w:footnoteReference w:id="190"/>
      </w:r>
      <w:r>
        <w:rPr>
          <w:rFonts w:ascii="Amiri" w:hAnsi="Amiri" w:eastAsia="Amiri" w:cs="Amiri"/>
          <w:color w:val="111111"/>
          <w:sz w:val="28"/>
          <w:sz w:val="28"/>
          <w:szCs w:val="28"/>
          <w:rtl w:val="true"/>
          <w:lang w:bidi="ar-SA"/>
        </w:rPr>
        <w:t>، فی حین نجد الموقف مختلفاً عند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یَنتَهِ المُنافِقُونَ وَ الَّذِینَ فِی قُلُوبِهِم مَرَضٌ وَ المُرجِفُونَ فِی المَدِینَةِ لَنُغرِیَنَّکَ بِهِم ثُمَّ لا یُجاوِرُونَکَ فِیها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مَلعُونِینَ أَینَما ثُقِفُوا أُخِذُوا وَ قُتِّلُوا تَقتِیلاً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ورد الأمر بمواجهتهم بغلظة فی حالة عدم ارتداعهم عن الإخلال بالنظام وترویج الإشاعات المشوّشة للرأی العامّ؛ فإنّ النفی والتبعید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بانتظارهم</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بل یمکن القول بأنّ الآیات التی ذکرت أوصاف المنافقین کما فی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کانت بصدد تحدید وتشخیص هذا العنوان الذی یترتّب علیه بعض الأحکام، وعلیه فیمکن إدراجها ضمن آیات الأحکام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ثبّتت بعض الآیات اسساً ومبادئ عامّة، قد لا یتبادر إلی الذهن فی الوهلة الاُولی کونها من الأحکام الفقهیّة، إلاّ أنّه یمکن أن ترتّب علیها بعض الآثار العملیّة المؤثّرة فی تحدید الاتّجاه العامّ للشریعة تجاه جملة من المسائل، نظیر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إِنّا خَلَقناکُم مِن ذَکَرٍ وَ أُنثی وَ جَعَلناکُم شُعُوباً وَ قَبائِلَ لِتَعارَفُوا إِنَّ أَکرَمَکُم عِندَ اللّهِ أَتقاکُم إِنَّ اللّهَ عَلِیمٌ خَبِیرٌ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 وضعت الآیة أساساً للتعامل ومعیاراً للتفاضل بین الناس، فلیس هو الفارق التکوینی والاختلاف الظاهری، بل الملاک هو مقدار ما یتحلّی به الإنسان من قیمة جوهریة وحقیقیّة ألا وهی التقوی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الغریب أنّ البعض کالفاضل المقداد </w:t>
      </w:r>
      <w:r>
        <w:rPr>
          <w:rStyle w:val="FootnoteAnchor"/>
          <w:rtl w:val="true"/>
        </w:rPr>
        <w:footnoteReference w:id="192"/>
      </w:r>
      <w:r>
        <w:rPr>
          <w:rFonts w:ascii="IRNazanin" w:hAnsi="IRNazanin" w:eastAsia="IRNazanin"/>
          <w:color w:val="111111"/>
          <w:sz w:val="28"/>
          <w:sz w:val="28"/>
          <w:szCs w:val="28"/>
          <w:rtl w:val="true"/>
          <w:lang w:bidi="fa-IR"/>
        </w:rPr>
        <w:t>فی الوقت الذی أهمل التعرّض إلی بعض آیات الأحکام نراه قد ذکر فی آیات الأحکام آیات هی أجنبیة عن ذلک، أو هی علی الأقلّ لا تستحقّ ذلک، من قبیل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الکَعبَةَ البَیتَ الحَرامَ قِیاماً لِلنّاسِ وَ الشَّهرَ الحَرامَ وَ الهَدیَ وَ القَلائِدَ ذلِکَ لِتَعلَمُوا أَنَّ اللّهَ یَعلَمُ ما فِی السَّماواتِ وَ ما فِی الأَرضِ وَ أَنَّ اللّهَ بِکُلِّ شَی‌ءٍ عَلِیمٌ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bookmarkStart w:id="210" w:name="pg5707_46489"/>
    </w:p>
    <w:p>
      <w:pPr>
        <w:pStyle w:val="BookText"/>
        <w:rPr/>
      </w:pPr>
      <w:bookmarkEnd w:id="210"/>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سَیَقُولُ السُّفَهاءُ مِنَ النّاسِ ما وَلاّهُم عَن قِبلَتِهِمُ الَّتِی کانُوا عَلَیها قُل لِلّهِ المَشرِقُ وَ المَغرِبُ یَهدِی مَن یَشاءُ إِلی صِراطٍ مُستَقِیمٍ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ابتَلی إِبراهِیمَ رَبُّهُ بِکَلِماتٍ فَأَتَمَّهُنَّ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جَعَلَ اللَّیلَ وَ النَّهارَ خِلفَةً لِمَن أَرادَ أَن یَذَّکَّرَ أَو أَرادَ شُکُوراً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Heading3"/>
        <w:numPr>
          <w:ilvl w:val="2"/>
          <w:numId w:val="1"/>
        </w:numPr>
        <w:rPr/>
      </w:pPr>
      <w:bookmarkStart w:id="211" w:name="__RefHeading___Toc3818367_581953129"/>
      <w:bookmarkStart w:id="212" w:name="_Toc86"/>
      <w:bookmarkEnd w:id="211"/>
      <w:r>
        <w:rPr>
          <w:rtl w:val="true"/>
        </w:rPr>
        <w:t>ثانیاً</w:t>
      </w:r>
      <w:r>
        <w:rPr>
          <w:rtl w:val="true"/>
        </w:rPr>
        <w:t xml:space="preserve">: </w:t>
      </w:r>
      <w:r>
        <w:rPr>
          <w:rtl w:val="true"/>
        </w:rPr>
        <w:t>بیان تقسیمات آیات الأحکام</w:t>
      </w:r>
      <w:bookmarkEnd w:id="212"/>
    </w:p>
    <w:p>
      <w:pPr>
        <w:pStyle w:val="Heading4"/>
        <w:numPr>
          <w:ilvl w:val="3"/>
          <w:numId w:val="1"/>
        </w:numPr>
        <w:rPr/>
      </w:pPr>
      <w:bookmarkStart w:id="213" w:name="__RefHeading___Toc3818369_581953129"/>
      <w:bookmarkStart w:id="214" w:name="_Toc87"/>
      <w:bookmarkEnd w:id="213"/>
      <w:r>
        <w:rPr>
          <w:rtl w:val="true"/>
        </w:rPr>
        <w:t>اشارة</w:t>
      </w:r>
      <w:bookmarkEnd w:id="214"/>
    </w:p>
    <w:p>
      <w:pPr>
        <w:pStyle w:val="BookText"/>
        <w:rPr/>
      </w:pPr>
      <w:r>
        <w:rPr>
          <w:rFonts w:ascii="IRNazanin" w:hAnsi="IRNazanin" w:eastAsia="IRNazanin"/>
          <w:color w:val="111111"/>
          <w:sz w:val="28"/>
          <w:sz w:val="28"/>
          <w:szCs w:val="28"/>
          <w:rtl w:val="true"/>
          <w:lang w:bidi="fa-IR"/>
        </w:rPr>
        <w:t>یمکن أن تقسّم آیات الأحکام عدّة تقسیمات مختلفة بحسب الهدف والأساس الذی یتمّ التقسیم علی أساسه، ولنذکر بعض الأمثلة</w:t>
      </w:r>
      <w:r>
        <w:rPr>
          <w:rFonts w:eastAsia="IRNazanin" w:cs="IRNazanin"/>
          <w:color w:val="111111"/>
          <w:sz w:val="28"/>
          <w:szCs w:val="28"/>
          <w:rtl w:val="true"/>
          <w:lang w:bidi="fa-IR"/>
        </w:rPr>
        <w:t>:</w:t>
      </w:r>
    </w:p>
    <w:p>
      <w:pPr>
        <w:pStyle w:val="Heading4"/>
        <w:numPr>
          <w:ilvl w:val="3"/>
          <w:numId w:val="1"/>
        </w:numPr>
        <w:rPr/>
      </w:pPr>
      <w:bookmarkStart w:id="215" w:name="__RefHeading___Toc3818371_581953129"/>
      <w:bookmarkStart w:id="216" w:name="_Toc88"/>
      <w:bookmarkEnd w:id="215"/>
      <w:r>
        <w:rPr>
          <w:rtl w:val="true"/>
        </w:rPr>
        <w:t>التقسیم الأوّل</w:t>
      </w:r>
      <w:r>
        <w:rPr>
          <w:rtl w:val="true"/>
        </w:rPr>
        <w:t xml:space="preserve">: </w:t>
      </w:r>
      <w:r>
        <w:rPr>
          <w:rtl w:val="true"/>
        </w:rPr>
        <w:t>تقسیمها بلحاظ نوع القضیة المشرّعة</w:t>
      </w:r>
      <w:bookmarkEnd w:id="2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کان الحکم فیها مشرّعاً علی نحو القضیة الحقیقیة،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کُتِبَ عَلَیکُمُ الصِّیامُ کَما کُتِبَ عَلَی الَّذِینَ مِن قَبلِکُم لَعَلَّکُم تَتَّقُونَ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قُمتُم إِلَی الصَّلاةِ فَاغسِلُوا وُجُوهَکُم وَ أَیدِیَکُم إِلَی المَرافِقِ وَ امسَحُوا بِرُؤُسِکُم وَ أَرجُلَکُم إِلَی الکَعبَینِ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الحکم فیها مشرّعاً علی نحو القضیة الخارجیة،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اتَّخَذُوا مَسجِداً ضِراراً وَ کُفراً وَ تَفرِیقاً بَینَ المُؤمِنِینَ وَ إِرصاداً لِمَن حارَبَ اللّهَ وَ رَسُولَهُ مِن قَبلُ وَ لَیَحلِفُنَّ إِن أَرَدنا إِلاَّ الحُسنی وَ اللّهُ یَشهَدُ إِنَّهُم لَکاذِبُونَ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تَقُم فِیهِ أَبَداً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bookmarkStart w:id="217" w:name="pg5707_46490"/>
    </w:p>
    <w:p>
      <w:pPr>
        <w:pStyle w:val="Heading4"/>
        <w:numPr>
          <w:ilvl w:val="3"/>
          <w:numId w:val="1"/>
        </w:numPr>
        <w:rPr/>
      </w:pPr>
      <w:bookmarkStart w:id="218" w:name="__RefHeading___Toc3818373_581953129"/>
      <w:bookmarkStart w:id="219" w:name="_Toc89"/>
      <w:bookmarkEnd w:id="217"/>
      <w:bookmarkEnd w:id="218"/>
      <w:r>
        <w:rPr>
          <w:rtl w:val="true"/>
        </w:rPr>
        <w:t>التقسیم الثانی</w:t>
      </w:r>
      <w:r>
        <w:rPr>
          <w:rtl w:val="true"/>
        </w:rPr>
        <w:t xml:space="preserve">: </w:t>
      </w:r>
      <w:r>
        <w:rPr>
          <w:rtl w:val="true"/>
        </w:rPr>
        <w:t>تقسیمها بلحاظ شمول الحکم وخصوصه</w:t>
      </w:r>
      <w:bookmarkEnd w:id="2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کان الحکم فیها شاملاً،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تَجَسَّسُوا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کان الحکم فیها خاصّاً، سواء کان الاختصاص بفرد أو طائفة أو حالة أو غیر ذلک،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أَولی بِالمُؤمِنِینَ مِن أَنفُسِهِم وَ أَزواجُهُ أُمَّهاتُهُم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عَلَیکُمُ المَیتَةَ وَ الدَّمَ وَ لَحمَ الخِنزِیرِ وَ ما أُهِلَّ بِهِ لِغَیرِ اللّهِ فَمَنِ اضطُرَّ غَیرَ باغٍ وَ لا عادٍ فَلا إِثمَ عَلَیهِ إِنَّ اللّهَ غَفُورٌ 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Heading4"/>
        <w:numPr>
          <w:ilvl w:val="3"/>
          <w:numId w:val="1"/>
        </w:numPr>
        <w:rPr/>
      </w:pPr>
      <w:bookmarkStart w:id="220" w:name="__RefHeading___Toc3818375_581953129"/>
      <w:bookmarkStart w:id="221" w:name="_Toc90"/>
      <w:bookmarkEnd w:id="220"/>
      <w:r>
        <w:rPr>
          <w:rtl w:val="true"/>
        </w:rPr>
        <w:t>التقسیم الثالث</w:t>
      </w:r>
      <w:r>
        <w:rPr>
          <w:rtl w:val="true"/>
        </w:rPr>
        <w:t xml:space="preserve">: </w:t>
      </w:r>
      <w:r>
        <w:rPr>
          <w:rtl w:val="true"/>
        </w:rPr>
        <w:t>تقسیمها بلحاظ کون الحکم فردیاً أو اجتماعیاً</w:t>
      </w:r>
      <w:bookmarkEnd w:id="2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کان الحکم فیها اجتماعیاً عامّاً،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السّارِقُ وَ السّارِقَةُ فَاقطَعُوا أَیدِیَهُما جَزاءً بِما کَسَبا نَکالاً مِنَ اللّهِ وَ اللّهُ عَزِیزٌ حَکِیمٌ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کان الحکم فیها فردیاً،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تُبَاشِرُوهُنَّ وَ أَنتُم عاکِفُونَ فِی المَساجِدِ تِلکَ حُدُودُ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إلی غیر ذلک من التقسیمات التی لاجدوی فی استقرائها والإکثار منها، من قبیل تقسیمها علی أساس نوع دلالتها علی الحکم الشرعی من کونها دلالة لفظیة، أو بدلالة السکوت، وکون الدلالة اللفظیة بصیغة اللفظ أو بمادته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ویمکن استلال بعض التقسیمات ممّا أوردناه من نماذج لآیات الاحکام،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آیة تضمّنت قاعدة فقهیة کلّیة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آیة ورد فیها الإرشاد إلی حکم العقل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آیة تدلّ علی قاعدة اصولیة تدخل فی عملیة استنباط الأحکام الفقهیة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بعض النصوص القرآنیة التی یمکن الاستدلال بها فی استنباط النظم والنظریات الفقهیة العامّة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آیة قرآنیة بیّنت عدّة أحکام فقهیة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مثالاً لآیة من آیات الأحکام منسوخة بآیة اخری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مثالاً لآیة یتمّ الاستدلال بها علی حکم شرعی ولکن بعد ضمّها إلی غیرها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اذکر تقسیمین من تقسیمات آیات الأحکام، وبیّن ما هو أساس القسمة فی کلّ منهما</w:t>
      </w:r>
      <w:r>
        <w:rPr>
          <w:rFonts w:eastAsia="IRNazanin" w:cs="IRNazanin"/>
          <w:color w:val="111111"/>
          <w:sz w:val="28"/>
          <w:szCs w:val="28"/>
          <w:rtl w:val="true"/>
          <w:lang w:bidi="fa-IR"/>
        </w:rPr>
        <w:t>.</w:t>
      </w:r>
      <w:bookmarkStart w:id="222" w:name="pg5707_46492"/>
    </w:p>
    <w:p>
      <w:pPr>
        <w:pStyle w:val="Heading2"/>
        <w:numPr>
          <w:ilvl w:val="1"/>
          <w:numId w:val="1"/>
        </w:numPr>
        <w:rPr/>
      </w:pPr>
      <w:bookmarkStart w:id="223" w:name="__RefHeading___Toc3818377_581953129"/>
      <w:bookmarkStart w:id="224" w:name="_Toc91"/>
      <w:bookmarkEnd w:id="222"/>
      <w:bookmarkEnd w:id="223"/>
      <w:r>
        <w:rPr>
          <w:rtl w:val="true"/>
        </w:rPr>
        <w:t xml:space="preserve">البحث السابع </w:t>
      </w:r>
      <w:r>
        <w:rPr>
          <w:rtl w:val="true"/>
        </w:rPr>
        <w:t xml:space="preserve">: </w:t>
      </w:r>
      <w:r>
        <w:rPr>
          <w:rtl w:val="true"/>
        </w:rPr>
        <w:t>التألیف فی فقه القرآن وآیات الأحکام</w:t>
      </w:r>
      <w:bookmarkEnd w:id="224"/>
    </w:p>
    <w:p>
      <w:pPr>
        <w:pStyle w:val="Heading3"/>
        <w:numPr>
          <w:ilvl w:val="2"/>
          <w:numId w:val="1"/>
        </w:numPr>
        <w:rPr/>
      </w:pPr>
      <w:bookmarkStart w:id="225" w:name="__RefHeading___Toc3818379_581953129"/>
      <w:bookmarkStart w:id="226" w:name="_Toc92"/>
      <w:bookmarkEnd w:id="225"/>
      <w:r>
        <w:rPr>
          <w:rtl w:val="true"/>
        </w:rPr>
        <w:t>أوّلاً</w:t>
      </w:r>
      <w:r>
        <w:rPr>
          <w:rtl w:val="true"/>
        </w:rPr>
        <w:t xml:space="preserve">: </w:t>
      </w:r>
      <w:r>
        <w:rPr>
          <w:rtl w:val="true"/>
        </w:rPr>
        <w:t>البذور والمنطلقات الاُولی لتفسیر آیات الأحکام</w:t>
      </w:r>
      <w:bookmarkEnd w:id="226"/>
    </w:p>
    <w:p>
      <w:pPr>
        <w:pStyle w:val="BookText"/>
        <w:rPr/>
      </w:pPr>
      <w:r>
        <w:rPr>
          <w:rFonts w:ascii="Amiri" w:hAnsi="Amiri" w:eastAsia="Amiri" w:cs="Amiri"/>
          <w:color w:val="111111"/>
          <w:sz w:val="28"/>
          <w:sz w:val="28"/>
          <w:szCs w:val="28"/>
          <w:rtl w:val="true"/>
          <w:lang w:bidi="ar-SA"/>
        </w:rPr>
        <w:t>إنّ بذور التفسیر لآیات الأحکام کانت قد نشأت قدیماً، ویمکن القول بأنّها واکبت نزول القرآن؛ إذ لا شکّ بأنّ القرآن الکریم هو المصدر الأوّل للشریعة الإسلامیة؛ حیث تصدّی لبیان تعالیمها فی مختلف الأبعاد، ومنها البُعد التشریعی، وکانت من اولی الوظائف المهمّة التی اوکلت إلی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تبیین ما ینزل فی القرآن،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إِلَیکَ الذِّکرَ لِتُبَیِّنَ لِلنّاسِ ما نُزِّلَ إِلَیهِم وَ لَعَلَّهُم یَتَفَکَّرُونَ </w:t>
      </w:r>
      <w:r>
        <w:rPr>
          <w:rStyle w:val="FootnoteAnchor"/>
          <w:rtl w:val="true"/>
        </w:rPr>
        <w:footnoteReference w:id="193"/>
      </w:r>
      <w:r>
        <w:rPr>
          <w:rFonts w:ascii="IRNazanin" w:hAnsi="IRNazanin" w:eastAsia="IRNazanin"/>
          <w:color w:val="111111"/>
          <w:sz w:val="28"/>
          <w:sz w:val="28"/>
          <w:szCs w:val="28"/>
          <w:rtl w:val="true"/>
          <w:lang w:bidi="fa-IR"/>
        </w:rPr>
        <w:t>، فلم یکتفِ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بدعوة الناس الی القرآن من أجل تلاوته و تقدیسه فحسب، بل کان یُبیّن لهم ما فیه من تعالیم لیتمسّکوا بها بما فی ذلک أحکامه و تشریعاته، وکان هذا التبیین واسعاً وفی عدّة أسالیب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وعملاً، وتقریراً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بیّنه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الأحکام قولاً فقد ملأ کتب الحدیث، وستأتی الإشارة إلی ذلک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الصعید العملی؛ فقد تصدّی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لبیان قسم مهمّ و أساسی من الأحکام، من خلال تنفیذه لها عملیاً ککیفیة الصلاة والحجّ و ما فیها من أجزاء و ما</w:t>
      </w:r>
    </w:p>
    <w:p>
      <w:pPr>
        <w:pStyle w:val="BookText"/>
        <w:rPr/>
      </w:pPr>
      <w:r>
        <w:rPr>
          <w:rFonts w:ascii="IRNazanin" w:hAnsi="IRNazanin" w:eastAsia="IRNazanin"/>
          <w:color w:val="111111"/>
          <w:sz w:val="28"/>
          <w:sz w:val="28"/>
          <w:szCs w:val="28"/>
          <w:rtl w:val="true"/>
          <w:lang w:bidi="fa-IR"/>
        </w:rPr>
        <w:t>لهما من شروط، فقد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صلّوا کما رأیتمونی اصلّی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و نحن إذا تأمّلنا هذا الحدیث النبوی الشریف عرفنا أنّه لیس إلا إشاره وإرشاد الی الشرح و البیان العلمی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أَقِیمُوا الصَّلاةَ</w:t>
      </w:r>
      <w:r>
        <w:rPr>
          <w:rFonts w:eastAsia="IRNazanin" w:cs="IRNazanin"/>
          <w:color w:val="111111"/>
          <w:sz w:val="28"/>
          <w:szCs w:val="28"/>
          <w:rtl w:val="true"/>
          <w:lang w:bidi="fa-IR"/>
        </w:rPr>
        <w:t xml:space="preserve">... </w:t>
      </w:r>
      <w:r>
        <w:rPr>
          <w:rStyle w:val="FootnoteAnchor"/>
          <w:rtl w:val="true"/>
        </w:rPr>
        <w:footnoteReference w:id="195"/>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فَأَقِیمُوا الصَّلاةَ إِنَّ الصَّلاةَ کانَت عَلَی المُؤمِنِینَ کِتاباً مَوقُوتاً </w:t>
      </w:r>
      <w:r>
        <w:rPr>
          <w:rStyle w:val="FootnoteAnchor"/>
          <w:rtl w:val="true"/>
        </w:rPr>
        <w:footnoteReference w:id="196"/>
      </w:r>
      <w:r>
        <w:rPr>
          <w:rFonts w:ascii="IRNazanin" w:hAnsi="IRNazanin" w:eastAsia="IRNazanin"/>
          <w:color w:val="111111"/>
          <w:sz w:val="28"/>
          <w:sz w:val="28"/>
          <w:szCs w:val="28"/>
          <w:rtl w:val="true"/>
          <w:lang w:bidi="fa-IR"/>
        </w:rPr>
        <w:t>، ونحوهما من الآیات الآمره بأداء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خذوا عنّی مناسککم</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فی واقعه إرجاع الی التفسیر و البیان العملی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عَلَی النّاسِ حِجُّ البَیتِ مَنِ استَطاعَ إِلَیهِ سَبِیلاً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نحوها من الایات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البیان من خلال التقریر، فممّا روی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أتی النبی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 خاتم من ذهب فأعرض عنه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فانطلق فلبس خاتماً من حدید ثمّ جاء فأعرض عنه، فانطلق فنزعه و لیس خاتماً من وَرِق </w:t>
      </w:r>
      <w:r>
        <w:rPr>
          <w:rStyle w:val="FootnoteAnchor"/>
          <w:rtl w:val="true"/>
        </w:rPr>
        <w:footnoteReference w:id="198"/>
      </w:r>
      <w:r>
        <w:rPr>
          <w:rFonts w:ascii="IRNazanin" w:hAnsi="IRNazanin" w:eastAsia="IRNazanin"/>
          <w:color w:val="111111"/>
          <w:sz w:val="28"/>
          <w:sz w:val="28"/>
          <w:szCs w:val="28"/>
          <w:rtl w:val="true"/>
          <w:lang w:bidi="fa-IR"/>
        </w:rPr>
        <w:t>، فأقرّه النبی و أقبل ألیه</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 من هذا الباب سکوته و إقراره للمعاملات التی کانت متعارفة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کلّ ما جاء فی السنّه الشریفة من فروع أحکام العبادات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سنناً و فرائض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والمعاملات و الأنظمة و السیاسات هو تفضیل و بیان لما جاء فی القرآن من تشریع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النبی، کلّما نزل علیه شیء من القرآن تلاه علی الصحابة و کان یُعلّمهم ما فیه من مقاصد لیثقّفهم ویُعرّفهم ما فیه من أحکام لیعملوا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أخرج ابن جریر بإسناده عن ابن مسعود،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الرجل منّا إذا تعلّم عشر آیات لم یجاوزهنّ حتّی یعرف معانیهنّ و العمل بهنّ</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أبوعبدالرحمان السلمی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الذین کانوا یُقرؤوننا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کانوا یستقرئون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فکانوا إذا تعلّموا عشر آیات لم یخلفوها حتّی یعلموا بما فیها من العمل،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فتعلّمنا القرآن والعمل جمیعاً</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bookmarkStart w:id="227" w:name="pg5707_46495"/>
    </w:p>
    <w:p>
      <w:pPr>
        <w:pStyle w:val="Heading3"/>
        <w:numPr>
          <w:ilvl w:val="2"/>
          <w:numId w:val="1"/>
        </w:numPr>
        <w:rPr/>
      </w:pPr>
      <w:bookmarkStart w:id="228" w:name="__RefHeading___Toc3818381_581953129"/>
      <w:bookmarkStart w:id="229" w:name="_Toc93"/>
      <w:bookmarkEnd w:id="227"/>
      <w:bookmarkEnd w:id="228"/>
      <w:r>
        <w:rPr>
          <w:rtl w:val="true"/>
        </w:rPr>
        <w:t>ثانیاً</w:t>
      </w:r>
      <w:r>
        <w:rPr>
          <w:rtl w:val="true"/>
        </w:rPr>
        <w:t xml:space="preserve">: </w:t>
      </w:r>
      <w:r>
        <w:rPr>
          <w:rtl w:val="true"/>
        </w:rPr>
        <w:t>تاریخ التألیف فی فقه القرآن وآیات الأحکام</w:t>
      </w:r>
      <w:bookmarkEnd w:id="229"/>
    </w:p>
    <w:p>
      <w:pPr>
        <w:pStyle w:val="BookText"/>
        <w:rPr/>
      </w:pPr>
      <w:r>
        <w:rPr>
          <w:rFonts w:ascii="IRNazanin" w:hAnsi="IRNazanin" w:eastAsia="IRNazanin"/>
          <w:color w:val="111111"/>
          <w:sz w:val="28"/>
          <w:sz w:val="28"/>
          <w:szCs w:val="28"/>
          <w:rtl w:val="true"/>
          <w:lang w:bidi="fa-IR"/>
        </w:rPr>
        <w:t>لقد اهتمّ المسلمون علی اختلاف مذاهبهم بالتألیف فی علم فقه القرآن وآیات الأحکام، وإنّ بذور البحث فی ذلک کانت قد نشأت قدیماً، ویمکن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واکبت نزول القرآن، فإنّ الأحادیث النبویة الشریفة التی تصدّت لبیان وتفسیر آیات الکتاب بصورة عامة وآیات الأحکام بصورة خاصة قد شکّلت الأرضیة للبحث فیها، کما أنّ مناسبات النزول وأسبابه لا تخلو من تأثیر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یقع السؤال من المسلمین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فیبیّن لهم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الروایات المأثورة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وأیضاً الأخبار المنقولة عن الصحابة والتابعین التی تضمّنت الإشارة إلی بیان آیات الأحکام، کلّ ذلک قد ساهم فی نشوء هذا العلم وتطوّره فیما بعد إلی حدٍّ عُدّ علماً مستقلاٌ أو علی الأقلّ عدّ فنّاً من الفنون، وبدأت حرکة التألیف والتدوین فیه</w:t>
      </w:r>
      <w:r>
        <w:rPr>
          <w:rFonts w:eastAsia="IRNazanin" w:cs="IRNazanin"/>
          <w:color w:val="111111"/>
          <w:sz w:val="28"/>
          <w:szCs w:val="28"/>
          <w:rtl w:val="true"/>
          <w:lang w:bidi="fa-IR"/>
        </w:rPr>
        <w:t>.</w:t>
      </w:r>
    </w:p>
    <w:p>
      <w:pPr>
        <w:pStyle w:val="Heading3"/>
        <w:numPr>
          <w:ilvl w:val="2"/>
          <w:numId w:val="1"/>
        </w:numPr>
        <w:rPr/>
      </w:pPr>
      <w:bookmarkStart w:id="230" w:name="__RefHeading___Toc3818383_581953129"/>
      <w:bookmarkStart w:id="231" w:name="_Toc94"/>
      <w:bookmarkEnd w:id="230"/>
      <w:r>
        <w:rPr>
          <w:rtl w:val="true"/>
        </w:rPr>
        <w:t>ثالثاً</w:t>
      </w:r>
      <w:r>
        <w:rPr>
          <w:rtl w:val="true"/>
        </w:rPr>
        <w:t xml:space="preserve">: </w:t>
      </w:r>
      <w:r>
        <w:rPr>
          <w:rtl w:val="true"/>
        </w:rPr>
        <w:t xml:space="preserve">تأسیس الشیعة الإمامیة لعلم </w:t>
      </w:r>
      <w:r>
        <w:rPr>
          <w:rtl w:val="true"/>
        </w:rPr>
        <w:t>(</w:t>
      </w:r>
      <w:r>
        <w:rPr>
          <w:rtl w:val="true"/>
        </w:rPr>
        <w:t>فقه القرآن</w:t>
      </w:r>
      <w:r>
        <w:rPr>
          <w:rtl w:val="true"/>
        </w:rPr>
        <w:t>)</w:t>
      </w:r>
      <w:bookmarkEnd w:id="231"/>
    </w:p>
    <w:p>
      <w:pPr>
        <w:pStyle w:val="BookText"/>
        <w:rPr/>
      </w:pPr>
      <w:r>
        <w:rPr>
          <w:rFonts w:ascii="IRNazanin" w:hAnsi="IRNazanin" w:eastAsia="IRNazanin"/>
          <w:color w:val="111111"/>
          <w:sz w:val="28"/>
          <w:sz w:val="28"/>
          <w:szCs w:val="28"/>
          <w:rtl w:val="true"/>
          <w:lang w:bidi="fa-IR"/>
        </w:rPr>
        <w:t>لم تصل إلینا أیّة و ثیقة تدلّ علی وجود مصنَّف مستقلّ یختصّ بآیات الأحکام فی القرن الأوّل الهجری، وإن کنّا علی یقین بأنّ بذور هذا الفنّ نشأت منذ بدایة التشریع و واکبت نزول القرآن؛ لحاجة المسلمین الی معرفة ذلک، مضافاً إلی وجود أحادیث کثیرة جدّاً مروبة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تضمّنت التعرّض الی لعدید من الآیات الأحکام بیاناً و تفسیراً أو تطبیقاً أو استدلالاً وتقنیناً، ویتجلّی لنا ذلک بوضوح بمراجعة الروایات الفقهیة والتفسیریة المأثورة عن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فیمکن القول بأنّ حرکة التدوین فی هذا العلم قد بدأت بعد القرن الأوّل الهجری إجمالاً، ولقد وقع البحث حول أوّل من صنّف فی هذا العلم بحسب ما بأیدینا من الوثائق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من صنّف هو أبو النضر محمّد بن السائب بشر الکلبی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الإمامین الباقر 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والد هشام الکلبی النسّابة الشهیر وصاحب التفسیر الکبیر الذی هو أبسط التفاسیر وأوسعها، کما صرّح بذلک عبدالله بن عدیی فی الکامل، قال فی ترجمته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رجل معروف بالتفسیر، ولی لأحد تفسیر أطول ولاأوسع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وقال ابن الندیم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أحکام القرآن، للکلبی، رواه عن ابن عبّاس</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من صنّف فی هذا الفنّ محمد بن إدریس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السیوطی، ولم یصل إلینا کتابه، والکتاب الموجود الیوم لیس هو کتاب الشافعی الأصلی، وإنّما هو حصیلة ما جمعه البیهقی من أقوال الإمام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من صنّف فی ذلک القاسم بن أصبغ بن محمد القرطبی الأندلسی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ولدی ملاحظة طبقة کلّ من هؤلاء یتّضح أنّ الکلبی هو أسبق من الإمام الشافعی؛ لأنّ ولادة الشافعی بعد وفاة الکلبی بتسع سنین، فإنّه ولد سنة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وأیضاً هو أسبق زماناً من القاسم بن أصبغ؛ لأنّه ولد بعد وفاة الشافعی بثلاث وأربعین سنة</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وعلی هذا فیکون أبوالنصر محمّد بن السائب بشر الکلبی هو أوّل مَن ألّف فی هذا الفنّ، و کان من الشیعة علی ما صرّح به الرجالیون</w:t>
      </w:r>
      <w:r>
        <w:rPr>
          <w:rFonts w:eastAsia="IRNazanin" w:cs="IRNazanin"/>
          <w:color w:val="111111"/>
          <w:sz w:val="28"/>
          <w:szCs w:val="28"/>
          <w:rtl w:val="true"/>
          <w:lang w:bidi="fa-IR"/>
        </w:rPr>
        <w:t xml:space="preserve">. </w:t>
      </w:r>
      <w:r>
        <w:rPr>
          <w:rStyle w:val="FootnoteAnchor"/>
          <w:rtl w:val="true"/>
        </w:rPr>
        <w:footnoteReference w:id="206"/>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یتّضح ممّا مرّ أنّ التأسیس لهذا العلم قدتمّ علی ید الشیعة الإمامیة أتباع</w:t>
      </w:r>
    </w:p>
    <w:p>
      <w:pPr>
        <w:pStyle w:val="BookText"/>
        <w:rPr/>
      </w:pPr>
      <w:r>
        <w:rPr>
          <w:rFonts w:ascii="IRNazanin" w:hAnsi="IRNazanin" w:eastAsia="IRNazanin"/>
          <w:color w:val="111111"/>
          <w:sz w:val="28"/>
          <w:sz w:val="28"/>
          <w:szCs w:val="28"/>
          <w:rtl w:val="true"/>
          <w:lang w:bidi="fa-IR"/>
        </w:rPr>
        <w:t>مدرسة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 الذین وضعوا اللّبنة الاولی لهذا العلم ولهم قصب السبق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استمرّت حرکة التألیف فی فقه القرآن طیلة هذه القرون المتمادیة وإلی یومنا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وسنلحق فی آخر الکتاب ملحقاً یتضمّن فهارس وإحصائیات بالکتب المؤلّفة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عدم انحصار الکتب المؤلّفة فی البحث عن آیات الأحکام فی ذلک العدد؛ لأنّ عدداً کثیراً من مؤلّفی هذا الفنّ لم یُسمّ کتابه بآیات الأحکام، بل اختار لکتابه اسماً آخر وإن کان الکتاب تفسیراً لتلک الآیات والبحث حول مضامینها، بل إنّ جملة کبیرة من الأبحاث التی تدور حول آیات الأحکام قد أودعوها فی غضون تفاسیرهم </w:t>
      </w:r>
      <w:r>
        <w:rPr>
          <w:rStyle w:val="FootnoteAnchor"/>
          <w:rtl w:val="true"/>
        </w:rPr>
        <w:footnoteReference w:id="207"/>
      </w:r>
      <w:r>
        <w:rPr>
          <w:rFonts w:ascii="IRNazanin" w:hAnsi="IRNazanin" w:eastAsia="IRNazanin"/>
          <w:color w:val="111111"/>
          <w:sz w:val="28"/>
          <w:sz w:val="28"/>
          <w:szCs w:val="28"/>
          <w:rtl w:val="true"/>
          <w:lang w:bidi="fa-IR"/>
        </w:rPr>
        <w:t xml:space="preserve">، وکتبهم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ورسائلهم الفقهیّة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نظیر آیة الوضوء، لذا فقد یعثر المتتبّع علی دراسات قیمة بهذا الصدد وردت ضمناً ولم تفرد بمؤلّف مستقلّ، بل إنّ کثیراً من عملیات الاستدلال الفقهیة التی تبدو فی ظاهرها أنّها استدلال بالروایات، هی فی واقعها استدلال بآیات الأحکام؛ لأنّ قسطاً وافراً من هذه الروایات ورد بشأن تفسیر آیات الأحکام وبیان تطبیقها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ولیُعلم أنّ المجموع الکلّی لما ألّفه الشیعة یبلغ أضعاف ما ألّفه غیر هم من المذاهب السنّیة کلّاً علی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فبالقیاس إلی ما ألّفه المالکیة یبلغ خمسة أضعاف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وبالقیاس إلی ما ألّفه الحنیفة یبلغ تسعة أضعاف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وبالقیاس إلی ما ألّفه الشافعیة یبلغ ثلاثة عشر 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وبالقیاس إلی ما ألّفه الحنابلة یبلغ اثنین وثلاثین 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فارق کبیر دون أدنی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أخذنا مجموع ما ألّفه الإمامیة و قارنّاه بجمیع ما ألّفه علماء سائر المذاهب طرّاً لرأینا أنّه یُعادل ضعفین ونصف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مجموع ما عثرنا علیه من مصنّفات جمیع المذاهب الإسلامیة فی هذا المجال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الثانی وحتی القرن 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یبلغ</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وما دوّنه الإمامیة یبلغ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أی ما یقارب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مجموع ما کتبه علماء المسلمین من مختلف المذاهب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یتضح من الجدول التالی الذی استنتجناه من استقصاء المصادر الببلو غرافیة لدی الفریقین</w:t>
      </w:r>
      <w:r>
        <w:rPr>
          <w:rFonts w:eastAsia="IRNazanin" w:cs="IRNazanin"/>
          <w:color w:val="111111"/>
          <w:sz w:val="28"/>
          <w:szCs w:val="28"/>
          <w:rtl w:val="true"/>
          <w:lang w:bidi="fa-IR"/>
        </w:rPr>
        <w:t xml:space="preserve">: </w:t>
      </w:r>
      <w:r>
        <w:rPr>
          <w:rStyle w:val="FootnoteAnchor"/>
          <w:rtl w:val="true"/>
        </w:rPr>
        <w:footnoteReference w:id="208"/>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جدول لبیان عدد المصنّفات فی آیات الأحکام عند المذاهب الخمسة</w:t>
      </w:r>
      <w:bookmarkStart w:id="232" w:name="pg5707_46499"/>
    </w:p>
    <w:p>
      <w:pPr>
        <w:pStyle w:val="BookText"/>
        <w:rPr/>
      </w:pPr>
      <w:bookmarkEnd w:id="232"/>
      <w:r>
        <w:rPr>
          <w:rFonts w:ascii="IRNazanin" w:hAnsi="IRNazanin" w:eastAsia="IRNazanin"/>
          <w:color w:val="111111"/>
          <w:sz w:val="28"/>
          <w:sz w:val="28"/>
          <w:szCs w:val="28"/>
          <w:rtl w:val="true"/>
          <w:lang w:bidi="fa-IR"/>
        </w:rPr>
        <w:t xml:space="preserve">ومن أجل التأکّد من مدی دقّة ما ذکرناه من نِسَب ومقارنات یُمکن تتّبع حرکة التدوین فی فنّ آیات الأحکام لدی الإمامیة والمصنّفات التی اختصّت بذلک من خلال الاطّلاع علی الدراسات الإحصائیة المقدّمة فی هذا المجال، والمسح الببلوجرافی لها، فراجع آخر هذا المجلّد، الملحق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33" w:name="__RefHeading___Toc3818385_581953129"/>
      <w:bookmarkStart w:id="234" w:name="_Toc95"/>
      <w:bookmarkEnd w:id="233"/>
      <w:r>
        <w:rPr>
          <w:rtl w:val="true"/>
        </w:rPr>
        <w:t>رابعاً</w:t>
      </w:r>
      <w:r>
        <w:rPr>
          <w:rtl w:val="true"/>
        </w:rPr>
        <w:t xml:space="preserve">: </w:t>
      </w:r>
      <w:r>
        <w:rPr>
          <w:rtl w:val="true"/>
        </w:rPr>
        <w:t>أسالیب التألیف فی فقه القرآن وآیات الأحکام</w:t>
      </w:r>
      <w:bookmarkEnd w:id="234"/>
    </w:p>
    <w:p>
      <w:pPr>
        <w:pStyle w:val="Heading4"/>
        <w:numPr>
          <w:ilvl w:val="3"/>
          <w:numId w:val="1"/>
        </w:numPr>
        <w:rPr/>
      </w:pPr>
      <w:bookmarkStart w:id="235" w:name="__RefHeading___Toc3818387_581953129"/>
      <w:bookmarkStart w:id="236" w:name="_Toc96"/>
      <w:bookmarkEnd w:id="235"/>
      <w:r>
        <w:rPr>
          <w:rtl w:val="true"/>
        </w:rPr>
        <w:t>اشارة</w:t>
      </w:r>
      <w:bookmarkEnd w:id="236"/>
    </w:p>
    <w:p>
      <w:pPr>
        <w:pStyle w:val="BookText"/>
        <w:rPr/>
      </w:pPr>
      <w:r>
        <w:rPr>
          <w:rFonts w:ascii="IRNazanin" w:hAnsi="IRNazanin" w:eastAsia="IRNazanin"/>
          <w:color w:val="111111"/>
          <w:sz w:val="28"/>
          <w:sz w:val="28"/>
          <w:szCs w:val="28"/>
          <w:rtl w:val="true"/>
          <w:lang w:bidi="fa-IR"/>
        </w:rPr>
        <w:t>اعتمد المؤلّفون فی فقه القرآن وآیات الأحکام فی تألیفاتهم لأسالیب التالیة، وهی</w:t>
      </w:r>
      <w:r>
        <w:rPr>
          <w:rFonts w:eastAsia="IRNazanin" w:cs="IRNazanin"/>
          <w:color w:val="111111"/>
          <w:sz w:val="28"/>
          <w:szCs w:val="28"/>
          <w:rtl w:val="true"/>
          <w:lang w:bidi="fa-IR"/>
        </w:rPr>
        <w:t>:</w:t>
      </w:r>
    </w:p>
    <w:p>
      <w:pPr>
        <w:pStyle w:val="Heading4"/>
        <w:numPr>
          <w:ilvl w:val="3"/>
          <w:numId w:val="1"/>
        </w:numPr>
        <w:rPr/>
      </w:pPr>
      <w:bookmarkStart w:id="237" w:name="__RefHeading___Toc3818389_581953129"/>
      <w:bookmarkStart w:id="238" w:name="_Toc97"/>
      <w:bookmarkEnd w:id="237"/>
      <w:r>
        <w:rPr/>
        <w:t>1</w:t>
      </w:r>
      <w:r>
        <w:rPr>
          <w:rtl w:val="true"/>
        </w:rPr>
        <w:t xml:space="preserve">- </w:t>
      </w:r>
      <w:r>
        <w:rPr>
          <w:rtl w:val="true"/>
        </w:rPr>
        <w:t>الاُسلوب الترتیبی</w:t>
      </w:r>
      <w:bookmarkEnd w:id="238"/>
    </w:p>
    <w:p>
      <w:pPr>
        <w:pStyle w:val="BookText"/>
        <w:rPr/>
      </w:pPr>
      <w:r>
        <w:rPr>
          <w:rFonts w:ascii="IRNazanin" w:hAnsi="IRNazanin" w:eastAsia="IRNazanin"/>
          <w:color w:val="111111"/>
          <w:sz w:val="28"/>
          <w:sz w:val="28"/>
          <w:szCs w:val="28"/>
          <w:rtl w:val="true"/>
          <w:lang w:bidi="fa-IR"/>
        </w:rPr>
        <w:t>وهو تفسیر آیات الأحکام وفقاً للترتیب الوارد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یطرح علی ضوء ورود الآیات فی المصحف الشریف بترتیب سوره وآیاته، بدءاً بالحمد، فالبقرة، فآل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دوالیک، کما صنع القرطبی، والجصاص، وابن العربی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أکثر المؤلّفین من سائر المذاهب الإسلامیة عدا الإمامیة قد استخدموا هذا الاُسلوب</w:t>
      </w:r>
      <w:r>
        <w:rPr>
          <w:rFonts w:eastAsia="IRNazanin" w:cs="IRNazanin"/>
          <w:color w:val="111111"/>
          <w:sz w:val="28"/>
          <w:szCs w:val="28"/>
          <w:rtl w:val="true"/>
          <w:lang w:bidi="fa-IR"/>
        </w:rPr>
        <w:t>.</w:t>
      </w:r>
      <w:bookmarkStart w:id="239" w:name="pg5707_46500"/>
    </w:p>
    <w:p>
      <w:pPr>
        <w:pStyle w:val="Heading4"/>
        <w:numPr>
          <w:ilvl w:val="3"/>
          <w:numId w:val="1"/>
        </w:numPr>
        <w:rPr/>
      </w:pPr>
      <w:bookmarkStart w:id="240" w:name="__RefHeading___Toc3818391_581953129"/>
      <w:bookmarkStart w:id="241" w:name="_Toc98"/>
      <w:bookmarkEnd w:id="239"/>
      <w:bookmarkEnd w:id="240"/>
      <w:r>
        <w:rPr/>
        <w:t>2</w:t>
      </w:r>
      <w:r>
        <w:rPr>
          <w:rtl w:val="true"/>
        </w:rPr>
        <w:t xml:space="preserve">- </w:t>
      </w:r>
      <w:r>
        <w:rPr>
          <w:rtl w:val="true"/>
        </w:rPr>
        <w:t>الاُسلوب الموضوعی</w:t>
      </w:r>
      <w:bookmarkEnd w:id="241"/>
    </w:p>
    <w:p>
      <w:pPr>
        <w:pStyle w:val="BookText"/>
        <w:rPr/>
      </w:pPr>
      <w:r>
        <w:rPr>
          <w:rFonts w:ascii="IRNazanin" w:hAnsi="IRNazanin" w:eastAsia="IRNazanin"/>
          <w:color w:val="111111"/>
          <w:sz w:val="28"/>
          <w:sz w:val="28"/>
          <w:szCs w:val="28"/>
          <w:rtl w:val="true"/>
          <w:lang w:bidi="fa-IR"/>
        </w:rPr>
        <w:t>وهو الاُسلوب الذی یعتمد البحث فی مجموعة من الآیات التی ترتبط بموضوع معیّن، ولا یبحث کلّ آیة فی نفسها بمعزل عن الآیات التی ترتبط بها مفهوماً ومعنی وإن کانت فی سورة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الاُسلوب فیه عدّة اتجاهات،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تفسیر آیات الأحکام طبقاً لأبواب الفقه</w:t>
      </w:r>
    </w:p>
    <w:p>
      <w:pPr>
        <w:pStyle w:val="BookText"/>
        <w:rPr/>
      </w:pP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 علی ترتیب الکتب الفقهیّة التی تقسّم الفقه عادةً إلی أربعة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العبادات، والعقود، والإیقاعات، والأحکام، کما فعل الراوندی، والسیوری، والأردبیلی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الاُسلوب هو الطابع العامّ الغالب علی ما کتبه المؤلّفون من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تفسیر آیات الأحکام طبقاً للمسائل الفقهیة</w:t>
      </w:r>
    </w:p>
    <w:p>
      <w:pPr>
        <w:pStyle w:val="BookText"/>
        <w:rPr/>
      </w:pPr>
      <w:r>
        <w:rPr>
          <w:rFonts w:ascii="IRNazanin" w:hAnsi="IRNazanin" w:eastAsia="IRNazanin"/>
          <w:color w:val="111111"/>
          <w:sz w:val="28"/>
          <w:sz w:val="28"/>
          <w:szCs w:val="28"/>
          <w:rtl w:val="true"/>
          <w:lang w:bidi="fa-IR"/>
        </w:rPr>
        <w:t>وهو علی أساس الأهمّیة وشدّة الحاجة إلیها بحسب متطلّبات الزمان والمکان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ألّف بعضهم علی أساس هذا المنهج فی الآونة الأخیرة،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روائع البیان فی تفسیر آیات الأحکام، لمحمّد علی الصابونی</w:t>
      </w:r>
      <w:r>
        <w:rPr>
          <w:rFonts w:eastAsia="IRNazanin" w:cs="IRNazanin"/>
          <w:color w:val="111111"/>
          <w:sz w:val="28"/>
          <w:szCs w:val="28"/>
          <w:rtl w:val="true"/>
          <w:lang w:bidi="fa-IR"/>
        </w:rPr>
        <w:t>.</w:t>
      </w:r>
    </w:p>
    <w:p>
      <w:pPr>
        <w:pStyle w:val="Heading3"/>
        <w:numPr>
          <w:ilvl w:val="2"/>
          <w:numId w:val="1"/>
        </w:numPr>
        <w:rPr/>
      </w:pPr>
      <w:bookmarkStart w:id="242" w:name="__RefHeading___Toc3818393_581953129"/>
      <w:bookmarkStart w:id="243" w:name="_Toc99"/>
      <w:bookmarkEnd w:id="242"/>
      <w:r>
        <w:rPr>
          <w:rtl w:val="true"/>
        </w:rPr>
        <w:t>خامساً</w:t>
      </w:r>
      <w:r>
        <w:rPr>
          <w:rtl w:val="true"/>
        </w:rPr>
        <w:t xml:space="preserve">: </w:t>
      </w:r>
      <w:r>
        <w:rPr>
          <w:rtl w:val="true"/>
        </w:rPr>
        <w:t>ملاحظات حول ما الّف فی فقه القرآن</w:t>
      </w:r>
      <w:bookmarkEnd w:id="243"/>
    </w:p>
    <w:p>
      <w:pPr>
        <w:pStyle w:val="BookText"/>
        <w:rPr/>
      </w:pPr>
      <w:r>
        <w:rPr>
          <w:rFonts w:ascii="IRNazanin" w:hAnsi="IRNazanin" w:eastAsia="IRNazanin"/>
          <w:color w:val="111111"/>
          <w:sz w:val="28"/>
          <w:sz w:val="28"/>
          <w:szCs w:val="28"/>
          <w:rtl w:val="true"/>
          <w:lang w:bidi="fa-IR"/>
        </w:rPr>
        <w:t>لا شکّ بأنّ علماءنا من السابقین والمعاصرین قد بذلوا جهوداً مشکورة بهذا الشأن فدوّنوا الکثیر من التصانیف فی فقه القرآن ولکن فُقد بعضها، وإنّ هذه المؤلّفات هی الحجر الأساس والمرجع الذی یرجع إلیه کلّ مختص ومهتمّ بهذا الحقل المعرفی، ورغم کلّ ذلک فإنّ هذا لایمنع من تسجیل بعض الملاحظات البحثیة النقدیة، منها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أجرینا عملیة إحصائیة لما دوّن بهذا الشأن من الناحیة العددیة والکمّیة لرأیناه قلیلاً بالقیاس إلی ما الّف فی سائر علوم القرآن، فی الوقت الذی کان المتوقّع کثرة التألیف فی فقه القرآن نظراً لأهمّیته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الاعتناء بفقه القرآن لدی المتأخّرین والمعاصرین بحیث صار</w:t>
      </w:r>
    </w:p>
    <w:p>
      <w:pPr>
        <w:pStyle w:val="BookText"/>
        <w:rPr/>
      </w:pPr>
      <w:r>
        <w:rPr>
          <w:rFonts w:ascii="IRNazanin" w:hAnsi="IRNazanin" w:eastAsia="IRNazanin"/>
          <w:color w:val="111111"/>
          <w:sz w:val="28"/>
          <w:sz w:val="28"/>
          <w:szCs w:val="28"/>
          <w:rtl w:val="true"/>
          <w:lang w:bidi="fa-IR"/>
        </w:rPr>
        <w:t>التألیف فیه نادراً فی الوقت الذی تضخّم حجم التألیف فی مجالات معرفیة اخری قرآنیة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استیعاب الآیات والمدالیل القرآنیة، بل یجد الباحث المتتبع عدداً معتدّاً به من الآیات التی اهمل بحثها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الوقت الذی لم یتمّ التعرّض إلی بعض بحوث فقه القرآن قام البعض بإقحام بحوث لا ربط لها بفقه القرآن لامن قریب ولا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لاحظنا أنّ بعض البحوث المطروحة فی هذه المؤلّفات لم تلتزم بدراسة النصّ القرآنی لاکتشاف مدالیله، بل خرجت عن دائرة مسؤولیتها البحثیة وتحوّلت إلی بحوث فی دائرة أدلّة اخری کالسنّة الشریفة، أو الإجماع، ونحوها واعتبارها محوراً للبحث بدلاً عن النصّ القرآنی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خلا بعض هذه البحوث من الدراسات المقارنة، فلا نجد تعرّضاً فیها للآراء المختلفة إلّا نادراً وعَرَضاً، فی حین نجد بعضاً آخر وإن تعرّضت کثیراً إلی المقارنة والموازنة بین الآراء لکن لا علی سبیل الاستیعاب سواءً علی مستوی تسجیل القول والرأی أو علی مستوی تخریجه وتکییفه فنّیاً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تبرز ضرورة استئناف البحث فی مجال فقه القرآن من جدید وبمنهج أکثر تکاملاً من ناحیة السعة والشمولیة، ومن ناحیة العمق والدقّة فی الاستدلال، ومن ناحیة تحدیث الخطاب واعتماد لغة معاصرة تتناسب مع التطوّر الذی طال بعض المجالات المعرفیة الإسلامیة التخصصیة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ومشروع تدوین مؤلّفات شاملة ومبسوطة فی فقه القرآن وآیات الأحکام تقع فی هذا السیاق، وتعبّر عن ضرورة علمیة ملحّة لسدّ بعض نقاط الفراغ الملحوظة فی مکتبتنا الإسلامیة</w:t>
      </w:r>
      <w:r>
        <w:rPr>
          <w:rFonts w:eastAsia="IRNazanin" w:cs="IRNazanin"/>
          <w:color w:val="111111"/>
          <w:sz w:val="28"/>
          <w:szCs w:val="28"/>
          <w:rtl w:val="true"/>
          <w:lang w:bidi="fa-IR"/>
        </w:rPr>
        <w:t>.</w:t>
      </w:r>
      <w:bookmarkStart w:id="244" w:name="pg5707_46502"/>
    </w:p>
    <w:p>
      <w:pPr>
        <w:pStyle w:val="Heading3"/>
        <w:numPr>
          <w:ilvl w:val="2"/>
          <w:numId w:val="1"/>
        </w:numPr>
        <w:rPr/>
      </w:pPr>
      <w:bookmarkStart w:id="245" w:name="__RefHeading___Toc3818395_581953129"/>
      <w:bookmarkStart w:id="246" w:name="_Toc100"/>
      <w:bookmarkEnd w:id="244"/>
      <w:bookmarkEnd w:id="245"/>
      <w:r>
        <w:rPr>
          <w:rtl w:val="true"/>
        </w:rPr>
        <w:t>سادساً</w:t>
      </w:r>
      <w:r>
        <w:rPr>
          <w:rtl w:val="true"/>
        </w:rPr>
        <w:t xml:space="preserve">: </w:t>
      </w:r>
      <w:r>
        <w:rPr>
          <w:rtl w:val="true"/>
        </w:rPr>
        <w:t>مناهج البحث فی فقه القرآن وآیات الأحکام</w:t>
      </w:r>
      <w:bookmarkEnd w:id="246"/>
    </w:p>
    <w:p>
      <w:pPr>
        <w:pStyle w:val="Heading4"/>
        <w:numPr>
          <w:ilvl w:val="3"/>
          <w:numId w:val="1"/>
        </w:numPr>
        <w:rPr/>
      </w:pPr>
      <w:bookmarkStart w:id="247" w:name="__RefHeading___Toc3818397_581953129"/>
      <w:bookmarkStart w:id="248" w:name="_Toc101"/>
      <w:bookmarkEnd w:id="247"/>
      <w:r>
        <w:rPr>
          <w:rtl w:val="true"/>
        </w:rPr>
        <w:t>اشارة</w:t>
      </w:r>
      <w:bookmarkEnd w:id="248"/>
    </w:p>
    <w:p>
      <w:pPr>
        <w:pStyle w:val="BookText"/>
        <w:rPr/>
      </w:pPr>
      <w:r>
        <w:rPr>
          <w:rFonts w:ascii="IRNazanin" w:hAnsi="IRNazanin" w:eastAsia="IRNazanin"/>
          <w:color w:val="111111"/>
          <w:sz w:val="28"/>
          <w:sz w:val="28"/>
          <w:szCs w:val="28"/>
          <w:rtl w:val="true"/>
          <w:lang w:bidi="fa-IR"/>
        </w:rPr>
        <w:t>لا ینحصر الاختلاف بین الباحثین فی فقه القرآن علی صعید أسالیب التدوین، بل إنّ الاختلاف یمتدّ إلی أعمق من ذلک، فیصل إلی مناهج البحث، فکلّ باحث فی فقه القرآن له منهجه الخاصّ به، نظیر اختلافهم فی مناهجهم التفسیریة، بل من المتعذّر التفکیک بین مناهج البحث فی فقه القرآن وبین المناهج التفسیریة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التصدّی للتعریف بهذه المناهج العلمیة أمر یستلزم دراسة دقیقة لکلّ منهم، ولکننا سنکتفی بالإشارة إلیها علی سبیل الإجمال</w:t>
      </w:r>
      <w:r>
        <w:rPr>
          <w:rFonts w:eastAsia="IRNazanin" w:cs="IRNazanin"/>
          <w:color w:val="111111"/>
          <w:sz w:val="28"/>
          <w:szCs w:val="28"/>
          <w:rtl w:val="true"/>
          <w:lang w:bidi="fa-IR"/>
        </w:rPr>
        <w:t>:</w:t>
      </w:r>
    </w:p>
    <w:p>
      <w:pPr>
        <w:pStyle w:val="Heading4"/>
        <w:numPr>
          <w:ilvl w:val="3"/>
          <w:numId w:val="1"/>
        </w:numPr>
        <w:rPr/>
      </w:pPr>
      <w:bookmarkStart w:id="249" w:name="__RefHeading___Toc3818399_581953129"/>
      <w:bookmarkStart w:id="250" w:name="_Toc102"/>
      <w:bookmarkEnd w:id="249"/>
      <w:r>
        <w:rPr/>
        <w:t>1</w:t>
      </w:r>
      <w:r>
        <w:rPr>
          <w:rtl w:val="true"/>
        </w:rPr>
        <w:t xml:space="preserve">- </w:t>
      </w:r>
      <w:r>
        <w:rPr>
          <w:rtl w:val="true"/>
        </w:rPr>
        <w:t>المنهج الأثری</w:t>
      </w:r>
      <w:bookmarkEnd w:id="250"/>
    </w:p>
    <w:p>
      <w:pPr>
        <w:pStyle w:val="BookText"/>
        <w:rPr/>
      </w:pPr>
      <w:r>
        <w:rPr>
          <w:rFonts w:ascii="IRNazanin" w:hAnsi="IRNazanin" w:eastAsia="IRNazanin"/>
          <w:color w:val="111111"/>
          <w:sz w:val="28"/>
          <w:sz w:val="28"/>
          <w:szCs w:val="28"/>
          <w:rtl w:val="true"/>
          <w:lang w:bidi="fa-IR"/>
        </w:rPr>
        <w:t>وهو المنهج الذی یجعل الأثر المروی والمنقول هو العنصر الوحید فی فهم الآیات وتفسیرها، ومن هنا فإنّ أصحاب هذا المنهج یقتصرون علی طرح الأحادیث المنقولة حول الآیة مع توضیح لبعض الألفاظ، ولا یشعرون بالحاجة إلی البحث أکثر من هذا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رکّز علی هذا المنهج الجزائری فی کتابه قلائد الدرر فی بیان آیات الأحکام بالأثر</w:t>
      </w:r>
      <w:r>
        <w:rPr>
          <w:rFonts w:eastAsia="IRNazanin" w:cs="IRNazanin"/>
          <w:color w:val="111111"/>
          <w:sz w:val="28"/>
          <w:szCs w:val="28"/>
          <w:rtl w:val="true"/>
          <w:lang w:bidi="fa-IR"/>
        </w:rPr>
        <w:t>.</w:t>
      </w:r>
    </w:p>
    <w:p>
      <w:pPr>
        <w:pStyle w:val="Heading4"/>
        <w:numPr>
          <w:ilvl w:val="3"/>
          <w:numId w:val="1"/>
        </w:numPr>
        <w:rPr/>
      </w:pPr>
      <w:bookmarkStart w:id="251" w:name="__RefHeading___Toc3818401_581953129"/>
      <w:bookmarkStart w:id="252" w:name="_Toc103"/>
      <w:bookmarkEnd w:id="251"/>
      <w:r>
        <w:rPr/>
        <w:t>2</w:t>
      </w:r>
      <w:r>
        <w:rPr>
          <w:rtl w:val="true"/>
        </w:rPr>
        <w:t xml:space="preserve">- </w:t>
      </w:r>
      <w:r>
        <w:rPr>
          <w:rtl w:val="true"/>
        </w:rPr>
        <w:t>المنهج التقلیدی</w:t>
      </w:r>
      <w:bookmarkEnd w:id="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 الاجتهادی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المنهج الذی یقتصر علی ترجیح أحد الأقوال المنقولة عن العلماء السابقین والانتصار له، ولا یسعی لفتح باب الاجتهاد فی فهم الآیة علی مصراعیه، والذی ربّما یؤول إلی تبنّی رأی جدید وطرح تصوّر یختلف عمّا ذکره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ونری هذا المنهج بوضوح فی کتاب فقه القرآن للراوندی، کما صرّح بهذا فی مقدّمة کتابه</w:t>
      </w:r>
      <w:r>
        <w:rPr>
          <w:rFonts w:eastAsia="IRNazanin" w:cs="IRNazanin"/>
          <w:color w:val="111111"/>
          <w:sz w:val="28"/>
          <w:szCs w:val="28"/>
          <w:rtl w:val="true"/>
          <w:lang w:bidi="fa-IR"/>
        </w:rPr>
        <w:t>.</w:t>
      </w:r>
    </w:p>
    <w:p>
      <w:pPr>
        <w:pStyle w:val="Heading4"/>
        <w:numPr>
          <w:ilvl w:val="3"/>
          <w:numId w:val="1"/>
        </w:numPr>
        <w:rPr/>
      </w:pPr>
      <w:bookmarkStart w:id="253" w:name="__RefHeading___Toc3818403_581953129"/>
      <w:bookmarkStart w:id="254" w:name="_Toc104"/>
      <w:bookmarkEnd w:id="253"/>
      <w:r>
        <w:rPr/>
        <w:t>3</w:t>
      </w:r>
      <w:r>
        <w:rPr>
          <w:rtl w:val="true"/>
        </w:rPr>
        <w:t xml:space="preserve">- </w:t>
      </w:r>
      <w:r>
        <w:rPr>
          <w:rtl w:val="true"/>
        </w:rPr>
        <w:t>المنهج الاجتهادی</w:t>
      </w:r>
      <w:bookmarkEnd w:id="25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المنهج الذی یدرس النصّ القرآنی من حیث هو ویحاول تشریحه لکی</w:t>
      </w:r>
      <w:bookmarkStart w:id="255" w:name="pg5707_46503"/>
    </w:p>
    <w:p>
      <w:pPr>
        <w:pStyle w:val="BookText"/>
        <w:rPr/>
      </w:pPr>
      <w:bookmarkEnd w:id="255"/>
      <w:r>
        <w:rPr>
          <w:rFonts w:ascii="IRNazanin" w:hAnsi="IRNazanin" w:eastAsia="IRNazanin"/>
          <w:color w:val="111111"/>
          <w:sz w:val="28"/>
          <w:sz w:val="28"/>
          <w:szCs w:val="28"/>
          <w:rtl w:val="true"/>
          <w:lang w:bidi="fa-IR"/>
        </w:rPr>
        <w:t>ینتهی إلی نتیجة قاطعة حول الآیة موظِّفاً أدوات الاجتهاد وآلیاته، ومن أجل تثبیت وجهة نظره یخوض عملیة تقییم للآراء المطروحة حول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اعتمد المُحقّق الأردبیلی هذا المنهج فی کتابه زبدة البیان علی صغر حجمه واختصاره</w:t>
      </w:r>
      <w:r>
        <w:rPr>
          <w:rFonts w:eastAsia="IRNazanin" w:cs="IRNazanin"/>
          <w:color w:val="111111"/>
          <w:sz w:val="28"/>
          <w:szCs w:val="28"/>
          <w:rtl w:val="true"/>
          <w:lang w:bidi="fa-IR"/>
        </w:rPr>
        <w:t>.</w:t>
      </w:r>
    </w:p>
    <w:p>
      <w:pPr>
        <w:pStyle w:val="Heading4"/>
        <w:numPr>
          <w:ilvl w:val="3"/>
          <w:numId w:val="1"/>
        </w:numPr>
        <w:rPr/>
      </w:pPr>
      <w:bookmarkStart w:id="256" w:name="__RefHeading___Toc3818405_581953129"/>
      <w:bookmarkStart w:id="257" w:name="_Toc105"/>
      <w:bookmarkEnd w:id="256"/>
      <w:r>
        <w:rPr/>
        <w:t>4</w:t>
      </w:r>
      <w:r>
        <w:rPr>
          <w:rtl w:val="true"/>
        </w:rPr>
        <w:t xml:space="preserve">- </w:t>
      </w:r>
      <w:r>
        <w:rPr>
          <w:rtl w:val="true"/>
        </w:rPr>
        <w:t>المنهج التقنینی</w:t>
      </w:r>
      <w:bookmarkEnd w:id="257"/>
    </w:p>
    <w:p>
      <w:pPr>
        <w:pStyle w:val="BookText"/>
        <w:rPr/>
      </w:pPr>
      <w:r>
        <w:rPr>
          <w:rFonts w:ascii="IRNazanin" w:hAnsi="IRNazanin" w:eastAsia="IRNazanin"/>
          <w:color w:val="111111"/>
          <w:sz w:val="28"/>
          <w:sz w:val="28"/>
          <w:szCs w:val="28"/>
          <w:rtl w:val="true"/>
          <w:lang w:bidi="fa-IR"/>
        </w:rPr>
        <w:t>وهو أیضاً من المناهج الحدیثة التی حاولت إعطاء آیات الآحکام بُعداً تقنینیاً، ومقارنتها ببعض القوانین والتشریعات الحدیثة،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الآیات المتعلّقة بباب الأحوال المدنیة، أو باب العقوبات والجزاء،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الأحکام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القبلئی الخوئی، ففی باب الحقوق المدنیة تعرّض إلی ثمانیة فصول،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الآیات المتعلّقة بأحکام حمایة الأشخاص والمحجورین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الآیات المتعلّقة بأحکام الأموال والملکیة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الآیات المتعلّقة بأحکام العقود والمعاملات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الآیات المتعلّقة بالمسؤولیة المدنیة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الآیات المتعلّقة حقوق الاُسرة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ونظراً لطبیعة هذا المنهج واتجاهه التقنینی فإنّه یقتصر علی الآیات المتعرّضة لذلک، ولا شأن له بالآیات المتعلّقة بأحکام العبادات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لا یصحّ أن یُطلق علیه عنوان المنهج؛ فهو لیس منهجاً فی قبال المناهج الاُخری، بل هو مجرّد إعادة ترتیب لبحوث الآیات والفرق بینه وبین غیره فی تقدیم بعض البحوث وتأخیر البعض الآخر</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هذا التصوّر لیس دقیقاً باعتبار أنّ زاویة النظر لدی الباحث مختلفة، ومن هنا ستختلف عنده الموضوعات التی یسعی لمعالجتها وبتبع ذلک سوف تختلف النتائج التی ینتهی إلیها</w:t>
      </w:r>
      <w:r>
        <w:rPr>
          <w:rFonts w:eastAsia="IRNazanin" w:cs="IRNazanin"/>
          <w:color w:val="111111"/>
          <w:sz w:val="28"/>
          <w:szCs w:val="28"/>
          <w:rtl w:val="true"/>
          <w:lang w:bidi="fa-IR"/>
        </w:rPr>
        <w:t>.</w:t>
      </w:r>
      <w:bookmarkStart w:id="258" w:name="pg5707_46504"/>
    </w:p>
    <w:p>
      <w:pPr>
        <w:pStyle w:val="Heading4"/>
        <w:numPr>
          <w:ilvl w:val="3"/>
          <w:numId w:val="1"/>
        </w:numPr>
        <w:rPr/>
      </w:pPr>
      <w:bookmarkStart w:id="259" w:name="__RefHeading___Toc3818407_581953129"/>
      <w:bookmarkStart w:id="260" w:name="_Toc106"/>
      <w:bookmarkEnd w:id="258"/>
      <w:bookmarkEnd w:id="259"/>
      <w:r>
        <w:rPr/>
        <w:t>5</w:t>
      </w:r>
      <w:r>
        <w:rPr>
          <w:rtl w:val="true"/>
        </w:rPr>
        <w:t xml:space="preserve">- </w:t>
      </w:r>
      <w:r>
        <w:rPr>
          <w:rtl w:val="true"/>
        </w:rPr>
        <w:t>المنهج المقارن</w:t>
      </w:r>
      <w:bookmarkEnd w:id="260"/>
    </w:p>
    <w:p>
      <w:pPr>
        <w:pStyle w:val="BookText"/>
        <w:rPr/>
      </w:pPr>
      <w:r>
        <w:rPr>
          <w:rFonts w:ascii="IRNazanin" w:hAnsi="IRNazanin" w:eastAsia="IRNazanin"/>
          <w:color w:val="111111"/>
          <w:sz w:val="28"/>
          <w:sz w:val="28"/>
          <w:szCs w:val="28"/>
          <w:rtl w:val="true"/>
          <w:lang w:bidi="fa-IR"/>
        </w:rPr>
        <w:t xml:space="preserve">أی تفسیر آیات الأحکام تفسیراً مقارناً، کما هو علیه کتاب تفسیر آیات الأحکام، للسیّد محمّد حسین الطباطبائی الیزدی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یتمیّز باُسلوب خاصّ، حیث یتناول هذا التفسیر آیات الأحکام وفق ورودها فی المصحف الشریف بالبحث 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فیذکر الآیة ثُمّ یذکر کونها مکّیة أو مدنیّة ثُمّ یشرع ببیان معناها والحکم أو الأحکام التی تستفاد منها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ویمتاز هذا التألیف عن أمثاله ونظائره بمقارنة ما استفاده من الآیة الکریمة بآراء المذاهب الإسلامیّة الاُخری، وبیان آراء فقهائهم ومفسّریهم، وما ورد من الروایات فی الموضوع، مشیراً إلی موارد الاتّفاق والاختلاف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صورة مختصرة عن البذور والمنطلقات الأولی لتفسیر آیات الاحکام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صورة مختصرة عن تاریخ بدایة التألیف فی مجال فقه القرآن وآیات الأحکام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القول الصحیح فی تعیین أوّل من صنّف من علماء المسلمین فی فقه القرآن وآیات الأحکام؟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حجم مصنّفات الإمامیة فی مجال فقه القرآن بالقیاس إلی مصنّفات سائر المذاهب؟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الاُسلوب المعروف والمتداول بین الإمامیة فی طریقة التدوین فی فقه القرآن وآیات الأحکام؟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الاُسلوب المعروف والمتداول بین أهل السنّة فی طریقة التدوین فی فقه القرآن وآیات الأحکام؟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اذکر ثلاثة نماذج من مناهج البحث فی فقه القرآن وآیات الأحکام</w:t>
      </w:r>
      <w:r>
        <w:rPr>
          <w:rFonts w:eastAsia="IRNazanin" w:cs="IRNazanin"/>
          <w:color w:val="111111"/>
          <w:sz w:val="28"/>
          <w:szCs w:val="28"/>
          <w:rtl w:val="true"/>
          <w:lang w:bidi="fa-IR"/>
        </w:rPr>
        <w:t>.</w:t>
      </w:r>
      <w:bookmarkStart w:id="261" w:name="pg5707_46506"/>
    </w:p>
    <w:p>
      <w:pPr>
        <w:pStyle w:val="Heading2"/>
        <w:numPr>
          <w:ilvl w:val="1"/>
          <w:numId w:val="1"/>
        </w:numPr>
        <w:rPr/>
      </w:pPr>
      <w:bookmarkStart w:id="262" w:name="__RefHeading___Toc3818409_581953129"/>
      <w:bookmarkStart w:id="263" w:name="_Toc107"/>
      <w:bookmarkEnd w:id="261"/>
      <w:bookmarkEnd w:id="262"/>
      <w:r>
        <w:rPr>
          <w:rtl w:val="true"/>
        </w:rPr>
        <w:t xml:space="preserve">البحث الثامن </w:t>
      </w:r>
      <w:r>
        <w:rPr>
          <w:rtl w:val="true"/>
        </w:rPr>
        <w:t xml:space="preserve">: </w:t>
      </w:r>
      <w:r>
        <w:rPr>
          <w:rtl w:val="true"/>
        </w:rPr>
        <w:t>منهج البحث فی فقه القرآن المقارن</w:t>
      </w:r>
      <w:bookmarkEnd w:id="263"/>
    </w:p>
    <w:p>
      <w:pPr>
        <w:pStyle w:val="Heading3"/>
        <w:numPr>
          <w:ilvl w:val="2"/>
          <w:numId w:val="1"/>
        </w:numPr>
        <w:rPr/>
      </w:pPr>
      <w:bookmarkStart w:id="264" w:name="__RefHeading___Toc3818411_581953129"/>
      <w:bookmarkStart w:id="265" w:name="_Toc108"/>
      <w:bookmarkEnd w:id="264"/>
      <w:r>
        <w:rPr>
          <w:rtl w:val="true"/>
        </w:rPr>
        <w:t>أوّلاً</w:t>
      </w:r>
      <w:r>
        <w:rPr>
          <w:rtl w:val="true"/>
        </w:rPr>
        <w:t xml:space="preserve">: </w:t>
      </w:r>
      <w:r>
        <w:rPr>
          <w:rtl w:val="true"/>
        </w:rPr>
        <w:t>خصائص منهج البحث فی فقه القرآن المقارن</w:t>
      </w:r>
      <w:bookmarkEnd w:id="265"/>
    </w:p>
    <w:p>
      <w:pPr>
        <w:pStyle w:val="BookText"/>
        <w:rPr/>
      </w:pPr>
      <w:r>
        <w:rPr>
          <w:rFonts w:ascii="IRNazanin" w:hAnsi="IRNazanin" w:eastAsia="IRNazanin"/>
          <w:color w:val="111111"/>
          <w:sz w:val="28"/>
          <w:sz w:val="28"/>
          <w:szCs w:val="28"/>
          <w:rtl w:val="true"/>
          <w:lang w:bidi="fa-IR"/>
        </w:rPr>
        <w:t>لا بدّ أن یتوفّر منهج البحث فی فقه القرآن المقارن علی عدّة امور تقتضیها مسؤولیته،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مراجعة المصادر من مختلف علماء الإسلام، وعدم الاقتصار علی بعضها، والسعی قدر الإمکان للرجوع إلی المصادر الأصلیة إذا کانت متوفّرة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النقل المجتزَأ للقول، بل ینبغی نقله بشکل لا یخلّ بمراد صاحبه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حالة تعرّض صاحب القول للاستدلال علی رأیه أو ذکر شاهد فلا بدّ من نقل ذلک کی لا یفقد القول سمته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الاقتصار علی الکتب التی حملت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 فإنّ ثَمّة آراء ونظریات قد ذُکرت فی الکتب الفقهیة أو التفسیریة، والوقوف علیها یستلزم جهداً بحثیاً کبیراً واستقصاءً واسعاً لکن بالمقدار المتیسّر والممکن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مراجعة الکتب المختصّة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إعراب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والنحو، فإنّ لذلک تأثیراً کبیراً علی تحدید مفاد الآیة والمراد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کتب اللغة وکتب غریب القرآن ونحو ذلک</w:t>
      </w:r>
      <w:r>
        <w:rPr>
          <w:rFonts w:eastAsia="IRNazanin" w:cs="IRNazanin"/>
          <w:color w:val="111111"/>
          <w:sz w:val="28"/>
          <w:szCs w:val="28"/>
          <w:rtl w:val="true"/>
          <w:lang w:bidi="fa-IR"/>
        </w:rPr>
        <w:t>.</w:t>
      </w:r>
      <w:bookmarkStart w:id="266" w:name="pg5707_46507"/>
    </w:p>
    <w:p>
      <w:pPr>
        <w:pStyle w:val="BookText"/>
        <w:rPr/>
      </w:pPr>
      <w:bookmarkEnd w:id="266"/>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مراجعة الکتب المختصّة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القراءات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له من أثر علی کیفیة فهم الآیة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مراجعة الکتب المختصّة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مرتبط بالجوّ الذی نزلت فیه الآیة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مراجعة بعض التفاسیر؛ کی یطّلع الباحث علی طریقة فهم المفسّرین للآیة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بدّ من الالتفات إلی اختلاف مناهج الباحثین فی فقه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وحیث إنّ الهدف من البحث فی فقه القرآن هو فهم الحکم الشرعی وتحدید طبیعته وحدوده وشروطه وقیوده، فتکون سمة البحث فی فقه القرآن سمة اجتهادیة، وعلیه فینبغی توفّر الباحث علی مستلزمات العمل الاجتهادی</w:t>
      </w:r>
      <w:r>
        <w:rPr>
          <w:rFonts w:eastAsia="IRNazanin" w:cs="IRNazanin"/>
          <w:color w:val="111111"/>
          <w:sz w:val="28"/>
          <w:szCs w:val="28"/>
          <w:rtl w:val="true"/>
          <w:lang w:bidi="fa-IR"/>
        </w:rPr>
        <w:t>.</w:t>
      </w:r>
    </w:p>
    <w:p>
      <w:pPr>
        <w:pStyle w:val="Heading3"/>
        <w:numPr>
          <w:ilvl w:val="2"/>
          <w:numId w:val="1"/>
        </w:numPr>
        <w:rPr/>
      </w:pPr>
      <w:bookmarkStart w:id="267" w:name="__RefHeading___Toc3818413_581953129"/>
      <w:bookmarkStart w:id="268" w:name="_Toc109"/>
      <w:bookmarkEnd w:id="267"/>
      <w:r>
        <w:rPr>
          <w:rtl w:val="true"/>
        </w:rPr>
        <w:t>ثانیاً</w:t>
      </w:r>
      <w:r>
        <w:rPr>
          <w:rtl w:val="true"/>
        </w:rPr>
        <w:t xml:space="preserve">: </w:t>
      </w:r>
      <w:r>
        <w:rPr>
          <w:rtl w:val="true"/>
        </w:rPr>
        <w:t>نماذج للبحث فی فقه القرآن المقارن</w:t>
      </w:r>
      <w:bookmarkEnd w:id="268"/>
    </w:p>
    <w:p>
      <w:pPr>
        <w:pStyle w:val="Heading4"/>
        <w:numPr>
          <w:ilvl w:val="3"/>
          <w:numId w:val="1"/>
        </w:numPr>
        <w:rPr/>
      </w:pPr>
      <w:bookmarkStart w:id="269" w:name="__RefHeading___Toc3818415_581953129"/>
      <w:bookmarkStart w:id="270" w:name="_Toc110"/>
      <w:bookmarkEnd w:id="269"/>
      <w:r>
        <w:rPr>
          <w:rtl w:val="true"/>
        </w:rPr>
        <w:t>النموذج الأوّل</w:t>
      </w:r>
      <w:r>
        <w:rPr>
          <w:rtl w:val="true"/>
        </w:rPr>
        <w:t xml:space="preserve">: </w:t>
      </w:r>
      <w:r>
        <w:rPr>
          <w:rtl w:val="true"/>
        </w:rPr>
        <w:t>الإجارة</w:t>
      </w:r>
      <w:bookmarkEnd w:id="270"/>
    </w:p>
    <w:p>
      <w:pPr>
        <w:pStyle w:val="Heading5"/>
        <w:numPr>
          <w:ilvl w:val="4"/>
          <w:numId w:val="1"/>
        </w:numPr>
        <w:rPr/>
      </w:pPr>
      <w:bookmarkStart w:id="271" w:name="__RefHeading___Toc3818417_581953129"/>
      <w:bookmarkStart w:id="272" w:name="_Toc111"/>
      <w:bookmarkEnd w:id="271"/>
      <w:r>
        <w:rPr>
          <w:rtl w:val="true"/>
        </w:rPr>
        <w:t>اشارة</w:t>
      </w:r>
      <w:bookmarkEnd w:id="272"/>
    </w:p>
    <w:p>
      <w:pPr>
        <w:pStyle w:val="BookText"/>
        <w:rPr/>
      </w:pPr>
      <w:r>
        <w:rPr>
          <w:rFonts w:ascii="Amiri" w:hAnsi="Amiri" w:eastAsia="Amiri" w:cs="Amiri"/>
          <w:color w:val="111111"/>
          <w:sz w:val="28"/>
          <w:sz w:val="28"/>
          <w:szCs w:val="28"/>
          <w:rtl w:val="true"/>
          <w:lang w:bidi="ar-SA"/>
        </w:rPr>
        <w:t xml:space="preserve">النصّ القرآنی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إِحداهُما یا أَبَتِ استَأجِرهُ إِنَّ خَیرَ مَنِ استَأجَرتَ القَوِیُّ الأَمِینُ قالَ إِنِّی أُرِیدُ أَن أُنکِحَکَ إِحدَی ابنَتَیَّ هاتَینِ عَلی أَن تَأجُرَنِی ثَمانِیَ حِجَجٍ فَإِن أَتمَمتَ عَشراً فَمِن عِندِکَ وَ ما أُرِیدُ أَن أَشُقَّ عَلَیکَ سَتَجِدُنِی إِن شاءَ اللّهُ مِنَ الصّالِحِینَ قالَ ذلِکَ بَینِی وَ بَینَکَ أَیَّمَا الأَجَلَینِ قَضَیتُ فَلا عُدوانَ عَلَیَّ وَ اللّهُ عَلی ما نَقُولُ 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قَضی مُوسَی الأَجَلَ</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البیان الإجمالی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هذه الآیات مقطع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روت لنا فصلاً من سیرة النبی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ومواقفه، فهی مرتبطة بما قبلها، ویبدأ هذا المقطع من حین ورود موسی مدینة مَدیَن، فحینما وصل ماءها وجد امرأتین لا تستطیعان سقی أغنامهما وأبوهما شیخ کبیر، فهبّ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لمساعدتهما، ولمّا عادتا إلی أبیهما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أخبرتاه بخبر موسی فدعاه إلیه، واطّلع علی أمره، فاقترحت إحداهما استئجاره للرعی؛ لأنّها</w:t>
      </w:r>
    </w:p>
    <w:p>
      <w:pPr>
        <w:pStyle w:val="BookText"/>
        <w:rPr/>
      </w:pPr>
      <w:r>
        <w:rPr>
          <w:rFonts w:ascii="IRNazanin" w:hAnsi="IRNazanin" w:eastAsia="IRNazanin"/>
          <w:color w:val="111111"/>
          <w:sz w:val="28"/>
          <w:sz w:val="28"/>
          <w:szCs w:val="28"/>
          <w:rtl w:val="true"/>
          <w:lang w:bidi="fa-IR"/>
        </w:rPr>
        <w:t>رأت قوته وأمانته، فرغب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بقائه وعرض علیه نکاح إحدی ابنیته بشرط أن یعمل عنده أجیراً مدّة ثمانی سنین وإن أحبّ أن یزیدها سنتین فهو أمر راجع إلیه، ورغّبه فی ذلک ووعده بالمعاملة الحسنة والرفق، فقبل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بالشرط وهو الثمان دون أن یلتزم بالعشر، وقد وفی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القراءة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قرأ أبو جعفر، وورش، والأزرق، والأصبهانی، وأبو عمرو بخلاف عنه تَأجُرَنِی بإبدال الهمزة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قراءة حمزة فی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تؤاجرنی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التاء وألف بعد الهمزة وکسر الجیم، من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آجرته، من باب المفاعلة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وقرأ الحسن، والعباس بن الفضل عن أبی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الیاء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عبدالله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الاَجَلَینِ ما قَضَیتُ</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التحلیل اللفظی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استَأجِرهُ أی اتخذه أجیراً</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والاستئجار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الشی بالأجرة، ثم یعبّر به عن تناوله بالأجرة،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الاستیجاب فی استعارته الإیجاب، وعلی هذا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اِستَأجِرهُ إِنَّ خَیرَ مَنِ استَأجَرتَ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أَن تَأجُرَنِی من أجرته، أی تکون أجیراً لی، 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أبوته إذا کنت له أباً</w:t>
      </w:r>
      <w:r>
        <w:rPr>
          <w:rFonts w:eastAsia="Amiri" w:cs="Amiri" w:ascii="Amiri" w:hAnsi="Amiri"/>
          <w:color w:val="111111"/>
          <w:sz w:val="28"/>
          <w:szCs w:val="28"/>
          <w:rtl w:val="true"/>
          <w:lang w:bidi="ar-SA"/>
        </w:rPr>
        <w:t xml:space="preserve">. </w:t>
      </w:r>
      <w:r>
        <w:rPr>
          <w:rStyle w:val="FootnoteAnchor"/>
          <w:rtl w:val="true"/>
        </w:rPr>
        <w:footnoteReference w:id="212"/>
      </w:r>
      <w:r>
        <w:rPr>
          <w:rFonts w:ascii="IRNazanin" w:hAnsi="IRNazanin" w:eastAsia="IRNazanin"/>
          <w:color w:val="111111"/>
          <w:sz w:val="28"/>
          <w:sz w:val="28"/>
          <w:szCs w:val="28"/>
          <w:rtl w:val="true"/>
          <w:lang w:bidi="fa-IR"/>
        </w:rPr>
        <w:t xml:space="preserve">أو من أجرته کذا إذا أثبته إیاه </w:t>
      </w:r>
      <w:r>
        <w:rPr>
          <w:rStyle w:val="FootnoteAnchor"/>
          <w:rtl w:val="true"/>
        </w:rPr>
        <w:footnoteReference w:id="213"/>
      </w:r>
      <w:r>
        <w:rPr>
          <w:rFonts w:ascii="IRNazanin" w:hAnsi="IRNazanin" w:eastAsia="IRNazanin"/>
          <w:color w:val="111111"/>
          <w:sz w:val="28"/>
          <w:sz w:val="28"/>
          <w:szCs w:val="28"/>
          <w:rtl w:val="true"/>
          <w:lang w:bidi="fa-IR"/>
        </w:rPr>
        <w:t>وأعطیته الأجرة</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وآجر کذلک، والفرق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أجرته یقال إذا اعتبر فعل أحدهما، وآجرته یقال إذا اعتبر فعلاهما، وکلاهما یرجعان إلی 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آجره الله وأجَره الله</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والأجیر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 بمعنی فاعل أو مفاعل</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ثَمانِیَ یکون ظرفاً بناء علی الاحتمال الأول فی تَأجُرَنِی ، وأمّا علی الاحتمال الثانی فیکون مفعولاً به</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حِجَجٍ جمع حِجّة، والمراد بها السنّة، وهذا الإطلاق بلحاظ أنّ کلّ سنة فیها حجّة للبیت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یظهر أنّ حجّ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شریعة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معمولاً به عندهم</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وبذلک ورد الأثر عن الامام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المدلول التشریعی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استنبط من هذا النصّ مجموعة من الأحکام بعضها یتعلّق بالإجارة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وبعضها یتعلّق بغیرها، ومن المنطقی أن یترکّز البحث علی القسم الأوّل من هذه الأحکام، وأمّا القسم الثانی فسنکتفی بالإشارة إلیه إجمالاً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حقیقة الإجارة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معاوضة علی تملیک منفعة بعوض کسائر أسامی المعاملات</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وهی</w:t>
      </w:r>
    </w:p>
    <w:p>
      <w:pPr>
        <w:pStyle w:val="BookText"/>
        <w:rPr/>
      </w:pPr>
      <w:r>
        <w:rPr>
          <w:rFonts w:ascii="IRNazanin" w:hAnsi="IRNazanin" w:eastAsia="IRNazanin"/>
          <w:color w:val="111111"/>
          <w:sz w:val="28"/>
          <w:sz w:val="28"/>
          <w:szCs w:val="28"/>
          <w:rtl w:val="true"/>
          <w:lang w:bidi="fa-IR"/>
        </w:rPr>
        <w:t>تارة یکون متعلّقها منافع الإنسان الحرّ أی عمله، واُخری یکون متعلّقها منافع الأعیان وما یلحق بها من منافع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الاجارة</w:t>
      </w:r>
    </w:p>
    <w:p>
      <w:pPr>
        <w:pStyle w:val="BookText"/>
        <w:rPr/>
      </w:pPr>
      <w:r>
        <w:rPr>
          <w:rFonts w:ascii="IRNazanin" w:hAnsi="IRNazanin" w:eastAsia="IRNazanin"/>
          <w:color w:val="111111"/>
          <w:sz w:val="28"/>
          <w:sz w:val="28"/>
          <w:szCs w:val="28"/>
          <w:rtl w:val="true"/>
          <w:lang w:bidi="fa-IR"/>
        </w:rPr>
        <w:t>وفی البدء لا بدّ من بیان أمرٍ مهمّ یتوقّف علیه الاستدلال بهذا النصّ فی مختلف مفاصله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فممّا لا غبار علیه کون النصّ مبیّن لجملة أحکام تعود إلی الاُمم السابقة، ولا شکّ فی کونها مشرّعة بحقّهم؛ لأنّ النصّ یحکی لنا ممارسات عملیة صدرت من نبییّن من أنبیاء الله المقرّبین، هما شعیب، وموسی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من أولی العزم، فکلّ ما یصدر منهما یکون حجّة علی من عاصرهم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 أنّ هذا المقدار من البیان بمجرّده لا یکفی فی کون ذلک حجّة بحقّنا نحن المسلمین، لوجود مشکلة تواجه المستنبط، فلا یمکن تسریة تلک الأحکام إلی شرعنا إلاّ بإثبات حجیّة شرع من قبلنا بالنسبة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عولجت هذه الفجوة فی الاستدلال من قبل البعض من خلال التمسّک بأصالة عدم النسخ أو ما یسمّی باستصحاب عدم النسخ، فهذه المسألة إذاً أساسیة فی الاستدلال، فإن قُبلت انفتح الباب أمامنا للتقدّم عدّة خطوات فی الاستدلال بهذا النصّ، وإن ردّت فسیوصد وعندها سنتوقّف فی بدایة الطریق</w:t>
      </w:r>
      <w:r>
        <w:rPr>
          <w:rFonts w:eastAsia="IRNazanin" w:cs="IRNazanin"/>
          <w:color w:val="111111"/>
          <w:sz w:val="28"/>
          <w:szCs w:val="28"/>
          <w:rtl w:val="true"/>
          <w:lang w:bidi="fa-IR"/>
        </w:rPr>
        <w:t xml:space="preserve">. </w:t>
      </w:r>
      <w:r>
        <w:rPr>
          <w:rStyle w:val="FootnoteAnchor"/>
          <w:rtl w:val="true"/>
        </w:rPr>
        <w:footnoteReference w:id="221"/>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نجد أمامنا اتجاهین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bookmarkStart w:id="273" w:name="pg5707_46511"/>
    </w:p>
    <w:p>
      <w:pPr>
        <w:pStyle w:val="BookText"/>
        <w:rPr/>
      </w:pPr>
      <w:bookmarkEnd w:id="273"/>
      <w:r>
        <w:rPr>
          <w:rFonts w:ascii="IRNazanin" w:hAnsi="IRNazanin" w:eastAsia="IRNazanin"/>
          <w:color w:val="111111"/>
          <w:sz w:val="28"/>
          <w:sz w:val="28"/>
          <w:szCs w:val="28"/>
          <w:rtl w:val="true"/>
          <w:lang w:bidi="fa-IR"/>
        </w:rPr>
        <w:t>الاتجاه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القبول بهذه المعالجة والتسلیم بأصالة عدم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هذه المعالجة، ولذا لم یستند أصحاب هذا الاتجاه فی استنباطاتهم الشرعیة إلی هذا النصّ وعدلوا إلی غیره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ویترتّب علی ذلک أنّ ما سوف نذکره من دلالات للنصّ القرآنی هذا مبتنٍ علی القول بحجیّة شرع من قبلنا، وإلّا فبناء علی عدم قبول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اختاره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یتمّ شیء من هذه الاستدلالات، وما یمکن أن یستفاد من هذا النصّ من دلالات هی کالتالی</w:t>
      </w:r>
      <w:r>
        <w:rPr>
          <w:rFonts w:eastAsia="IRNazanin" w:cs="IRNazanin"/>
          <w:color w:val="111111"/>
          <w:sz w:val="28"/>
          <w:szCs w:val="28"/>
          <w:rtl w:val="true"/>
          <w:lang w:bidi="fa-IR"/>
        </w:rPr>
        <w:t>:</w:t>
      </w:r>
    </w:p>
    <w:p>
      <w:pPr>
        <w:pStyle w:val="Heading5"/>
        <w:numPr>
          <w:ilvl w:val="4"/>
          <w:numId w:val="1"/>
        </w:numPr>
        <w:rPr/>
      </w:pPr>
      <w:bookmarkStart w:id="274" w:name="__RefHeading___Toc3818419_581953129"/>
      <w:bookmarkStart w:id="275" w:name="_Toc112"/>
      <w:bookmarkEnd w:id="274"/>
      <w:r>
        <w:rPr>
          <w:rtl w:val="true"/>
        </w:rPr>
        <w:t>أ</w:t>
      </w:r>
      <w:r>
        <w:rPr>
          <w:rtl w:val="true"/>
        </w:rPr>
        <w:t xml:space="preserve">) </w:t>
      </w:r>
      <w:r>
        <w:rPr>
          <w:rtl w:val="true"/>
        </w:rPr>
        <w:t>مشروعیة الإجارة</w:t>
      </w:r>
      <w:bookmarkEnd w:id="2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الاستدلال بهذا النصّ علی مشروعیة الإجارة یتمّ بنحوین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بقوله عَلی أَن تَأجُرَنِی بناء علی کون المراد بها اشتراط الإجارة فی عقد النکاح، أی تصبح أجیری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لو بنینا علی أنّ المراد اشتراط إعطاء الاُجرة فلا دلالة فیه علی مشروعیة الإجارة </w:t>
      </w:r>
      <w:r>
        <w:rPr>
          <w:rStyle w:val="FootnoteAnchor"/>
          <w:rtl w:val="true"/>
        </w:rPr>
        <w:footnoteReference w:id="223"/>
      </w:r>
      <w:r>
        <w:rPr>
          <w:rFonts w:ascii="IRNazanin" w:hAnsi="IRNazanin" w:eastAsia="IRNazanin"/>
          <w:color w:val="111111"/>
          <w:sz w:val="28"/>
          <w:sz w:val="28"/>
          <w:szCs w:val="28"/>
          <w:rtl w:val="true"/>
          <w:lang w:bidi="fa-IR"/>
        </w:rPr>
        <w:t>، بل هو شرط ضمن عقد أو هو مهر للنکاح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المرجّح هو التفسیر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 سیأتی بیانه عاجلاً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النحو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وجود القرائن اللفظیة الکثیرة ودلالة السیاق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الروایات المؤیّدة، منها ما حکی عن یحیی بن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شعیباً جعل لموسی کلّ سخلة توضع علی خلاف شبه أمّها، فأوحی الله إلی موسی فی المنام أن ألق عصاک فی الماء ففعل فولدن کلهنّ علی خلاف شبههنّ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وعده أن یعطیه تلک السنة من نتاج غنمه کلّ أدرع وأنّها نتجت کلّها درعاً</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w:t>
      </w:r>
      <w:r>
        <w:rPr>
          <w:rStyle w:val="FootnoteAnchor"/>
          <w:rtl w:val="true"/>
        </w:rPr>
        <w:footnoteReference w:id="225"/>
      </w:r>
      <w:r>
        <w:rPr>
          <w:rFonts w:ascii="Amiri" w:hAnsi="Amiri" w:eastAsia="Amiri" w:cs="Amiri"/>
          <w:color w:val="111111"/>
          <w:sz w:val="28"/>
          <w:sz w:val="28"/>
          <w:szCs w:val="28"/>
          <w:rtl w:val="true"/>
          <w:lang w:bidi="ar-SA"/>
        </w:rPr>
        <w:t>بقوله یا أَبَتِ استَأجِرهُ إِنَّ خَیرَ مَنِ استَأجَرتَ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إنّ الاستئجار المتکرّر ذکره مرّتین واضح فی إرادة الإجارة، وهو وإن کان حکایة لقول ابنة شعیب، إلّا أنّه حیث لم یرد ردع، </w:t>
      </w:r>
      <w:r>
        <w:rPr>
          <w:rStyle w:val="FootnoteAnchor"/>
          <w:rtl w:val="true"/>
        </w:rPr>
        <w:footnoteReference w:id="226"/>
      </w:r>
      <w:r>
        <w:rPr>
          <w:rFonts w:ascii="Amiri" w:hAnsi="Amiri" w:eastAsia="Amiri" w:cs="Amiri"/>
          <w:color w:val="111111"/>
          <w:sz w:val="28"/>
          <w:sz w:val="28"/>
          <w:szCs w:val="28"/>
          <w:rtl w:val="true"/>
          <w:lang w:bidi="ar-SA"/>
        </w:rPr>
        <w:t>بل الظاهر أنّ ما وقع منه بعد ذلک استجابة لها، وبهذا یکون قرینة أیضاً علی أنّ المراد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تَأجُرَنِی اشتراط الإجارة لا إعطاء الأجر، بل یمکن إضافة قرینة اخری، وهی ما قالته ابنة شعیب لموسی حینما دعته قالَت إِنَّ أَبِی یَدعُوکَ لِیَجزِیَکَ أَجرَ ما سَقَیتَ لَنا فلسان هذه الآیة مختلف عن الآیتین اللتین تلتاها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 ثمة بحث قد یثار هنا، وهو هل العقد الأصلی عقد النکاح، والإجارة شرط فیه، أو أنّ العقد الأصلی هو الإجارة، لکنّ ذلک لا یؤثّر علی مشروعیة الإجارة، فإنّها دالّة علی المشروعیة سواءً کانت عقداً مستقلّاً أو شرطاً ضمن عقد مادام الشرط ضمن عقد لا بدّ وأن یکون مشروعاً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النصّ المتقدّم یثبت مشروعیة أحد أنواع الإجارة، وهی إجارة الإنسان، ولا تعرّض إلی إجارة الأعیان ونحوها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النص لو دلّ علی مشروعیة الإجارة فهو لا یثبت المشروعیة مطلقاً، بل فی خصوص ما وقع عقدها باللفظ، فهو القدر المتیقّن فی هذا النصّ بل خصوص ما وقع بلفظ الإجارة ومعناها، کما هو صریح النصّ، قال ابن</w:t>
      </w:r>
      <w:bookmarkStart w:id="276" w:name="pg5707_46513"/>
    </w:p>
    <w:p>
      <w:pPr>
        <w:pStyle w:val="BookText"/>
        <w:rPr/>
      </w:pPr>
      <w:bookmarkEnd w:id="276"/>
      <w:r>
        <w:rPr>
          <w:rFonts w:ascii="Amiri" w:hAnsi="Amiri" w:eastAsia="Amiri" w:cs="Amiri"/>
          <w:color w:val="111111"/>
          <w:sz w:val="28"/>
          <w:sz w:val="28"/>
          <w:szCs w:val="28"/>
          <w:rtl w:val="true"/>
          <w:lang w:bidi="ar-SA"/>
        </w:rPr>
        <w:t>العربی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تَأجُرَنِی ثَمانِیَ حِجَجٍ فذکر له لفظ الإجارة ومعناها</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ینبغی التنبیه علی أنّ لدینا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هذا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کثیرة عامّة وخاصّة لفظیة وغیر لفظیة تثبت مشروعیة الإجارة، بل إنّ هذا من الاُمور الواضحة الغنیة عن الاستدلال، وإنّما یؤتی بالاستدلال لمزید التأکید، قال ابن العربی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اِستَأجِرهُ دلیل علی أنّ الإجارة بینهم وعندهم مشروعة معلومة، وکذلک کانت فی کلّ ملّة، وهی من ضرورة الخلیقة، ومصلحة الخلطة بین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ولم یخالف فی مشروعیتها إلّا فی قول شاذّ محکیّ عن عبدالرحمن بن الأصمّ،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غرر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بل إنّ کثیراً من أحکام العقود بشکل عام وبضمنها الإجارة یمکن إثباتها بنصوص من الکتاب کما سیأتی</w:t>
      </w:r>
      <w:r>
        <w:rPr>
          <w:rFonts w:eastAsia="IRNazanin" w:cs="IRNazanin"/>
          <w:color w:val="111111"/>
          <w:sz w:val="28"/>
          <w:szCs w:val="28"/>
          <w:rtl w:val="true"/>
          <w:lang w:bidi="fa-IR"/>
        </w:rPr>
        <w:t>.</w:t>
      </w:r>
    </w:p>
    <w:p>
      <w:pPr>
        <w:pStyle w:val="Heading5"/>
        <w:numPr>
          <w:ilvl w:val="4"/>
          <w:numId w:val="1"/>
        </w:numPr>
        <w:rPr/>
      </w:pPr>
      <w:bookmarkStart w:id="277" w:name="__RefHeading___Toc3818421_581953129"/>
      <w:bookmarkStart w:id="278" w:name="_Toc113"/>
      <w:bookmarkEnd w:id="277"/>
      <w:r>
        <w:rPr>
          <w:rtl w:val="true"/>
        </w:rPr>
        <w:t>ب</w:t>
      </w:r>
      <w:r>
        <w:rPr>
          <w:rtl w:val="true"/>
        </w:rPr>
        <w:t xml:space="preserve">) </w:t>
      </w:r>
      <w:r>
        <w:rPr>
          <w:rtl w:val="true"/>
        </w:rPr>
        <w:t>مدّة الاجارة</w:t>
      </w:r>
      <w:bookmarkEnd w:id="2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تحدّد الإجارة بمدّة معیّنة أوّلاً؟</w:t>
      </w:r>
    </w:p>
    <w:p>
      <w:pPr>
        <w:pStyle w:val="BookText"/>
        <w:rPr/>
      </w:pPr>
      <w:r>
        <w:rPr>
          <w:rFonts w:ascii="IRNazanin" w:hAnsi="IRNazanin" w:eastAsia="IRNazanin"/>
          <w:color w:val="111111"/>
          <w:sz w:val="28"/>
          <w:sz w:val="28"/>
          <w:szCs w:val="28"/>
          <w:rtl w:val="true"/>
          <w:lang w:bidi="fa-IR"/>
        </w:rPr>
        <w:t>حکی فی ذلک ثلاثة أقوال عدیدة،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الصحّة أکثر من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الصحّة فی الآماد الطویلة کما لو کانت أکثر من ثلاثین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تتقدّر بمدّة، فیصحّ الاستئجار لمدّة قلیلة أو کثیرة، ویردّ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ثَمانِیَ حِجَجٍ، بل إنّ العرف لا یفهم من ذکر الثمان التقیید، سیّما مع ذکر العشر بعده</w:t>
      </w:r>
      <w:r>
        <w:rPr>
          <w:rFonts w:eastAsia="Amiri" w:cs="Amiri" w:ascii="Amiri" w:hAnsi="Amiri"/>
          <w:color w:val="111111"/>
          <w:sz w:val="28"/>
          <w:szCs w:val="28"/>
          <w:rtl w:val="true"/>
          <w:lang w:bidi="ar-SA"/>
        </w:rPr>
        <w:t xml:space="preserve">. </w:t>
      </w:r>
      <w:r>
        <w:rPr>
          <w:rStyle w:val="FootnoteAnchor"/>
          <w:rtl w:val="true"/>
        </w:rPr>
        <w:footnoteReference w:id="228"/>
      </w:r>
      <w:bookmarkStart w:id="279" w:name="pg5707_46514"/>
    </w:p>
    <w:p>
      <w:pPr>
        <w:pStyle w:val="BookText"/>
        <w:rPr/>
      </w:pPr>
      <w:bookmarkEnd w:id="279"/>
      <w:r>
        <w:rPr>
          <w:rFonts w:ascii="IRNazanin" w:hAnsi="IRNazanin" w:eastAsia="IRNazanin"/>
          <w:color w:val="111111"/>
          <w:sz w:val="28"/>
          <w:sz w:val="28"/>
          <w:szCs w:val="28"/>
          <w:rtl w:val="true"/>
          <w:lang w:bidi="fa-IR"/>
        </w:rPr>
        <w:t xml:space="preserve">وعلّل بعض الفقهاء المنع فی المدد الطویلة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اختلاف فی تحدیدها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بسرعة التغیّر فی الغالب إلی الأبدان فی هذه المدد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واستفید من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الحاجة إلی تقسیط المدّة المذکورة فی العقد علی الأشهر أو السنین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عدم الحاجة إلی ذکر ابتداء المدّة، فیصحّ مع الإطلاق</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وهذا هو قول مالک وأبی حنیفة، فی حین قال الشافعی وآخرون لا یصحّ حتّی یسمّی الشهر ویذکر أیّة سنة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 بعض الفقهاء من النصّ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الجهالة النسبیة غیر قادحة فی صحّة المشروعیة، فبعد أن أورد روایة فی الإجارة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تدلّ علی أنّ الجهالة فی المدّة فی الجملة لا تضرّ، وأنّ معنی الآیة ذلک، وأنّ حکمها باق فی شریعتنا، بل حجیّة شرع من قبلنا فی الجملة</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إجارة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من نوع المقاطعة، أی کون المعاملة واقعة علی مجموع العمل فی هذه المدّة، فلا شیء له إلّا أن یُتمّه</w:t>
      </w:r>
      <w:r>
        <w:rPr>
          <w:rFonts w:eastAsia="IRNazanin" w:cs="IRNazanin"/>
          <w:color w:val="111111"/>
          <w:sz w:val="28"/>
          <w:szCs w:val="28"/>
          <w:rtl w:val="true"/>
          <w:lang w:bidi="fa-IR"/>
        </w:rPr>
        <w:t xml:space="preserve">. </w:t>
      </w:r>
      <w:r>
        <w:rPr>
          <w:rStyle w:val="FootnoteAnchor"/>
          <w:rtl w:val="true"/>
        </w:rPr>
        <w:footnoteReference w:id="232"/>
      </w:r>
    </w:p>
    <w:p>
      <w:pPr>
        <w:pStyle w:val="Heading5"/>
        <w:numPr>
          <w:ilvl w:val="4"/>
          <w:numId w:val="1"/>
        </w:numPr>
        <w:rPr/>
      </w:pPr>
      <w:bookmarkStart w:id="280" w:name="__RefHeading___Toc3818423_581953129"/>
      <w:bookmarkStart w:id="281" w:name="_Toc114"/>
      <w:bookmarkEnd w:id="280"/>
      <w:r>
        <w:rPr>
          <w:rtl w:val="true"/>
        </w:rPr>
        <w:t>ج</w:t>
      </w:r>
      <w:r>
        <w:rPr>
          <w:rtl w:val="true"/>
        </w:rPr>
        <w:t xml:space="preserve">) </w:t>
      </w:r>
      <w:r>
        <w:rPr>
          <w:rtl w:val="true"/>
        </w:rPr>
        <w:t>الإجارة علی الرعی</w:t>
      </w:r>
      <w:bookmarkEnd w:id="2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دلّت الآیة علی مشروعیة الإجارة للرعی، کما یستفاد من مراجعة أوّل القصّة وسیاقها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وَرَدَ ماءَ مَدیَنَ وَجَدَ عَلَیهِ أُمَّةً مِنَ النّاسِ یَسقُونَ وَ وَجَدَ مِن دُونِهِمُ امرَأَتَینِ تَذُودانِ قالَ ما خَطبُکُما قالَتا لا نَسقِی حَتّی یُصدِرَ الرِّعاءُ وَ أَبُونا شَیخٌ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فَسَقی لَهُما ثُمَّ تَوَلّی</w:t>
      </w:r>
      <w:bookmarkStart w:id="282" w:name="pg5707_46515"/>
    </w:p>
    <w:p>
      <w:pPr>
        <w:pStyle w:val="BookText"/>
        <w:rPr/>
      </w:pPr>
      <w:bookmarkEnd w:id="282"/>
      <w:r>
        <w:rPr>
          <w:rFonts w:ascii="Amiri" w:hAnsi="Amiri" w:eastAsia="Amiri" w:cs="Amiri"/>
          <w:color w:val="111111"/>
          <w:sz w:val="28"/>
          <w:sz w:val="28"/>
          <w:szCs w:val="28"/>
          <w:rtl w:val="true"/>
          <w:lang w:bidi="ar-SA"/>
        </w:rPr>
        <w:t>إِلَی الظِّلِّ فَقالَ رَبِّ إِنِّی لِما أَنزَلتَ إِلَیَّ مِن خَیرٍ 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فَجاءَتهُ إِحداهُما تَمشِی عَلَی استِحیاءٍ قالَت إِنَّ أَبِی یَدعُوکَ لِیَجزِیَکَ أَجرَ ما سَقَیتَ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إِحداهُما یا أَبَتِ استَأجِرهُ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تَأجُرَنِی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فالذی یظهر من هذه الآیات أنّ الحاجة التی دعت ابنتی شعیب إلی الاستعانة بموسی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السقی والذی هو من شؤون الرعی</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 استدلّ بالآیة علی أنّ تقدیر عمل الرعی بالزمان، بل کلّ عمل إمّا أن یقدّر بالزمان أو بالصفة</w:t>
      </w:r>
      <w:r>
        <w:rPr>
          <w:rFonts w:eastAsia="IRNazanin" w:cs="IRNazanin"/>
          <w:color w:val="111111"/>
          <w:sz w:val="28"/>
          <w:szCs w:val="28"/>
          <w:rtl w:val="true"/>
          <w:lang w:bidi="fa-IR"/>
        </w:rPr>
        <w:t>.</w:t>
      </w:r>
    </w:p>
    <w:p>
      <w:pPr>
        <w:pStyle w:val="Heading5"/>
        <w:numPr>
          <w:ilvl w:val="4"/>
          <w:numId w:val="1"/>
        </w:numPr>
        <w:rPr/>
      </w:pPr>
      <w:bookmarkStart w:id="283" w:name="__RefHeading___Toc3818425_581953129"/>
      <w:bookmarkStart w:id="284" w:name="_Toc115"/>
      <w:bookmarkEnd w:id="283"/>
      <w:r>
        <w:rPr>
          <w:rtl w:val="true"/>
        </w:rPr>
        <w:t>د</w:t>
      </w:r>
      <w:r>
        <w:rPr>
          <w:rtl w:val="true"/>
        </w:rPr>
        <w:t xml:space="preserve">) </w:t>
      </w:r>
      <w:r>
        <w:rPr>
          <w:rtl w:val="true"/>
        </w:rPr>
        <w:t>العوض</w:t>
      </w:r>
      <w:bookmarkEnd w:id="2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العوض فی الإجارة کما یمکن أن یکون عیناً یمکن أن یکون منفعة أیضاً، سواءً ماثلت المنفعة التی هی مورد الإجارة أو خالفتها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أُرِیدُ أَن أُنکِحَکَ إِحدَی ابنَتَیَّ هاتَینِ عَلی أَن تَأجُرَنِی ثَمانِیَ حِجَجٍ فجعل النکاح عوض الإجارة، کذا قالوا</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بید أنّه یمکن المناقشة فی هذا الاستدلال بأنّ فی الآیة احتمالین لا ثالث لهما،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العقد الواقع هو عقد النکاح مشروطاً بإعطاء الأجر، وهو المهر</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العقد هو النکاح مشروطاً بعقد الإجارة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والاستدلال المتقدّم لا یتمّ علی شیء منهما، بل إنّما یتمّ بناء علی کون العقد الأصلی هو عقد الإجارة، وهذا خلاف الظاهر من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ربّما تکون الإجارة تمام</w:t>
      </w:r>
    </w:p>
    <w:p>
      <w:pPr>
        <w:pStyle w:val="BookText"/>
        <w:rPr/>
      </w:pPr>
      <w:r>
        <w:rPr>
          <w:rFonts w:ascii="IRNazanin" w:hAnsi="IRNazanin" w:eastAsia="IRNazanin"/>
          <w:color w:val="111111"/>
          <w:sz w:val="28"/>
          <w:sz w:val="28"/>
          <w:szCs w:val="28"/>
          <w:rtl w:val="true"/>
          <w:lang w:bidi="fa-IR"/>
        </w:rPr>
        <w:t>الداعی أو جزءه، ولکن لا تأثیر لذلک، وإنّما العبرة بالإنشاء الواقع خارجاً وبالصورة التی ابرم علیها العقد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لم یذکر فی هذا النصّ ما کانت اجرة موسی، ولکن بعض ماروی لنا من السنّة فیه أنّ الأجرة کانت من نتاج الغنم</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وهذا یقتضی الجهالة والغرر؛ فإنّ ولادة الغنم غیر معلومة، وأنّ من البلاد الخصبة ما یعلم ولادة الغنم فیها قطعاً وعدّتها وسلامة سخالها ومنها ما لا یعلم ذلک منها، ممّا أثار جدلاً علمیاً بین المحقّقین لکون الغرر منهی عنه، بل المشکلة هنا أصعب باعتبار ما روی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النهی عن المضامین والملاقیح لا عن الغرر بصورة عامّة فحسب، والمضامین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بطون الاُمهات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والملاقیح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أصلاب الفحول</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والبحث فی ذلک کما تری خارج عن البحث فی مفاد النصّ القرآنی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لبنت صالح مدین فی الغنم حصّة، فلذلک صحّت الإجارة صداقاً لها بما کان لها من الحصة فیها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وعلّق القاضی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احتراز من معنی بوقوع 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الغنم إذا کانت بین صالح وبین ابنته وأخذها موسی مستأجراً علیها، ففی ذلک جمع سلعتین فی عقد واحد لغیر عاقد واحد</w:t>
      </w:r>
      <w:r>
        <w:rPr>
          <w:rFonts w:eastAsia="IRNazanin" w:cs="IRNazanin"/>
          <w:color w:val="111111"/>
          <w:sz w:val="28"/>
          <w:szCs w:val="28"/>
          <w:rtl w:val="true"/>
          <w:lang w:bidi="fa-IR"/>
        </w:rPr>
        <w:t xml:space="preserve">. </w:t>
      </w:r>
      <w:r>
        <w:rPr>
          <w:rStyle w:val="FootnoteAnchor"/>
          <w:rtl w:val="true"/>
        </w:rPr>
        <w:footnoteReference w:id="238"/>
      </w:r>
      <w:bookmarkStart w:id="285" w:name="pg5707_46517"/>
    </w:p>
    <w:p>
      <w:pPr>
        <w:pStyle w:val="BookText"/>
        <w:rPr/>
      </w:pPr>
      <w:bookmarkEnd w:id="285"/>
      <w:r>
        <w:rPr>
          <w:rFonts w:ascii="IRNazanin" w:hAnsi="IRNazanin" w:eastAsia="IRNazanin"/>
          <w:color w:val="111111"/>
          <w:sz w:val="28"/>
          <w:sz w:val="28"/>
          <w:szCs w:val="28"/>
          <w:rtl w:val="true"/>
          <w:lang w:bidi="fa-IR"/>
        </w:rPr>
        <w:t>ولعلّ مراد ذاک القائل أنّه ذکره علی نحو الاحتمال لا علی سبیل نقل الروایة والأثر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أیّة حال فالبحث هنا کسابقه خارج عن مدلول النصّ القرآنی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یذکر فی النصّ نوع العمل المطلوب من موسی فی تلک الإجارة، وقد یستفاد من ذلک جواز الإطلاق فی عقد الإجارة ویُحمل علی المتعارف، والمفهوم من تلک القصة أنّ صالح مدین لم یکن له عمل إلّا رعیة الغنم، فکان ما علم من حاله قائماً مقام تعیین الخدمة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حنیفة والشافعی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مجهول</w:t>
      </w:r>
      <w:r>
        <w:rPr>
          <w:rFonts w:eastAsia="IRNazanin" w:cs="IRNazanin"/>
          <w:color w:val="111111"/>
          <w:sz w:val="28"/>
          <w:szCs w:val="28"/>
          <w:rtl w:val="true"/>
          <w:lang w:bidi="fa-IR"/>
        </w:rPr>
        <w:t xml:space="preserve">. </w:t>
      </w:r>
      <w:r>
        <w:rPr>
          <w:rStyle w:val="FootnoteAnchor"/>
          <w:rtl w:val="true"/>
        </w:rPr>
        <w:footnoteReference w:id="239"/>
      </w:r>
    </w:p>
    <w:p>
      <w:pPr>
        <w:pStyle w:val="Heading5"/>
        <w:numPr>
          <w:ilvl w:val="4"/>
          <w:numId w:val="1"/>
        </w:numPr>
        <w:rPr/>
      </w:pPr>
      <w:bookmarkStart w:id="286" w:name="__RefHeading___Toc3818427_581953129"/>
      <w:bookmarkStart w:id="287" w:name="_Toc116"/>
      <w:bookmarkEnd w:id="286"/>
      <w:r>
        <w:rPr>
          <w:rtl w:val="true"/>
        </w:rPr>
        <w:t>ه</w:t>
      </w:r>
      <w:r>
        <w:rPr>
          <w:rtl w:val="true"/>
        </w:rPr>
        <w:t xml:space="preserve">) </w:t>
      </w:r>
      <w:r>
        <w:rPr>
          <w:rtl w:val="true"/>
        </w:rPr>
        <w:t>الشروط‌</w:t>
      </w:r>
      <w:bookmarkEnd w:id="2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بدّ من ضبط الشروط بشکل واضح بحیث لا یحصل هناک غرر یؤدّی عادة إلی الخصومة والخلاف فیما بعد، فقد حدّد موسی الشرط اللازم وأعقبه بالتطوّع، فی العشر، وقد خرج کلّ واحد منهما علی حکمه، ولم یلحق الآخر بالأول، ولا اشترک الفرض والتطوّع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ذلِکَ بَینِی وَ بَینَکَ أَیَّمَا الأَجَلَینِ قَضَیتُ فَلا عُدوانَ عَلَیَّ وَ اللّهُ عَلی ما نَقُولُ وَکِیلٌ إشارة إلی أنّ المعاملات والعقود لا بدّ وأن تکون واضحة غیر مبهمة وتجریدها عن کلّ ما یؤدّی إلی الإبهام والاختلاف فیما بعد، حیث إنّ موسی یؤکّد علی أنّ العمل فی السنتین الإضافیتین هو شرط غیر ملزم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اشترط بعض أنّ الإجارة علی رعی الغنم إن کانت معدودة معیّنة لا تصحّ حتّی یشترط الخلَف إن ماتت، لکن ردّ بعضهم ذلک للآیة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استأجر صالح مدین موسی علی غنمه، وقد رآها ولم یشترط خلفاً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288" w:name="pg5707_46518"/>
    </w:p>
    <w:p>
      <w:pPr>
        <w:pStyle w:val="Heading5"/>
        <w:numPr>
          <w:ilvl w:val="4"/>
          <w:numId w:val="1"/>
        </w:numPr>
        <w:rPr/>
      </w:pPr>
      <w:bookmarkStart w:id="289" w:name="__RefHeading___Toc3818429_581953129"/>
      <w:bookmarkStart w:id="290" w:name="_Toc117"/>
      <w:bookmarkEnd w:id="288"/>
      <w:bookmarkEnd w:id="289"/>
      <w:r>
        <w:rPr>
          <w:rtl w:val="true"/>
        </w:rPr>
        <w:t>و</w:t>
      </w:r>
      <w:r>
        <w:rPr>
          <w:rtl w:val="true"/>
        </w:rPr>
        <w:t xml:space="preserve">) </w:t>
      </w:r>
      <w:r>
        <w:rPr>
          <w:rtl w:val="true"/>
        </w:rPr>
        <w:t>الآداب</w:t>
      </w:r>
      <w:bookmarkEnd w:id="290"/>
    </w:p>
    <w:p>
      <w:pPr>
        <w:pStyle w:val="BookText"/>
        <w:rPr/>
      </w:pPr>
      <w:r>
        <w:rPr>
          <w:rFonts w:ascii="IRNazanin" w:hAnsi="IRNazanin" w:eastAsia="IRNazanin"/>
          <w:color w:val="111111"/>
          <w:sz w:val="28"/>
          <w:sz w:val="28"/>
          <w:szCs w:val="28"/>
          <w:rtl w:val="true"/>
          <w:lang w:bidi="fa-IR"/>
        </w:rPr>
        <w:t>یمکن أن نستشفّ من هذه الواقعة عدّة آداب وأحکام أخلاقیة کثیرة، نشیر إلی ما یتعلّق منها بالبحث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إِنَّ أَبِی یَدعُوکَ لِیَجزِیَکَ أَجرَ ما سَقَیتَ لَنا یمکن أن یستفاد منه مدی الحرص علی عمل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السقی الذی قام به موسی کان تبرّعاً منه، لکن الأخلاق الدینیة والتربیة النبویة تدفع الإنسان أن یکافئ علی العمل وعدم تضییعه، فکیف إذا کان العمل ضمن عقد واتفاق؟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أَتمَمتَ عَشراً فَمِن عِندِکَ وَ ما أُرِیدُ أَن أَشُقَّ عَلَیکَ سَتَجِدُنِی إِن شاءَ اللّهُ مِنَ الصّالِحِینَ یدلّ علی عدم استغلال ربّ العمل للعامل والأجیر، وعدم تجرید العقد الاقتصادی من الأخلاق والروح الانسانیة علی الرغم من کون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منتهی الحاجة، وربّما کان یرضی موسی بأشدّ الشروط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نری أیضاً مقابلة الإحسان بالإحسان، فإنّ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 علی عمل إنسانی وهو مساعدة الفتاتین ولم یکن فی قلبه طمع بأیّ شیء، وفی مقابل هذا العمل الإنسانی أقدم شعیب علی خطوة إنسانیة نبیلة بأن کافأه بالتزویج قبل أن ینبس ببنت شفة وجعله جزءاً من عائلته لا مستخدم فحسب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قَضی مُوسَی الأَجَلَ یدلّ علی وفاء موسی بهذا 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أشارت الروایات إلی أنّ موسی مکث عشر سنین ولم یکتف بالثمان المشروطة، فقد روی عن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سئلت أیّ الأجلین قضی موسی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خیرهما وأوفاهما</w:t>
      </w:r>
      <w:r>
        <w:rPr>
          <w:rFonts w:eastAsia="IRNazanin" w:cs="IRNazanin"/>
          <w:color w:val="111111"/>
          <w:sz w:val="28"/>
          <w:szCs w:val="28"/>
          <w:rtl w:val="true"/>
          <w:lang w:bidi="fa-IR"/>
        </w:rPr>
        <w:t xml:space="preserve">...» </w:t>
      </w:r>
      <w:r>
        <w:rPr>
          <w:rStyle w:val="FootnoteAnchor"/>
          <w:rtl w:val="true"/>
        </w:rPr>
        <w:footnoteReference w:id="240"/>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البزنطی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لأبی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شعیب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أُرِیدُ أَن أُنکِحَکَ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عِندِکَ ، أیّ الأجلین قضی؟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الوفاء منهما أبعدهما عشر سنین</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روی الاستدلال بهذا النص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مشروعیة أن یؤجر الإنسان نفسه، فعن ابن سنان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الإجارة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 لا بأس به إذا نصح قدر طاقته، فقد آجر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واشترط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ثماناً وإن شئت عشراً، فأنزل الله عزّوجلّ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تَأجُرَنِی ثَمانِیَ حِجَجٍ فَإِن أَتمَمتَ عَشراً فَمِن عِندِکَ </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فی حین روی عنهم أیضاً کراهة ذلک، من هنا تصدّی الشیخ الطوسی لبیان وجه الجمع بینهما وعدم التعارض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تنافی بین الخبرین؛ لأنّ الخبر الأوّل محمول علی ضرب من الکراهیة دون الحظر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کراهیة ذلک أنّه لا یأمن ألّاینصحه فی عمله، فیکون مأثوماً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نبّه علیه 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 إذا نصح قدر طاقته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الجمع بینهما بوجوه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أفادت نصوص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موسی کان عالماً بالوفاء</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سواء أکان علمه بالطرق الغیبیة لأنّه کلیم الله ونجیّه أو بالطرق العادیة؛ لأنّه کان لا یرید الاستقرار الدائم لظروفه الشخصیة والأوضاع السیاسیة أو للقیام بأمر النبوّة، ومهما یکن من أمر لم یکن یُقدم علی الإجارة مجازفة وتغریراً بالمستأجر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خَیرَ مَنِ استَأجَرتَ القَوِیُّ الأَمِینُ یستفاد منه مراعاة المصلحة وانتخاب الأجیر الأصلح والأفضل؛ فإنّ ابنة شعیب علّلت طلبها باستئجار موسی بالقوة والأمانة، وهذا ما یقتضیه التفکیر العقلائی السلیم توصّلا للغرض الحیاتی، فالقوة والقدرة علی العمل والأمانة من أجل الاطمئنان علی المال وعلی إتقان العمل عنصران مهمّان ینبغی</w:t>
      </w:r>
      <w:bookmarkStart w:id="291" w:name="pg5707_46520"/>
    </w:p>
    <w:p>
      <w:pPr>
        <w:pStyle w:val="BookText"/>
        <w:rPr/>
      </w:pPr>
      <w:bookmarkEnd w:id="291"/>
      <w:r>
        <w:rPr>
          <w:rFonts w:ascii="IRNazanin" w:hAnsi="IRNazanin" w:eastAsia="IRNazanin"/>
          <w:color w:val="111111"/>
          <w:sz w:val="28"/>
          <w:sz w:val="28"/>
          <w:szCs w:val="28"/>
          <w:rtl w:val="true"/>
          <w:lang w:bidi="fa-IR"/>
        </w:rPr>
        <w:t>توفّرهما فی العامل سیّما إذا کانت الإجارة علی عمل یقتضی الاختلاط بذوی المستأجر ونسائه فهذا مایستدعی أخذ الأمانة خصوصاً علی العرض بعین الاعتبار</w:t>
      </w:r>
      <w:r>
        <w:rPr>
          <w:rFonts w:eastAsia="IRNazanin" w:cs="IRNazanin"/>
          <w:color w:val="111111"/>
          <w:sz w:val="28"/>
          <w:szCs w:val="28"/>
          <w:rtl w:val="true"/>
          <w:lang w:bidi="fa-IR"/>
        </w:rPr>
        <w:t>.</w:t>
      </w:r>
    </w:p>
    <w:p>
      <w:pPr>
        <w:pStyle w:val="Heading5"/>
        <w:numPr>
          <w:ilvl w:val="4"/>
          <w:numId w:val="1"/>
        </w:numPr>
        <w:rPr/>
      </w:pPr>
      <w:bookmarkStart w:id="292" w:name="__RefHeading___Toc3818431_581953129"/>
      <w:bookmarkStart w:id="293" w:name="_Toc118"/>
      <w:bookmarkEnd w:id="292"/>
      <w:r>
        <w:rPr>
          <w:rtl w:val="true"/>
        </w:rPr>
        <w:t>ح</w:t>
      </w:r>
      <w:r>
        <w:rPr>
          <w:rtl w:val="true"/>
        </w:rPr>
        <w:t xml:space="preserve">) </w:t>
      </w:r>
      <w:r>
        <w:rPr>
          <w:rtl w:val="true"/>
        </w:rPr>
        <w:t>أحکام لا ترتبط بالإجارة</w:t>
      </w:r>
      <w:bookmarkEnd w:id="293"/>
    </w:p>
    <w:p>
      <w:pPr>
        <w:pStyle w:val="BookText"/>
        <w:rPr/>
      </w:pPr>
      <w:r>
        <w:rPr>
          <w:rFonts w:ascii="IRNazanin" w:hAnsi="IRNazanin" w:eastAsia="IRNazanin"/>
          <w:color w:val="111111"/>
          <w:sz w:val="28"/>
          <w:sz w:val="28"/>
          <w:szCs w:val="28"/>
          <w:rtl w:val="true"/>
          <w:lang w:bidi="fa-IR"/>
        </w:rPr>
        <w:t>قد تعرّض هذا النص إلی أحکام اخری أغلبها یتعلّق بالنکاح،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اشتراط اللفظ فی النکاح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جعل عمل الزوج مهراً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تعیین الزوجة فی الجملة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صیغة النکاح، وهل یصحّ مع عدم الماضویة؟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یصحّ جعل المهر للأب؟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یجوز اجتماع الإجارة والنکاح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ذلک من الأحکام</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 xml:space="preserve">و </w:t>
      </w:r>
      <w:r>
        <w:rPr>
          <w:rStyle w:val="FootnoteAnchor"/>
          <w:rtl w:val="true"/>
        </w:rPr>
        <w:footnoteReference w:id="245"/>
      </w:r>
    </w:p>
    <w:p>
      <w:pPr>
        <w:pStyle w:val="Heading4"/>
        <w:numPr>
          <w:ilvl w:val="3"/>
          <w:numId w:val="1"/>
        </w:numPr>
        <w:rPr/>
      </w:pPr>
      <w:bookmarkStart w:id="294" w:name="__RefHeading___Toc3818433_581953129"/>
      <w:bookmarkStart w:id="295" w:name="_Toc119"/>
      <w:bookmarkEnd w:id="294"/>
      <w:r>
        <w:rPr>
          <w:rtl w:val="true"/>
        </w:rPr>
        <w:t>النموذج الثانی</w:t>
      </w:r>
      <w:r>
        <w:rPr>
          <w:rtl w:val="true"/>
        </w:rPr>
        <w:t xml:space="preserve">: </w:t>
      </w:r>
      <w:r>
        <w:rPr>
          <w:rtl w:val="true"/>
        </w:rPr>
        <w:t xml:space="preserve">النظر إلی الغیر </w:t>
      </w:r>
      <w:r>
        <w:rPr>
          <w:rtl w:val="true"/>
        </w:rPr>
        <w:t>(</w:t>
      </w:r>
      <w:r>
        <w:rPr>
          <w:rtl w:val="true"/>
        </w:rPr>
        <w:t>غضّ البصر</w:t>
      </w:r>
      <w:r>
        <w:rPr>
          <w:rtl w:val="true"/>
        </w:rPr>
        <w:t>)</w:t>
      </w:r>
      <w:bookmarkEnd w:id="295"/>
    </w:p>
    <w:p>
      <w:pPr>
        <w:pStyle w:val="Heading5"/>
        <w:numPr>
          <w:ilvl w:val="4"/>
          <w:numId w:val="1"/>
        </w:numPr>
        <w:rPr/>
      </w:pPr>
      <w:bookmarkStart w:id="296" w:name="__RefHeading___Toc3818435_581953129"/>
      <w:bookmarkStart w:id="297" w:name="_Toc120"/>
      <w:bookmarkEnd w:id="296"/>
      <w:r>
        <w:rPr>
          <w:rtl w:val="true"/>
        </w:rPr>
        <w:t>اشارة</w:t>
      </w:r>
      <w:bookmarkEnd w:id="29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النص القرآنی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لِلمُؤمِنِینَ یَغُضُّوا مِن أَبصارِهِم وَ یَحفَظُوا فُرُوجَهُم ذلِکَ أَزکی لَهُم إِنَّ اللّهَ خَبِیرٌ بِما یَصنَعُونَ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لِلمُؤمِناتِ یَغضُضنَ مِن أَبصارِهِنَّ وَ یَحفَظنَ فُرُوجَهُنَّ وَ لا یُبدِینَ زِینَتَهُنَّ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البیان الإجمالی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تضمّنت الآیة الاُولی تشریعین،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 البصر، وحفظ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خاطب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نبیّه بأن یأمر المؤمنین بغضّ البصر عمّا لا یحلّ النظر إلیه، أو خصوص النظر إلی العورة، وأیضاً أن یأمرهم بحفظ الفرج من النظر، وهذا لا یتحقّق إلّا بستره أو المراد بحفظ الفرج من الزنا، أو المراد حفظه من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الالتزام بهذین التشریعین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 للمؤمن الفرد، وطهر للمجتمع المسلم، وأنفی من التهمة، أو أقرب إلی التقوی</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ذکّرت الآیة المؤمنین بأنّ الله سبحانه محیط إحاطة تامّة ومطّلع علی ظواهر الأعمال وبواطنها، لا تخفی علیه خافیة، فهو خبیر بأفعالهم وأحوالهم وکیف یجیلون أبصارهم وکیف یصنعون بسائر حواسّهم وجوارحهم، فعلیهم إذا عرفوا ذلک أن یکونوا منه علی تقوی وحذر فی کلّ حرکة وسکون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التذکرة إنّما سبقت للردع عن مخالفة ما أمر الله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الآیة الثانیة خاطب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نبیّه بأن یأمر المؤمنات بغضّ البصر عمّا لا یحلّ النظر إلیه، أو خصوص النظر إلی العورة، وأیضاً أن یأمرهنّ بحفظ الفرج من النظر، وزاد علی ذلک الأمر بعدم إبداء الزینة إلّا ما ظهر منها، وبالستر والحجاب، وبعدم إبداء الزینة إلّا لاثنتی عشرة طائفة فقد استثنتهم الآیة من الحرمة</w:t>
      </w:r>
      <w:r>
        <w:rPr>
          <w:rFonts w:eastAsia="IRNazanin" w:cs="IRNazanin"/>
          <w:color w:val="111111"/>
          <w:sz w:val="28"/>
          <w:szCs w:val="28"/>
          <w:rtl w:val="true"/>
          <w:lang w:bidi="fa-IR"/>
        </w:rPr>
        <w:t xml:space="preserve">. </w:t>
      </w:r>
      <w:r>
        <w:rPr>
          <w:rStyle w:val="FootnoteAnchor"/>
          <w:rtl w:val="true"/>
        </w:rPr>
        <w:footnoteReference w:id="247"/>
      </w:r>
      <w:bookmarkStart w:id="298" w:name="pg5707_46522"/>
    </w:p>
    <w:p>
      <w:pPr>
        <w:pStyle w:val="BookText"/>
        <w:rPr/>
      </w:pPr>
      <w:bookmarkEnd w:id="29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هذا النصّ القرآنی الشریف ورد فی سیاق جملة من الآیات التی تحدّثت حول آداب دخول البیوت؛ فإنّ دخول بیت الغیر مظنّة الاطّلاع علی الشوؤن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جیء به فی صورة حکم عام کلّف به المؤمنون والمؤمنات جمیعاً حتّی لا یتوهم عدم شموله للمستأذنین لدخول البیوت، بل الحکم یشمل المستأذنین وغیرهم</w:t>
      </w:r>
      <w:r>
        <w:rPr>
          <w:rFonts w:eastAsia="IRNazanin" w:cs="IRNazanin"/>
          <w:color w:val="111111"/>
          <w:sz w:val="28"/>
          <w:szCs w:val="28"/>
          <w:rtl w:val="true"/>
          <w:lang w:bidi="fa-IR"/>
        </w:rPr>
        <w:t xml:space="preserve">. </w:t>
      </w:r>
      <w:r>
        <w:rPr>
          <w:rStyle w:val="FootnoteAnchor"/>
          <w:rtl w:val="true"/>
        </w:rPr>
        <w:footnoteReference w:id="248"/>
      </w:r>
    </w:p>
    <w:p>
      <w:pPr>
        <w:pStyle w:val="Heading5"/>
        <w:numPr>
          <w:ilvl w:val="4"/>
          <w:numId w:val="1"/>
        </w:numPr>
        <w:rPr/>
      </w:pPr>
      <w:bookmarkStart w:id="299" w:name="__RefHeading___Toc3818437_581953129"/>
      <w:bookmarkStart w:id="300" w:name="_Toc121"/>
      <w:bookmarkEnd w:id="299"/>
      <w:r>
        <w:rPr>
          <w:rtl w:val="true"/>
        </w:rPr>
        <w:t>أسباب ومناسبات النزول</w:t>
      </w:r>
      <w:bookmarkEnd w:id="300"/>
    </w:p>
    <w:p>
      <w:pPr>
        <w:pStyle w:val="Heading6"/>
        <w:numPr>
          <w:ilvl w:val="5"/>
          <w:numId w:val="1"/>
        </w:numPr>
        <w:rPr/>
      </w:pPr>
      <w:bookmarkStart w:id="301" w:name="__RefHeading___Toc3818439_581953129"/>
      <w:bookmarkStart w:id="302" w:name="_Toc122"/>
      <w:bookmarkEnd w:id="301"/>
      <w:r>
        <w:rPr>
          <w:rtl w:val="true"/>
        </w:rPr>
        <w:t>اشارة</w:t>
      </w:r>
      <w:bookmarkEnd w:id="302"/>
    </w:p>
    <w:p>
      <w:pPr>
        <w:pStyle w:val="BookText"/>
        <w:rPr/>
      </w:pPr>
      <w:r>
        <w:rPr>
          <w:rFonts w:ascii="IRNazanin" w:hAnsi="IRNazanin" w:eastAsia="IRNazanin"/>
          <w:color w:val="111111"/>
          <w:sz w:val="28"/>
          <w:sz w:val="28"/>
          <w:szCs w:val="28"/>
          <w:rtl w:val="true"/>
          <w:lang w:bidi="fa-IR"/>
        </w:rPr>
        <w:t>أخرج ابن مردویه عن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رجل علی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طریق من طرقات المدینة، فنظر إلی امرأة ونظرت إلیه، فوسوس لهما الشیطان أنّه لم ینظر أحدهما إلی الآخر إلّا إعجاباً به، فبینما الرجل یمشی إلی جانب حائط ینظر إلیها إذا استقبله الحائط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فشق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أغسل الدم حتی آتی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فاُعلمه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فقصّ علیه قصته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عقوبة ذنبک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لِلمُؤمِنِینَ یَغُضُّوا مِن أَبصارِهِم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وقریب من هذا المضمون ما وراه الکلینی عن الإمام أبی جعفر محمد بن علی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التحلیل اللفظی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 الخطاب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والمقول لهم هم المسلون</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 xml:space="preserve">والقول هنا بمعنی الأمر، أی مُرهم </w:t>
      </w:r>
      <w:r>
        <w:rPr>
          <w:rStyle w:val="FootnoteAnchor"/>
          <w:rtl w:val="true"/>
        </w:rPr>
        <w:footnoteReference w:id="251"/>
      </w:r>
      <w:r>
        <w:rPr>
          <w:rFonts w:ascii="IRNazanin" w:hAnsi="IRNazanin" w:eastAsia="IRNazanin"/>
          <w:color w:val="111111"/>
          <w:sz w:val="28"/>
          <w:sz w:val="28"/>
          <w:szCs w:val="28"/>
          <w:rtl w:val="true"/>
          <w:lang w:bidi="fa-IR"/>
        </w:rPr>
        <w:t>، ولیس المراد الإخبار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ومقول القول محذوف</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یَغُضُّوا أصل الغضّ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إطباق الجفن علی الجفن بحیث تمتنع الرؤیة </w:t>
      </w:r>
      <w:r>
        <w:rPr>
          <w:rStyle w:val="FootnoteAnchor"/>
          <w:rtl w:val="true"/>
        </w:rPr>
        <w:footnoteReference w:id="253"/>
      </w:r>
      <w:r>
        <w:rPr>
          <w:rFonts w:ascii="IRNazanin" w:hAnsi="IRNazanin" w:eastAsia="IRNazanin"/>
          <w:color w:val="111111"/>
          <w:sz w:val="28"/>
          <w:sz w:val="28"/>
          <w:szCs w:val="28"/>
          <w:rtl w:val="true"/>
          <w:lang w:bidi="fa-IR"/>
        </w:rPr>
        <w:t>، أو هو خفض الجفن الأعلی وإرخاؤه، ومنه قول کعب بن زهیر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سعادُ غداةَ البَین إذ رحلوا</w:t>
      </w:r>
    </w:p>
    <w:p>
      <w:pPr>
        <w:pStyle w:val="BookText"/>
        <w:rPr/>
      </w:pPr>
      <w:r>
        <w:rPr>
          <w:rFonts w:ascii="IRNazanin" w:hAnsi="IRNazanin" w:eastAsia="IRNazanin"/>
          <w:color w:val="111111"/>
          <w:sz w:val="28"/>
          <w:sz w:val="28"/>
          <w:szCs w:val="28"/>
          <w:rtl w:val="true"/>
          <w:lang w:bidi="fa-IR"/>
        </w:rPr>
        <w:t>إلّا أغنّ غضیضُ الطرفِ مکحولُ فلیس یرید أنّها مغمّضة عینها مطبقة أجفانها، بل إنّها خافضة الطرف من الحیاء والخفر</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وقال الراغب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من الطرف والصوت والإناء</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ومن هنا أطلق علی خفض الصوت وتنقیصه،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اغضُض مِن صَوتِکَ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وقیل فی بیان مناسبة الغضّ مع النقصان بأنّ البصر إذا لم یمکَّن من عمله فهو موضوع منه ومنقوص</w:t>
      </w:r>
      <w:r>
        <w:rPr>
          <w:rFonts w:eastAsia="IRNazanin" w:cs="IRNazanin"/>
          <w:color w:val="111111"/>
          <w:sz w:val="28"/>
          <w:szCs w:val="28"/>
          <w:rtl w:val="true"/>
          <w:lang w:bidi="fa-IR"/>
        </w:rPr>
        <w:t xml:space="preserve">. </w:t>
      </w:r>
      <w:r>
        <w:rPr>
          <w:rStyle w:val="FootnoteAnchor"/>
          <w:rtl w:val="true"/>
        </w:rPr>
        <w:footnoteReference w:id="256"/>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یظهر التضعیف فی یَغُضُّوا لأنّ لام الفعل متحرّکة لکن ظهر فی</w:t>
      </w:r>
    </w:p>
    <w:p>
      <w:pPr>
        <w:pStyle w:val="BookText"/>
        <w:rPr/>
      </w:pPr>
      <w:r>
        <w:rPr>
          <w:rFonts w:ascii="Amiri" w:hAnsi="Amiri" w:eastAsia="Amiri" w:cs="Amiri"/>
          <w:color w:val="111111"/>
          <w:sz w:val="28"/>
          <w:sz w:val="28"/>
          <w:szCs w:val="28"/>
          <w:rtl w:val="true"/>
          <w:lang w:bidi="ar-SA"/>
        </w:rPr>
        <w:t>یَغضُضنَ لأنّ اللام ساکنة، وهما فی موضع جزم جواباً</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ویحتمل أن یکون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للمؤمنین یغضّوا من أبصارهم فإنّک إن تقل لهم یغضّوا</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ویحتمل أن یکون مجزوماً علی أنّه جواب الأمر المحذوف، أی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غضّوا یغضّوا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ذلک إشارة إلی أنّ شأن المؤمنین أن یسارعوا إلی امتثال الأوامر حتّی کأنّهم لفرط مطاوعتهم لا ینفکّ فعلهم عن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ویحتمل أن یکون مجزوماً بتقدیر لام الأمر، أی لیغضّوا من أبصارهم</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وهذا هو أظهر الاحتمالات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فیها عدّة أقوال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لابتداء الغایة </w:t>
      </w:r>
      <w:r>
        <w:rPr>
          <w:rStyle w:val="FootnoteAnchor"/>
          <w:rtl w:val="true"/>
        </w:rPr>
        <w:footnoteReference w:id="261"/>
      </w:r>
      <w:r>
        <w:rPr>
          <w:rFonts w:ascii="IRNazanin" w:hAnsi="IRNazanin" w:eastAsia="IRNazanin"/>
          <w:color w:val="111111"/>
          <w:sz w:val="28"/>
          <w:sz w:val="28"/>
          <w:szCs w:val="28"/>
          <w:rtl w:val="true"/>
          <w:lang w:bidi="fa-IR"/>
        </w:rPr>
        <w:t xml:space="preserve">، وذهب اللغویون إلی أنّ هذا المعنی هو الغالب علیها فی الاستعمالات اللغویة حتی ادّعی جماعة أن سائر معانیها راجعة إلیها </w:t>
      </w:r>
      <w:r>
        <w:rPr>
          <w:rStyle w:val="FootnoteAnchor"/>
          <w:rtl w:val="true"/>
        </w:rPr>
        <w:footnoteReference w:id="262"/>
      </w:r>
      <w:r>
        <w:rPr>
          <w:rFonts w:ascii="IRNazanin" w:hAnsi="IRNazanin" w:eastAsia="IRNazanin"/>
          <w:color w:val="111111"/>
          <w:sz w:val="28"/>
          <w:sz w:val="28"/>
          <w:szCs w:val="28"/>
          <w:rtl w:val="true"/>
          <w:lang w:bidi="fa-IR"/>
        </w:rPr>
        <w:t>، 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یأتوا</w:t>
      </w:r>
    </w:p>
    <w:p>
      <w:pPr>
        <w:pStyle w:val="BookText"/>
        <w:rPr/>
      </w:pPr>
      <w:r>
        <w:rPr>
          <w:rFonts w:ascii="Amiri" w:hAnsi="Amiri" w:eastAsia="Amiri" w:cs="Amiri"/>
          <w:color w:val="111111"/>
          <w:sz w:val="28"/>
          <w:sz w:val="28"/>
          <w:szCs w:val="28"/>
          <w:rtl w:val="true"/>
          <w:lang w:bidi="ar-SA"/>
        </w:rPr>
        <w:t>بالغضّ بدءاً من أبصارهم</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إنّها للتبیعض، نسب إلی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واُیّد بأنّ النظر لا یحرم مطلقاً، فإنّه یجوز النظر إلی البعض، کالمحارم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إنّها زائدة، نُسب إلی الأخفش،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مِنکُم مِن أَحَدٍ عَنهُ حاجِزِینَ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إنّها صلة الغضّ، وقد جعل القرطبی هذا الاحتمال ثالث ثلاثة، أی فی عرض الاحتمالین الثانی والثالث</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إنّها للجنس </w:t>
      </w:r>
      <w:r>
        <w:rPr>
          <w:rStyle w:val="FootnoteAnchor"/>
          <w:rtl w:val="true"/>
        </w:rPr>
        <w:footnoteReference w:id="266"/>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لبیان الجنس</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وهذا الاحتمال خلاف الظاهر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إنّها للبیان</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أَبصارِهِم الأبصار جمع بصر، ویطلق علی الجارحة وهو العضو الناظر، کما یطلق علی القوة التی فیها، وأیضاً یطلق علی القوة المدرکة</w:t>
      </w:r>
      <w:r>
        <w:rPr>
          <w:rFonts w:eastAsia="IRNazanin" w:cs="IRNazanin"/>
          <w:color w:val="111111"/>
          <w:sz w:val="28"/>
          <w:szCs w:val="28"/>
          <w:rtl w:val="true"/>
          <w:lang w:bidi="fa-IR"/>
        </w:rPr>
        <w:t xml:space="preserve">. </w:t>
      </w:r>
      <w:r>
        <w:rPr>
          <w:rStyle w:val="FootnoteAnchor"/>
          <w:rtl w:val="true"/>
        </w:rPr>
        <w:footnoteReference w:id="269"/>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وبدأ النهی عن غضّ البصر قبل الأمر بحفط الفرج؛ لأنّ البصر رائد القلب،</w:t>
      </w:r>
    </w:p>
    <w:p>
      <w:pPr>
        <w:pStyle w:val="BookText"/>
        <w:rPr/>
      </w:pPr>
      <w:r>
        <w:rPr>
          <w:rFonts w:ascii="IRNazanin" w:hAnsi="IRNazanin" w:eastAsia="IRNazanin"/>
          <w:color w:val="111111"/>
          <w:sz w:val="28"/>
          <w:sz w:val="28"/>
          <w:szCs w:val="28"/>
          <w:rtl w:val="true"/>
          <w:lang w:bidi="fa-IR"/>
        </w:rPr>
        <w:t>کما أنّ الحمّی رائد الموت، وأخذ هذا المعنی بعض الشعراء،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ترَ أنّ العینَ للقلبِ رائدٌ فما تألفُ العینانِ فالقلبُ آلفُ </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یَحفَظُوا الحفظ یقال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لهیئة النفس التی بها یثبت ما یؤدّی إلیه الفهم، وتارة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لضبط الشیء فی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ویضادّ النسیان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وتارة لاستعمال تلک القوة، ثمّ یستعمل فی کلّ تفقّد وتعهّد ورعایة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وهو معطوف علی یَغُضُّوا ، فیکون مجزوماً أیضاً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فُرُوجَهُم الفَرج والفُرجة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بین الشیئین کفرجة الحائط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الرجلین، وکنّی به عن السوأة وکثر حتی صار کالصریح فیه</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ولم تدخل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حفظ الفرج کما دخلت علی غض البصر، وعلّله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وفقاً لرأیه فی کونها للتبعیض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دلالة علی أنّ أمر النظر أوسع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أمر الفرج فمضیّق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وکفاک فرقاً أن ابیح النظر إلّا ما استُثنی منه، وحظر الجماع إلّا ممّا استُثنی منه</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أَزکی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أطهر وأنقی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وأفعل التفضیل هنا للمبالغة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303" w:name="pg5707_46527"/>
    </w:p>
    <w:p>
      <w:pPr>
        <w:pStyle w:val="Heading6"/>
        <w:numPr>
          <w:ilvl w:val="5"/>
          <w:numId w:val="1"/>
        </w:numPr>
        <w:rPr/>
      </w:pPr>
      <w:bookmarkStart w:id="304" w:name="__RefHeading___Toc3818441_581953129"/>
      <w:bookmarkStart w:id="305" w:name="_Toc123"/>
      <w:bookmarkEnd w:id="303"/>
      <w:bookmarkEnd w:id="304"/>
      <w:r>
        <w:rPr>
          <w:rtl w:val="true"/>
        </w:rPr>
        <w:t>المدلول التشریعی</w:t>
      </w:r>
      <w:bookmarkEnd w:id="305"/>
    </w:p>
    <w:p>
      <w:pPr>
        <w:pStyle w:val="Heading6"/>
        <w:numPr>
          <w:ilvl w:val="5"/>
          <w:numId w:val="1"/>
        </w:numPr>
        <w:rPr/>
      </w:pPr>
      <w:bookmarkStart w:id="306" w:name="__RefHeading___Toc3818443_581953129"/>
      <w:bookmarkStart w:id="307" w:name="_Toc124"/>
      <w:bookmarkEnd w:id="306"/>
      <w:r>
        <w:rPr>
          <w:rtl w:val="true"/>
        </w:rPr>
        <w:t>أوّلاً</w:t>
      </w:r>
      <w:r>
        <w:rPr>
          <w:rtl w:val="true"/>
        </w:rPr>
        <w:t xml:space="preserve">: </w:t>
      </w:r>
      <w:r>
        <w:rPr>
          <w:rtl w:val="true"/>
        </w:rPr>
        <w:t>النظر</w:t>
      </w:r>
      <w:bookmarkEnd w:id="307"/>
    </w:p>
    <w:p>
      <w:pPr>
        <w:pStyle w:val="BookText"/>
        <w:rPr/>
      </w:pPr>
      <w:r>
        <w:rPr>
          <w:rFonts w:ascii="IRNazanin" w:hAnsi="IRNazanin" w:eastAsia="IRNazanin"/>
          <w:color w:val="111111"/>
          <w:sz w:val="28"/>
          <w:sz w:val="28"/>
          <w:szCs w:val="28"/>
          <w:rtl w:val="true"/>
          <w:lang w:bidi="fa-IR"/>
        </w:rPr>
        <w:t>استدلّ بهاتین الآیتین علی حرمة نظر الرجل إلی المرأة وکذا العکس، ولکی تتضح کیفیة الاستدلال ووجه الدلالة فیهما لا بدّ من ذکر الاحتمالات فی بیان المراد بالآیتین من خلال النقاط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بالغضّ؟</w:t>
      </w:r>
    </w:p>
    <w:p>
      <w:pPr>
        <w:pStyle w:val="BookText"/>
        <w:rPr/>
      </w:pPr>
      <w:r>
        <w:rPr>
          <w:rFonts w:ascii="Amiri" w:hAnsi="Amiri" w:eastAsia="Amiri" w:cs="Amiri"/>
          <w:color w:val="111111"/>
          <w:sz w:val="28"/>
          <w:sz w:val="28"/>
          <w:szCs w:val="28"/>
          <w:rtl w:val="true"/>
          <w:lang w:bidi="ar-SA"/>
        </w:rPr>
        <w:t>یبدو فی النظرة الاُوّلی أنّ فی ذلک عدّة احتمالات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الاحتمال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إطباق الجفنین علی بعضهما، وهذا هو المعنی الأصلی</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الاحتمال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التنقیص والتقلیل من النظر وعدم ملء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واُیّد هذا الوجه بما ورد فی سبب نزول الآیة من أنّ ذلک الرجل کان یمعن النظر فی تلک المرأة ویبدو أنّها کانت کذلک أیضاً تبادله النظرات المریبة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رتّب بعض إنّه بناء علی هذا الاحتمال فی تفسیر الآیة لا یحرم النظر مطلقاً، بل یحرم فیما لو کان بنحو التحدیق وبملء العین، ولا یحرم فیما لو کان نظراً خفیفاً وعابراً</w:t>
      </w:r>
      <w:r>
        <w:rPr>
          <w:rFonts w:eastAsia="IRNazanin" w:cs="IRNazanin"/>
          <w:color w:val="111111"/>
          <w:sz w:val="28"/>
          <w:szCs w:val="28"/>
          <w:rtl w:val="true"/>
          <w:lang w:bidi="fa-IR"/>
        </w:rPr>
        <w:t xml:space="preserve">. </w:t>
      </w:r>
      <w:r>
        <w:rPr>
          <w:rStyle w:val="FootnoteAnchor"/>
          <w:rtl w:val="true"/>
        </w:rPr>
        <w:footnoteReference w:id="274"/>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ایّد هذا الاحتمال أیضاً بقرینة تغییر الخطاب فی هذا النصّ وصرف الخطاب فیه عن وجهه بتوجیهه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وتکلیفه أن یأمر الناس بغضّ الأبصار؛ فإنّ فی هذا الاُسلوب إشعاراً بأنّ هذا الفعل قبیح وأنّ صاحبه یستحقّ أن یعرض عنه</w:t>
      </w:r>
    </w:p>
    <w:p>
      <w:pPr>
        <w:pStyle w:val="BookText"/>
        <w:rPr/>
      </w:pPr>
      <w:r>
        <w:rPr>
          <w:rFonts w:ascii="IRNazanin" w:hAnsi="IRNazanin" w:eastAsia="IRNazanin"/>
          <w:color w:val="111111"/>
          <w:sz w:val="28"/>
          <w:sz w:val="28"/>
          <w:szCs w:val="28"/>
          <w:rtl w:val="true"/>
          <w:lang w:bidi="fa-IR"/>
        </w:rPr>
        <w:t>ویصرف عنه ویصرف الخطاب إلی غیره</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الاحتمال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المراد کون الغضّ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 معنی فسّرناه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للحکم کما فی الاحتمالین السابقین، بل المراد الطریقیة إلی تحقیق ترک النظر فهو المراد الأصلی من الأمر بغضّ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ذلک هو مراد مّن احتمل کون الغضّ بمعنی الإطراق وکسر العین صوناً عن النظر والرؤیة إلی ما 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ورتّب علی ذلک أنّه بناء علی هذا الاحتمال تکون الآیة دالّة علی الحرمة الشدیدة والمؤکّدة</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الاحتمال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بغضّ البصر طلب غفلة کلّ صنف عن غیر مماثله وعدم طمعه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المعنی متداول عرفاً،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 نظرک عن قضیة ما، بمعنی تغافل عنها ولا تطمع فیها</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وهذا الاحتمال الأخیر ینسجم أیضاً مع جعل مِن للتبعیض؛ حیث یکون</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المقصود طلب التغافل عن حصة خاصّة، وهی الاستمتاعات الجنسیة دون غیرها</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الشیء الذی امرنا بالغضّ عنه؟</w:t>
      </w:r>
    </w:p>
    <w:p>
      <w:pPr>
        <w:pStyle w:val="BookText"/>
        <w:rPr/>
      </w:pPr>
      <w:r>
        <w:rPr>
          <w:rFonts w:ascii="IRNazanin" w:hAnsi="IRNazanin" w:eastAsia="IRNazanin"/>
          <w:color w:val="111111"/>
          <w:sz w:val="28"/>
          <w:sz w:val="28"/>
          <w:szCs w:val="28"/>
          <w:rtl w:val="true"/>
          <w:lang w:bidi="fa-IR"/>
        </w:rPr>
        <w:t>من الواضح أنّ المراد من غضّ البصر لیس غضّه عن کلِّ شیءٍ، وعلیه فلیس هذا بمحتمل عقلائیاً، والذی یمکن أن یتعلَّق به غض البصر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فی ذلک عدّة احتمالات، وتزید هذه الاحتمالات بإضافتها إلی الاحتمالات المتقدّمة فی المراد بغضّ البصر،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الاحتمال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التغافل عن المحرّمات المنهیّ عنها فی الشریعة بمختلف أنواعها، ومآل ذلک إلی کون هذا الأمر توکیداً باعتبار أنّ الحرمة مدلول علیها بأدلّة تلک المحرّمات نفسها، أو کون هذا الأمر أمراً عاماً بالتقوی والحذر من المحرّمات</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الاحتمال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غضّ البصر عن خصوص ما لا یحلّ النظر إلیه ولم یذکر فی الآیة؛ لأنّه معلوم بالعادة، فحُذف اکتفاءً بفهم المخاطبین، وهو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الإیجاز بالحذف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إباحة النظر إلی بعض الأشیاء ممّا لا ریب فیه، سیّما وأنّ الفقرات اللاحقة قد استثنت من الحرمة بعض العناوین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لِبُعُولَتِهِنَّ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محیص من صرف الأمر بالغضّ إلی غیر المباح</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الاحتمال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المراد الغضّ عن النظر إلی غیر المماثل؛ فیحرم نظر الرجل إلی المرأة ویحرم نظر المرأة إلی الرجل؛ بقرینة أفراد الذکور والإناث کلّاً بخطاب خاصّ به، وأمّا المماثل فهذا المقطع من الآیة ساکت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استفادة حرمة النظر إلی عورة المماثل من الفقرة الثانیة الآمرة بحفظ الفرج، ولا یستفاد ذلک من الأمر بغضّ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هذا الاحتمال ما روی عن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استأذن ابن امّ مکتوم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 عائشة وحفصة، فقال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قوما فادخلا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یرکما فإنّکما تریانه</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ومن هنا أفتی بعض الفقهاء فی هذه المسألة بأنّ الأعمی کالبصیر فی حرمة نظر المرأة إلیه</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الاحتمال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الغضّ عن النظر إلی خصوص العورة بقرینة عطف الأمر بحفظ الفرج علیه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یَحفَظُوا فُرُوجَهُم ؛ فإنّ المراد به حفظ الفرج من أن ینظر إلیه</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الاحتمال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لیس فی عرض الاحتمالین السابقین بل فی طولهما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المراد من العورة عورة المسلم؛ لظاهر الخطاب فی الآیة، حیث اضیف الفروج إلی المؤمنین والمؤمنات، وحینئذٍ فلا أمر بالغضّ عن النظر إلی عورة غیر المسلم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الاحتمال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حرمة النظر إلی عورة الإنسان مطلقاً مسلماً کان أو کافراً بالغاً کان أو غیره؛ للتعدّی العرفی، فوجوب غضّ البصر عن العورة لیس حکماً تعبّدیاً حتّی یحتمل اختصاصه بالمسلم أو البالغ دون غیره أو مراعاة لحرمته،</w:t>
      </w:r>
    </w:p>
    <w:p>
      <w:pPr>
        <w:pStyle w:val="BookText"/>
        <w:rPr/>
      </w:pPr>
      <w:r>
        <w:rPr>
          <w:rFonts w:ascii="IRNazanin" w:hAnsi="IRNazanin" w:eastAsia="IRNazanin"/>
          <w:color w:val="111111"/>
          <w:sz w:val="28"/>
          <w:sz w:val="28"/>
          <w:szCs w:val="28"/>
          <w:rtl w:val="true"/>
          <w:lang w:bidi="fa-IR"/>
        </w:rPr>
        <w:t>بل الأمر فیه إثارة جنسیة وتحریک لشهوة الناظر؛ فالحکم هنا جاء تحصیناً للناظر لا للمنظور إلیه، وإن کان یترتّب علیه مراعاة حرمة المنظور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یُستثنی غیر الممیّز؛ للفهم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ادّعی أنّ ما یلزم الغضّ عنه لیس مبیّناً فی الآیة، فنحن لا ندری ما یحلّ وما لا یحلّ، ولانعلم حینئذٍ غضّ البصر فی أیّ موضع یجب وفی أیّ موضع یحلّ، وعلیه فتکون الآیة مجملة من هذه الجهة</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علی حرمة النظر بنصوص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یَحفَظُوا فُرُوجَهُم فإنّ ذلک یدلّ علی وجوب الستر، وهوملازم لحرمة النظر عرفاً، وکذا الأمر بالنسبة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یَحفَظنَ فُرُوجَهُنَّ، ولکن حرمة النظر إلی عورة الغیر مطلقاً مماثلاً أو غیر مماثل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یُبدِینَ زِینَتَهُنَّ إِلاّ ما ظَهَرَ مِنها فبناء علی دلالتها علی لزوم الستر تدلّ بالملازمة العرفیة علی حرمة نظر الرجل إلی المرأة باستثناء ما ظهر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لیَضرِبنَ بِخُمُرِهِنَّ عَلی جُیُوبِهِنَّ کذلک تدلّ بالملازمة العرفیة علی حرمة نظر الرجل إلی المرأة، ولکن بالنسبة إلی الرأس والعنق والصدر ومجمل البدن، ولا تعرّض إلی أطراف البدن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یُبدِینَ زِینَتَهُنَّ إِلاّ لِبُعُولَتِهِنَّ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حرمة إبداء الزینة أمام الغیر تستلزم عرفاً حرمة نظره إلیها، فإن کان المراد بالزینة مواضعها فالأمر واضح، وإن کان نفسها</w:t>
      </w:r>
    </w:p>
    <w:p>
      <w:pPr>
        <w:pStyle w:val="BookText"/>
        <w:rPr/>
      </w:pPr>
      <w:r>
        <w:rPr>
          <w:rFonts w:ascii="IRNazanin" w:hAnsi="IRNazanin" w:eastAsia="IRNazanin"/>
          <w:color w:val="111111"/>
          <w:sz w:val="28"/>
          <w:sz w:val="28"/>
          <w:szCs w:val="28"/>
          <w:rtl w:val="true"/>
          <w:lang w:bidi="fa-IR"/>
        </w:rPr>
        <w:t>فحرمة إبدائها تستلزم حرمة إبداء مواضعها بالألویة العرفیة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یَضرِبنَ بِأَرجُلِهِنَّ لِیُعلَمَ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مجرّد إلفات نظر الرجل وإعلامه بالزینة حراماً ولو من دون رؤیة فبالأولویة تثبت حرمة نظره إلیها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سائر النصوص الدالّة علی لزوم الستر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سَأَلتُمُوهُنَّ مَتاعاً فَسئَلُوهُنَّ مِن وَراءِ حِجابٍ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مباحاً لما أمرهم الله تعالی أن یسألوهنّ من وراء حجاب، ولأباح لهم أن یسألوهنّ مواجهة</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المکلَّف بغضّ البصر؟</w:t>
      </w:r>
    </w:p>
    <w:p>
      <w:pPr>
        <w:pStyle w:val="BookText"/>
        <w:rPr/>
      </w:pPr>
      <w:r>
        <w:rPr>
          <w:rFonts w:ascii="IRNazanin" w:hAnsi="IRNazanin" w:eastAsia="IRNazanin"/>
          <w:color w:val="111111"/>
          <w:sz w:val="28"/>
          <w:sz w:val="28"/>
          <w:szCs w:val="28"/>
          <w:rtl w:val="true"/>
          <w:lang w:bidi="fa-IR"/>
        </w:rPr>
        <w:t>لا شکّ بأنّ الخطاب لفظاً موجّه للمؤمنین والمؤمنات، 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یعنی ذلک اختصاص التکلیف بهم دون غیرهم أو لا؟</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التکلیف بهم؛ لظاهر الخطاب، سیّما مع تکراره مرّة للرجال وأخری للنساء</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التکلیف عاماً یشمل الجمیع بما فی ذلک الکفّار؛ لأنّ الکفّار یشترکون مع المسلمین بالتکالیف واستحقاق العقاب علی الترک، فإنّهم مکلّفون بالفروع وبالاُصول؛ إذ 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للناس کافّة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وتخصیص المسلمین بالخطاب للتشریف أو أنّه نزّل فقدان مقدّمة التکلیف منزلة فقدان التکلیف</w:t>
      </w:r>
      <w:r>
        <w:rPr>
          <w:rFonts w:eastAsia="IRNazanin" w:cs="IRNazanin"/>
          <w:color w:val="111111"/>
          <w:sz w:val="28"/>
          <w:szCs w:val="28"/>
          <w:rtl w:val="true"/>
          <w:lang w:bidi="fa-IR"/>
        </w:rPr>
        <w:t xml:space="preserve">. </w:t>
      </w:r>
      <w:r>
        <w:rPr>
          <w:rStyle w:val="FootnoteAnchor"/>
          <w:rtl w:val="true"/>
        </w:rPr>
        <w:footnoteReference w:id="286"/>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المعلوم اختصاص هذا الخطاب بالمکلّفین، ولا یشمل غیر المکلّف، کغیر البالغ وإن کان ممیّزاً والمجنون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یمکن الاستدلال لحرمة ذلک علیهما بحرمة التکشّف وإبداء الزینة علی المرأة بالنسبة إلیها؛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یُبدِینَ زِینَتَهُنَّ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الحرمة یلازمها حرمة النظر، ومعنی الحرمة هنا عدم تمکین الولیّ المولّی علیه من النظر</w:t>
      </w:r>
      <w:r>
        <w:rPr>
          <w:rFonts w:eastAsia="IRNazanin" w:cs="IRNazanin"/>
          <w:color w:val="111111"/>
          <w:sz w:val="28"/>
          <w:szCs w:val="28"/>
          <w:rtl w:val="true"/>
          <w:lang w:bidi="fa-IR"/>
        </w:rPr>
        <w:t xml:space="preserve">. </w:t>
      </w:r>
      <w:r>
        <w:rPr>
          <w:rStyle w:val="FootnoteAnchor"/>
          <w:rtl w:val="true"/>
        </w:rPr>
        <w:footnoteReference w:id="287"/>
      </w:r>
      <w:bookmarkStart w:id="308" w:name="pg5707_4653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09" w:name="__RefHeading___Toc3818445_581953129"/>
      <w:bookmarkStart w:id="310" w:name="_Toc125"/>
      <w:bookmarkEnd w:id="308"/>
      <w:bookmarkEnd w:id="309"/>
      <w:r>
        <w:rPr>
          <w:rtl w:val="true"/>
        </w:rPr>
        <w:t>ثانیاً</w:t>
      </w:r>
      <w:r>
        <w:rPr>
          <w:rtl w:val="true"/>
        </w:rPr>
        <w:t xml:space="preserve">: </w:t>
      </w:r>
      <w:r>
        <w:rPr>
          <w:rtl w:val="true"/>
        </w:rPr>
        <w:t>حفظ الفروج</w:t>
      </w:r>
      <w:bookmarkEnd w:id="310"/>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أیّ شیء یجب حفظ الفرج؟</w:t>
      </w:r>
    </w:p>
    <w:p>
      <w:pPr>
        <w:pStyle w:val="BookText"/>
        <w:rPr/>
      </w:pPr>
      <w:r>
        <w:rPr>
          <w:rFonts w:ascii="Amiri" w:hAnsi="Amiri" w:eastAsia="Amiri" w:cs="Amiri"/>
          <w:color w:val="111111"/>
          <w:sz w:val="28"/>
          <w:sz w:val="28"/>
          <w:szCs w:val="28"/>
          <w:rtl w:val="true"/>
          <w:lang w:bidi="ar-SA"/>
        </w:rPr>
        <w:t>بما أنّه لم یذکر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یَحفَظُوا فُرُوجَهُم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یَحفَظنَ فُرُوجَهُنَّ حفظ الفرج من أیّ شیء، فلابدّ من تقدیره، وفی ذلک عدّة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الفرج من الزنا ؛ فإنّه المناسب للفرج، کما أنّ المناسب لحفظ الفم أو البطن هو الحفظ من أکل المحرّمات أو أکل الخبائث، والمناسب لحفظ المال من السرقة أو التلف فکذلک حفظ الفرج یُراد به ما ذکرنا، ویؤیّده نصوص وردت فی الکتاب العزیز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لِفُرُوجِهِم 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عَلی أَزواجِهِم أَو ما مَلَکَت أَیمانُهُم فَإِنَّهُم غَیرُ مَلُومِینَ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الفرج من کلّ فاحشة ؛ زنا کان أو غیره؛ ووجهه یظهر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الفرج من أن ینظر إلیه أحد ؛ بقرینة ما تقدّم من قوله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یَغُضُّوا مِن أَبصارِهِم و یَغضُضنَ مِن أَبصارِهِنَّ، ومن أوضح مصادیق الحفظ وأنحائه هو ستره عن أعین الناظرین، کما أنّ حفظ المال یتحقّق بستره وتغییبه عن 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المروی عن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وحفیده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حکی عن ابن زید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الاحتمال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حفظ الفرج عن النظر والزنا </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الاحتمال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حفظه، حفظه عن کلّ ما یوجب الاستلذاذ؛ فیشمل الزنا وسائر الفواحش واللمس ونظر الغیر إلیه</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الستر وزیادة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مایوجب الحفظ والستر؛ هذا الاحتمال هو الاحتمال الخامس</w:t>
      </w:r>
    </w:p>
    <w:p>
      <w:pPr>
        <w:pStyle w:val="BookText"/>
        <w:rPr/>
      </w:pPr>
      <w:r>
        <w:rPr>
          <w:rFonts w:ascii="IRNazanin" w:hAnsi="IRNazanin" w:eastAsia="IRNazanin"/>
          <w:color w:val="111111"/>
          <w:sz w:val="28"/>
          <w:sz w:val="28"/>
          <w:szCs w:val="28"/>
          <w:rtl w:val="true"/>
          <w:lang w:bidi="fa-IR"/>
        </w:rPr>
        <w:t>نفسه مع توسعته بحیث یشمل وجوب الحفظ والستر حتی فی موارد الشک، لا فی خصوص العلم، فلو احتمل وجود الناظر المحترم؛ وذلک لأنّ الآیة أمرت بحفظ الفرج، والحفظ لا یتحقّق مع عدم الاعتناء للاحتمال، نظیر ما لو احتمل تلف الأمانة علی تقدیر وضعها فی مکان معیّن، فمتی ما وضعت فیه کان ذلک مصداقاً للتفریط وعدم الحفظ، وهکذا فی المقام فإنّه لا یتحقّق حفظ الفرج مع عدم ستره فی مورد احتمال وجود الناظر المحترم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هذه التوسعة تتأتّی حتّی فی الاحتمال 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الاحتمال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توسعة الاحتمال السابق بحیث یشمل وجوب الحفظ حتّی من النفس؛ بألا یمارس الشخص الاستمتاع الجنسی مع أعضاء بدنه کالاستمناء وغیره رجلاً کان أو 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توسعة الوجه المتقدّم بما یشمل کلّ ما یثیر الشهوة الجنسیة؛ ویحرّک الشهوة والفرج وإن لم یکن بملامسة الفرج وتحریکه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یختصّ بقوله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یَحفَظنَ فُرُوجَهُنَّ ؛ فقیه أمر للنساء بحفظ الفرج، فإن استظهرنا من الآیة الحفظ من النظر ففی خصوص المورد لا یفهم هنا کون المراد ستر المرأة عورتها فحسب، بل المفهوم عرفاً سترها وستر مفاتنها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حتّی لو استظهرنا کون المراد الحفظ من الزنا والفواحش، فالنتیجة کذلک أیضاً، بسبب وجود الملازمة العرفیة بین التحرّز عن الفاحشة والعفّة وبین الستر؛إذ إنّ العرف یری المرأة المبرزِة لمفاتنها غیر حافظة لنفسها ولا محصنة لفرجها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هذا الاحتمال لا یتأتّی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یَحفَظُوا فُرُوجَهُم ؛ لعدم وجود تلک الملازمة العرفیة المدّعاة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المتحفَّظ منه؟</w:t>
      </w:r>
    </w:p>
    <w:p>
      <w:pPr>
        <w:pStyle w:val="BookText"/>
        <w:rPr/>
      </w:pPr>
      <w:r>
        <w:rPr>
          <w:rFonts w:ascii="IRNazanin" w:hAnsi="IRNazanin" w:eastAsia="IRNazanin"/>
          <w:color w:val="111111"/>
          <w:sz w:val="28"/>
          <w:sz w:val="28"/>
          <w:szCs w:val="28"/>
          <w:rtl w:val="true"/>
          <w:lang w:bidi="fa-IR"/>
        </w:rPr>
        <w:t>ومن خلال الاحتمالات المطروحة فی النقطة السابقة تبرز احتمالات کثیرة،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الناظر بناء علی کون المراد الحفظ من النظر إلیه؛ وذلک لإطلاق الآیة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الناظر المحترم ذکراً أو انثی؛فإنّ ظاهر الآیة الشریفة إطلاق الحکم بالإضافة إلی الجمیع، فیشمل المسلم والکافر الکبیر والصغیر والمکلّف وغیره، کالمجنون والصبی الممیّز؛ فإنّ الظاهر عدم الشمول له؛ لأنّه لا یفهم عرفاً من وجوب التستّر إلّا وجوبه علی من له إدراک وشعور، کما یظهر بمراجعة العرف؛ ولذا لا یفهم من ذلک وجوب التستّر عن البهائم والحیوانات فضلاً عن غیرها؛ إذ المتبادر عرفاً من الحفظ من النظر کون النظر مقصوداً للناظر، لا مجرّد البصر</w:t>
      </w:r>
      <w:r>
        <w:rPr>
          <w:rFonts w:eastAsia="IRNazanin" w:cs="IRNazanin"/>
          <w:color w:val="111111"/>
          <w:sz w:val="28"/>
          <w:szCs w:val="28"/>
          <w:rtl w:val="true"/>
          <w:lang w:bidi="fa-IR"/>
        </w:rPr>
        <w:t xml:space="preserve">. </w:t>
      </w:r>
      <w:r>
        <w:rPr>
          <w:rStyle w:val="FootnoteAnchor"/>
          <w:rtl w:val="true"/>
        </w:rPr>
        <w:footnoteReference w:id="291"/>
      </w:r>
      <w:bookmarkStart w:id="311" w:name="pg5707_46539"/>
    </w:p>
    <w:p>
      <w:pPr>
        <w:pStyle w:val="Heading4"/>
        <w:numPr>
          <w:ilvl w:val="3"/>
          <w:numId w:val="1"/>
        </w:numPr>
        <w:rPr/>
      </w:pPr>
      <w:bookmarkStart w:id="312" w:name="__RefHeading___Toc3818447_581953129"/>
      <w:bookmarkStart w:id="313" w:name="_Toc126"/>
      <w:bookmarkEnd w:id="311"/>
      <w:bookmarkEnd w:id="312"/>
      <w:r>
        <w:rPr>
          <w:rtl w:val="true"/>
        </w:rPr>
        <w:t>النموذج الثالث</w:t>
      </w:r>
      <w:r>
        <w:rPr>
          <w:rtl w:val="true"/>
        </w:rPr>
        <w:t xml:space="preserve">: </w:t>
      </w:r>
      <w:r>
        <w:rPr>
          <w:rtl w:val="true"/>
        </w:rPr>
        <w:t>إبداء الزینة والحجاب</w:t>
      </w:r>
      <w:bookmarkEnd w:id="313"/>
    </w:p>
    <w:p>
      <w:pPr>
        <w:pStyle w:val="Heading5"/>
        <w:numPr>
          <w:ilvl w:val="4"/>
          <w:numId w:val="1"/>
        </w:numPr>
        <w:rPr/>
      </w:pPr>
      <w:bookmarkStart w:id="314" w:name="__RefHeading___Toc3818449_581953129"/>
      <w:bookmarkStart w:id="315" w:name="_Toc127"/>
      <w:bookmarkEnd w:id="314"/>
      <w:r>
        <w:rPr>
          <w:rtl w:val="true"/>
        </w:rPr>
        <w:t>اشارة</w:t>
      </w:r>
      <w:bookmarkEnd w:id="315"/>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النصّ القرآنی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یُبدِینَ زِینَتَهُنَّ إِلاّ ما ظَهَرَ مِنها وَ لیَضرِبنَ بِخُمُرِهِنَّ عَلی جُیُوبِهِنَّ وَ 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 وَ لا یَضرِبنَ بِأَرجُلِهِنَّ لِیُعلَمَ ما یُخفِینَ مِن زِینَتِهِنَّ وَ تُوبُوا إِلَی اللّهِ جَمِیعاً أَیُّهَا المُؤمِنُونَ لَعَلَّکُم تُفلِحُونَ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البیان الإجمالی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تصدّر النص خطاب الله تعالی لنبیه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یأمر المؤمنین بغضّ البصر وحفظ الفرج وکذا المؤمنات، وزاد علیهنّ بنهیهنّ عن إظهار الزینة ومواضعها من البدن واستثنی ما ظهر منها أی من غیر عمد أو خصوص الوجه والکفّین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وأمرهنّ بأن یلقین بأطراف مقانعهنّ علی صدورهنّ لیسترنها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کانت المرأة فی الجاهلیة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هی الیوم فی الجاهلیة الحدیثة، بل هی الیوم أتعس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 بین الرجال مکشوفة الصدر بادیة النحر حاسرة الذراعین، وربّما أظهرت مفاتن جسمها وذوائب شعرها لتغری الرجال، وکنّ یسدلن الخمر من ورائهنّ أو علی أکتافهنّ فتبقی صدورهنّ مکشوفة عاریة، فأمرت المؤمنات بأن یسدلنها من قدّامهنّ حتّی یغطینها</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واستثنی من حرمة إبداء الزینة طوائف، ثلاثة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للمصاهرة وهم الأزواج وآباؤهم وأبناؤهم، وخمسة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للنسب وهم الآباء والأبناء والأخوة وبنوهم وبنو الأخوات، فالمجموع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وطائفة تاسعة، وهی النساء المسلمات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وعاشرة، وهم المملوکون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وحادیة عشرة، وهم البله المولّی علیهم الذین لا شهوة لهم ولا حاجة لهم فی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وثانیة عشرة، وهم جماعة الأطفال غیر البالغین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تضمّنت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نَهیهنّ عن ضرب الأرض بالأرجل؛ فإنّه یسبّب تصوّت أسباب الزینة، کالخلخال والعقد والقرط والسوار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ختمت الآیة بأمر المؤمنین بالتوبة عمّا صدر منهم من معاصٍ، أو الرجوع إلیه</w:t>
      </w:r>
    </w:p>
    <w:p>
      <w:pPr>
        <w:pStyle w:val="BookText"/>
        <w:rPr/>
      </w:pPr>
      <w:r>
        <w:rPr>
          <w:rFonts w:ascii="IRNazanin" w:hAnsi="IRNazanin" w:eastAsia="IRNazanin"/>
          <w:color w:val="111111"/>
          <w:sz w:val="28"/>
          <w:sz w:val="28"/>
          <w:szCs w:val="28"/>
          <w:rtl w:val="true"/>
          <w:lang w:bidi="fa-IR"/>
        </w:rPr>
        <w:t>تعالی بامتثال أوامره والانتهاء عن نواهیه، وبالجملة اتباع سبیله</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وحکی عن مکّی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کتاب الله تعالی آیة أکثر ضمائر من هذه، جمعت خمسة وعشرین ضمیراً للمؤمنات من مخفوض ومرفوع</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أسباب ومناسبات النزول</w:t>
      </w:r>
    </w:p>
    <w:p>
      <w:pPr>
        <w:pStyle w:val="BookText"/>
        <w:rPr/>
      </w:pPr>
      <w:r>
        <w:rPr>
          <w:rFonts w:ascii="IRNazanin" w:hAnsi="IRNazanin" w:eastAsia="IRNazanin"/>
          <w:color w:val="111111"/>
          <w:sz w:val="28"/>
          <w:sz w:val="28"/>
          <w:szCs w:val="28"/>
          <w:rtl w:val="true"/>
          <w:lang w:bidi="fa-IR"/>
        </w:rPr>
        <w:t>لقد ورد فی المأثور ذکر سبب نزول الآیة التی سبقتها فقط أو هی مع صدر هذه الآیة، ولکونه متعلّقاً بحکم النظر فلم نورده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قد ورد سبب نزول إحدی فقرات هذه الآیة، فقد أسند الطبری عن المعتمر عن أبیه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حضرمی أنّ أمرأة اتخذت بُرَتین</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علی القوم فضربت برجلها الأرض فوقع الخلخال علی الجزع فصوّت، فنزلت هذه الآیة</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کما أنّه روی ابن کثیر عن مقاتل بن حیّان عن جابر عبدالله الأنصاری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جابر بن عبدالله الأنصاری حدّث أنّ أسماء بنت مرثد کانت فی نخل لها فی بنی حارثة، فجعل النساء یدخلن علیها غیر مؤتزرات فیبدو ما فی أرجلهنّ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الخلاخل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ویبدو صدورهنّ وذوائبهنّ، فقالت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فی ذلک وَ قُل لِلمُؤمِناتِ یَغضُضنَ مِن أَبصارِهِنَّ وَ یَحفَظنَ فُرُوجَهُنَّ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والظاهر أنّه لیس المراد صدر الآیة، بل المقطع المرتبط بإبداء الزینة والستر</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 من یراجع هذه الآیة والتی سبقتها یطمئنّ إلی أنّها نزلت کلّها دفعة دون</w:t>
      </w:r>
    </w:p>
    <w:p>
      <w:pPr>
        <w:pStyle w:val="BookText"/>
        <w:rPr/>
      </w:pPr>
      <w:r>
        <w:rPr>
          <w:rFonts w:ascii="IRNazanin" w:hAnsi="IRNazanin" w:eastAsia="IRNazanin"/>
          <w:color w:val="111111"/>
          <w:sz w:val="28"/>
          <w:sz w:val="28"/>
          <w:szCs w:val="28"/>
          <w:rtl w:val="true"/>
          <w:lang w:bidi="fa-IR"/>
        </w:rPr>
        <w:t>تقطیع فضلاً عن التقطیع فی الآیة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لکونها تعالج ظاهرة اجتماعیة واحدة، فتعدّد أسباب النزول مسألة فیها غرابة، وهذا ما یدعو الی مزید من التأمّل والتحقیق فی هذه المرویّات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أشرنا إلی أنّ الأجواء العامّة السائدة فی المجتمع الجاهلی آنذاک هو عدم المبالاة بالحجاب؛ فإنّ النساء کنّ إذا غطین رؤوسهنّ بالأخمرة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المقانع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سَدلنها من وراء الظهر أو علی الکتف، فیبقی النحر والعنق والأذنان لاستر علیها، کما یصنع النبط، فأمرالله تعالی بلیّ الخمار علی الجیوب</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القراءة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قرأ عباس بن الفضل، عن أبی عمرو وعیّاش، وابن عبّاس لیَضرِبنَ بکسر اللام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وقرأ طلحة بِخُمُرِهِنَّ بسکون المیم علی التخفیف، وتخفیف المضموم لغة تمیم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وقرأ ابن کثیر، وابن ذکوان، وأبوبکر عن عاصم، وحمزة، والکسائی، وطلحة بن مصرف، وعیسی الهمدانی، وطلحة بن سلیمان، وابن مسعود، واُبیّ بن کعب وإبراهیم النخعی، والأعمش عَلی جُیُوبِهِنَّ بکسر الفاء مراعاة للیاء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ردئ جدّاً عند البصریین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لیس فی کلام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خلف بن هشام عن سلیم عن حمزة أنّه کان یُشِمّ الجیم الضمّ ثُمّ یشیر إلی الکسر، ویرفع الیاء جُیُوبِهِنَّ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وقرأ ابن عامر، وأبوبکر عن عاصم، وأبوجعفر وحمّاد غَیرِ أُولِی بنصب الراء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مصحف حفصة وأبیّ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عن ابن عبّاس، وابن أبی إسحاق، والأعمش، وابن بکّار عن ابن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الواو، مثل جَفنَة وجَفَنات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أنّ تحریک الواو والیاء فی مثل هذا الجمع هو لغة هذیل بن مدرکة ولغة قیس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عمرو ویعقوب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لیعلم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بإدغام المیمین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وقرأ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لیعلم ما سُرَّ من زینتهنّ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وقرأ ابن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الهاء إتّباعاً للضمة التی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لغة بنی أسد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التحلیل اللفظی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یُبدِینَ 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الظهور،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فَبَدَت لَهُما سَوآتُهُما، من بدا الشیء یبدو، إذا ظهر، فهو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وزان إفعال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الإظهار، وأبدی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أظهره</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الإبداء یستعمل أیضاً بمعنی ترک الشیء مکشوفاً، کما سیأتی لاحقاً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زِینَتَهُنَّ الزینة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یتزیّن به</w:t>
      </w:r>
      <w:r>
        <w:rPr>
          <w:rFonts w:eastAsia="Amiri" w:cs="Amiri" w:ascii="Amiri" w:hAnsi="Amiri"/>
          <w:color w:val="111111"/>
          <w:sz w:val="28"/>
          <w:szCs w:val="28"/>
          <w:rtl w:val="true"/>
          <w:lang w:bidi="ar-SA"/>
        </w:rPr>
        <w:t xml:space="preserve">. </w:t>
      </w:r>
      <w:r>
        <w:rPr>
          <w:rStyle w:val="FootnoteAnchor"/>
          <w:rtl w:val="true"/>
        </w:rPr>
        <w:footnoteReference w:id="301"/>
      </w:r>
      <w:r>
        <w:rPr>
          <w:rFonts w:ascii="IRNazanin" w:hAnsi="IRNazanin" w:eastAsia="IRNazanin"/>
          <w:color w:val="111111"/>
          <w:sz w:val="28"/>
          <w:sz w:val="28"/>
          <w:szCs w:val="28"/>
          <w:rtl w:val="true"/>
          <w:lang w:bidi="fa-IR"/>
        </w:rPr>
        <w:t>والاسم الزینة</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المرأة وجمالها بحسب العادة، سواءً کان ممّا یلبس کاللباس والحلیّ أو ممّا تضیفه من مساحیق وأدهان ومواد التجمیل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مواضعها من البدن، لا الزینة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وقد قسّموا الزینة إلی ظاهرة کالثیاب، وباطنة کالخلخال، وأضاف بعضهم تقسیماً آخر، وهو تقسیمها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طبیعیة ومکتسبة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وسنتعرّض لبیان ذلک مفصّلا فیما یأتی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لفظ الزینة قد تکرّر فی هذه الآیة ثلاث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لیَضرِبنَ بِخُمُرِهِنَّ الخمُر جمع خمار، وهو ما یخمّر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یغطّی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 وهی التی تسمّیها الناس المقانع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ویجمع الخمار علی خُمر جمع کثرة، ویجمع علی</w:t>
      </w:r>
    </w:p>
    <w:p>
      <w:pPr>
        <w:pStyle w:val="BookText"/>
        <w:rPr/>
      </w:pPr>
      <w:r>
        <w:rPr>
          <w:rFonts w:ascii="Amiri" w:hAnsi="Amiri" w:eastAsia="Amiri" w:cs="Amiri"/>
          <w:color w:val="111111"/>
          <w:sz w:val="28"/>
          <w:sz w:val="28"/>
          <w:szCs w:val="28"/>
          <w:rtl w:val="true"/>
          <w:lang w:bidi="ar-SA"/>
        </w:rPr>
        <w:t>أخمرة جمع قلّة</w:t>
      </w:r>
      <w:r>
        <w:rPr>
          <w:rFonts w:eastAsia="Amiri" w:cs="Amiri" w:ascii="Amiri" w:hAnsi="Amiri"/>
          <w:color w:val="111111"/>
          <w:sz w:val="28"/>
          <w:szCs w:val="28"/>
          <w:rtl w:val="true"/>
          <w:lang w:bidi="ar-SA"/>
        </w:rPr>
        <w:t xml:space="preserve">. </w:t>
      </w:r>
      <w:r>
        <w:rPr>
          <w:rStyle w:val="FootnoteAnchor"/>
          <w:rtl w:val="true"/>
        </w:rPr>
        <w:footnoteReference w:id="303"/>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لأنّه ضمّن معنی الإلقاء، ویکون المراد أن تسدل المرأة وتلقی بالخمار علی صدرها، لئلّا یبدو شیء من النحر والصدر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جُیُوبِهِنَّ الجیوب جمع جیب، وهو موضع القطع من الدرع والقمیص، وهو من الجوب، وهو القطع</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ویلابسها، ومنه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ناصح الجیب، </w:t>
      </w:r>
      <w:r>
        <w:rPr>
          <w:rStyle w:val="FootnoteAnchor"/>
          <w:rtl w:val="true"/>
        </w:rPr>
        <w:footnoteReference w:id="305"/>
      </w:r>
      <w:r>
        <w:rPr>
          <w:rFonts w:ascii="IRNazanin" w:hAnsi="IRNazanin" w:eastAsia="IRNazanin"/>
          <w:color w:val="111111"/>
          <w:sz w:val="28"/>
          <w:sz w:val="28"/>
          <w:szCs w:val="28"/>
          <w:rtl w:val="true"/>
          <w:lang w:bidi="fa-IR"/>
        </w:rPr>
        <w:t>النحر والجزء الأعلی من الصدر، وأصله الفتحة التی تکون فی طوق القمیص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بضرب النساء بخمرهنّ علی جیوبهنّ تغطیة رؤوسهنّ وأعناقهنّ وصدورهنّ بکلّ ما فیها من زینة وحلیّ</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لِبُعُولَتِهِنَّ البعولة جمع بعل، وزان فحل وفحولة، وهو الذکر من الزوجین </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بَعلِی شَیخاً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یطلق علی السیّد أیضاً </w:t>
      </w:r>
      <w:r>
        <w:rPr>
          <w:rStyle w:val="FootnoteAnchor"/>
          <w:rtl w:val="true"/>
        </w:rPr>
        <w:footnoteReference w:id="308"/>
      </w:r>
      <w:r>
        <w:rPr>
          <w:rFonts w:ascii="Amiri" w:hAnsi="Amiri" w:eastAsia="Amiri" w:cs="Amiri"/>
          <w:color w:val="111111"/>
          <w:sz w:val="28"/>
          <w:sz w:val="28"/>
          <w:szCs w:val="28"/>
          <w:rtl w:val="true"/>
          <w:lang w:bidi="ar-SA"/>
        </w:rPr>
        <w:t>، بل علی کلّ مستعلٍ</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ما مَلَکَت أَیمانُهُنَّ أی الإماء والجواری،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المرادالعبید والإماء، أی الأرقّاء ذکوراً وإناثاً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غَیرِ فیها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 والنصب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الجرّ بناء علی أنّه نعت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اَلتّابِعِینَ أو بدل منه أو بیان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النصب فعلی الحال أو الاستثناء</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والأرَب والإرب والإربة بمعنی، والجمع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فرط الحاجة المقتضی للاحتیال فی دفعه، فکلّ أرب حاجة، ولیس کلّ حاجة أرباً، ثُمّ یستعمل تارة فی الحاجة المفردة، وتارة فی الاحتیال وإن لم یکن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الإِربَةِ مِنَ الرِّجالِ کنایة عن الحاجة إلی النکاح، وهی الأربی للداهیة المقتضیة للاحتیال</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والمراد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أُولِی الإِربَةِ مِنَ الرِّجالِ أی غیر أولی المیل والشهوة، أو الحاجة إلی النساء، ومثّلوا له بالبُله والحمقی والمغفّلین الذین لایدرکون من امور الجنس شیئاً</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الطِّفلِ کلمة طفل اسم جنس تقع علی الجمع کما تقع علی المفرد، فهی مثل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نظیر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نُخرِجُکُم طِفلاً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والمراد به الجمع هنا بدلیل قوله أَوِ الطِّفلِ الَّذِینَ لَم یَظهَرُوا حیث جاء بواو الجماعة، واللام للاستغراق، وکذلک نعته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فیکون الطفل معطوفاً علی لِبُعُولَتِهِنَّ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کون اَلَّذِینَ نعتاً</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اَلتّابِعِینَ، فیکون اَلطِّفلِ معطوفاً علی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یَظهَرُوا أی لم یطّلعوا، أو من الظهور بمعنی الغلبة، أی لم یقووا علی أمور یقبح التصریح بها،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البلوغ</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عَوراتِ النِّساءِ العورة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سوأة الإنسان، وذلک کنایة، وأصلها من العار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w:t>
      </w:r>
      <w:bookmarkStart w:id="316" w:name="pg5707_46546"/>
    </w:p>
    <w:p>
      <w:pPr>
        <w:pStyle w:val="BookText"/>
        <w:rPr/>
      </w:pPr>
      <w:bookmarkEnd w:id="316"/>
      <w:r>
        <w:rPr>
          <w:rFonts w:ascii="IRNazanin" w:hAnsi="IRNazanin" w:eastAsia="IRNazanin"/>
          <w:color w:val="111111"/>
          <w:sz w:val="28"/>
          <w:sz w:val="28"/>
          <w:szCs w:val="28"/>
          <w:rtl w:val="true"/>
          <w:lang w:bidi="fa-IR"/>
        </w:rPr>
        <w:t>لما یلحق فی ظهوره من العار، أی المذَمّة</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نعم هل یراد بذلک خصوص القبل والدبر أو ما یشمل السرّة والفخذ، وسیأتی احتمال إرادة معنی آخر هنا</w:t>
      </w:r>
      <w:r>
        <w:rPr>
          <w:rFonts w:eastAsia="IRNazanin" w:cs="IRNazanin"/>
          <w:color w:val="111111"/>
          <w:sz w:val="28"/>
          <w:szCs w:val="28"/>
          <w:rtl w:val="true"/>
          <w:lang w:bidi="fa-IR"/>
        </w:rPr>
        <w:t>.</w:t>
      </w:r>
    </w:p>
    <w:p>
      <w:pPr>
        <w:pStyle w:val="Heading5"/>
        <w:numPr>
          <w:ilvl w:val="4"/>
          <w:numId w:val="1"/>
        </w:numPr>
        <w:rPr/>
      </w:pPr>
      <w:bookmarkStart w:id="317" w:name="__RefHeading___Toc3818451_581953129"/>
      <w:bookmarkStart w:id="318" w:name="_Toc128"/>
      <w:bookmarkEnd w:id="317"/>
      <w:r>
        <w:rPr>
          <w:rtl w:val="true"/>
        </w:rPr>
        <w:t>المدلول التشریعی</w:t>
      </w:r>
      <w:bookmarkEnd w:id="318"/>
    </w:p>
    <w:p>
      <w:pPr>
        <w:pStyle w:val="Heading6"/>
        <w:numPr>
          <w:ilvl w:val="5"/>
          <w:numId w:val="1"/>
        </w:numPr>
        <w:rPr/>
      </w:pPr>
      <w:bookmarkStart w:id="319" w:name="__RefHeading___Toc3818453_581953129"/>
      <w:bookmarkStart w:id="320" w:name="_Toc129"/>
      <w:bookmarkEnd w:id="319"/>
      <w:r>
        <w:rPr>
          <w:rtl w:val="true"/>
        </w:rPr>
        <w:t>أوّلاً</w:t>
      </w:r>
      <w:r>
        <w:rPr>
          <w:rtl w:val="true"/>
        </w:rPr>
        <w:t xml:space="preserve">: </w:t>
      </w:r>
      <w:r>
        <w:rPr>
          <w:rtl w:val="true"/>
        </w:rPr>
        <w:t>حرمة إبداء الزینة للنساء</w:t>
      </w:r>
      <w:bookmarkEnd w:id="320"/>
    </w:p>
    <w:p>
      <w:pPr>
        <w:pStyle w:val="BookText"/>
        <w:rPr/>
      </w:pPr>
      <w:r>
        <w:rPr>
          <w:rFonts w:ascii="IRNazanin" w:hAnsi="IRNazanin" w:eastAsia="IRNazanin"/>
          <w:color w:val="111111"/>
          <w:sz w:val="28"/>
          <w:sz w:val="28"/>
          <w:szCs w:val="28"/>
          <w:rtl w:val="true"/>
          <w:lang w:bidi="fa-IR"/>
        </w:rPr>
        <w:t>وهذا الحکم لا خلاف فیه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یُبدِینَ زِینَتَهُنَّ، وقد تکرّر ذکر النهی عن إبداء الزینة مرّتین، وفی کلّ منهما استثناء، والنهی ظاهر فی الحرمة، لکن لا بدّ من البحث فی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بالإبداء الذی وقع متعلّقاً للحرمة</w:t>
      </w:r>
    </w:p>
    <w:p>
      <w:pPr>
        <w:pStyle w:val="BookText"/>
        <w:rPr/>
      </w:pPr>
      <w:r>
        <w:rPr>
          <w:rFonts w:ascii="IRNazanin" w:hAnsi="IRNazanin" w:eastAsia="IRNazanin"/>
          <w:color w:val="111111"/>
          <w:sz w:val="28"/>
          <w:sz w:val="28"/>
          <w:szCs w:val="28"/>
          <w:rtl w:val="true"/>
          <w:lang w:bidi="fa-IR"/>
        </w:rPr>
        <w:t>المعروف بینهم أنّ الإبداء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الإظهار، کما فسّر فی اللغة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بید أنّ بعض المحققّین قد أفاد فی تحلیل ذلک بأنّ الإبداء وإن کان بمعنی الإظهار، إلّا أنّ الإبداء تارة یستعمل متعلّقاً بشیء ولم یکن متعدّیاً لمفعول ثانٍ باللام، فیکون فی مقابل الستر، أی بمعنی ترک الشیء مشکوفاً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یستعمل متعدّیاً لمفعول ثانٍ باللام، فیکون فی مقابل الإخفاء بمعنی الإعلام والإراءة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أی یکون الابداء فی الحالة الحالة الثانیة من العناوین القصدیة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لاشتماله علی قصد الإراءة للغیر</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فرّق هذا المحقق بین الفقرة الاولی وَ لا یُبدِینَ زِینَتَهُنَّ إِلاّ ما ظَهَرَ مِنها وبین الفقرة الثانیة وَ لا یُبدِینَ زِینَتَهُنَّ إِلاّ لِبُعُولَتِهِنَّ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بالأولی النهی عن الإظهار بمعنی لزوم التستّر، والمراد بالثانیة النهی عن الإظهار بمعنی الإراءة، وعلیه ففی الآیة حرمتان وحکمان لا حکم واحد، ولیس ثَمّ تکرار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 الفقرة الأولی نهیٌ عن إبداء زینتها وعدم ترکها مکشوفة بل یجب سترها إلاّ ما ظهر منها ولو مع عدم العلم بوجود ناظر فعلاً مادام المکان معرّضاً لوجود الناظر، کما لو کانت تسیر فی زقاق خال من الناس إلاّ ما ظهر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الفقرة الثانیة فهی ناظرة إلی إبداء الزینة أمام الناظر، وتدلّ علی أنّه لایجوز ذلک مادام الناظر لا ینطبق علیه أحد العناوین الإثنی عشر المستثناة ویجوز إذا انطبق علیه ذلک</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ومن ذلک یتّضح أنّ الاستثناء فی الفقرة الثانیة لا علاقه له بالاستثناء الوارد فی الفقرة الاُولی، فالحرمة فی الفقرة الثانیة مطلقة من ناحیة الاستثناء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یثبت من خلال الفقرة الثانیة أنّ الزینة یحرم إبداؤها للناظر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من أحد العناوین الاثنی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 ظهر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حین ذهب الآخرون إلی أنّ الفقرة الثانیة وَ لا یُبدِینَ زِینَتَهُنَّ إِلاّ لِبُعُولَتِهِنَّ یراد بها الزینة الباطنة التی لایجوز کشفها فی مقابل إِلاّ ما ظَهَرَ مِنها وتکریر النهی</w:t>
      </w:r>
    </w:p>
    <w:p>
      <w:pPr>
        <w:pStyle w:val="BookText"/>
        <w:rPr/>
      </w:pPr>
      <w:r>
        <w:rPr>
          <w:rFonts w:ascii="IRNazanin" w:hAnsi="IRNazanin" w:eastAsia="IRNazanin"/>
          <w:color w:val="111111"/>
          <w:sz w:val="28"/>
          <w:sz w:val="28"/>
          <w:szCs w:val="28"/>
          <w:rtl w:val="true"/>
          <w:lang w:bidi="fa-IR"/>
        </w:rPr>
        <w:t>توطئة لبیان من یحلّ الإبداء له ومن لایحلّ له</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وقال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للتأکید والتغلیظ</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بالزینة فی الآیة؟</w:t>
      </w:r>
    </w:p>
    <w:p>
      <w:pPr>
        <w:pStyle w:val="BookText"/>
        <w:rPr/>
      </w:pPr>
      <w:r>
        <w:rPr>
          <w:rFonts w:ascii="IRNazanin" w:hAnsi="IRNazanin" w:eastAsia="IRNazanin"/>
          <w:color w:val="111111"/>
          <w:sz w:val="28"/>
          <w:sz w:val="28"/>
          <w:szCs w:val="28"/>
          <w:rtl w:val="true"/>
          <w:lang w:bidi="fa-IR"/>
        </w:rPr>
        <w:t>فی ذلک اتجاهان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الاتجاه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إطلاق لفظ الزینة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الزینة من أعضاء بدن المرأة ؛ لا الزینة ذاتها، سواءً وضعت علیها ما یتزیّن به من الخضاب والحلیّ أو خلت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الإطلاق مجازی من باب إطلاق الحالّ وإرادة المحلّ، وذلک</w:t>
      </w:r>
    </w:p>
    <w:p>
      <w:pPr>
        <w:pStyle w:val="BookText"/>
        <w:rPr/>
      </w:pPr>
      <w:r>
        <w:rPr>
          <w:rFonts w:ascii="IRNazanin" w:hAnsi="IRNazanin" w:eastAsia="IRNazanin"/>
          <w:color w:val="111111"/>
          <w:sz w:val="28"/>
          <w:sz w:val="28"/>
          <w:szCs w:val="28"/>
          <w:rtl w:val="true"/>
          <w:lang w:bidi="fa-IR"/>
        </w:rPr>
        <w:t>لملابستها تلک المواضع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الاستثناء الوارد فی الآیة، فإنّ الاستثناء الأوّل أخرج ما ظهر من الزینة وخصّص الحرمة بماعداها، والاستثناء الثانی أخرج الطوائف الاثنی عشرة وخصص الحرمة بمن عداهم، ومن الواضح أنّ نفس الزینة یجوز إبداؤها بلا فرق بین ما استثنی وبین المستثنی منه، ولا یحتمل فی ذلک الحرمة قطعاً، فیتعیّن إرادة مواضع الزینة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وتؤیّده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امّ المؤمنین عائشة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یحلّ لامرأة تؤمن بالله والیوم الآخر إذا عرکت </w:t>
      </w:r>
      <w:r>
        <w:rPr>
          <w:rStyle w:val="FootnoteAnchor"/>
          <w:rtl w:val="true"/>
        </w:rPr>
        <w:footnoteReference w:id="318"/>
      </w:r>
      <w:r>
        <w:rPr>
          <w:rFonts w:ascii="IRNazanin" w:hAnsi="IRNazanin" w:eastAsia="IRNazanin"/>
          <w:color w:val="111111"/>
          <w:sz w:val="28"/>
          <w:sz w:val="28"/>
          <w:szCs w:val="28"/>
          <w:rtl w:val="true"/>
          <w:lang w:bidi="fa-IR"/>
        </w:rPr>
        <w:t>أن تظهر إلاّ وجهها ویدیها إلی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وقبض علی نصف الذراع </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وقریب من مضمونه ما رواه أبو داوود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الفضیل،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الذراعین من المرأة هما من الزینة التی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یُبدِینَ زِینَتَهُنَّ إِلاّ لِبُعُولَتِهِنَّ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ومادون الخمار من الزینة ومادون السوارین</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ووسّع بعضهم هذا الاتجاه بالقول بأنّ الصحیح أنّه العضو کلّه، لا المقدار الذی یلامسه الزینة منه</w:t>
      </w:r>
      <w:r>
        <w:rPr>
          <w:rFonts w:eastAsia="IRNazanin" w:cs="IRNazanin"/>
          <w:color w:val="111111"/>
          <w:sz w:val="28"/>
          <w:szCs w:val="28"/>
          <w:rtl w:val="true"/>
          <w:lang w:bidi="fa-IR"/>
        </w:rPr>
        <w:t xml:space="preserve">. </w:t>
      </w:r>
      <w:r>
        <w:rPr>
          <w:rStyle w:val="FootnoteAnchor"/>
          <w:rtl w:val="true"/>
        </w:rPr>
        <w:footnoteReference w:id="322"/>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حین احتمل آخر الاختصاص بمحلّها فقط، فلا یتعدّی لا غیرها خصوصاً</w:t>
      </w:r>
    </w:p>
    <w:p>
      <w:pPr>
        <w:pStyle w:val="BookText"/>
        <w:rPr/>
      </w:pPr>
      <w:r>
        <w:rPr>
          <w:rFonts w:ascii="IRNazanin" w:hAnsi="IRNazanin" w:eastAsia="IRNazanin"/>
          <w:color w:val="111111"/>
          <w:sz w:val="28"/>
          <w:sz w:val="28"/>
          <w:szCs w:val="28"/>
          <w:rtl w:val="true"/>
          <w:lang w:bidi="fa-IR"/>
        </w:rPr>
        <w:t>المواضع الخفیة فی أکثر الحالات والقریبة من العورة</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الاتجاه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الآیة الکریمة إرادة نفس ما تتزیّن به المرأة ؛ ویؤیّد ذلک قوله عزّوجلّ فی ذیل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یَضرِبنَ بِأَرجُلِهِنَّ لِیُعلَمَ ما یُخفِینَ مِن زِینَتِهِنَّ ؛ فإنّ من الواضح أنّ ضرب الرجل علی الأرض لایوجب العلم بموضع الزینة، وإنّما الذی یوجبه هو العلم بنفس الزینة من الخلخال وغیره، فإنّ ضرب الرجل یوجب حرکتها وإیجاد الصوت فیعلم بها لا محالة</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قال الفاضل السیوری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ویظهر لی أنّ المراد نفس الزینة، وإنّما حرّم النظر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ابیح لکان وسیلة إلی النظر إلی مواضعها</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ویؤیّد ذلک بعض الروایات التی ذکرت الزینة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کالثیاب، والکحل، والخاتم وخضاب الکفّ، والسوار، وغیرها</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وتجدر الإشارة إلی أنّ الاتجاه الثانی مفاده تحریم إرادة الزینة نفسها بحسب المدلول المطابقی للآیة، وهذا لا ینافی ثبوت الحرمة لمواضع الزینة بالدلالة الالتزامیة العرفیة، ولهذا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ذکر الزینة دون مواقعها للمبالغة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تَقرَبُوا الزِّنی </w:t>
      </w:r>
      <w:r>
        <w:rPr>
          <w:rStyle w:val="FootnoteAnchor"/>
          <w:rtl w:val="true"/>
        </w:rPr>
        <w:footnoteReference w:id="327"/>
      </w:r>
      <w:r>
        <w:rPr>
          <w:rFonts w:ascii="IRNazanin" w:hAnsi="IRNazanin" w:eastAsia="IRNazanin"/>
          <w:color w:val="111111"/>
          <w:sz w:val="28"/>
          <w:sz w:val="28"/>
          <w:szCs w:val="28"/>
          <w:rtl w:val="true"/>
          <w:lang w:bidi="fa-IR"/>
        </w:rPr>
        <w:t>لأنّ هذه الزینة واقعة علی مواضع یحرم النظر إلیها لغیر من استثنی فی الآیة</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وکلّ من هذین الاتجاهین یواجه مشکلة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من الاتجاهین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یوضّح موقفه من الزینة المذکورة فی الفقرة الثالثة</w:t>
      </w:r>
    </w:p>
    <w:p>
      <w:pPr>
        <w:pStyle w:val="BookText"/>
        <w:rPr/>
      </w:pPr>
      <w:r>
        <w:rPr>
          <w:rFonts w:ascii="Amiri" w:hAnsi="Amiri" w:eastAsia="Amiri" w:cs="Amiri"/>
          <w:color w:val="111111"/>
          <w:sz w:val="28"/>
          <w:sz w:val="28"/>
          <w:szCs w:val="28"/>
          <w:rtl w:val="true"/>
          <w:lang w:bidi="ar-SA"/>
        </w:rPr>
        <w:t>من الآیة لِیُعلَمَ ما یُخفِینَ مِن زِینَتِهِنَّ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أنّ علی ثانی الاتجاهین أن یوضّح موقفه تجاه الروایات التی فسّرت ما ظهر من الزینة بمواضعها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المراد هو النهی عن إبداء الزینة مطلقاً حتّی لو کانت معروضة فی مندیل للبیع فی الأسواق، بل المراد النهی عن إبداء الزینة حین التحلّی بها واستعمالها فی مواضعها</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أقسام الزینة؟</w:t>
      </w:r>
    </w:p>
    <w:p>
      <w:pPr>
        <w:pStyle w:val="BookText"/>
        <w:rPr/>
      </w:pPr>
      <w:r>
        <w:rPr>
          <w:rFonts w:ascii="IRNazanin" w:hAnsi="IRNazanin" w:eastAsia="IRNazanin"/>
          <w:color w:val="111111"/>
          <w:sz w:val="28"/>
          <w:sz w:val="28"/>
          <w:szCs w:val="28"/>
          <w:rtl w:val="true"/>
          <w:lang w:bidi="fa-IR"/>
        </w:rPr>
        <w:t>یمکن تقسیم الزینة بعدّة تقسیمات،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التقسیم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تقسیمها إلی طبیعیة وغیر طبیعیة</w:t>
      </w:r>
    </w:p>
    <w:p>
      <w:pPr>
        <w:pStyle w:val="BookText"/>
        <w:rPr/>
      </w:pPr>
      <w:r>
        <w:rPr>
          <w:rFonts w:ascii="IRNazanin" w:hAnsi="IRNazanin" w:eastAsia="IRNazanin"/>
          <w:color w:val="111111"/>
          <w:sz w:val="28"/>
          <w:sz w:val="28"/>
          <w:szCs w:val="28"/>
          <w:rtl w:val="true"/>
          <w:lang w:bidi="fa-IR"/>
        </w:rPr>
        <w:t>قال القرطبی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الزینة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خلقیة، ومکتبسة، فالخلقیة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أصل الزینة وجمال الخلقة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الزینة المکتسبة فهی ما تحاوله المرأة فی تحسین خلقتها کالثیاب، والحلیّ، والکحل، والخضاب، ومنه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زِینَتَکُم </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وظاهره أنّه ناظر إلی تفسیر الزینة فی الآیة، ولکنّه لم یوضّح کیفیة استفادة ذلک من الآیة، وهل کلا القسمین لوحظا فی فقرتی الآیة أو کلّ فقرة ناظرة إلی قسم؟</w:t>
      </w:r>
    </w:p>
    <w:p>
      <w:pPr>
        <w:pStyle w:val="BookText"/>
        <w:rPr/>
      </w:pPr>
      <w:r>
        <w:rPr>
          <w:rFonts w:ascii="IRNazanin" w:hAnsi="IRNazanin" w:eastAsia="IRNazanin"/>
          <w:color w:val="111111"/>
          <w:sz w:val="28"/>
          <w:sz w:val="28"/>
          <w:szCs w:val="28"/>
          <w:rtl w:val="true"/>
          <w:lang w:bidi="fa-IR"/>
        </w:rPr>
        <w:t>ولم یوضّح لم خصّ الاُولی بالوجه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إنّ المرأة تمتاز بطبیعة جمالیة، أی إنّها خلقة وتکویناً تمتلک زینة وجمالا طبیعیاً دون الرجل، وهذه الزینة تشمل أغلب بدن المرأة، أوقل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بدن المرأة إلّا العورة؛ فإنّها لیست زینة، بل هی ممّا یُستقبح، ولذا اطلق علیها السوأة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فتخصیص الزینة الطبیعیة بالوجه خاصّة لم یتّضح لنا وجهه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التقسیم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تقسیمها إلی ظاهرة وباطنة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التقسیم منشأه الاستثناء الأوّل الوارد فی الآیة، وسیأتی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التقسیم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تقسیمها ثلاثیاً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زینة للناس، وزینة للمحرم، وزینة للزوج؛ کما فی روایة أبی الجارود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والملفت فی هذا التقسیم التفصیل بین المحارم والزوج حیث وردا فی الآیة معطوفین علی الطوائف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الزوج لیس کغیره، بل یمتاز عن سائر الطوائف الأحد عشر، فیسوغ للزوجة أن تبدی لزوجها ما لا یسوغ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الآیة لم تکن بصدد بیان هذا الفرق، وإنّما جوّزت إبداء الزینة للطوائف الاثنی عشر فی مقابل الآخرین الأجانب فحسب، وحینئذٍ فلإثبات التفاوت فی مقدار الإبداء بین الأزواج وغیرهم من تلک الطوائف لا محیص من التماس أدلّة اخری غیر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أسئلة ربّما یمکن معالجتها علی ضوء الآیة؛ 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 الزینة والتجمیل یتحقق بوضع شیء وإضافته إلی البدن کالحلیّ والأصباغ والمساحیق فحسب، أو أنّه یتحقّق أیضاً برفع شیء وإزالته کإزالة شعر الوجه وتعدیل الحاجبین؟ </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یفرّق فی الزینة بین ما کان مؤقتاً وعارضاً کإضافة لون للبشرة أو الشعر، وبین ما کان ثابتاً کالوشم؟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یفرّق فی الزینة بین ما یکون من خلال إجراء عملیة جراحیة کعملیات</w:t>
      </w:r>
    </w:p>
    <w:p>
      <w:pPr>
        <w:pStyle w:val="BookText"/>
        <w:rPr/>
      </w:pPr>
      <w:r>
        <w:rPr>
          <w:rFonts w:ascii="IRNazanin" w:hAnsi="IRNazanin" w:eastAsia="IRNazanin"/>
          <w:color w:val="111111"/>
          <w:sz w:val="28"/>
          <w:sz w:val="28"/>
          <w:szCs w:val="28"/>
          <w:rtl w:val="true"/>
          <w:lang w:bidi="fa-IR"/>
        </w:rPr>
        <w:t>التجمیل بالجراحة الپلاستیکیة وغیرها؟ هذه وغیرها من الأسئلة ربّما یمکن الإجابة علیها بالتّمسک بالاطلاقات الواردة فی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النقطة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المراد بالمستنثی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ظَهَرَ مِنها ؟</w:t>
      </w:r>
    </w:p>
    <w:p>
      <w:pPr>
        <w:pStyle w:val="BookText"/>
        <w:rPr/>
      </w:pPr>
      <w:r>
        <w:rPr>
          <w:rFonts w:ascii="IRNazanin" w:hAnsi="IRNazanin" w:eastAsia="IRNazanin"/>
          <w:color w:val="111111"/>
          <w:sz w:val="28"/>
          <w:sz w:val="28"/>
          <w:szCs w:val="28"/>
          <w:rtl w:val="true"/>
          <w:lang w:bidi="fa-IR"/>
        </w:rPr>
        <w:t>واختلفت الاتجاهات فی المقام اختلافاً شدیداً، وربّما یمکن التوفیق والمصالحة بین بعضها، 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الزینة هو الثیاب، واختاره السیوری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 هذا المراد بالباطنة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الخلخال، والسوار، والقرط، وجمیع ما هو مباشر للبدن ویستلزم نظره نظر البدن</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بعضهم الثیاب والوجه، حکی عن ابن جبیر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جبیر أیضاً وعطاء والأوزاعی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والکفّان والثیاب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 وقتادة، والمسور بن مخرمة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الزینة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الکحل، والسوار</w:t>
      </w:r>
    </w:p>
    <w:p>
      <w:pPr>
        <w:pStyle w:val="BookText"/>
        <w:rPr/>
      </w:pPr>
      <w:r>
        <w:rPr>
          <w:rFonts w:ascii="IRNazanin" w:hAnsi="IRNazanin" w:eastAsia="IRNazanin"/>
          <w:color w:val="111111"/>
          <w:sz w:val="28"/>
          <w:sz w:val="28"/>
          <w:szCs w:val="28"/>
          <w:rtl w:val="true"/>
          <w:lang w:bidi="fa-IR"/>
        </w:rPr>
        <w:t xml:space="preserve">والخضاب إلی نصف الذراع، والقِرطة، والفَتَخ، </w:t>
      </w:r>
      <w:r>
        <w:rPr>
          <w:rStyle w:val="FootnoteAnchor"/>
          <w:rtl w:val="true"/>
        </w:rPr>
        <w:footnoteReference w:id="334"/>
      </w:r>
      <w:r>
        <w:rPr>
          <w:rFonts w:ascii="IRNazanin" w:hAnsi="IRNazanin" w:eastAsia="IRNazanin"/>
          <w:color w:val="111111"/>
          <w:sz w:val="28"/>
          <w:sz w:val="28"/>
          <w:szCs w:val="28"/>
          <w:rtl w:val="true"/>
          <w:lang w:bidi="fa-IR"/>
        </w:rPr>
        <w:t>ونحو هذا، فمباح أن تبدیه المرأة لکلّ من دخل علیها من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المرأة مأمورة بألاّتبدی، وأن تجتهد فی الإخفاء لکلّ ما هو زینة، ووقع الاستثناء فیما یظهر بحکم ضرورة حرکة فیما لابدّ منه أو إصلاح شأن ونحو ذلک،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ظَهَرَ علی هذا الوجه ممّا تؤدّی إلیه الضرورة فی النساء فهو المعفوّ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رجوع الاستثناء إلی الوجه والکفّین </w:t>
      </w:r>
      <w:r>
        <w:rPr>
          <w:rStyle w:val="FootnoteAnchor"/>
          <w:rtl w:val="true"/>
        </w:rPr>
        <w:footnoteReference w:id="335"/>
      </w:r>
      <w:r>
        <w:rPr>
          <w:rFonts w:ascii="IRNazanin" w:hAnsi="IRNazanin" w:eastAsia="IRNazanin"/>
          <w:color w:val="111111"/>
          <w:sz w:val="28"/>
          <w:sz w:val="28"/>
          <w:szCs w:val="28"/>
          <w:rtl w:val="true"/>
          <w:lang w:bidi="fa-IR"/>
        </w:rPr>
        <w:t>، وهذا هو مختار کثیر من الفقهاء</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الآیة احتمالات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بالمستثنی ما ظهر بنفسه صدفة واتفاقاً کالغفلة، أو ماکشفته الریح، لا ما کان عن عمد واختیار، وهنا لا بدّ من تقدیر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ما ظهر لضرورة قصوی کالمعالجة والاستنقاد من الهلاک إذا لم یمکن بالمماثل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توسعة هذه الاحتمال إلی ما یشمل الضرورة ولو لم تکن قصوی، بل لوجود الحاجة الطارئه لا لمحض العبث، کمقام الشهادة تحمّلا أو 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ما کان ظاهراً بطبیعته ولا یمکن إخفاؤه کالرداء الذی تجلّل به النساء ملابسهنّ</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الاحتمال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ما یظهر عادة وعرفاً، وهذا یشمل الوجه والکفّین والقدمین وشیئاً ممّا یحیط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إنّ حرکة المرأة لأداء شؤونها تستلزم عادة ظهورها للحاجة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 المنع من إظهار ذلک فیه حرج وضیق علی المرأة وصعوبة، ثم جاءت الروایات وحصرت تلک الدائرة العرفیة، أو ضیّقت منها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الاحتمال قابل للتوسعة نسبیاً بالنظر لتوسّع العرف نفسه، فلا یبعد دعوی کون المتعارف آنذاک الفرق بین الحرّة والأمة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 یظهر من الأمة بسبب مزاولتها لمختلف الأعمال وأیضاً لتعرّضها للبیع والشراء وغیر ذلک أکثر ممّا یتعارف ظهوره من الحرّة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التقدّم خطوة اخری فی توسعة هذا الاحتمال بما یشمل القواعد من النساء الکبیرات بشرط عدم التبرّج</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ورد فی أحکام الصلاة عدم وجوب سترهما علی المرأة، وأیضاً ورد فی أحکام الحجّ ذلک مع إضافة القدمین إلیهما وعلی نحو الإلزام لا الرخصة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قال</w:t>
      </w:r>
    </w:p>
    <w:p>
      <w:pPr>
        <w:pStyle w:val="BookText"/>
        <w:rPr/>
      </w:pPr>
      <w:r>
        <w:rPr>
          <w:rFonts w:ascii="IRNazanin" w:hAnsi="IRNazanin" w:eastAsia="IRNazanin"/>
          <w:color w:val="111111"/>
          <w:sz w:val="28"/>
          <w:sz w:val="28"/>
          <w:szCs w:val="28"/>
          <w:rtl w:val="true"/>
          <w:lang w:bidi="fa-IR"/>
        </w:rPr>
        <w:t>القرطبی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 الغالب من الوجه والکفّین ظهورهما عادة وعبادة وذلک فی الصلاة والحجّ فیصلح أن یکون الاستثناء راجعاً إلیهما</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هذا بناء علی کون المراد بالزینة مواضعها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إرادة الزینة ذاتها، فیکون المراد ما یظهر هو الزینة فی تلک المواضع، وقد أضاف بعضهم إلی هذا الاستدلال الأخیر خطوة اخری، وهی أنّ ثمّة ملازمة عرفیة بین إظهار الزینة ومواضعها، فإنّ جواز کشف الزینة فی هذه المواضع یدلّ بالملازمة علی جواز کشف مواضعها</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وبلحاظ هذا البیان یمکننا تحلیل بعض الروایات التی حدّدت ذلک بالوجه والکفّین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بصدد بیان الحکم تمسّکاً بالملازمة العرفیة، ولیست بصدد إعطاء معنی</w:t>
      </w:r>
    </w:p>
    <w:p>
      <w:pPr>
        <w:pStyle w:val="BookText"/>
        <w:rPr/>
      </w:pPr>
      <w:r>
        <w:rPr>
          <w:rFonts w:ascii="IRNazanin" w:hAnsi="IRNazanin" w:eastAsia="IRNazanin"/>
          <w:color w:val="111111"/>
          <w:sz w:val="28"/>
          <w:sz w:val="28"/>
          <w:szCs w:val="28"/>
          <w:rtl w:val="true"/>
          <w:lang w:bidi="fa-IR"/>
        </w:rPr>
        <w:t>آخر للزینة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بالطوائف الاثنی عشرة المستثنتین؟</w:t>
      </w:r>
    </w:p>
    <w:p>
      <w:pPr>
        <w:pStyle w:val="BookText"/>
        <w:rPr/>
      </w:pPr>
      <w:r>
        <w:rPr>
          <w:rFonts w:ascii="IRNazanin" w:hAnsi="IRNazanin" w:eastAsia="IRNazanin"/>
          <w:color w:val="111111"/>
          <w:sz w:val="28"/>
          <w:sz w:val="28"/>
          <w:szCs w:val="28"/>
          <w:rtl w:val="true"/>
          <w:lang w:bidi="fa-IR"/>
        </w:rPr>
        <w:t>ولا بدّ من تفصیل البحث فی کلّ عنوان علی حدة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لِبُعُولَتِهِنَّ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أزواجهنّ ، فقد استثنتهم الآیة من حرمة إبداء الزینة لهم فی الجملة وإن اختلفوا عن سائر الطوائف الإحدی عشرة بمقدار ما یباح لهم، ولیست فی الآیة أیّة إشارة لذلک، بل یستفاد ذلک من أدلّة اخری،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إباحة المباشرة والاستمتاع الجنسی بین الزوجین بکلّ أشکاله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بُدئ بالبعولة فی الاستثناء قبل غیرهم؛ لأنّ اطّلاعهم یقع علی ما هو أعظم من هذا</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بل ورد فی الروایات ترغیب للزوجة فی أبداء زینتها لزوجها، لا مجرّد الإباحة</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وبناء علی إطلاق البعل علی الأعم من الزوج والسیّد یکون المراد من لِبُعُولَتِهِنَّ ما یعمّهما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الخطاب فی الآیة موجّه للحرائر ولا یعمّ الإماء، لوجود قرائن منها قوله 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مَلَکَت أَیمانُهُنَّ، فیتعیّن إرادة الأزواج من البعولة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الطوائف الاثنتی عشرة المستثناة مذکورة علی نحو القضیة الحقیقیة، والتی بدورها تنحلّ الی عدّة قضایا حقیقیة بعدد الطوائف، أی علی فرض وجودها، فعدم تحقّقها فی الخارج لا یؤثّر علی الخطاب والمراد به، فالمرأة العقیمة مثلاً لایخرجها انتفاء الولد عن عموم الخطاب أَو أَبنائِهِنَّ، وهکذا بالنسبة لسائر الطوائف، وعلیه فالخطاب عام من هذه الجهة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آبائِهِنَّ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آباء المرأة ،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اللفظ یشمل الجدّ وإن علا من جهة الذکران لآباء الآباء وآباء الأمهات</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آباءِ بُعُولَتِهِنَّ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آباء الأزواج ، وأیضاً قالوا بشموله لجدّ الزوج وإن علا</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أَبنائِهِنَّ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أبناء المرأة ، ویدخل فیه أبناء الأبناء وإن سفلوا، ذکراناً کانوا أو إناثاً، کبنی البنین وبنی البنات</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أَبناءِ بُعُولَتِهِنَّ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الأزواج ، ویدخل فیه أبناء الأبناء وإن سفلوا</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إِخوانِهِنَّ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إخوة المرأة ، والظاهر الإطلاق، قال الأردبیلی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والأخ أعم من</w:t>
      </w:r>
    </w:p>
    <w:p>
      <w:pPr>
        <w:pStyle w:val="BookText"/>
        <w:rPr/>
      </w:pPr>
      <w:r>
        <w:rPr>
          <w:rFonts w:ascii="IRNazanin" w:hAnsi="IRNazanin" w:eastAsia="IRNazanin"/>
          <w:color w:val="111111"/>
          <w:sz w:val="28"/>
          <w:sz w:val="28"/>
          <w:szCs w:val="28"/>
          <w:rtl w:val="true"/>
          <w:lang w:bidi="fa-IR"/>
        </w:rPr>
        <w:t xml:space="preserve">أن یکون من الطرفین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 والأب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أحدهما</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بَنِی إِخوانِهِنَّ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إخوة المرأة ، ویدخل فیه أبناء الأبناء وإن سفلوا، ذکراناً کانوا أو إناثاً</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بَنِی أَخَواتِهِنَّ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أخوات المرأة ، ویدخل فیه أبناء الأبناء وإن سفلوا، ذکراناً کانوا أو إناثاً</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نِسائِهِنَّ وقد اختلفوا فی بیان ما هو المراد به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الجدیر بالذکر أنّه لم نجد مثل هذا الاختلاف بالنسبة إلی ما تقدّم من الطوائف، ولیس ثمّة غموض فی معنی لفظ النساء، والسبب فی تعدّد الآراء هنا هو اختلاف النسبة؛ فإنّ الحکم المستثنی فی الآیة حکم انحلالی بملاحظة کلّ مرأة بالنسبة إلی بعلها أو أبیها أو ابنها أو أخیها إلی آخر ما ذکر فیها؛ إذ لا یحتمل جواز إبداء زینتهنّ لبعولة آباء أو أبناء إخوان غیرهنّ، بل یختصّ الحکم بکلّ امرأة علی حدة بالنسبة إلی أبیها وسائر أرحامها المذکورین فی الآیة، فهنا تظهر فائدة إضافة 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العناوین المتقدّمة، وأمّا بالنسبة إلی نِسائِهِنَّ فلا یمکن الالتزام بکون الحکم انحلالیاً؛ إذ لا یعقل تصور کونها امرأة لامرأة دون اخری؛ إذ نسبتها من حیث هی امرأة واُنثی إلی کلّ فرد من أفراد النساء علی حدّ سواء بخلاف نسبتها إلی أفراد الرجال فإنّها مختلفة، فقد تکون حلیلة أو محرماً لشخص دون غیره</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 xml:space="preserve">فلا بدّ من بیان الفائدة من إضافة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ومهما یکن من أمر ففی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نِسائِهِنَّ عدة احتمالات بل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یراد بها مطلق النساء </w:t>
      </w:r>
      <w:r>
        <w:rPr>
          <w:rStyle w:val="FootnoteAnchor"/>
          <w:rtl w:val="true"/>
        </w:rPr>
        <w:footnoteReference w:id="349"/>
      </w:r>
      <w:r>
        <w:rPr>
          <w:rFonts w:ascii="Amiri" w:hAnsi="Amiri" w:eastAsia="Amiri" w:cs="Amiri"/>
          <w:color w:val="111111"/>
          <w:sz w:val="28"/>
          <w:sz w:val="28"/>
          <w:szCs w:val="28"/>
          <w:rtl w:val="true"/>
          <w:lang w:bidi="ar-SA"/>
        </w:rPr>
        <w:t>وعلیه فیتعیّن أن یراد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مَلَکَت أَیمانُهُنَّ العبید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الاحتمال بعید؛ لعدم الفائدة حینئذٍ فی إضافة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الحرمة هنا غیر محتملة ولا متوهّمة حتّی یتصدّی الشارع لنفیها وبیان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بها النساء الحرائر مطلقاً ؛ إذ من الواضح أنّ المقصود بالنساء طبیعی النساء، وبقرینة العطف علیهنّ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مَلَکَت أَیمانُهُنَّ والمراد به الإماء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ارید الإماء خاصّة أو ارید مطلق المملوک أمة کانت أو 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طبیعی النساء خصوص الحرائر، فیتحصّل من الآیة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طبیعی المرأة لا بأس بأن تبدی زینتها لطبیعی الحرائر وطبیعی الإماء، بل یدّعی تبادر ذلک من لفظ النساء فی ذلک الزمان، أو لتکرّر استعمال القرآن ذلک فی عدّة موارد بخصوص الحرائر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الاحتمال یکون راجحاً فیما لو اضیف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الضمیر المذکّر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لو اضیف الی المؤنّث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فظهور ذلک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بها المؤمنات خاصّة ؛ وهذا معناه حرمة إبداء المرأة المسلمة زینتها للمرأة الکافرة مطلقاً حتی ولو لم تکن متزوّجة، وقد نسب إلی أکثر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 للمسلمة أن تتجرّد بین نساء أهل الذمّة ولا تبدی للکافرة إلّا ما تبدی للأجانب إلّا أن تکون أمة لها؛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مَلَکَت أَیمانُهُنَّ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وکتب عمر إلی أبی عبیدة أن یمنع نساء أهل الکتاب من دخول الحمّام مع المؤمنات</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الاحتمال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بها النساء المؤمنات الحرائر ؛ وهذا الاحتمال عبارة عن تطویر للاحتمالین الثانی والثالث، بالجمع بینهما ضمن احتمال واحد؛ وتقریب ذلک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 فی الحقیقة دالّین ومدلولین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اعتبر دالّاً علی الحرائر؛ إمّا لدعوی تعارف هذا الإطلاق سابقاً، أو لأنّ هذا هو الظاهر من الاستعمالات القرآنیة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أضیف إلیه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الإضافة دالّة علی إرادة خصوص المؤمنات، فیکون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نِسائِهِنَّ نظیر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استَشهِدُوا شَهِیدَینِ مِن رِجالِکُم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تتجلّی الفائدة فی الإضافة إلی الضمیر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الاحتمال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بها النساء الأقرباء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یؤیّد بأنّ ما ورد فی باب غیر ذات العادة بالرجوع الی عادة نسائها المفسَّر بالأقرباء، فعن الامام محمّد بن علی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للمستحاضة أن تنظر بعض نسائها فتقتدی بأقرائها، ثُمّ تستظهر علی ذلک بیوم</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غیر أنّ هذا أبعد الاحتمالات کلّها؛ إذ إنّ لازمه الالتزام بدلالة الآیة علی حرمة إبداء المرأة زینتها لغیر نساء عشیرتها، وهو خلاف الضرورة الفقهیة</w:t>
      </w:r>
      <w:r>
        <w:rPr>
          <w:rFonts w:eastAsia="IRNazanin" w:cs="IRNazanin"/>
          <w:color w:val="111111"/>
          <w:sz w:val="28"/>
          <w:szCs w:val="28"/>
          <w:rtl w:val="true"/>
          <w:lang w:bidi="fa-IR"/>
        </w:rPr>
        <w:t xml:space="preserve">. </w:t>
      </w:r>
      <w:r>
        <w:rPr>
          <w:rStyle w:val="FootnoteAnchor"/>
          <w:rtl w:val="true"/>
        </w:rPr>
        <w:footnoteReference w:id="352"/>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بها النساء المختصّات بهنّ بالصحبة والخدمة؛ والتعارف سواء أکنّ مسلمات أو غیر مسلمات</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وهذا الاحتمال غیر واضح الظهور فی الآیة، ومن الواضح أنّه لا قیمة للاحتمال ما لم یبلغ درجة الظهور من اللفظ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ما مَلَکَت أَیمانُهُنَّ، وفیه عدّة احتمالات، بل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الممالیک ؛ من الإماء والعبید وذلک للإطلاق، فإنّ هذا العنوان یصدق علی الإناث والذکران، واختاره الشافعیة وجعلوه کالمحارم </w:t>
      </w:r>
      <w:r>
        <w:rPr>
          <w:rStyle w:val="FootnoteAnchor"/>
          <w:rtl w:val="true"/>
        </w:rPr>
        <w:footnoteReference w:id="354"/>
      </w:r>
      <w:r>
        <w:rPr>
          <w:rFonts w:ascii="IRNazanin" w:hAnsi="IRNazanin" w:eastAsia="IRNazanin"/>
          <w:color w:val="111111"/>
          <w:sz w:val="28"/>
          <w:sz w:val="28"/>
          <w:szCs w:val="28"/>
          <w:rtl w:val="true"/>
          <w:lang w:bidi="fa-IR"/>
        </w:rPr>
        <w:t>، وقیّده ابن حجر بالعبد العدل</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العبید خاصّة ؛ بقرینة العطف علی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بناء علی کون المراد طبیعی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فقد ذهب بعض إلی جواز أن یظهرن لعبیدهم من زینتهنّ ما یظهرن لذوی محارمهنّ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رووا فی ذلک عن أنس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فاطمة بعبد قد وهبه لها، وعلیها ثوب إذا قنّعت به رأسها لم یبلغ رجلیها، وإذا غطّت به رجلیها لم یبلغ رأسها، فلمّا رأی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لیس علیک بأس، إنّما هو أبوک وغلامک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مجاهد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امّهات المؤمنین لا یحتجبن عن مکاتبهنّ ما بقی علیه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عائشة کانت تمتشط والعبد ینظر إلیها</w:t>
      </w:r>
      <w:r>
        <w:rPr>
          <w:rFonts w:eastAsia="IRNazanin" w:cs="IRNazanin"/>
          <w:color w:val="111111"/>
          <w:sz w:val="28"/>
          <w:szCs w:val="28"/>
          <w:rtl w:val="true"/>
          <w:lang w:bidi="fa-IR"/>
        </w:rPr>
        <w:t xml:space="preserve">». </w:t>
      </w:r>
      <w:r>
        <w:rPr>
          <w:rStyle w:val="FootnoteAnchor"/>
          <w:rtl w:val="true"/>
        </w:rPr>
        <w:footnoteReference w:id="356"/>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والاحتمالان الأوّل والثانی من المستبعد جدّاً إرادتهما فی الآیة؛ لأنّ العبودیة لاتأثیر لها فی ضمور الشهوة الجنسیة وعدم إثارتها؛ إذ العبودیة مجرّد ملکیة ومحض علاقة اقتصادیة، بخلاف المحارم والجنس المماثل فإنّ الطبیعة النفسیة والسایکلوجیة</w:t>
      </w:r>
    </w:p>
    <w:p>
      <w:pPr>
        <w:pStyle w:val="BookText"/>
        <w:rPr/>
      </w:pPr>
      <w:r>
        <w:rPr>
          <w:rFonts w:ascii="IRNazanin" w:hAnsi="IRNazanin" w:eastAsia="IRNazanin"/>
          <w:color w:val="111111"/>
          <w:sz w:val="28"/>
          <w:sz w:val="28"/>
          <w:szCs w:val="28"/>
          <w:rtl w:val="true"/>
          <w:lang w:bidi="fa-IR"/>
        </w:rPr>
        <w:t>لهؤلاء تجعلهم غیر ملتفتین إلی الإثارة الجنسیة عادة إلّا من شذّ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ینقدح الشکّ فی بعض المرویات کالذی رواه أنس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المروی عن امهات المؤمنین من استباحة إبداء الزینة أمام العبید؛ فإنّ هذا المعنی من الصعب تقبّله إسلامیاً، لمخالفته للارتکاز المتشرّعی، وهذا هو الذی أثار حفیظة سعید بن المسیّب، فأخذ ینادی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تغرّنکم آیة النور، فإنّها فی الإناث دون الذکور</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ومن هنا یتّضح سقوط الاحتمالین الأوّل والثانی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الإماء خاصّة ، بقرینة العطف علی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بناء علی کون المراد خصوص الحرائر، وبقرینة ذکر حکم العبید فی الفقرة التالیة وهی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التّابِعِینَ غَیرِ أُولِی الإِربَةِ مِنَ الرِّجالِ لا بدّ أن یکون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مَلَکَت أَیمانُهُنَّ منصرفاً إلی الإماء لئلا یؤدّی إلی التکرار</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وعلی ذلک فیکون العبد بالنسبة إلی سیدته کالأجنبی، وهو قول عبد الله بن مسعود ومجاهد، والحسن، وابن سیرین، وسعید بن المسیّب، </w:t>
      </w:r>
      <w:r>
        <w:rPr>
          <w:rStyle w:val="FootnoteAnchor"/>
          <w:rtl w:val="true"/>
        </w:rPr>
        <w:footnoteReference w:id="359"/>
      </w:r>
      <w:r>
        <w:rPr>
          <w:rFonts w:ascii="IRNazanin" w:hAnsi="IRNazanin" w:eastAsia="IRNazanin"/>
          <w:color w:val="111111"/>
          <w:sz w:val="28"/>
          <w:sz w:val="28"/>
          <w:szCs w:val="28"/>
          <w:rtl w:val="true"/>
          <w:lang w:bidi="fa-IR"/>
        </w:rPr>
        <w:t xml:space="preserve">واختاره أحمد بن حنبل، وأبو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 الشافعی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وتأوّلوا الآیة بأنّها فی حقّ الإماء فقط</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واستدلّوا بما نقل عن سعید بن المسیّب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تغرّنکم آیة النور، فإنّها فی الإناث دون الذکور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وعلّلوا ذلک بأنّهم فحول لیسوا أزواجاً ولا محارم، والشهوة متحقّقة فیهم، فلا یجوز التکشّف وإبداء الزینة أمامهم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ذکر الإماء فی الآیة؛ لأنّه قد یظنّ الظانّ أنّه لا یجوز أن تبدی زینتها للإماء؛ لأنّ الذین تقدّم ذکرهم أحرار، فلّما ذکر الإماء زال الإشکال</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وأضافوا أیضاً الاحتجاج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یحلّ لامرأة تؤمن بالله والیوم الآخر أن تسافر سفراً فوق ثلاث إلّا مع ذی‌محرم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والعبد لیس بذی محرم منها، فلا یجوز أن یسافر بها، وإذا لم یجز له السفر بها، لم یجز له النظر إلی شعرها کالحرّ الأجنبی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فإنّ ملکها للعبد لا یحلّل ما یحرم علیه قبل الملک؛ إذ ملک النساء للرجال لیس کملک الرجال للنساء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لم یختلفوا فی أنّها لا تستبیح بملک العبد منه شیئاً من التمتّع کما یملکله الرجل من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أنّ العبد وإن لم یجز له أن یتزوّج بمولاته إلّا أنّ هذا التحریم عارض کمن عنده أربع نسوة فإنّه، لا یجوز له التزوّج بغیرهنّ، فلمّا لم تکن هذه الحرمة مؤبّدة کان العبد بمنزلة سائر الأجانب</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الاحتمال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الإماء الکافرات خاصّة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وربّما یکون دلیله هو دعوی دخول المؤمنات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حرائر وإماء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نِسائِهِنَّ فیختصّ ما مَلَکَت أَیمانُهُنَّ بالإماء الکافرات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عدم صحّة هذه الدعوی، وأنّ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نِسائِهِنَّ خصوص الحرائر المؤمنات، فیبقی أَو ما مَلَکَت أَیمانُهُنَّ علی إطلاقه دون تقیید أو تخصیص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اَلتّابِعِینَ غَیرِ أُولِی الإِربَةِ مِنَ الرِّجالِ، وفیه عدّة بحوث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المراد إجمالاً، الرجال الذین لا رغبة لهم فی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واختلفوا فی ذکر المصادیق علی أقوال</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الأحمق الذی لا حاجة فیه إلی النساء، وهو المروی عن الإمام محمّد</w:t>
      </w:r>
    </w:p>
    <w:p>
      <w:pPr>
        <w:pStyle w:val="BookText"/>
        <w:rPr/>
      </w:pPr>
      <w:r>
        <w:rPr>
          <w:rFonts w:ascii="IRNazanin" w:hAnsi="IRNazanin" w:eastAsia="IRNazanin"/>
          <w:color w:val="111111"/>
          <w:sz w:val="28"/>
          <w:sz w:val="28"/>
          <w:szCs w:val="28"/>
          <w:rtl w:val="true"/>
          <w:lang w:bidi="fa-IR"/>
        </w:rPr>
        <w:t>بن علی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الأبله، وهو مروی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المجنون</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القول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الأقوال یمکن إرجاع بعضها إلی بعض،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الخصیّ المجبوب، وهذا منسوب للشافعی</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القول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الأقوال 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 والسابع و الثامن والتاسع والعاشر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شاهد علیها، بل المناسبة بین الحکم والموضوع تقتضی عدم إرادتها من النص؛ وذلک لعدم منافاة الحالات المذکورة مع المیل الجنسی للمرأة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الهمّ الذی سقطت شهوته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الصالح</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وهذا الرأی لا یستحقّ الذکر؛ فإنّ الشخص الصالح یکون أولی من غیر الصالح بترک النظر وبعدم تکّشف المرأة أمامه وکتمانها زینتها، قال الأردبیلی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یخفی أنّ الشیوخ الصلحاء الذین یغضّون أبصارهم إذا کانوا معهنّ لا یحتاجون إلی الاستثناء، بل لا یصحّ؛ فإنّ الظاهر من الاستثناء جواز الکشف لهم وجواز النظر لهم، فافهم</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القول 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یتبع القوم فیأکل معهم ویرتفق بهم، وهو ضعیف لا یکترث للنساء ولا یشتهیهنّ</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القول 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الصبی الذی لم یدرک</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وهذا الرأی ینبغی إسقاطه من الحساب؛ لأنّ الآیة تتحدّث عن الرجال لا عن الذکور، کما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أمکن توجیه هذا الاحتمال بناء علی إرجاع وصف اَلَّذِینَ إلی اَلتّابِعِینَ، بید أنّ ذلک لا یدفع الغائلة تماماً عن هذا الاحتمال؛ لکون بعض أفراد الرجال داخلین فی اَلتّابِعِینَ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القول 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العبید الصغار، نُسب إلی أبی 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التابع یتبعک لیصیب من طعامک</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القول السابع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الفقراء الذین بهم الفاقة</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ولعلّه یرجع إلی سابقه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المستفاد من المناسبة بین الحکم والموضوع کما ذکرنا هو کون المدار فی الاستثناء علی الرجل عدیم الشهوة الجنسیة، وهذا ینسجم مع الأقوال</w:t>
      </w:r>
    </w:p>
    <w:p>
      <w:pPr>
        <w:pStyle w:val="BookText"/>
        <w:rPr/>
      </w:pPr>
      <w:r>
        <w:rPr>
          <w:rFonts w:ascii="IRNazanin" w:hAnsi="IRNazanin" w:eastAsia="IRNazanin"/>
          <w:color w:val="111111"/>
          <w:sz w:val="28"/>
          <w:sz w:val="28"/>
          <w:szCs w:val="28"/>
          <w:rtl w:val="true"/>
          <w:lang w:bidi="fa-IR"/>
        </w:rPr>
        <w:t xml:space="preserve">الخمسة الاُولی کما ینسجم مع القول الحادی عشر، لکن مع تقییده بالتابع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خلاف فیما یراد بالتابع علی ما سیأتی قریباً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فتنحصر الاحتمالات فی الأقوال الخمسة المتقدّمة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التبعیة والاتّباع من المفاهیم ذات الإضافة؛ فکما یوجد تابع لا بدّ من وجود متبوع، وبما أنّه غیر مذکور فی الآیة، إذاً، لا محیص عن تقدیره، وفیه عدّة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المتبوع هو خصوص المرأة المؤمنة؛ المخاطبة بهذا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الاحتمال غیر ظاهر؛ لعدم الإضافة الی 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یخصص بالنساء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المتبوع هم المؤمنون کافّة؛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المجتمع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 خطابهم فی الآیة السابقة وفی ذیل هذه الآیة، ولم یذکر الاسم أو الضمیر لکونه مفهوماً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المتبوع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الشامل للکفّار أیضاً، ولم یذکر فی الآیة لعدم الفائدة فیه؛ إذ المدار فی الحکم علی التابع ولا شأن لنا بالمتبوع، فذکره یکون تطویلاً بلا طائل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نری عدولاً فی الخطاب؛ إذ إنّ الطوائف العشر قرنوا مع 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إفادة التخصیص، بخلافه بالنسبة إلی عنوان التابعین، وکذا الحال بالنسبة إلی العنوان الأخیر، وهو الطفل فقد ذکر مطلقاً ومجرّداً عن هذه الإضافة والقیدیة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المراد بالتابع</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لفظ التابع تارة یکون مشتقّاً من التبعیة، أی من یکون مُلحقاً من الرجال ولا استقلالیة له حکماً وشرعاً، وهو المولّی علیه من الرجال، ولیس هو إلّا المجنون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توسعة هذا المعنی نسبیاً بأن یراد به ما یشمل المغفّل والمعتوه والأبله والأحمق ممّن هو خفیف العقل، لا المجنون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وتارة یکون مشتقّاً مَن الاتّباع، أی من تبعکم طلباً للعافیة أو الانتفاع أو الخدمة، ویکون ملازماً لکم فی العیش من الناحیة العملیة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تحدید المراد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أُولِی الإِربَةِ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وینبغی البحث فی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اختلفوا فی تحلیل هذه الفقرة من حیث ترکیبها النحوی علی رأیین تبعاً لاختلاف القراءة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الرأی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علی قراءة الجرّ أنّ غَیرِ تکون وصفاً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الرأی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قراءة النصب فیکون استثناءاً ثانیاً بعد الاستثناء الأوّل، أی لایحرم إبداء الزینة للتابعین إلّا ذا الإربة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حالاً، أی والذین یتبعونهنّ عاجزین عنهنّ، قاله أبو حاتم</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الجهة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کون هذا الوصف وهو غَیرِ أُولِی الإِربَةِ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لا حاجة له فی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 من لا تتوق نفسه إلی النساء لأمر ثابت فی نفسه تکویناً، کمن لا شهوة له أصلاً، ولا یشمل ما کان لطارئ یزول، کالمرض العارض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التقیید بالرجال یخرج غیر البالغ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المتحصّل اشتمال هذه الفقرة علی ثلاثة قیود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التبعیة أو الاتّباع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الحاجة إلی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الرجولة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بدّ من لحاظها معاً، فلا یصحّ إغفال شیء من هذه القیود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فإنّ أوجَه الاحتمالات فی الآیة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الرجل المجنون المولّی علیه الذی لا همّة له فی النساء، فإنّه لا ملازمة بین انتفاء العقل وانتفاء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فلیس کلّ مجنون یباح للمرأة إبداء زینتها 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المروی عن الإمام محمّد بن علی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الأحمق الذی لا حاجة فیه إلی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سابقاً، والظاهر أنّ القید احترازی، ولیس قیداً توضیحیاً، فإنّ التوضیح والتأکید خلاف الأصل إلّا أن تقوم قرینة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الاحتمال الأوّل، لکن مع توسعته نسبیاً بأن یراد به ما یشمل المغفّل أو المعتوه أو الأبله أو الأحمق ممّن هو خفیف العقل، لا المجنون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الذی یتبع غیره فی المعیشة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لحاجته إلی الغیر أو لحاجة</w:t>
      </w:r>
    </w:p>
    <w:p>
      <w:pPr>
        <w:pStyle w:val="BookText"/>
        <w:rPr/>
      </w:pPr>
      <w:r>
        <w:rPr>
          <w:rFonts w:ascii="IRNazanin" w:hAnsi="IRNazanin" w:eastAsia="IRNazanin"/>
          <w:color w:val="111111"/>
          <w:sz w:val="28"/>
          <w:sz w:val="28"/>
          <w:szCs w:val="28"/>
          <w:rtl w:val="true"/>
          <w:lang w:bidi="fa-IR"/>
        </w:rPr>
        <w:t xml:space="preserve">الغیر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همّة له فی النساء، ومن أوضح مصادیق ذلک العبید الذین لا شهوة جنسیة لهم تجاه النساء، إمّا لعاهة أو لشیخوخة وطعن فی السنّ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واستثناؤهم من الحرمة؛ لأنّ التحرّز عنهم یکون حرجیاً ولانتفاء المفسدة الملحوظة فی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الاحتمال بعید من ظاهر الآیة؛ باعتبار أنّ المناسب له التعبیر بالضعفاء أو المساکین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الاحتمال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بعض الأصناف من الرجال الذین فی رجولتهم نقص، کالعبد والخصیّ، والعنّین، والمخنّث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الاحتمال فی منتهی الضعف؛ لأنّ هؤلاء لا یعدمون الشهوة فهم ممّن یرغبون فی النساء ویصدق علیهم عنوان الرجال، فلا دلیل لاستثنائهم</w:t>
      </w:r>
      <w:r>
        <w:rPr>
          <w:rFonts w:eastAsia="IRNazanin" w:cs="IRNazanin"/>
          <w:color w:val="111111"/>
          <w:sz w:val="28"/>
          <w:szCs w:val="28"/>
          <w:rtl w:val="true"/>
          <w:lang w:bidi="fa-IR"/>
        </w:rPr>
        <w:t xml:space="preserve">. </w:t>
      </w:r>
      <w:r>
        <w:rPr>
          <w:rStyle w:val="FootnoteAnchor"/>
          <w:rtl w:val="true"/>
        </w:rPr>
        <w:footnoteReference w:id="374"/>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لدی لحاظ القیود الثلاثة والمناسبة بین الحکم والموضوع یترجّح الاحتمالان، الأوّل والثانی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اَلطِّفلِ الَّذِینَ لَم یَظهَرُوا عَلی عَوراتِ النِّساءِ</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استثنی الطفل جزماً بصریح الآیة، وهو یطلق علی غیر البالغ، وقد الحق به وصف عدم الظهور علی عورات النساء، وهذا الظهور فیه احتمالان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تقدّمت الإشارة إلیهما إجمالاً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وتفصیلهما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الظهور بمعنی الاطّلاع ؛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إِن یَظهَرُوا عَلَیکُم یَرجُمُوکُم </w:t>
      </w:r>
      <w:r>
        <w:rPr>
          <w:rStyle w:val="FootnoteAnchor"/>
          <w:rtl w:val="true"/>
        </w:rPr>
        <w:footnoteReference w:id="375"/>
      </w:r>
      <w:r>
        <w:rPr>
          <w:rFonts w:ascii="IRNazanin" w:hAnsi="IRNazanin" w:eastAsia="IRNazanin"/>
          <w:color w:val="111111"/>
          <w:sz w:val="28"/>
          <w:sz w:val="28"/>
          <w:szCs w:val="28"/>
          <w:rtl w:val="true"/>
          <w:lang w:bidi="fa-IR"/>
        </w:rPr>
        <w:t>، وهذا هو الظاهر من نسبة الظهور إلی العورة، ولم ینسب الطفل إلی النساء ممّا یدلّ علی إرادة مطلق الطفل، فیکون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یحرم إبداء المرأة زینتها للطفل الذی لا یدرک الإثارة الجنسیة، ولا یری العورة عورة لصغره، وهو غیر الممیّز، فالوصف للتخصیص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إنّنا لو أخذنا بالاحتمال الأوّل فتدلّ الآیة بمنطوقها علی جواز إبداء الزینة للطفل غیر الممّیز، وبمفهومها علی عدم استثناء الطفل الممّیز وإن لم یکن بالغاً فتجری علیه الحرمة، فبناء علی وجود ملازمة عرفیة بین حرمة إبداء الزینة ولزوم سترها وبین حرمة النظر، فیحرم النظر علیه کالبالغ؛ وأفتی بذلک بعض الفقهاء </w:t>
      </w:r>
      <w:r>
        <w:rPr>
          <w:rStyle w:val="FootnoteAnchor"/>
          <w:rtl w:val="true"/>
        </w:rPr>
        <w:footnoteReference w:id="376"/>
      </w:r>
      <w:r>
        <w:rPr>
          <w:rFonts w:ascii="IRNazanin" w:hAnsi="IRNazanin" w:eastAsia="IRNazanin"/>
          <w:color w:val="111111"/>
          <w:sz w:val="28"/>
          <w:sz w:val="28"/>
          <w:szCs w:val="28"/>
          <w:rtl w:val="true"/>
          <w:lang w:bidi="fa-IR"/>
        </w:rPr>
        <w:t>، وأفاد بعضٌ بأنّ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الحرمة علی المراهق مع أنّه غیر مکلِّف أنّه یحرم علی ولیّه تمکینه منه</w:t>
      </w:r>
      <w:r>
        <w:rPr>
          <w:rFonts w:eastAsia="IRNazanin" w:cs="IRNazanin"/>
          <w:color w:val="111111"/>
          <w:sz w:val="28"/>
          <w:szCs w:val="28"/>
          <w:rtl w:val="true"/>
          <w:lang w:bidi="fa-IR"/>
        </w:rPr>
        <w:t xml:space="preserve">. </w:t>
      </w:r>
      <w:r>
        <w:rPr>
          <w:rStyle w:val="FootnoteAnchor"/>
          <w:rtl w:val="true"/>
        </w:rPr>
        <w:footnoteReference w:id="377"/>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الظهور بمعنی الغلبة،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فَأَصبَحُوا ظاهِرِینَ </w:t>
      </w:r>
      <w:r>
        <w:rPr>
          <w:rStyle w:val="FootnoteAnchor"/>
          <w:rtl w:val="true"/>
        </w:rPr>
        <w:footnoteReference w:id="378"/>
      </w:r>
      <w:r>
        <w:rPr>
          <w:rFonts w:ascii="IRNazanin" w:hAnsi="IRNazanin" w:eastAsia="IRNazanin"/>
          <w:color w:val="111111"/>
          <w:sz w:val="28"/>
          <w:sz w:val="28"/>
          <w:szCs w:val="28"/>
          <w:rtl w:val="true"/>
          <w:lang w:bidi="fa-IR"/>
        </w:rPr>
        <w:t>، أی عدم القدرة علی ممارسة الجنس، وذلک إنّما یکون قبل البلوغ، فالقید للتأکید ولبیان السرّ فی الاستثناء، فیکون المعنی استثناء الطفل غیر البالغ الذی لا یقوی علی النکاح، فیشمل الممیّز وغیره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هذا کلّه مبنیّ علی ما هو المشتهر علی الألسنة من أنّ العورة هنا بمعنی السوأة، لکن ثمّة احتمال آخر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عَوراتِ النِّساءِ، وهو أنّ العورة هنا لیست بمعنی السوأة بالمعنی الخاص، بل المراد الحالات والخصوصیات التی یمکن من خلالها نفوذ الرجل إلی عالَم المرأة؛ إذ فی بعض تصرّفات المرأة، کإبداء زینتها إیحاءات للجنس الآخر، وهذا ما لا یفهمه إلّا الذکر المدرِک لمثل هذه الاُمور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علی أنّ تفسیرها بالسوأة بحاجة إلی تکلّف وتقدیر کثیر، بخلاف هذا الاحتمال، وهو تفسیر العورة بنقاط ضعف المرأة ومواضع اختراقها والنفوذ إلی عالمها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ویؤیّد ذلک ما ذکره الراغب، فإنّه بعد أن ذکر أنّ العورة بمعنی السوأة،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والعَوار والعَورة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فی الشیء کالثوب والبیت ونحوه،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بُیُوتَنا عَورَةٌ وَ ما هِیَ بِعَورَةٍ </w:t>
      </w:r>
      <w:r>
        <w:rPr>
          <w:rStyle w:val="FootnoteAnchor"/>
          <w:rtl w:val="true"/>
        </w:rPr>
        <w:footnoteReference w:id="379"/>
      </w:r>
      <w:r>
        <w:rPr>
          <w:rFonts w:ascii="IRNazanin" w:hAnsi="IRNazanin" w:eastAsia="IRNazanin"/>
          <w:color w:val="111111"/>
          <w:sz w:val="28"/>
          <w:sz w:val="28"/>
          <w:szCs w:val="28"/>
          <w:rtl w:val="true"/>
          <w:lang w:bidi="fa-IR"/>
        </w:rPr>
        <w:t>، أی متخرّقة ممکنة لمن أرادها، ومنه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یحفظ عورته، أی خلله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عَوراتٍ لَکُم </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لَم یَظهَرُوا عَلی عَوراتِ النِّساءِ </w:t>
      </w:r>
      <w:r>
        <w:rPr>
          <w:rStyle w:val="FootnoteAnchor"/>
          <w:rtl w:val="true"/>
        </w:rPr>
        <w:footnoteReference w:id="381"/>
      </w:r>
      <w:r>
        <w:rPr>
          <w:rFonts w:ascii="IRNazanin" w:hAnsi="IRNazanin" w:eastAsia="IRNazanin"/>
          <w:color w:val="111111"/>
          <w:sz w:val="28"/>
          <w:sz w:val="28"/>
          <w:szCs w:val="28"/>
          <w:rtl w:val="true"/>
          <w:lang w:bidi="fa-IR"/>
        </w:rPr>
        <w:t>، أی لم یبلغوا الحلم</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فما ورد فی القرآن الکریم فی سائر الموارد من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یراد به الفرج</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إرادة الفرج یعبّر إمّا بلفظه، أو بالسوأة،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الَّتِی أَحصَنَت فَرجَها فَنَفَخنا فِیها مِن رُوحِنا </w:t>
      </w:r>
      <w:r>
        <w:rPr>
          <w:rStyle w:val="FootnoteAnchor"/>
          <w:rtl w:val="true"/>
        </w:rPr>
        <w:footnoteReference w:id="38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لِفُرُوجِهِم حافِظُونَ </w:t>
      </w:r>
      <w:r>
        <w:rPr>
          <w:rStyle w:val="FootnoteAnchor"/>
          <w:rtl w:val="true"/>
        </w:rPr>
        <w:footnoteReference w:id="38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یَحفَظُوا</w:t>
      </w:r>
    </w:p>
    <w:p>
      <w:pPr>
        <w:pStyle w:val="BookText"/>
        <w:rPr/>
      </w:pPr>
      <w:r>
        <w:rPr>
          <w:rFonts w:ascii="Amiri" w:hAnsi="Amiri" w:eastAsia="Amiri" w:cs="Amiri"/>
          <w:color w:val="111111"/>
          <w:sz w:val="28"/>
          <w:sz w:val="28"/>
          <w:szCs w:val="28"/>
          <w:rtl w:val="true"/>
          <w:lang w:bidi="ar-SA"/>
        </w:rPr>
        <w:t>فُرُوجَهُم ذلِکَ أَزکی لَهُم إِنَّ اللّهَ خَبِیرٌ بِما یَصنَعُونَ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لِلمُؤمِناتِ یَغضُضنَ مِن أَبصارِهِنَّ وَ یَحفَظنَ فُرُوجَهُنَّ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الحافِظِینَ فُرُوجَهُم وَ الحافِظاتِ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آدَمَ قَد أَنزَلنا عَلَیکُم لِباساً یُوارِی سَوآتِکُم وَ رِیشاً </w:t>
      </w:r>
      <w:r>
        <w:rPr>
          <w:rStyle w:val="FootnoteAnchor"/>
          <w:rtl w:val="true"/>
        </w:rPr>
        <w:footnoteReference w:id="38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فَوَسوَسَ لَهُمَا الشَّیطانُ لِیُبدِیَ لَهُما ما وُورِیَ عَنهُما مِن سَوآتِهِما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بل إنّ إرادة السوأة من العورة هنا بعید؛ لأنّه إن ارید من الظهور الاطّلاع علی السوأة بمعنی عدّها سوأة، فالمناسب التعمیم لا التخصیص بالنساء کأن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یظهورا علی العورات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ارید من الظهور الغلبة، أی القدرة علی الجماع ونحوه فهذا فی منتهی البعد؛ لأنّ المناسب هنا التعبیر بالجماع ونحوه، أو التعبیر ببلوغ الحلم أو النکاح، ومن غیر المناسب جدّاً التعبیر عنه بعدم القدرة علی العورة، لکون المراد حینئذٍ عدم القدرة علی جماع العورة، وهو مستهجن؛ لأنّ الألیق إمّا ذکر الجماع أو بلوغ الحلم مطلقاً من دون إضافة إلی العورة أو الاضافة إلی النساء، کما ورد التعبیر بمباشرة النساء أو ملامستهنّ ونحو ذلک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فَالآنَ بَاشِرُوهُنَّ وَ ابتَغُوا ما کَتَبَ اللّهُ لَکُم وَ کُلُوا وَ اشرَبُوا حَتّی یَتَبَیَّنَ لَکُمُ الخَیطُ الأَبیَضُ مِنَ الخَیطِ الأَسوَدِ مِنَ الفَجرِ ثُمَّ أَتِمُّوا الصِّیامَ إِلَی اللَّیلِ وَ لا تُبَاشِرُوهُنَّ </w:t>
      </w:r>
      <w:r>
        <w:rPr>
          <w:rStyle w:val="FootnoteAnchor"/>
          <w:rtl w:val="true"/>
        </w:rPr>
        <w:footnoteReference w:id="386"/>
      </w:r>
      <w:r>
        <w:rPr>
          <w:rFonts w:ascii="Amiri" w:hAnsi="Amiri" w:eastAsia="Amiri" w:cs="Amiri"/>
          <w:color w:val="111111"/>
          <w:sz w:val="28"/>
          <w:sz w:val="28"/>
          <w:szCs w:val="28"/>
          <w:rtl w:val="true"/>
          <w:lang w:bidi="ar-SA"/>
        </w:rPr>
        <w:t xml:space="preserve">، و وَ لا تَقرَبُوهُنَّ حَتّی یَطهُرنَ فَإِذا تَطَهَّرنَ فَأتُوهُنَّ </w:t>
      </w:r>
      <w:r>
        <w:rPr>
          <w:rStyle w:val="FootnoteAnchor"/>
          <w:rtl w:val="true"/>
        </w:rPr>
        <w:footnoteReference w:id="387"/>
      </w:r>
      <w:r>
        <w:rPr>
          <w:rFonts w:ascii="Amiri" w:hAnsi="Amiri" w:eastAsia="Amiri" w:cs="Amiri"/>
          <w:color w:val="111111"/>
          <w:sz w:val="28"/>
          <w:sz w:val="28"/>
          <w:szCs w:val="28"/>
          <w:rtl w:val="true"/>
          <w:lang w:bidi="ar-SA"/>
        </w:rPr>
        <w:t xml:space="preserve">، و ما لَم تَمَسُّوهُنَّ </w:t>
      </w:r>
      <w:r>
        <w:rPr>
          <w:rStyle w:val="FootnoteAnchor"/>
          <w:rtl w:val="true"/>
        </w:rPr>
        <w:footnoteReference w:id="388"/>
      </w:r>
      <w:r>
        <w:rPr>
          <w:rFonts w:ascii="IRNazanin" w:hAnsi="IRNazanin" w:eastAsia="IRNazanin"/>
          <w:color w:val="111111"/>
          <w:sz w:val="28"/>
          <w:sz w:val="28"/>
          <w:szCs w:val="28"/>
          <w:rtl w:val="true"/>
          <w:lang w:bidi="fa-IR"/>
        </w:rPr>
        <w:t>، و</w:t>
      </w:r>
    </w:p>
    <w:p>
      <w:pPr>
        <w:pStyle w:val="BookText"/>
        <w:rPr/>
      </w:pPr>
      <w:r>
        <w:rPr>
          <w:rFonts w:ascii="Amiri" w:hAnsi="Amiri" w:eastAsia="Amiri" w:cs="Amiri"/>
          <w:color w:val="111111"/>
          <w:sz w:val="28"/>
          <w:sz w:val="28"/>
          <w:szCs w:val="28"/>
          <w:rtl w:val="true"/>
          <w:lang w:bidi="ar-SA"/>
        </w:rPr>
        <w:t xml:space="preserve">أَو لامَستُمُ النِّساءَ </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ابتَلُوا الیَتامی حَتّی إِذا بَلَغُوا النِّکاحَ </w:t>
      </w:r>
      <w:r>
        <w:rPr>
          <w:rStyle w:val="FootnoteAnchor"/>
          <w:rtl w:val="true"/>
        </w:rPr>
        <w:footnoteReference w:id="390"/>
      </w:r>
      <w:r>
        <w:rPr>
          <w:rFonts w:ascii="Amiri" w:hAnsi="Amiri" w:eastAsia="Amiri" w:cs="Amiri"/>
          <w:color w:val="111111"/>
          <w:sz w:val="28"/>
          <w:sz w:val="28"/>
          <w:szCs w:val="28"/>
          <w:rtl w:val="true"/>
          <w:lang w:bidi="ar-SA"/>
        </w:rPr>
        <w:t>، و وَ الَّذِینَ لَم یَبلُغُوا الحُلُمَ مِنکُم ثَلاثَ مَرّاتٍ مِن قَبلِ صَلاةِ الفَجرِ وَ حِینَ تَضَعُونَ ثِیابَکُم مِنَ الظَّهِیرَةِ وَ مِن بَعدِ صَلاةِ العِشاءِ ثَلاثُ عَوراتٍ لَکُم لَیسَ عَلَیکُم وَ لا عَلَیهِم جُناحٌ بَعدَهُنَّ طَوّافُونَ عَلَیکُم بَعضُکُم عَلی بَعضٍ کَذلِکَ یُبَیِّنُ اللّهُ لَکُمُ الآیاتِ وَ اللّهُ عَلِیمٌ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بَلَغَ الأَطفالُ مِنکُمُ الحُلُمَ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کما قد یؤیّده أیضاً ما ورد فی جملة من الروایات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عورة المؤمن علی</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المؤمن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تتبع العیوب ونقاط الضعف، أو إذاعة السرّ</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وهذا الاحتمال کما تری لا یستثنی البالغ، بل کلّ من یظهر لدیه المیل الجنسی، بل لا یبعد تحقّقه لدی الممیّز من أوّل سنّ التمییز أو أواسطه، وتحقیق ذلک خارج عن المدلول اللفظی للآیة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ربّما یثار سؤال هنا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السبب لإفراد الطفل بالذکر والوصف؟ أو لم یمکن الاکتفاء بعطفه علی ما سبق کأن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التابعین غیر اولی الإربة من الرجال والطفل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إفراد الطفل بالذکر وکذا إفراده بالوصف یدلّان علی إرادة معنی لا یؤمّنه العطف علی ما سبق، فمن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تقیید الجملة الاُولی بقید اَلتّابِعِینَ دون الطفل المطلق الذی لا یقصد تقییده بذلک القید؛ طبقاً 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احترازیة القیود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الرجل بحسب الطبع والخلقة یشعر بالحاجة الجنسیة إلی الاُنثی دون الطفل غیر البالغ مبلغ الرجال فإنّه إن کان عنده شعور بالالتذاذ نحو الاُنثی فهو لیس بمستوی الحاجة والمیل الشدید، ففرق بین الجائع الذی یشعر بالحاجة الی الطعام لسدّ جوعته</w:t>
      </w:r>
    </w:p>
    <w:p>
      <w:pPr>
        <w:pStyle w:val="BookText"/>
        <w:rPr/>
      </w:pPr>
      <w:r>
        <w:rPr>
          <w:rFonts w:ascii="IRNazanin" w:hAnsi="IRNazanin" w:eastAsia="IRNazanin"/>
          <w:color w:val="111111"/>
          <w:sz w:val="28"/>
          <w:sz w:val="28"/>
          <w:szCs w:val="28"/>
          <w:rtl w:val="true"/>
          <w:lang w:bidi="fa-IR"/>
        </w:rPr>
        <w:t>وبین من یلتذّ بالعطر والرائحة الطیبة، من هنا أفرد الطفل بالذکر والوصف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فالتابعون من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کانوا من اولی الإربة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والأطفال الذین یظهرون علی عورات النساء وإن اتّحدا فی وجود أصل المیل الجنسی لدیهم تجاه الجنس الآخر بید أنّ الفرق بین المیلین شاسع جدّاً، بشهادة الوجدان، ومنشأ هذا الفرق الخلقة والتکوین؛ فإنّ غرائز الإنسان ومشاعره تتناسب مع سنّه ومرحلته العمریة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المیل الضعیف الذی خصّ به الطفل غیر البالغ دون التابع من الرجال؛ باعتبار أنّه یکشف عن مستوی من الإدراک المفقود فی التابع الناقص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التحلیل مبنی علی کون اَلطِّفلِ معطوفاً علی لِبُعُولَتِهِنَّ ، أمّا لو جعل معطوفاً علی اَلرِّجالِ وأنّ اَلَّذِینَ نعت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اَلتّابِعِینَ کما احتمله بعض </w:t>
      </w:r>
      <w:r>
        <w:rPr>
          <w:rStyle w:val="FootnoteAnchor"/>
          <w:rtl w:val="true"/>
        </w:rPr>
        <w:footnoteReference w:id="392"/>
      </w:r>
      <w:r>
        <w:rPr>
          <w:rFonts w:ascii="Amiri" w:hAnsi="Amiri" w:eastAsia="Amiri" w:cs="Amiri"/>
          <w:color w:val="111111"/>
          <w:sz w:val="28"/>
          <w:sz w:val="28"/>
          <w:szCs w:val="28"/>
          <w:rtl w:val="true"/>
          <w:lang w:bidi="ar-SA"/>
        </w:rPr>
        <w:t>فلا یتم شیءٌ ممّا ذُکر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من المستبعد إرادة ذلک؛ لأنّ الذی یناسبه العطف بالوار، فإنّ العطف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یؤدّی إلی الإیهام الذی یناسب الأحاجی والألغاز، ولا یتناسب مع الکلام المبین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ذکرناه آنفاً من عدم إرادة تقیید الطفل بکونه من التابعین، بل المراد مطلق الطفل؛ إذ لا خصوصیة للتابع دون غیره، أی لا فرق فی الطفل بین من کان واجداً للأب أو من کان یتیماً؛ لکون الملحوظ فیه حیثیة الصغر، بخلاف من لا حاجة له للنساء من الرجال، فإنّ له حصتین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یکون لنقص شخصیته وعقله وهو المولّی علیه والتابع، 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لنقص فی البدن دون عقله فهذا غیر مستثنی، فهذا التحصیص یأتی فی غیر اولی الإربة دون الطفل الذی لا جدوی هنا فی تحصیص أفراده وحالاته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یؤول الی زیادة أحد الوصفین؛ للاستغناء عن أحدهما بالآخر، ممّا یدعو الی حمل أحدهما علی التأکید أو زیادة التوضیح، وهو خلاف الأصل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بناء علی هذا الاحتمال کان الأنسب جمع الوصفین معاً لا الفصل بینهما، کأن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التابعین غیر اولی الإربة الذین لم یظهروا علی عورات النساء من الرجال أو 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التابعین من الرجال والطفل غیر اولی الإربة الذین لم یظهروا علی عورات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فالفصل بینهما یناسب تعدّد الموصوف، لا اتّحاده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دعوی أن یراد من الطفل هنا ما یشمل الذکر والاُنثی، حیث إنّ الإناث من الأطفال لم یشملهنّ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نِسائِهِنَّ لأنّه لا یطلق إلّا علی البالغات دون الصغیرات، وبما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للجنس فلا داعی لتخصیصه بالأطفال الذکور؛ إذ لا مقیّد لهذا الإطلاق، بل وهذا الاحتمال لا یتنافی مع ما رجّحناه من تفسیر للوصف المذکور للطفل من عدم الظهور علی عورات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فیحرم إبداء الزینة أمام الطفلة الصغیرة إذا کانت مطّلعة علی المیول الجنسیة الخاصّة بالاُنثی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واضح البطلان؛ لأنّ الحرمة هنا غیر محتملة قطعاً بالنسبة للبالغة المدرکة المطلّعة فضلاً عن الصغیرة، بل صُرّح بالإباحة للبالغة فی قوله تعالی أَو نِسائِهِنَّ السابق علی قوله تعالی أَوِ 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ینعقد مثل هذا الإطلاق بلحاظ القرائن اللفظیة واللبیّة، إذ إنّ غیر البالغة لیست بأسوأ حالاً من البالغة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هذا الاستثناء حاصر لهذه الطوائف الاثنتی عشرة؟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تقدّم بیان أنّ الجدّ وإن علا ملحق بالأب، کما أنّ ابن الابن وإن سفل ملحق بالابن، فهؤلاء مشمولون بالآیة؛ للإطلاق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تنصّ الآیة علی جمیع المحارم، ومنهم الأعمام والأخوال فهؤلاء من المحارم علی ما هو المعروف، وفی ذلک اتجاهان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الاتجاه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مستثنون کسائر المحارم، وقد ذُکر فی بیان الوجه فی عدم النصّ علیهم هو للاستغناء عنه بذکر ابن الأخ وابن الاُخت، وذلک لوحدة النسبة بین العم وابن الأخ وبین الخال وابن الاُخت، فکما یجوز للمرأة إبداء زینتها لابن أخیها وابن اختها نظراً إلی کونها عمّة أو خالة لهما یجوز لها إبداء زینتها لعمّها وخالها لوحدة النسبة</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ولعلّ هذا هو المراد من قول عکرمة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یذکرهما فی الآیة لأنّهما تبعان لأبنائهما</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وحاول بعضهم بیان وجه آخر لعدم ذکر الأعمام والأخوال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 فی ذلک</w:t>
      </w:r>
    </w:p>
    <w:p>
      <w:pPr>
        <w:pStyle w:val="BookText"/>
        <w:rPr/>
      </w:pPr>
      <w:r>
        <w:rPr>
          <w:rFonts w:ascii="IRNazanin" w:hAnsi="IRNazanin" w:eastAsia="IRNazanin"/>
          <w:color w:val="111111"/>
          <w:sz w:val="28"/>
          <w:sz w:val="28"/>
          <w:szCs w:val="28"/>
          <w:rtl w:val="true"/>
          <w:lang w:bidi="fa-IR"/>
        </w:rPr>
        <w:t>أنّهم بمنزلة الآباء، فأغنی ذکرهم عن ذکر الأعمام والأخوال، وکثیراً ما یطلق الأب علی العمّ</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وقال 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لأنّهم فی معنی الإخوان</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الآیة فی مقام بیان موارد الحرمة والإباحة لا یناسب إهمال طائفة من الطوائف، وما ذکر من محاولات لتصویر شمول الاستثناء للأعمام والأخوال لو سلّمنا تمامیتها فی نفسها فإثبات إرادتها فی الآیة غیر واضح؛ لأنّها تعود إلی نکات تحلیلیة غیر ظاهرة من اللفظ بحسب الفهم العرفی العام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یمکن تسریة الحکم إلیهما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عند لحاظ المناسبة بین الحکم والموضوع وموارد الاستثناء یحصل لنا اطمئنان متاخم للقطع بأنّ الحکم لیس تعبّدیاً، فإنّ الملاک واضح لدی العقلاء، وهو عدم الإثارة الجنسیة، وهو متحقّق بالنسبة لجمیع المحارم بما فیهم الأعمام والأخوال بحسب الطبع، فیتعدّی إلیهم فی إباحة إبداء الزینة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وضوح ذلک هو الذی حدا ببعض الفقهاء أن یتکلّف فی إثبات دلالة الآیة لفظاً علی 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التزم بعضهم بعدم شمول الحکم لهم رغم کونهم من المحارم مبیّناً فلسفة ذلک بأنّ أبناء الأعمام والأخوال لیسوا من المحارم لهنّ، فلعلّهم إذا رأوا زینتهنّ بأن یظهرنها لهم یصفونها لبنیهم فیفتتنوا</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ومن الواضح أنّ هذه النکتة تطّرد فی بعض من استثنته الآیة، کأجداد وآباء البعولة والنساء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عدم إمکان الالتزام بالحرمة فیمن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حکی عن الشعبی، وعکرمة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 والخال لیسا من المحارم</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ویحتمل رجوعه إلی القول المتقدّم ولیس قولاً ثانیاً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من الآیة استثناء المحارم من النسب، ولیس فیها ذکر للمحارم من الرضاع، والمعروف إنّه کالنسب استناداً للسنّة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إلّا أنّ بعضهم استظهر من الآیة الشمول للمحارم من النسب والرضاع؛ للصدق، فیحرم نکاح بعضهم علی بعض، فهؤلاء محارم</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المراد الاستدلال بالإطلاق اللفظی فلا یتمّ؛ لأنّ صدق اللفظ علی المحارم غیر النسبیین من باب المجاز لا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الاستدلال بتسریة الملاک وإلغاء الخصوصیة فهو وجه فنّی، سیّما مع دعمه ببعض المؤیّدات من الأحکام الاُخری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هو حکم السیّد؟ فهل یجوز للاُمة إظهار زینتها لمولاها؟</w:t>
      </w:r>
      <w:bookmarkStart w:id="321" w:name="pg5707_46576"/>
    </w:p>
    <w:p>
      <w:pPr>
        <w:pStyle w:val="BookText"/>
        <w:rPr/>
      </w:pPr>
      <w:bookmarkEnd w:id="321"/>
      <w:r>
        <w:rPr>
          <w:rFonts w:ascii="IRNazanin" w:hAnsi="IRNazanin" w:eastAsia="IRNazanin"/>
          <w:color w:val="111111"/>
          <w:sz w:val="28"/>
          <w:sz w:val="28"/>
          <w:szCs w:val="28"/>
          <w:rtl w:val="true"/>
          <w:lang w:bidi="fa-IR"/>
        </w:rPr>
        <w:t xml:space="preserve">صرّح بعض بجواز ذلک </w:t>
      </w:r>
      <w:r>
        <w:rPr>
          <w:rStyle w:val="FootnoteAnchor"/>
          <w:rtl w:val="true"/>
        </w:rPr>
        <w:footnoteReference w:id="400"/>
      </w:r>
      <w:r>
        <w:rPr>
          <w:rFonts w:ascii="IRNazanin" w:hAnsi="IRNazanin" w:eastAsia="IRNazanin"/>
          <w:color w:val="111111"/>
          <w:sz w:val="28"/>
          <w:sz w:val="28"/>
          <w:szCs w:val="28"/>
          <w:rtl w:val="true"/>
          <w:lang w:bidi="fa-IR"/>
        </w:rPr>
        <w:t>، ویمکن استفادته من الآیة بناء علی ما أثاره البعض فی المعنی اللغوی للبعل وأنّه یطلق علی السیّد، فیکون المراد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لِبُعُولَتِهِنَّ أزواجهنّ وأسیادهنّ، وقد سبقت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تمامیة هذا الوجه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أفاد بعضٌ بأنّ هذه الطوائف وإن اشترکوا فی جواز رؤیة الزینة الباطنة وفی جواز إبدائها لهم لکنّهم یختلفون فی دائرة الرؤیة، فهم علی أقسام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 وله حرمة لیست لغیره، یحلّ له کلّ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سائر المحارم من النسب والرضاع، کالأب، والابن، والأخ، والجدّ، وأبی الزوج، فیحلّ لهم أن ینظروا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والصدر والساقین والذراع وأشباه‌ذلک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التابعون غیر أولی الإربة من الرجال</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 ذلک امور،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هذه القسمة غیر حاصرة حیث اهملت فیها بعض الطوائف، کالنساء والأطفال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حلّیة الاستمتاع للزوج لا علاقة لها بجواز إظهار الزینة، فهذان حکمان أحدهما غیر الآخر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کذلک لا دلالة للآیة علی الفرق بین القسمین الثانی والثالث</w:t>
      </w:r>
      <w:r>
        <w:rPr>
          <w:rFonts w:eastAsia="IRNazanin" w:cs="IRNazanin"/>
          <w:color w:val="111111"/>
          <w:sz w:val="28"/>
          <w:szCs w:val="28"/>
          <w:rtl w:val="true"/>
          <w:lang w:bidi="fa-IR"/>
        </w:rPr>
        <w:t>.</w:t>
      </w:r>
    </w:p>
    <w:p>
      <w:pPr>
        <w:pStyle w:val="Heading6"/>
        <w:numPr>
          <w:ilvl w:val="5"/>
          <w:numId w:val="1"/>
        </w:numPr>
        <w:rPr/>
      </w:pPr>
      <w:bookmarkStart w:id="322" w:name="__RefHeading___Toc3818455_581953129"/>
      <w:bookmarkStart w:id="323" w:name="_Toc130"/>
      <w:bookmarkEnd w:id="322"/>
      <w:r>
        <w:rPr>
          <w:rtl w:val="true"/>
        </w:rPr>
        <w:t>ثانیاً</w:t>
      </w:r>
      <w:r>
        <w:rPr>
          <w:rtl w:val="true"/>
        </w:rPr>
        <w:t xml:space="preserve">: </w:t>
      </w:r>
      <w:r>
        <w:rPr>
          <w:rtl w:val="true"/>
        </w:rPr>
        <w:t>وجوب الستر</w:t>
      </w:r>
      <w:bookmarkEnd w:id="323"/>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لیَضرِبنَ بِخُمُرِهِنَّ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تضمّن أمر المرأة بضرب الخمار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الجیب لتستر</w:t>
      </w:r>
    </w:p>
    <w:p>
      <w:pPr>
        <w:pStyle w:val="BookText"/>
        <w:rPr/>
      </w:pPr>
      <w:r>
        <w:rPr>
          <w:rFonts w:ascii="IRNazanin" w:hAnsi="IRNazanin" w:eastAsia="IRNazanin"/>
          <w:color w:val="111111"/>
          <w:sz w:val="28"/>
          <w:sz w:val="28"/>
          <w:szCs w:val="28"/>
          <w:rtl w:val="true"/>
          <w:lang w:bidi="fa-IR"/>
        </w:rPr>
        <w:t>صدرها، خلافاً لعادة الجاهلیة فی لبس المقانع مع کشف الصدر وما فوقه</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والمراد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جُیُوبِهِنَّ مواضع الجیوب، وهی الصدور، کما أنّ الأمر یدلّ علی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والضرب هنا بمعنی الوضع، فقولک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بخمارها علی جیبها،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بیدی علی الحائط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وضعتها علیه</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الأمر بضرب الخمار علی الجیب وتخصیص الستر بها یدلّ علی عدم وجوب ستر الوجه، ولو کان ستره واجباً لکان أولی بالذکر من الجیب والصدر </w:t>
      </w:r>
      <w:r>
        <w:rPr>
          <w:rStyle w:val="FootnoteAnchor"/>
          <w:rtl w:val="true"/>
        </w:rPr>
        <w:footnoteReference w:id="404"/>
      </w:r>
      <w:r>
        <w:rPr>
          <w:rFonts w:ascii="IRNazanin" w:hAnsi="IRNazanin" w:eastAsia="IRNazanin"/>
          <w:color w:val="111111"/>
          <w:sz w:val="28"/>
          <w:sz w:val="28"/>
          <w:szCs w:val="28"/>
          <w:rtl w:val="true"/>
          <w:lang w:bidi="fa-IR"/>
        </w:rPr>
        <w:t>، فإنّ الخمار یستر الرأس عادة، ولا یمکن عادة ستره بالخمار، بل ستره یکون بالبرقع ونحوه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ستر الرأس فهو مطویّ فی الآیة؛ إذ إنّ ضرب الخمار علی الصدر لازمه الفراغ عن ستر الرأس باعتبار أنّ الخمار إنّما یستقرّ علی الرأس؛ لأنّه لباس خاصّ بالرأس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والغرض من ضرب الخمار هو الستر، لذا فلو لم یکن الخمار ساتراً، لرقّته فلا یتحقّق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وردت عدّة أحادیث بهذا الشأن، فقد روی أبو داوود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أسماء بنت أبی بکر دخلت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وعلیها ثیاب رقاق، فأعرض عنها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أسماء إنّ المرأة إذا بلغت المحیض لم یصلح أن یُری منها إلّا هذا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وأشار إلی وجهه وکفّیه</w:t>
      </w:r>
      <w:r>
        <w:rPr>
          <w:rFonts w:eastAsia="IRNazanin" w:cs="IRNazanin"/>
          <w:color w:val="111111"/>
          <w:sz w:val="28"/>
          <w:szCs w:val="28"/>
          <w:rtl w:val="true"/>
          <w:lang w:bidi="fa-IR"/>
        </w:rPr>
        <w:t xml:space="preserve">. </w:t>
      </w:r>
      <w:r>
        <w:rPr>
          <w:rStyle w:val="FootnoteAnchor"/>
          <w:rtl w:val="true"/>
        </w:rPr>
        <w:footnoteReference w:id="405"/>
      </w:r>
      <w:bookmarkStart w:id="324" w:name="pg5707_46578"/>
    </w:p>
    <w:p>
      <w:pPr>
        <w:pStyle w:val="BookText"/>
        <w:rPr/>
      </w:pPr>
      <w:bookmarkEnd w:id="324"/>
      <w:r>
        <w:rPr>
          <w:rFonts w:ascii="Amiri" w:hAnsi="Amiri" w:eastAsia="Amiri" w:cs="Amiri"/>
          <w:color w:val="111111"/>
          <w:sz w:val="28"/>
          <w:sz w:val="28"/>
          <w:szCs w:val="28"/>
          <w:rtl w:val="true"/>
          <w:lang w:bidi="ar-SA"/>
        </w:rPr>
        <w:t>وروی البخاری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نساء المهاجرات الاُوَل، لما نزل وَ لیَضرِبنَ بِخُمُرِهِنَّ عَلی جُیُوبِهِنَّ شققن ازُرهنّ فاختمرن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ودخلت علی عائشة حفصة بنت أخیها عبدالرحمن وقد اختمرت بشیء یشفّ عن عنقها وما هنالک، فشقّته علیها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یُضرب بالکثیف الذی یستر</w:t>
      </w:r>
      <w:r>
        <w:rPr>
          <w:rFonts w:eastAsia="Amiri" w:cs="Amiri" w:ascii="Amiri" w:hAnsi="Amiri"/>
          <w:color w:val="111111"/>
          <w:sz w:val="28"/>
          <w:szCs w:val="28"/>
          <w:rtl w:val="true"/>
          <w:lang w:bidi="ar-SA"/>
        </w:rPr>
        <w:t xml:space="preserve">. </w:t>
      </w:r>
      <w:r>
        <w:rPr>
          <w:rStyle w:val="FootnoteAnchor"/>
          <w:rtl w:val="true"/>
        </w:rPr>
        <w:footnoteReference w:id="406"/>
      </w:r>
    </w:p>
    <w:p>
      <w:pPr>
        <w:pStyle w:val="Heading6"/>
        <w:numPr>
          <w:ilvl w:val="5"/>
          <w:numId w:val="1"/>
        </w:numPr>
        <w:rPr/>
      </w:pPr>
      <w:bookmarkStart w:id="325" w:name="__RefHeading___Toc3818457_581953129"/>
      <w:bookmarkStart w:id="326" w:name="_Toc131"/>
      <w:bookmarkEnd w:id="325"/>
      <w:r>
        <w:rPr>
          <w:rtl w:val="true"/>
        </w:rPr>
        <w:t>ثالثاً</w:t>
      </w:r>
      <w:r>
        <w:rPr>
          <w:rtl w:val="true"/>
        </w:rPr>
        <w:t xml:space="preserve">: </w:t>
      </w:r>
      <w:r>
        <w:rPr>
          <w:rtl w:val="true"/>
        </w:rPr>
        <w:t>حرمة النظر</w:t>
      </w:r>
      <w:bookmarkEnd w:id="326"/>
    </w:p>
    <w:p>
      <w:pPr>
        <w:pStyle w:val="BookText"/>
        <w:rPr/>
      </w:pPr>
      <w:r>
        <w:rPr>
          <w:rFonts w:ascii="Amiri" w:hAnsi="Amiri" w:eastAsia="Amiri" w:cs="Amiri"/>
          <w:color w:val="111111"/>
          <w:sz w:val="28"/>
          <w:sz w:val="28"/>
          <w:szCs w:val="28"/>
          <w:rtl w:val="true"/>
          <w:lang w:bidi="ar-SA"/>
        </w:rPr>
        <w:t>لقد استدلّ کثیر من الفقهاء بهذا النصّ لإثبات حرمة النظر إلی المرأة الأجنبیة إلاّ ما ورد استثناؤه کالوجه والکفّین تمسّکاً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ظَهَرَ مِنها، وکذلک وَ لیَضرِبنَ بِخُمُرِهِنَّ عَلی جُیُوبِهِنَّ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تقدّم أنّ جواز الکشف وعدم وجوب الستر ینسجم مع إرادة الزینة أو مواضعها،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إثارتان</w:t>
      </w:r>
    </w:p>
    <w:p>
      <w:pPr>
        <w:pStyle w:val="BookText"/>
        <w:rPr/>
      </w:pPr>
      <w:r>
        <w:rPr>
          <w:rFonts w:ascii="IRNazanin" w:hAnsi="IRNazanin" w:eastAsia="IRNazanin"/>
          <w:color w:val="111111"/>
          <w:sz w:val="28"/>
          <w:sz w:val="28"/>
          <w:szCs w:val="28"/>
          <w:rtl w:val="true"/>
          <w:lang w:bidi="fa-IR"/>
        </w:rPr>
        <w:t>ولکن طرحت إثارتان بهذا الصدد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الإثارة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حرمة النظر لغیر ما استثنی یمکن استفادتها من لزوم الستر علی المرأة؛ للملازمة بین الأمرین، فیصحّ عقد قضیة کلّیة موجبة،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وجب ستره حرم النظر إلیه؛ إذ إنّ الستر إنّما وجب للحیلولة دون النظر</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الإثارة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العکس غیر صحیح؛ فإنّ جواز کشف ما استثنی وهو الوجه والکفّان لایلازم جواز نظر الرجل إلیه، کما هو الحال بالنسبة للرجل حیث لایجب علیه ستر بدنه، ولکن فی الوقت نفسه یحرم علی المرأة النظر إلی ذلک، فلا یصحّ عقد قضیة کلّیة بأنّ کلّ ما جاز کشفه جاز النظر إلیه</w:t>
      </w:r>
      <w:r>
        <w:rPr>
          <w:rFonts w:eastAsia="IRNazanin" w:cs="IRNazanin"/>
          <w:color w:val="111111"/>
          <w:sz w:val="28"/>
          <w:szCs w:val="28"/>
          <w:rtl w:val="true"/>
          <w:lang w:bidi="fa-IR"/>
        </w:rPr>
        <w:t>.</w:t>
      </w:r>
      <w:bookmarkStart w:id="327" w:name="pg5707_46579"/>
    </w:p>
    <w:p>
      <w:pPr>
        <w:pStyle w:val="Heading6"/>
        <w:numPr>
          <w:ilvl w:val="5"/>
          <w:numId w:val="1"/>
        </w:numPr>
        <w:rPr/>
      </w:pPr>
      <w:bookmarkStart w:id="328" w:name="__RefHeading___Toc3818459_581953129"/>
      <w:bookmarkStart w:id="329" w:name="_Toc132"/>
      <w:bookmarkEnd w:id="327"/>
      <w:bookmarkEnd w:id="328"/>
      <w:r>
        <w:rPr>
          <w:rtl w:val="true"/>
        </w:rPr>
        <w:t>رابعاً</w:t>
      </w:r>
      <w:r>
        <w:rPr>
          <w:rtl w:val="true"/>
        </w:rPr>
        <w:t xml:space="preserve">: </w:t>
      </w:r>
      <w:r>
        <w:rPr>
          <w:rtl w:val="true"/>
        </w:rPr>
        <w:t>حرمة الضرب بالأرجل</w:t>
      </w:r>
      <w:bookmarkEnd w:id="329"/>
    </w:p>
    <w:p>
      <w:pPr>
        <w:pStyle w:val="BookText"/>
        <w:rPr/>
      </w:pPr>
      <w:r>
        <w:rPr>
          <w:rFonts w:ascii="Amiri" w:hAnsi="Amiri" w:eastAsia="Amiri" w:cs="Amiri"/>
          <w:color w:val="111111"/>
          <w:sz w:val="28"/>
          <w:sz w:val="28"/>
          <w:szCs w:val="28"/>
          <w:rtl w:val="true"/>
          <w:lang w:bidi="ar-SA"/>
        </w:rPr>
        <w:t>وَ لا یَضرِبنَ بِأَرجُلِهِنَّ لِیُعلَمَ ما یُخفِینَ مِن زِینَتِهِنَّ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هو المقطع الثالث من الآیة الذی ورد فیه حکم من أحکام الزینة للنساء،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ضرب الأرجل علی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ضرب الرجل کان متعارفاً بین نساء الجاهلیة، فقد کانت إحداهنّ تمشی فی الطریق حتّی إذا مرّت بمجلس من مجالس الرجال وفی رجلها خلخال، ضربت برجلها الأرض فصوّت الخلخال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فنهی الله سبحانه المؤمنات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المراد بضرب الأرجل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بعضها ببعض لیعلم أنّها ذات خلخالین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ویحتمل أنّ المراد ضرب الأرجل المؤدّی إلی إعلام الرجال بالحلیّ خلخالاً کانت أو قرطاً أو سواراً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إنّ تحریک الأرجل بشدّة وبسرعة حال المشی یؤدّی إلی تحریک کلّ البدن عادة، ولا داعی لحصر الآیة فی بعض المصادیق مادام لفظها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فإنّ فی الآیة نهی، والنهی ظاهر فی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وتجدر الإشارة إلی أنّه قد ورد التعبیر بالضرب فی الآیة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تعلّق بعمل إیجابی وهو الستر وقد امر به، ومرّة أُخری تعلّق بعمل سلبی وهو إبداء الزینة وقد نُهی عنه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إعلام المرأة للغیر بزینتها وإن خفی مظهرها ورؤیتها للناظر هو محرّم، وجاء هذا الحکم لإبطال توهّم کون الحرمة متعلّقة بإظهار الزینة وإراءتها فحسب، بل الغرض هو سدّ باب الإثارة الجنسیة غیر المشروعة، فإنّ إسماعها لصوت الزینة لیس بأقلّ تأثیراً من رؤیتها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هل المراد تقیید الحرمة بما إذا کان إسماع الرجال الأجانب مقصوداً للمرأة بإحداثها لصوت الخلخال وشبهه فتدور الحرمة حینئذٍ مدار القصد وجوداً وعدماً مطلقاً، کما هو ظاهر الآیة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فإن لم تکن قاصدة لذلک فلا حرمة؟</w:t>
      </w:r>
    </w:p>
    <w:p>
      <w:pPr>
        <w:pStyle w:val="BookText"/>
        <w:rPr/>
      </w:pPr>
      <w:r>
        <w:rPr>
          <w:rFonts w:ascii="IRNazanin" w:hAnsi="IRNazanin" w:eastAsia="IRNazanin"/>
          <w:color w:val="111111"/>
          <w:sz w:val="28"/>
          <w:sz w:val="28"/>
          <w:szCs w:val="28"/>
          <w:rtl w:val="true"/>
          <w:lang w:bidi="fa-IR"/>
        </w:rPr>
        <w:t xml:space="preserve">أو إنّ المراد النهی فیما لو آل ذلک إلی الحرام بأن تقصد المرأة من ضرب الأرجل أن یتوجّه إلیهنّ الرجال ویرینهم موضع زینتهنّ الباطنة، فیکون حراماً إذا آل إلی الحرام، وإلاّ فلا؟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أو إنّ المراد النهی عن إحداث التصویت مطلقاً أمام الرجال الأجانب سواء أقصدن إعلامهم أم لم یقصدن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 عاقبة الضرب بالأرجل وفیها الخلاخل أن یعلم الناس ما یخفین من الزینة فیفتتنوا بهنّ، أی تکون اللام فی قوله تعالی لِیُعلَمَ لام العاقبة؟ فیه احتمالات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یمکن أن یستفاد من هذه الفقرة من الآیة حرمة مزاولة النساء لکلّ قضیة تستلزم إثارة شهوة الرجال من قبیل التطیّب بالأدهان والعطور المثیرة أو ارتداء الملابس الضیّقة وإن استوعبت فی تغطیتها کلّ أعضاء بدن المرأة مادام ملاک الحرمة متوفّر وهو إثارتها للجنس الآخر</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الجصّاص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 دلالة علی أنّ المرأة منهیة عن رفع صوتها بالکلام، بحیث یسمع ذلک الأجانب إذ کان صوتها أقرب إلی الفتنة من صوت خلخالها</w:t>
      </w:r>
      <w:r>
        <w:rPr>
          <w:rFonts w:eastAsia="IRNazanin" w:cs="IRNazanin"/>
          <w:color w:val="111111"/>
          <w:sz w:val="28"/>
          <w:szCs w:val="28"/>
          <w:rtl w:val="true"/>
          <w:lang w:bidi="fa-IR"/>
        </w:rPr>
        <w:t xml:space="preserve">». </w:t>
      </w:r>
      <w:r>
        <w:rPr>
          <w:rStyle w:val="FootnoteAnchor"/>
          <w:rtl w:val="true"/>
        </w:rPr>
        <w:footnoteReference w:id="410"/>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ولمزید التفصیل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w:t>
      </w:r>
      <w:bookmarkStart w:id="330" w:name="pg5707_46581"/>
    </w:p>
    <w:p>
      <w:pPr>
        <w:pStyle w:val="Heading6"/>
        <w:numPr>
          <w:ilvl w:val="5"/>
          <w:numId w:val="1"/>
        </w:numPr>
        <w:rPr/>
      </w:pPr>
      <w:bookmarkStart w:id="331" w:name="__RefHeading___Toc3818461_581953129"/>
      <w:bookmarkStart w:id="332" w:name="_Toc133"/>
      <w:bookmarkEnd w:id="330"/>
      <w:bookmarkEnd w:id="331"/>
      <w:r>
        <w:rPr>
          <w:rtl w:val="true"/>
        </w:rPr>
        <w:t>خامساً</w:t>
      </w:r>
      <w:r>
        <w:rPr>
          <w:rtl w:val="true"/>
        </w:rPr>
        <w:t xml:space="preserve">: </w:t>
      </w:r>
      <w:r>
        <w:rPr>
          <w:rtl w:val="true"/>
        </w:rPr>
        <w:t>الموقف حالة الشکّ‌</w:t>
      </w:r>
      <w:bookmarkEnd w:id="332"/>
    </w:p>
    <w:p>
      <w:pPr>
        <w:pStyle w:val="BookText"/>
        <w:rPr/>
      </w:pPr>
      <w:r>
        <w:rPr>
          <w:rFonts w:ascii="IRNazanin" w:hAnsi="IRNazanin" w:eastAsia="IRNazanin"/>
          <w:color w:val="111111"/>
          <w:sz w:val="28"/>
          <w:sz w:val="28"/>
          <w:szCs w:val="28"/>
          <w:rtl w:val="true"/>
          <w:lang w:bidi="fa-IR"/>
        </w:rPr>
        <w:t>لقد بیّنت الآیتان؛ حکم المؤمنین رجالاً ونساءً، فخصّت الآیة الاُولی الخطاب بالرجال وخصّت الآیة الثانیة الخطاب بالنساء واشتملت أیضاً علی استثناء عدّة طوائف من الرجال والنساء، وهنا یبرز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الحکم حال الشکّ؟</w:t>
      </w:r>
    </w:p>
    <w:p>
      <w:pPr>
        <w:pStyle w:val="BookText"/>
        <w:rPr/>
      </w:pPr>
      <w:r>
        <w:rPr>
          <w:rFonts w:ascii="IRNazanin" w:hAnsi="IRNazanin" w:eastAsia="IRNazanin"/>
          <w:color w:val="111111"/>
          <w:sz w:val="28"/>
          <w:sz w:val="28"/>
          <w:szCs w:val="28"/>
          <w:rtl w:val="true"/>
          <w:lang w:bidi="fa-IR"/>
        </w:rPr>
        <w:t>وحالات الشکّ کثیرة، نشیر إلی حالتین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من یجوّز النظر إلیه وبین من لا یجوّز، أو الشکّ بین من یجب التستّر عنه ومن لا یجب، کما لو شکّ فی کونه مماثلاً أو لا، أو شکّ فی کونه من المحارم النسبیة أولا؟</w:t>
      </w:r>
    </w:p>
    <w:p>
      <w:pPr>
        <w:pStyle w:val="BookText"/>
        <w:rPr/>
      </w:pPr>
      <w:r>
        <w:rPr>
          <w:rFonts w:ascii="IRNazanin" w:hAnsi="IRNazanin" w:eastAsia="IRNazanin"/>
          <w:color w:val="111111"/>
          <w:sz w:val="28"/>
          <w:sz w:val="28"/>
          <w:szCs w:val="28"/>
          <w:rtl w:val="true"/>
          <w:lang w:bidi="fa-IR"/>
        </w:rPr>
        <w:t xml:space="preserve">ذهب بعض إلی أنّ مقتضی عموم النصّ، أنّ الأصل هو حرمة النظر إلی الغیر ووجوب التستّر عنه، والرخصة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الاستثناء الوارد فی النص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مشروطة بأمر وجودی وهو کونه مماثلاً أو من المحارم، وما لم یحرز ذلک یجب العمل بالعموم وهو حرمة النظر حینئذٍ ووجوب التستّر، فهو من قبیل المقتضی والمانع</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بل أفاد بعض المحقّقین أنّ المقام من الأعراض التی اهتمّ بها الشارع، والأصل فی ذلک أصالة الحرمة، نظیر اللحوم التی أسّسوا فیها أصالة عدم التذکیة إلّا ما خرج بالدلیل،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 ذکرناه من المدالیل السیاقیة، ولیست من المدالیل اللفظیة حتّی یمکن المناقشة فیها</w:t>
      </w:r>
      <w:r>
        <w:rPr>
          <w:rFonts w:eastAsia="IRNazanin" w:cs="IRNazanin"/>
          <w:color w:val="111111"/>
          <w:sz w:val="28"/>
          <w:szCs w:val="28"/>
          <w:rtl w:val="true"/>
          <w:lang w:bidi="fa-IR"/>
        </w:rPr>
        <w:t xml:space="preserve">». </w:t>
      </w:r>
      <w:r>
        <w:rPr>
          <w:rStyle w:val="FootnoteAnchor"/>
          <w:rtl w:val="true"/>
        </w:rPr>
        <w:footnoteReference w:id="412"/>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بسبب کون المکلّف خنثی، فلا یصدق علیه عنوان الذکر ولا الاُنثی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تعرّض بعضهم إلی ذلک فاختار أنّه یحرم علیها النظر إلی النساء والرجال الأجانب، ویجب علیها التستّر وعدم إبداء الزینة أمام الرجال </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تعلم</w:t>
      </w:r>
      <w:bookmarkStart w:id="333" w:name="pg5707_46582"/>
    </w:p>
    <w:p>
      <w:pPr>
        <w:pStyle w:val="BookText"/>
        <w:rPr/>
      </w:pPr>
      <w:bookmarkEnd w:id="333"/>
      <w:r>
        <w:rPr>
          <w:rFonts w:ascii="IRNazanin" w:hAnsi="IRNazanin" w:eastAsia="IRNazanin"/>
          <w:color w:val="111111"/>
          <w:sz w:val="28"/>
          <w:sz w:val="28"/>
          <w:szCs w:val="28"/>
          <w:rtl w:val="true"/>
          <w:lang w:bidi="fa-IR"/>
        </w:rPr>
        <w:t xml:space="preserve">إجمالاً بأنّها إمّا ذکر أو انثی، فیجب علیها الاجتناب من کلّ منهما لعموم الآیة </w:t>
      </w:r>
      <w:r>
        <w:rPr>
          <w:rStyle w:val="FootnoteAnchor"/>
          <w:rtl w:val="true"/>
        </w:rPr>
        <w:footnoteReference w:id="414"/>
      </w:r>
      <w:r>
        <w:rPr>
          <w:rFonts w:ascii="Amiri" w:hAnsi="Amiri" w:eastAsia="Amiri" w:cs="Amiri"/>
          <w:color w:val="111111"/>
          <w:sz w:val="28"/>
          <w:sz w:val="28"/>
          <w:szCs w:val="28"/>
          <w:rtl w:val="true"/>
          <w:lang w:bidi="ar-SA"/>
        </w:rPr>
        <w:t>، سیّما مع الالتفات إلی ذیل الآیة وهو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تُوبُوا إِلَی اللّهِ جَمِیعاً أَیُّهَا المُؤمِنُونَ 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تعمیم لکلّ من یصدق علیه عنوان المؤمن، ولا یختصّ بالذکر المحض والاُنثی المحضة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الخنثی مع الاُنثی کالذکر، ومع الذکر کالاُنثی </w:t>
      </w:r>
      <w:r>
        <w:rPr>
          <w:rStyle w:val="FootnoteAnchor"/>
          <w:rtl w:val="true"/>
        </w:rPr>
        <w:footnoteReference w:id="415"/>
      </w:r>
      <w:r>
        <w:rPr>
          <w:rFonts w:ascii="IRNazanin" w:hAnsi="IRNazanin" w:eastAsia="IRNazanin"/>
          <w:color w:val="111111"/>
          <w:sz w:val="28"/>
          <w:sz w:val="28"/>
          <w:szCs w:val="28"/>
          <w:rtl w:val="true"/>
          <w:lang w:bidi="fa-IR"/>
        </w:rPr>
        <w:t>، کما یجب علی الذکر والاُنثی الاجتناب عنها لذلک</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وتجدر الإشارة إلی أنّ الخنثی إذا کان بینها وبین الغیر علاقة المحرمیة، کالأخوّة أو البنوّة أو کونها من بنی الإخوة أو بنی الأخوات أو بنی البعولة، فهنا لایحرم علیها النظر إلی العمّة أو الخالة أو الاُخت أو الاُم ولا یجب علیها التستّر من الأخ أو الأب أو العمّ أو الخال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شکّ هنا فی الحکم إطلاقاً</w:t>
      </w:r>
      <w:r>
        <w:rPr>
          <w:rFonts w:eastAsia="IRNazanin" w:cs="IRNazanin"/>
          <w:color w:val="111111"/>
          <w:sz w:val="28"/>
          <w:szCs w:val="28"/>
          <w:rtl w:val="true"/>
          <w:lang w:bidi="fa-IR"/>
        </w:rPr>
        <w:t>.</w:t>
      </w:r>
    </w:p>
    <w:p>
      <w:pPr>
        <w:pStyle w:val="Heading6"/>
        <w:numPr>
          <w:ilvl w:val="5"/>
          <w:numId w:val="1"/>
        </w:numPr>
        <w:rPr/>
      </w:pPr>
      <w:bookmarkStart w:id="334" w:name="__RefHeading___Toc3818463_581953129"/>
      <w:bookmarkStart w:id="335" w:name="_Toc134"/>
      <w:bookmarkEnd w:id="334"/>
      <w:r>
        <w:rPr>
          <w:rtl w:val="true"/>
        </w:rPr>
        <w:t>سادساً</w:t>
      </w:r>
      <w:r>
        <w:rPr>
          <w:rtl w:val="true"/>
        </w:rPr>
        <w:t xml:space="preserve">: </w:t>
      </w:r>
      <w:r>
        <w:rPr>
          <w:rtl w:val="true"/>
        </w:rPr>
        <w:t>الأمر بالتوبة</w:t>
      </w:r>
      <w:bookmarkEnd w:id="3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تُوبُوا إِلَی اللّهِ جَمِیعاً أَیُّهَا المُؤمِنُونَ لَعَلَّکُم تُفلِحُونَ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وفیه أمر بالتوبة، والأمر للوجوب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ما هو المراد بالتوبة؟</w:t>
      </w:r>
    </w:p>
    <w:p>
      <w:pPr>
        <w:pStyle w:val="BookText"/>
        <w:rPr/>
      </w:pPr>
      <w:r>
        <w:rPr>
          <w:rFonts w:ascii="IRNazanin" w:hAnsi="IRNazanin" w:eastAsia="IRNazanin"/>
          <w:color w:val="111111"/>
          <w:sz w:val="28"/>
          <w:sz w:val="28"/>
          <w:szCs w:val="28"/>
          <w:rtl w:val="true"/>
          <w:lang w:bidi="fa-IR"/>
        </w:rPr>
        <w:t>فیه احتمالات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 من الذنب المعیّن وهو إبداء الزینة، وهذا هو الفهم الشائع للآیة وأمثالها، والتوبة بهذا المعنی لاخلاف بین الاُمة فی وجوبها وأنّها فرض متعیّن، وکان الناس لا یبالون بذلک فلمّا نزلت الآیة أمرتهم بمراعاة تلک الاُمور والتوبة من مخالفاتهم السابقة</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قال الزمخشری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صحت التوبة بالإسلام، والإسلام یجبُّ ما قبله، فما معنی هذه التوبة؟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بها ما یقوله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أذنب ذنباً، ثُمّ تاب عنه یلزمه کلّما تذکّره أن یجدّد عنه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یلزمه أن یستمر علی ندمه وعزمه إلی أن یلقی ربّه</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وردّ بعضهم علی کلام الزمخشری هذا</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 بمعنی الذنب المطلق، لاخصوص ذنب معیّن، فالآیة تأمر المؤمنین بأصل التوبة کتشریع وحکم کلّی وعلی نحو القضیة الحقیقیة</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وممّا یساعد علی إرادة هذا المعنی کون المؤمن فی معرض المخالفة للأحکام الواردة فی الآیة وما قبلها من حرمة النظر ووجوب الستر وحرمة إبداء الزینة، فإنّها محلّ ابتلاء الناس عادة، ویحتمل المعصیة الصادرة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بمعنی الأوبة والرجوع إلی الله تعالی </w:t>
      </w:r>
      <w:r>
        <w:rPr>
          <w:rStyle w:val="FootnoteAnchor"/>
          <w:rtl w:val="true"/>
        </w:rPr>
        <w:footnoteReference w:id="421"/>
      </w:r>
      <w:r>
        <w:rPr>
          <w:rFonts w:ascii="Amiri" w:hAnsi="Amiri" w:eastAsia="Amiri" w:cs="Amiri"/>
          <w:color w:val="111111"/>
          <w:sz w:val="28"/>
          <w:sz w:val="28"/>
          <w:szCs w:val="28"/>
          <w:rtl w:val="true"/>
          <w:lang w:bidi="ar-SA"/>
        </w:rPr>
        <w:t>، فهنا أمر ودعوة للمؤمنین بعدم الانحراف عن طریق الله، وثمّة قرائن تؤیّد إرادة هذا الاحتمال، من قبیل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التشریعات التی تتناسب مع المجتمع الطاهر النظیف، ولم تکن هناک أیّة إشارة إلی وجود معصیة أو مخالفة کما هو الحال فی بعض الآیات المتعرّضة لجملة من المعاصی والتی تعقّبتها بذکر التوبة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لا یَدعُونَ مَعَ اللّهِ إِلهاً آخَرَ وَ لا یَقتُلُونَ النَّفسَ الَّتِی حَرَّمَ اللّهُ إِلاّ بِالحَقِّ وَ لا یَزنُونَ إِلاّ مَن تابَ وَ آمَنَ وَ عَمِلَ عَمَلاً صالِحاً فَأُولئِکَ یُبَدِّلُ اللّهُ سَیِّئاتِهِم حَسَناتٍ وَ کانَ اللّهُ غَفُوراً رَحِیماً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قبیل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فی ذیل الآیة لَعَلَّکُم تُفلِحُونَ فهی بشارة، والبشارة تکون</w:t>
      </w:r>
    </w:p>
    <w:p>
      <w:pPr>
        <w:pStyle w:val="BookText"/>
        <w:rPr/>
      </w:pPr>
      <w:r>
        <w:rPr>
          <w:rFonts w:ascii="IRNazanin" w:hAnsi="IRNazanin" w:eastAsia="IRNazanin"/>
          <w:color w:val="111111"/>
          <w:sz w:val="28"/>
          <w:sz w:val="28"/>
          <w:szCs w:val="28"/>
          <w:rtl w:val="true"/>
          <w:lang w:bidi="fa-IR"/>
        </w:rPr>
        <w:t>أکثر مناسبة مع العمل الإیجابی الذی یصدر من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تعمیم الخطاب إلی المؤمنین والتصریح بهم واستعمال أداة النداء والإتیان بلفظ جَمِیعاً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یؤکّد هذا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هذا الاحتمال لاتکون الآیة بصدد تشریع الحکم، بل هی بصدد الدعوة العامّة لالتزام الناس بأحکام الله المشرّعة لمصحالهم، فهذا المقطع من الآیة یکون من آیات الدعوة، ولیس من آیات الأحکام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ما یمتاز به القرآن فی تشریعاته إنّه لیس کتاباً قانونیاً جافّاً، بل هو کتاب تشریع وکتابة دعوة وکتاب تنفیذ، فإنّه عندما یطرح الحکم فإنّه یطرحه ضمن أجواء تساعد علی تنفیذه وتضمن إجراءه</w:t>
      </w:r>
      <w:r>
        <w:rPr>
          <w:rFonts w:eastAsia="IRNazanin" w:cs="IRNazanin"/>
          <w:color w:val="111111"/>
          <w:sz w:val="28"/>
          <w:szCs w:val="28"/>
          <w:rtl w:val="true"/>
          <w:lang w:bidi="fa-IR"/>
        </w:rPr>
        <w:t>.</w:t>
      </w:r>
      <w:bookmarkStart w:id="336" w:name="pg5707_46586"/>
    </w:p>
    <w:p>
      <w:pPr>
        <w:pStyle w:val="Heading2"/>
        <w:numPr>
          <w:ilvl w:val="1"/>
          <w:numId w:val="1"/>
        </w:numPr>
        <w:rPr/>
      </w:pPr>
      <w:bookmarkStart w:id="337" w:name="__RefHeading___Toc3818465_581953129"/>
      <w:bookmarkStart w:id="338" w:name="_Toc135"/>
      <w:bookmarkEnd w:id="336"/>
      <w:bookmarkEnd w:id="337"/>
      <w:r>
        <w:rPr>
          <w:rtl w:val="true"/>
        </w:rPr>
        <w:t>الملاحق</w:t>
      </w:r>
      <w:bookmarkEnd w:id="33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9" w:name="__RefHeading___Toc3818467_581953129"/>
      <w:bookmarkStart w:id="340" w:name="_Toc136"/>
      <w:bookmarkEnd w:id="339"/>
      <w:r>
        <w:rPr>
          <w:rtl w:val="true"/>
        </w:rPr>
        <w:t>اشارة</w:t>
      </w:r>
      <w:bookmarkStart w:id="341" w:name="pg5707_46587"/>
      <w:bookmarkEnd w:id="340"/>
    </w:p>
    <w:p>
      <w:pPr>
        <w:pStyle w:val="Heading3"/>
        <w:numPr>
          <w:ilvl w:val="2"/>
          <w:numId w:val="1"/>
        </w:numPr>
        <w:rPr/>
      </w:pPr>
      <w:bookmarkStart w:id="342" w:name="__RefHeading___Toc3818469_581953129"/>
      <w:bookmarkStart w:id="343" w:name="_Toc137"/>
      <w:bookmarkEnd w:id="341"/>
      <w:bookmarkEnd w:id="342"/>
      <w:r>
        <w:rPr>
          <w:rtl w:val="true"/>
        </w:rPr>
        <w:t xml:space="preserve">ملحق </w:t>
      </w:r>
      <w:r>
        <w:rPr/>
        <w:t>1</w:t>
      </w:r>
      <w:r>
        <w:rPr>
          <w:rtl w:val="true"/>
        </w:rPr>
        <w:t>:</w:t>
      </w:r>
      <w:r>
        <w:rPr>
          <w:rtl w:val="true"/>
        </w:rPr>
        <w:t>ببلوغرافیا الکتب المؤلّفة فی آیات الأحکام بحسب القرون</w:t>
      </w:r>
      <w:bookmarkEnd w:id="343"/>
    </w:p>
    <w:p>
      <w:pPr>
        <w:pStyle w:val="Heading4"/>
        <w:numPr>
          <w:ilvl w:val="3"/>
          <w:numId w:val="1"/>
        </w:numPr>
        <w:rPr/>
      </w:pPr>
      <w:bookmarkStart w:id="344" w:name="__RefHeading___Toc3818471_581953129"/>
      <w:bookmarkStart w:id="345" w:name="_Toc138"/>
      <w:bookmarkEnd w:id="344"/>
      <w:r>
        <w:rPr>
          <w:rtl w:val="true"/>
        </w:rPr>
        <w:t>القرن الأوّل</w:t>
      </w:r>
      <w:bookmarkEnd w:id="345"/>
    </w:p>
    <w:p>
      <w:pPr>
        <w:pStyle w:val="BookText"/>
        <w:rPr/>
      </w:pPr>
      <w:r>
        <w:rPr>
          <w:rFonts w:ascii="IRNazanin" w:hAnsi="IRNazanin" w:eastAsia="IRNazanin"/>
          <w:color w:val="111111"/>
          <w:sz w:val="28"/>
          <w:sz w:val="28"/>
          <w:szCs w:val="28"/>
          <w:rtl w:val="true"/>
          <w:lang w:bidi="fa-IR"/>
        </w:rPr>
        <w:t>لم تصل إلینا أیّة وثیقة تدلّ علی وجود مصنّف مستقلّ یختصّ بآیات الأحکام فی القرن الأوّل الهجری، وإن کنا علی یقین بأنّ بذور هذا الفنّ نشأت منذ بدایة التشریع وواکبت نزول القرآن؛ لحاجة المسلمین إلی معرفة ذلک، مضافاً إلی وجود أحادیث کثیرة جدّاً مرویة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تضمّنت التعرّض إلی العدید من آیات الأحکام بیاناً وتفسیراً أو تطبیقاً أو استدلالاً وتقنیناً، ویتجلّی ذلک جلیاً بمراجعة المسرد الخاصّ بذلک فی الملاحق</w:t>
      </w:r>
      <w:r>
        <w:rPr>
          <w:rFonts w:eastAsia="IRNazanin" w:cs="IRNazanin"/>
          <w:color w:val="111111"/>
          <w:sz w:val="28"/>
          <w:szCs w:val="28"/>
          <w:rtl w:val="true"/>
          <w:lang w:bidi="fa-IR"/>
        </w:rPr>
        <w:t>.</w:t>
      </w:r>
    </w:p>
    <w:p>
      <w:pPr>
        <w:pStyle w:val="Heading4"/>
        <w:numPr>
          <w:ilvl w:val="3"/>
          <w:numId w:val="1"/>
        </w:numPr>
        <w:rPr/>
      </w:pPr>
      <w:bookmarkStart w:id="346" w:name="__RefHeading___Toc3818473_581953129"/>
      <w:bookmarkStart w:id="347" w:name="_Toc139"/>
      <w:bookmarkEnd w:id="346"/>
      <w:r>
        <w:rPr>
          <w:rtl w:val="true"/>
        </w:rPr>
        <w:t>القرن الثانی</w:t>
      </w:r>
      <w:bookmarkEnd w:id="34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أحکام القرآن، أبو النضر محمّد بن السائب بن بشر الکلبی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الإمامین أبی جعفر الباقر، وأبی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والد هشام الکلبی النسّابة الشهیر وصاحب التفسیر الکبیر الذی هو أبسط التفاسیر، کما أذعن به العلّامة السیوطی فی الإتقان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أحکام القرآن للکلبی، رواه عن ابن عبّاس</w:t>
      </w:r>
      <w:r>
        <w:rPr>
          <w:rFonts w:eastAsia="IRNazanin" w:cs="IRNazanin"/>
          <w:color w:val="111111"/>
          <w:sz w:val="28"/>
          <w:szCs w:val="28"/>
          <w:rtl w:val="true"/>
          <w:lang w:bidi="fa-IR"/>
        </w:rPr>
        <w:t>».</w:t>
      </w:r>
      <w:bookmarkStart w:id="348" w:name="pg5707_46588"/>
    </w:p>
    <w:p>
      <w:pPr>
        <w:pStyle w:val="BookText"/>
        <w:rPr/>
      </w:pPr>
      <w:bookmarkEnd w:id="348"/>
      <w:r>
        <w:rPr>
          <w:rFonts w:ascii="IRNazanin" w:hAnsi="IRNazanin" w:eastAsia="IRNazanin"/>
          <w:color w:val="111111"/>
          <w:sz w:val="28"/>
          <w:sz w:val="28"/>
          <w:szCs w:val="28"/>
          <w:rtl w:val="true"/>
          <w:lang w:bidi="fa-IR"/>
        </w:rPr>
        <w:t>وعلی هذا فیکون هو أوّل من ألّف فی هذا الفنّ، وکان من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وسنذکر ما عثرنا علیه من کتب السابقین مرتّباً حسب القرون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خمسئمة آیة فی الأحکام، مقاتل بن سلیمان بن بشر الخراسانی البلخی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من الشیعة، ومن مؤسّسی فرقة البتریة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نُسب هذا الکتاب إلی مقابل بن حیّان</w:t>
      </w:r>
      <w:r>
        <w:rPr>
          <w:rFonts w:eastAsia="IRNazanin" w:cs="IRNazanin"/>
          <w:color w:val="111111"/>
          <w:sz w:val="28"/>
          <w:szCs w:val="28"/>
          <w:rtl w:val="true"/>
          <w:lang w:bidi="fa-IR"/>
        </w:rPr>
        <w:t>.</w:t>
      </w:r>
    </w:p>
    <w:p>
      <w:pPr>
        <w:pStyle w:val="Heading4"/>
        <w:numPr>
          <w:ilvl w:val="3"/>
          <w:numId w:val="1"/>
        </w:numPr>
        <w:rPr/>
      </w:pPr>
      <w:bookmarkStart w:id="349" w:name="__RefHeading___Toc3818475_581953129"/>
      <w:bookmarkStart w:id="350" w:name="_Toc140"/>
      <w:bookmarkEnd w:id="349"/>
      <w:r>
        <w:rPr>
          <w:rtl w:val="true"/>
        </w:rPr>
        <w:t>القرن الثالث</w:t>
      </w:r>
      <w:bookmarkEnd w:id="3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أحکام القرآن، حیی بن آدم بن سلیمان الأموی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فقهاء البتریة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آیات الأحکام، أبو المنذر هشام بن محمّد بن السائب الکلبی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من الشیعة من أصحاب الإمامین الباقر 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أحکام القرآن، محمّد بن إدریس بن العبّاس بن عثمان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مؤسّس المذهب الشافعی، وقد فقد هذا الکتاب، لکن البیهقی صاحب السنن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بجمعه بعد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أحکام القرآن، جبیر بن غالب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أحکام القرآن، أحمد بن معذل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غیلان العبری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 المذهب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أحکام القرآن، إبراهیم بن خالد المعروف بأبی ثور الکلبی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فقهاء أهل الحدیث، وکان طریقته قریبة إلی الشافعی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إیجاب التمسّک بأحکام القرآن، یحیی بن أکثم بن محمّد بن قطن التمیمی المروزی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فقهاء البصرة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أحکام القرآن، أبو عبد الله محمّد بن إبراهیم عبدوس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أحکام القرآن، علی بن حجر بن محمّد السعدی المروزی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 المذهب</w:t>
      </w:r>
      <w:r>
        <w:rPr>
          <w:rFonts w:eastAsia="IRNazanin" w:cs="IRNazanin"/>
          <w:color w:val="111111"/>
          <w:sz w:val="28"/>
          <w:szCs w:val="28"/>
          <w:rtl w:val="true"/>
          <w:lang w:bidi="fa-IR"/>
        </w:rPr>
        <w:t>.</w:t>
      </w:r>
      <w:bookmarkStart w:id="351" w:name="pg5707_46589"/>
    </w:p>
    <w:p>
      <w:pPr>
        <w:pStyle w:val="BookText"/>
        <w:rPr/>
      </w:pPr>
      <w:bookmarkEnd w:id="35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أحکام القرآن، حفص بن عمر بن عبدالعزیز الأزدی الدوری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فقهاء أصحاب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أحکام القرآن، خصاف أحمد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خمسمئة آیة، أبو المؤثر صلت بن خمیس البهلاوی، أباضی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أحکام القرآن، محمّد بن عبد الله، المعروف بابن الحکم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أحکام القرآن، داوود بن علی الظاهری الإصفهانی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أحکام القرآن، إسماعیل بن إسحاق الأزدی البصری الجهضمی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w:t>
      </w:r>
      <w:r>
        <w:rPr>
          <w:rFonts w:eastAsia="IRNazanin" w:cs="IRNazanin"/>
          <w:color w:val="111111"/>
          <w:sz w:val="28"/>
          <w:szCs w:val="28"/>
          <w:rtl w:val="true"/>
          <w:lang w:bidi="fa-IR"/>
        </w:rPr>
        <w:t>.</w:t>
      </w:r>
    </w:p>
    <w:p>
      <w:pPr>
        <w:pStyle w:val="Heading4"/>
        <w:numPr>
          <w:ilvl w:val="3"/>
          <w:numId w:val="1"/>
        </w:numPr>
        <w:rPr/>
      </w:pPr>
      <w:bookmarkStart w:id="352" w:name="__RefHeading___Toc3818477_581953129"/>
      <w:bookmarkStart w:id="353" w:name="_Toc141"/>
      <w:bookmarkEnd w:id="352"/>
      <w:r>
        <w:rPr>
          <w:rtl w:val="true"/>
        </w:rPr>
        <w:t>القرن الرابع</w:t>
      </w:r>
      <w:bookmarkEnd w:id="3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القاسم بن أصبغ بن محمّد القرطبی الأندلسی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موسی بن یزداد القمّی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من رؤساء المذهب الحنفی فی عصره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أحکام القرآن، محمّد بن أحمد بکیر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أحکام القرآن،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جزءاً، أبو الأسود موسی بن عبدالرحمن، المعروف بقطّان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أحکام القرآن، 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أجزاء، أحمد بن محمد بن زیاد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أحکام القرآن، أبو جعفر أحمد بن أحمد القیروانی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أحکام القرآن، أحمد بن محمّد بن سلامة الأزدی الطحاوی </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أحکام القرآن، عبد الله بن أحمد، المعروف بابن المغلّس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w:t>
      </w:r>
      <w:bookmarkStart w:id="354" w:name="pg5707_46590"/>
    </w:p>
    <w:p>
      <w:pPr>
        <w:pStyle w:val="BookText"/>
        <w:rPr/>
      </w:pPr>
      <w:bookmarkEnd w:id="3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أبو الحسن عبّاد بن العباس بن الدیلمی الطالقانی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أحکام القرآن، بکر بن محمّد بن العلاء بن محمد القشیری </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 وهذا الکتاب هو مختصر عن کتاب إسماعیل بن إسحاق القاضی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أحکام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محمّد القاسم بن أصبغ القرطبی </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أحکام القرآن، محمّد بن القاسم بن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الإنباه علی استنباط الأحکام من کتاب الله، منذر بن سعید بن عبد الله، أبو الحکم البلوطی </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أحکام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أحمد بن علی الجصّاص الرازی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أحکام القرآن، محمّد بن الحسین بن محمّد، أبو یعلی </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آیات الأحکام، کافی الکفاة، الصاحب إسماعیل بن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p>
    <w:p>
      <w:pPr>
        <w:pStyle w:val="Heading4"/>
        <w:numPr>
          <w:ilvl w:val="3"/>
          <w:numId w:val="1"/>
        </w:numPr>
        <w:rPr/>
      </w:pPr>
      <w:bookmarkStart w:id="355" w:name="__RefHeading___Toc3818479_581953129"/>
      <w:bookmarkStart w:id="356" w:name="_Toc142"/>
      <w:bookmarkEnd w:id="355"/>
      <w:r>
        <w:rPr>
          <w:rtl w:val="true"/>
        </w:rPr>
        <w:t>القرن الخامس</w:t>
      </w:r>
      <w:bookmarkEnd w:id="356"/>
    </w:p>
    <w:p>
      <w:pPr>
        <w:pStyle w:val="BookText"/>
        <w:rPr/>
      </w:pPr>
      <w:r>
        <w:rPr>
          <w:rFonts w:ascii="IRNazanin" w:hAnsi="IRNazanin" w:eastAsia="IRNazanin"/>
          <w:color w:val="111111"/>
          <w:sz w:val="28"/>
          <w:sz w:val="28"/>
          <w:szCs w:val="28"/>
          <w:rtl w:val="true"/>
          <w:lang w:bidi="fa-IR"/>
        </w:rPr>
        <w:t xml:space="preserve">أحکام القرآن، أحمد بن علی الربعی، المعروف بالباغانی </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 أحکام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المأثور عن مالک فی أحکام القرآن وتفسیره، مکی بن أبی طالب القیسی القیروانی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أحکام القرآن، محمّد بن علی بن أحمد بن أبی حزم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أحکام القرآن، الحافظ أبو بکر أحمد بن الحسین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w:t>
      </w:r>
      <w:bookmarkStart w:id="357" w:name="pg5707_46591"/>
    </w:p>
    <w:p>
      <w:pPr>
        <w:pStyle w:val="BookText"/>
        <w:rPr/>
      </w:pPr>
      <w:bookmarkEnd w:id="35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الأحکام، محمّد بن الحسین بن محمّد بن الفرّاء، أبو یعلی الکبیر </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حنبلی</w:t>
      </w:r>
      <w:r>
        <w:rPr>
          <w:rFonts w:eastAsia="IRNazanin" w:cs="IRNazanin"/>
          <w:color w:val="111111"/>
          <w:sz w:val="28"/>
          <w:szCs w:val="28"/>
          <w:rtl w:val="true"/>
          <w:lang w:bidi="fa-IR"/>
        </w:rPr>
        <w:t>.</w:t>
      </w:r>
    </w:p>
    <w:p>
      <w:pPr>
        <w:pStyle w:val="Heading4"/>
        <w:numPr>
          <w:ilvl w:val="3"/>
          <w:numId w:val="1"/>
        </w:numPr>
        <w:rPr/>
      </w:pPr>
      <w:bookmarkStart w:id="358" w:name="__RefHeading___Toc3818481_581953129"/>
      <w:bookmarkStart w:id="359" w:name="_Toc143"/>
      <w:bookmarkEnd w:id="358"/>
      <w:r>
        <w:rPr>
          <w:rtl w:val="true"/>
        </w:rPr>
        <w:t>القرن السادس</w:t>
      </w:r>
      <w:bookmarkEnd w:id="3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أحکام القرآن، علی بن محمّد الطبری، المعروف بالکیاهراسی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عبد الله الاندلسی الأشبیلی، المعروف بابن العربی </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القرآن فی شرح آیات الأحکام، قطب الدین سعید بن هبة الدین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آیات الأحکام، الراوندی المتقدّم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آیات الأحکام، أبو الحسن محمّد بن الحسین البیهقی النیشابوری الکیدری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حدود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متشابه القرآن ومختلفه، رشید الدین محمّد بن علی بن شهر آشوب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 وهو وإن لم یؤلّف جمیع کتابه لبحث آیات الأحکام إلّا أنّه خصّص فصلاً کبیراً منه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فیما یحکم علیه الفقهاء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أحکام القرآن، عبدالمنعم بن محمّد الأنصاری الأندلسی الغرناطی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الغرس</w:t>
      </w:r>
      <w:r>
        <w:rPr>
          <w:rFonts w:eastAsia="IRNazanin" w:cs="IRNazanin"/>
          <w:color w:val="111111"/>
          <w:sz w:val="28"/>
          <w:szCs w:val="28"/>
          <w:rtl w:val="true"/>
          <w:lang w:bidi="fa-IR"/>
        </w:rPr>
        <w:t>) (</w:t>
      </w: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سورتی آل عمران والنساء، الأنصاری المتقدّم</w:t>
      </w:r>
      <w:r>
        <w:rPr>
          <w:rFonts w:eastAsia="IRNazanin" w:cs="IRNazanin"/>
          <w:color w:val="111111"/>
          <w:sz w:val="28"/>
          <w:szCs w:val="28"/>
          <w:rtl w:val="true"/>
          <w:lang w:bidi="fa-IR"/>
        </w:rPr>
        <w:t>.</w:t>
      </w:r>
    </w:p>
    <w:p>
      <w:pPr>
        <w:pStyle w:val="Heading4"/>
        <w:numPr>
          <w:ilvl w:val="3"/>
          <w:numId w:val="1"/>
        </w:numPr>
        <w:rPr/>
      </w:pPr>
      <w:bookmarkStart w:id="360" w:name="__RefHeading___Toc3818483_581953129"/>
      <w:bookmarkStart w:id="361" w:name="_Toc144"/>
      <w:bookmarkEnd w:id="360"/>
      <w:r>
        <w:rPr>
          <w:rtl w:val="true"/>
        </w:rPr>
        <w:t>القرن السابع</w:t>
      </w:r>
      <w:bookmarkEnd w:id="36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فی أحکام القرآن، محمّد یحیی بن أحمد بن خلیل الشلوبین الأشبیلی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w:t>
      </w:r>
      <w:r>
        <w:rPr>
          <w:rFonts w:eastAsia="IRNazanin" w:cs="IRNazanin"/>
          <w:color w:val="111111"/>
          <w:sz w:val="28"/>
          <w:szCs w:val="28"/>
          <w:rtl w:val="true"/>
          <w:lang w:bidi="fa-IR"/>
        </w:rPr>
        <w:t>.</w:t>
      </w:r>
      <w:bookmarkStart w:id="362" w:name="pg5707_46592"/>
    </w:p>
    <w:p>
      <w:pPr>
        <w:pStyle w:val="BookText"/>
        <w:rPr/>
      </w:pPr>
      <w:bookmarkEnd w:id="362"/>
      <w:r>
        <w:rPr>
          <w:rFonts w:ascii="IRNazanin" w:hAnsi="IRNazanin" w:eastAsia="IRNazanin"/>
          <w:color w:val="111111"/>
          <w:sz w:val="28"/>
          <w:sz w:val="28"/>
          <w:szCs w:val="28"/>
          <w:rtl w:val="true"/>
          <w:lang w:bidi="fa-IR"/>
        </w:rPr>
        <w:t xml:space="preserve">آیات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أحکام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بکر صائن الدین یحیی بن سعدون الأزدی الأندلسی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الجامع لأحکام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أحمد الأنصاری القرطبی </w:t>
      </w: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 xml:space="preserve"> -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w:t>
      </w:r>
      <w:r>
        <w:rPr>
          <w:rFonts w:eastAsia="IRNazanin" w:cs="IRNazanin"/>
          <w:color w:val="111111"/>
          <w:sz w:val="28"/>
          <w:szCs w:val="28"/>
          <w:rtl w:val="true"/>
          <w:lang w:bidi="fa-IR"/>
        </w:rPr>
        <w:t>.</w:t>
      </w:r>
    </w:p>
    <w:p>
      <w:pPr>
        <w:pStyle w:val="Heading4"/>
        <w:numPr>
          <w:ilvl w:val="3"/>
          <w:numId w:val="1"/>
        </w:numPr>
        <w:rPr/>
      </w:pPr>
      <w:bookmarkStart w:id="363" w:name="__RefHeading___Toc3818485_581953129"/>
      <w:bookmarkStart w:id="364" w:name="_Toc145"/>
      <w:bookmarkEnd w:id="363"/>
      <w:r>
        <w:rPr>
          <w:rtl w:val="true"/>
        </w:rPr>
        <w:t>القرن الثامن</w:t>
      </w:r>
      <w:bookmarkEnd w:id="3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التبیان فی أحکام القرآن، علی بن الحسین بن عبدالعزیز ابن أبی الأحوص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آیات الأحکام، السیّد یحیی بن حمزة بن علی الحسینی الزیدی الیمانی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الأنوار المضیئة علی آیات الأحکام، السیّد محمّد بن هادی بن تاج الدین، زیدی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آیات الأحکام، محمّد بن أبی بکر الدمشقی الزرعی المعروف بابن القیّم الجوزیة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الوجیز فی أحکام الکتاب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أحمد بن یوسف بن عبدالدایم الحلبی المعروف بسمین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أحکام القرآن،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أحمد بن مسعود السرّاج القونوی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الهدایة فی بیان خمسمئة الآیة، فخر الدین أحمد بن عبد الله بن محمد بن متوّج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النهایة فی تفسیر الخمسمئة آیة فی أحکام القرآن، فخر الدین أحمد بن عبد الله بن محمد بن متوّج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ولعلّه هو الکتاب المتقدّم نفسه إلّا أنّه وقع تصحیف فی اسم الکتاب</w:t>
      </w:r>
      <w:r>
        <w:rPr>
          <w:rFonts w:eastAsia="IRNazanin" w:cs="IRNazanin"/>
          <w:color w:val="111111"/>
          <w:sz w:val="28"/>
          <w:szCs w:val="28"/>
          <w:rtl w:val="true"/>
          <w:lang w:bidi="fa-IR"/>
        </w:rPr>
        <w:t>.</w:t>
      </w:r>
      <w:bookmarkStart w:id="365" w:name="pg5707_46593"/>
    </w:p>
    <w:p>
      <w:pPr>
        <w:pStyle w:val="BookText"/>
        <w:rPr/>
      </w:pPr>
      <w:bookmarkEnd w:id="36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أحکام الرای من أحکام الآی، شمس الدین محمّد بن عبد الرحمن، ابن الصائغ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حنبلی</w:t>
      </w:r>
      <w:r>
        <w:rPr>
          <w:rFonts w:eastAsia="IRNazanin" w:cs="IRNazanin"/>
          <w:color w:val="111111"/>
          <w:sz w:val="28"/>
          <w:szCs w:val="28"/>
          <w:rtl w:val="true"/>
          <w:lang w:bidi="fa-IR"/>
        </w:rPr>
        <w:t>.</w:t>
      </w:r>
    </w:p>
    <w:p>
      <w:pPr>
        <w:pStyle w:val="Heading4"/>
        <w:numPr>
          <w:ilvl w:val="3"/>
          <w:numId w:val="1"/>
        </w:numPr>
        <w:rPr/>
      </w:pPr>
      <w:bookmarkStart w:id="366" w:name="__RefHeading___Toc3818487_581953129"/>
      <w:bookmarkStart w:id="367" w:name="_Toc146"/>
      <w:bookmarkEnd w:id="366"/>
      <w:r>
        <w:rPr>
          <w:rtl w:val="true"/>
        </w:rPr>
        <w:t>القرن التاسع</w:t>
      </w:r>
      <w:bookmarkEnd w:id="3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الأحکام، ناصر بن أحمد بن عبد الله بن متوّج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تیسیر البیان فی أحکام القرآن، محمّد بن علی بن عبد الله الخطیب نور الدین بن علی الموزعی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العرفان فی فقه القرآن، الفاضل المقداد بن عبد الله السیوری الأسدی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الثمرات الیانعة والأحکام الواضحة القاطعة، یوسف بن أحمد بن محمد نجم الدین الثلاثی الیمانی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الأحکام، أحمد المهدی لدین الله بن یحیی الحسینی الیمانی الصنعائی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حصر آیات الأحکام الشرعیة، محمّد بن إبراهیم بن علی </w:t>
      </w:r>
      <w:r>
        <w:rPr>
          <w:rFonts w:eastAsia="IRNazanin" w:cs="IRNazanin"/>
          <w:color w:val="111111"/>
          <w:sz w:val="28"/>
          <w:szCs w:val="28"/>
          <w:rtl w:val="true"/>
          <w:lang w:bidi="fa-IR"/>
        </w:rPr>
        <w:t>(</w:t>
      </w:r>
      <w:r>
        <w:rPr>
          <w:rFonts w:eastAsia="IRNazanin" w:cs="IRNazanin"/>
          <w:color w:val="111111"/>
          <w:sz w:val="28"/>
          <w:szCs w:val="28"/>
          <w:lang w:bidi="fa-IR"/>
        </w:rPr>
        <w:t>775</w:t>
      </w:r>
      <w:r>
        <w:rPr>
          <w:rFonts w:eastAsia="IRNazanin" w:cs="IRNazanin"/>
          <w:color w:val="111111"/>
          <w:sz w:val="28"/>
          <w:szCs w:val="28"/>
          <w:rtl w:val="true"/>
          <w:lang w:bidi="fa-IR"/>
        </w:rPr>
        <w:t xml:space="preserve"> - </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أحکام القرآن، أحمد بن علی، المعروف بابن حجر العسقلانی </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 xml:space="preserve"> -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العلیل 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خمسمئة آیة من 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آیات الأحکام أو شرح آیات الأحکام الفارقة بین الحلال والحرام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الله بن محمّد النجری الیمانی </w:t>
      </w:r>
      <w:r>
        <w:rPr>
          <w:rFonts w:eastAsia="IRNazanin" w:cs="IRNazanin"/>
          <w:color w:val="111111"/>
          <w:sz w:val="28"/>
          <w:szCs w:val="28"/>
          <w:rtl w:val="true"/>
          <w:lang w:bidi="fa-IR"/>
        </w:rPr>
        <w:t>(</w:t>
      </w:r>
      <w:r>
        <w:rPr>
          <w:rFonts w:eastAsia="IRNazanin" w:cs="IRNazanin"/>
          <w:color w:val="111111"/>
          <w:sz w:val="28"/>
          <w:szCs w:val="28"/>
          <w:lang w:bidi="fa-IR"/>
        </w:rPr>
        <w:t>825</w:t>
      </w:r>
      <w:r>
        <w:rPr>
          <w:rFonts w:eastAsia="IRNazanin" w:cs="IRNazanin"/>
          <w:color w:val="111111"/>
          <w:sz w:val="28"/>
          <w:szCs w:val="28"/>
          <w:rtl w:val="true"/>
          <w:lang w:bidi="fa-IR"/>
        </w:rPr>
        <w:t xml:space="preserve"> - </w:t>
      </w:r>
      <w:r>
        <w:rPr>
          <w:rFonts w:eastAsia="IRNazanin" w:cs="IRNazanin"/>
          <w:color w:val="111111"/>
          <w:sz w:val="28"/>
          <w:szCs w:val="28"/>
          <w:lang w:bidi="fa-IR"/>
        </w:rPr>
        <w:t>877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معارج السؤول ومدارج المأمول فی تفسیر الخمسمئة آیة من آیات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کمال الدین حسن بن شمس الدین محمّد الإسترآبادی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أواخر القرن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bookmarkStart w:id="368" w:name="pg5707_46594"/>
    </w:p>
    <w:p>
      <w:pPr>
        <w:pStyle w:val="Heading4"/>
        <w:numPr>
          <w:ilvl w:val="3"/>
          <w:numId w:val="1"/>
        </w:numPr>
        <w:rPr/>
      </w:pPr>
      <w:bookmarkStart w:id="369" w:name="__RefHeading___Toc3818489_581953129"/>
      <w:bookmarkStart w:id="370" w:name="_Toc147"/>
      <w:bookmarkEnd w:id="368"/>
      <w:bookmarkEnd w:id="369"/>
      <w:r>
        <w:rPr>
          <w:rtl w:val="true"/>
        </w:rPr>
        <w:t>القرن العاشر</w:t>
      </w:r>
      <w:bookmarkEnd w:id="3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آیات الأحکام، شرف الدین علی بن محمّد الشهفتیکی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الشهفنیکی أو الشیفتکی أو الشیفنکی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الأکلیل فی استنباط التنزیل، عبدالرحمن جلال الدین السیوطی </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معدن العرفان فی فقه مجمع البیان لعلوم القرآن، إبراهیم بن حسن الدرّاق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أوائل القرن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آیات الأحکام، محمّد بن یحیی الصعدی الیمانی </w:t>
      </w:r>
      <w:r>
        <w:rPr>
          <w:rFonts w:eastAsia="IRNazanin" w:cs="IRNazanin"/>
          <w:color w:val="111111"/>
          <w:sz w:val="28"/>
          <w:szCs w:val="28"/>
          <w:rtl w:val="true"/>
          <w:lang w:bidi="fa-IR"/>
        </w:rPr>
        <w:t>(</w:t>
      </w:r>
      <w:r>
        <w:rPr>
          <w:rFonts w:eastAsia="IRNazanin" w:cs="IRNazanin"/>
          <w:color w:val="111111"/>
          <w:sz w:val="28"/>
          <w:szCs w:val="28"/>
          <w:lang w:bidi="fa-IR"/>
        </w:rPr>
        <w:t>957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السیّد أمیر أبو الفتح بن أمیر الحسینی الشریفی الجرجانی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الأحکام، محمّد بن الحسن الطبسی، 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زبدة البیان فی شرح آیات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القرآن أو تفسیر آیات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أحمد بن محمّد، المعروف بالمقدّس الأردبیلی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الأحکام، شجاع 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الحسینی المرعشی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حوالی </w:t>
      </w:r>
      <w:r>
        <w:rPr>
          <w:rFonts w:eastAsia="IRNazanin" w:cs="IRNazanin"/>
          <w:color w:val="111111"/>
          <w:sz w:val="28"/>
          <w:szCs w:val="28"/>
          <w:lang w:bidi="fa-IR"/>
        </w:rPr>
        <w:t>900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p>
    <w:p>
      <w:pPr>
        <w:pStyle w:val="Heading4"/>
        <w:numPr>
          <w:ilvl w:val="3"/>
          <w:numId w:val="1"/>
        </w:numPr>
        <w:rPr/>
      </w:pPr>
      <w:bookmarkStart w:id="371" w:name="__RefHeading___Toc3818491_581953129"/>
      <w:bookmarkStart w:id="372" w:name="_Toc148"/>
      <w:bookmarkEnd w:id="371"/>
      <w:r>
        <w:rPr>
          <w:rtl w:val="true"/>
        </w:rPr>
        <w:t>القرن الحادی عشر</w:t>
      </w:r>
      <w:bookmarkEnd w:id="3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القرآن فی أحکام القرآن، محمّد کافی بن حسن البسندی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البوسنوی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الاقحصاری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مشرق الشمسین وإکسیر السعادتین، بهاء الدین محمّد بن الحسین بن عبد الصمد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یخرج منه إلّا باب الطهارة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مسالک الأفهام إلی آیات الأحکام، الفاضل الجواد الکاظمی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 أواسط القرن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bookmarkStart w:id="373" w:name="pg5707_46595"/>
    </w:p>
    <w:p>
      <w:pPr>
        <w:pStyle w:val="BookText"/>
        <w:rPr/>
      </w:pPr>
      <w:bookmarkEnd w:id="37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تفسیرأو شرح آیات الأحکام، محمّد بن علی بن إبراهیم الإسترآبادی المعروف بالمیرزا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آیات الأحکام، رفیع الدین محمّد الحسینی المرعشی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1034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قطب شاهی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الأحکام، المولی محمّد الیزدی المعروف بشاه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عبدالمحمّد بن سلطان علی بن فتح الله بدخشی، ألّف فی سنة </w:t>
      </w: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المرام فی شرح آیات الأحکام، محمّد بن الحسین الإمام القاسم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أبواب الجنان فی تفسیر آیات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الحسین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الأحکام الفقهیة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المولی ملک علی التونی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التألیف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الإحکام فی شرح آیات الأحکام، محمد سعید بن سراج الدین الطباطبائی القهپائی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 والظاهر أنّه شرح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البیان</w:t>
      </w:r>
      <w:r>
        <w:rPr>
          <w:rFonts w:eastAsia="IRNazanin" w:cs="IRNazanin"/>
          <w:color w:val="111111"/>
          <w:sz w:val="28"/>
          <w:szCs w:val="28"/>
          <w:rtl w:val="true"/>
          <w:lang w:bidi="fa-IR"/>
        </w:rPr>
        <w:t>).</w:t>
      </w:r>
    </w:p>
    <w:p>
      <w:pPr>
        <w:pStyle w:val="Heading4"/>
        <w:numPr>
          <w:ilvl w:val="3"/>
          <w:numId w:val="1"/>
        </w:numPr>
        <w:rPr/>
      </w:pPr>
      <w:bookmarkStart w:id="374" w:name="__RefHeading___Toc3818493_581953129"/>
      <w:bookmarkStart w:id="375" w:name="_Toc149"/>
      <w:bookmarkEnd w:id="374"/>
      <w:r>
        <w:rPr>
          <w:rtl w:val="true"/>
        </w:rPr>
        <w:t>القرن الثانی عشر</w:t>
      </w:r>
      <w:bookmarkEnd w:id="3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أحکام القرآن، آقای حسین الخوانساری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أنوار القرآن فی 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محمّد شمس الدین أبو بکر الهروی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حواشی زبدة البیان، السید نعمة الله الموسوی الجزائری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المتعة فی شرح الزبدة، السیّد میرزا خالد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تعلیقة علی زبدة البیان، للأمیر فیض الله التفرشی، تلمیذ المحقّق الأردبیلی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تعلیقة علی زبدة البیان، السیّد میر فضل الله الإسترآبادی، تلمیذ المحقّق الأردبیلی أو المیرداماد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أحکام القرآن، الشیخ جعفر القاضی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أحکام القرآن، أبو الحسن شمس الدین سلیمان بن عبد الله البحرانی، المعروف بالمحقّق الماحوزی </w:t>
      </w:r>
      <w:r>
        <w:rPr>
          <w:rFonts w:eastAsia="IRNazanin" w:cs="IRNazanin"/>
          <w:color w:val="111111"/>
          <w:sz w:val="28"/>
          <w:szCs w:val="28"/>
          <w:rtl w:val="true"/>
          <w:lang w:bidi="fa-IR"/>
        </w:rPr>
        <w:t>(</w:t>
      </w:r>
      <w:r>
        <w:rPr>
          <w:rFonts w:eastAsia="IRNazanin" w:cs="IRNazanin"/>
          <w:color w:val="111111"/>
          <w:sz w:val="28"/>
          <w:szCs w:val="28"/>
          <w:lang w:bidi="fa-IR"/>
        </w:rPr>
        <w:t>1075</w:t>
      </w:r>
      <w:r>
        <w:rPr>
          <w:rFonts w:eastAsia="IRNazanin" w:cs="IRNazanin"/>
          <w:color w:val="111111"/>
          <w:sz w:val="28"/>
          <w:szCs w:val="28"/>
          <w:rtl w:val="true"/>
          <w:lang w:bidi="fa-IR"/>
        </w:rPr>
        <w:t xml:space="preserve"> -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علی زبدة البیان فی تفسیر أحکام القرآن، المیرزا محمّد التنکابنی المعروف بسراب التنکابنی </w:t>
      </w:r>
      <w:r>
        <w:rPr>
          <w:rFonts w:eastAsia="IRNazanin" w:cs="IRNazanin"/>
          <w:color w:val="111111"/>
          <w:sz w:val="28"/>
          <w:szCs w:val="28"/>
          <w:rtl w:val="true"/>
          <w:lang w:bidi="fa-IR"/>
        </w:rPr>
        <w:t>(</w:t>
      </w:r>
      <w:r>
        <w:rPr>
          <w:rFonts w:eastAsia="IRNazanin" w:cs="IRNazanin"/>
          <w:color w:val="111111"/>
          <w:sz w:val="28"/>
          <w:szCs w:val="28"/>
          <w:lang w:bidi="fa-IR"/>
        </w:rPr>
        <w:t>1040</w:t>
      </w:r>
      <w:r>
        <w:rPr>
          <w:rFonts w:eastAsia="IRNazanin" w:cs="IRNazanin"/>
          <w:color w:val="111111"/>
          <w:sz w:val="28"/>
          <w:szCs w:val="28"/>
          <w:rtl w:val="true"/>
          <w:lang w:bidi="fa-IR"/>
        </w:rPr>
        <w:t xml:space="preserve"> -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أحکام القرآن، إسماعیل حقّی البروسوی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 صاحب تفسیر روح البیان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التفسیرات الأحمدیة فی بیان الأحکام الشرعیة، أحمد بن سعید ملّاجیحون الجونفوری </w:t>
      </w:r>
      <w:r>
        <w:rPr>
          <w:rFonts w:eastAsia="IRNazanin" w:cs="IRNazanin"/>
          <w:color w:val="111111"/>
          <w:sz w:val="28"/>
          <w:szCs w:val="28"/>
          <w:rtl w:val="true"/>
          <w:lang w:bidi="fa-IR"/>
        </w:rPr>
        <w:t>(</w:t>
      </w:r>
      <w:r>
        <w:rPr>
          <w:rFonts w:eastAsia="IRNazanin" w:cs="IRNazanin"/>
          <w:color w:val="111111"/>
          <w:sz w:val="28"/>
          <w:szCs w:val="28"/>
          <w:lang w:bidi="fa-IR"/>
        </w:rPr>
        <w:t>1047</w:t>
      </w:r>
      <w:r>
        <w:rPr>
          <w:rFonts w:eastAsia="IRNazanin" w:cs="IRNazanin"/>
          <w:color w:val="111111"/>
          <w:sz w:val="28"/>
          <w:szCs w:val="28"/>
          <w:rtl w:val="true"/>
          <w:lang w:bidi="fa-IR"/>
        </w:rPr>
        <w:t xml:space="preserve"> -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أحکام القرآن، میر محمّد صالح بن عبدالواسع خاتون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التعلیقة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الافهام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لصاحب ریاض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إیناس سلطان المؤمنین باقتباس علوم الدین عن النبراس المعجز المبین فی تفسیر الآیات التی هی الأحکام الأصلیة والفرعیة، السیّد محمّد بن علی بن حیدر الموسوی العاملی الکرکی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تحصیل الاطمینان فی شرح زبدة البیان فی تفسیر آیات الأحکام من القرآن، میر محمد إبراهیم بن الأمیر محمد وعصوم الحسینی التبریزی القزوینی، المعروف بمیر إبراهیما </w:t>
      </w:r>
      <w:r>
        <w:rPr>
          <w:rFonts w:eastAsia="IRNazanin" w:cs="IRNazanin"/>
          <w:color w:val="111111"/>
          <w:sz w:val="28"/>
          <w:szCs w:val="28"/>
          <w:rtl w:val="true"/>
          <w:lang w:bidi="fa-IR"/>
        </w:rPr>
        <w:t>(</w:t>
      </w:r>
      <w:r>
        <w:rPr>
          <w:rFonts w:eastAsia="IRNazanin" w:cs="IRNazanin"/>
          <w:color w:val="111111"/>
          <w:sz w:val="28"/>
          <w:szCs w:val="28"/>
          <w:lang w:bidi="fa-IR"/>
        </w:rPr>
        <w:t>1069</w:t>
      </w:r>
      <w:r>
        <w:rPr>
          <w:rFonts w:eastAsia="IRNazanin" w:cs="IRNazanin"/>
          <w:color w:val="111111"/>
          <w:sz w:val="28"/>
          <w:szCs w:val="28"/>
          <w:rtl w:val="true"/>
          <w:lang w:bidi="fa-IR"/>
        </w:rPr>
        <w:t xml:space="preserve"> - </w:t>
      </w:r>
      <w:r>
        <w:rPr>
          <w:rFonts w:eastAsia="IRNazanin" w:cs="IRNazanin"/>
          <w:color w:val="111111"/>
          <w:sz w:val="28"/>
          <w:szCs w:val="28"/>
          <w:lang w:bidi="fa-IR"/>
        </w:rPr>
        <w:t>1149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bookmarkStart w:id="376" w:name="pg5707_46597"/>
    </w:p>
    <w:p>
      <w:pPr>
        <w:pStyle w:val="BookText"/>
        <w:rPr/>
      </w:pPr>
      <w:bookmarkEnd w:id="37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قلائد الدرر فی بیان آیات الأحکام بالأثر، أحمد بن إسماعیل الجزائری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الأحکام، السیّد حسین بن المیر إبراهیم الحسینی القزوینی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الأحکام، السیّد شمس الدین محمد الحسینی المرعشی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مدارک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الله البلخی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الأحکام، المولی محمّد کاظم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تعلیقة علی زبدة البیان، بهاء الدین محمّد بن محمّد باقر الحسینی النائینی المختاری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1130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تعلیقة علی زبدة البیان، المولی إسماعیل بن محمّد حسین الخواجوئی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تعلیقة علی زبدة البیان، محمّد رفیع الجیلانی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فی القرن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تعلیقة علی زبدة البیان، المولی خلیل</w:t>
      </w:r>
      <w:r>
        <w:rPr>
          <w:rFonts w:eastAsia="IRNazanin" w:cs="IRNazanin"/>
          <w:color w:val="111111"/>
          <w:sz w:val="28"/>
          <w:szCs w:val="28"/>
          <w:rtl w:val="true"/>
          <w:lang w:bidi="fa-IR"/>
        </w:rPr>
        <w:t>.</w:t>
      </w:r>
    </w:p>
    <w:p>
      <w:pPr>
        <w:pStyle w:val="Heading4"/>
        <w:numPr>
          <w:ilvl w:val="3"/>
          <w:numId w:val="1"/>
        </w:numPr>
        <w:rPr/>
      </w:pPr>
      <w:bookmarkStart w:id="377" w:name="__RefHeading___Toc3818495_581953129"/>
      <w:bookmarkStart w:id="378" w:name="_Toc150"/>
      <w:bookmarkEnd w:id="377"/>
      <w:r>
        <w:rPr>
          <w:rtl w:val="true"/>
        </w:rPr>
        <w:t>القرن الثالث عشر</w:t>
      </w:r>
      <w:bookmarkEnd w:id="3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نمط الدرر، محمّد بن الحسن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الأحکام، السیّد محمّد ابراهیم الحسینی المرعشی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تقریب الأفهام فی تفسیر آیات الأحکام، السیّد محمّد علی قلی بن محمّد حسین الموسوی النیشابوری الکنتوری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المرام فی تفسیر آیات الأحکام، محمّد بن جعفر بن سیف الدین الإسترآبادی، المعروف بشریعتمدار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 أحکام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أحکام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الله أبو محمّد الحسینی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w:t>
      </w:r>
      <w:r>
        <w:rPr>
          <w:rFonts w:eastAsia="IRNazanin" w:cs="IRNazanin"/>
          <w:color w:val="111111"/>
          <w:sz w:val="28"/>
          <w:szCs w:val="28"/>
          <w:rtl w:val="true"/>
          <w:lang w:bidi="fa-IR"/>
        </w:rPr>
        <w:t>.</w:t>
      </w:r>
      <w:bookmarkStart w:id="379" w:name="pg5707_46598"/>
    </w:p>
    <w:p>
      <w:pPr>
        <w:pStyle w:val="BookText"/>
        <w:rPr/>
      </w:pPr>
      <w:bookmarkEnd w:id="379"/>
      <w:r>
        <w:rPr>
          <w:rFonts w:ascii="IRNazanin" w:hAnsi="IRNazanin" w:eastAsia="IRNazanin"/>
          <w:color w:val="111111"/>
          <w:sz w:val="28"/>
          <w:sz w:val="28"/>
          <w:szCs w:val="28"/>
          <w:rtl w:val="true"/>
          <w:lang w:bidi="fa-IR"/>
        </w:rPr>
        <w:t xml:space="preserve">الوجیز فی تفسیر آیات الأحکام، عبدالحسین بن إبراهیم المخزومی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p>
    <w:p>
      <w:pPr>
        <w:pStyle w:val="Heading4"/>
        <w:numPr>
          <w:ilvl w:val="3"/>
          <w:numId w:val="1"/>
        </w:numPr>
        <w:rPr/>
      </w:pPr>
      <w:bookmarkStart w:id="380" w:name="__RefHeading___Toc3818497_581953129"/>
      <w:bookmarkStart w:id="381" w:name="_Toc151"/>
      <w:bookmarkEnd w:id="380"/>
      <w:r>
        <w:rPr>
          <w:rtl w:val="true"/>
        </w:rPr>
        <w:t>القرن الرابع عشر وما بعده</w:t>
      </w:r>
      <w:bookmarkEnd w:id="3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منار الإسلام فی شرح آیات الأحکام، أحمد زینی دحلان الحسینی، مفتی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نیل المرام 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الأحکام، محمّد صدّیق حسن خان ملک </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xml:space="preserve"> -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نثر الدرر الأیتام فی شرح آیات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الإسترآبادی الشریعتمداری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الدرر الأیتام، للإسترآبادی المتقدّم،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مستخرج من نثر الدرر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أحکام القرآن، السیّد شرف الدین علی الحسینی المرعشی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الفتوحات الربانیة فی تفسیر ما ورد فی القرآن من الأوامر والنواهی الإلهیة،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بن عمر راسم بن حسن الکریدی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 الألباب فی تفسیر أحکام الکتاب، عبد علی بن أبی القاسم جعفر بن السیّد المهدی الموسوی الخوانساری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أو </w:t>
      </w:r>
      <w:r>
        <w:rPr>
          <w:rFonts w:eastAsia="IRNazanin" w:cs="IRNazanin"/>
          <w:color w:val="111111"/>
          <w:sz w:val="28"/>
          <w:szCs w:val="28"/>
          <w:lang w:bidi="fa-IR"/>
        </w:rPr>
        <w:t>1346</w:t>
      </w:r>
      <w:r>
        <w:rPr>
          <w:rFonts w:eastAsia="IRNazanin" w:cs="IRNazanin"/>
          <w:color w:val="111111"/>
          <w:sz w:val="28"/>
          <w:szCs w:val="28"/>
          <w:rtl w:val="true"/>
          <w:lang w:bidi="fa-IR"/>
        </w:rPr>
        <w:t xml:space="preserve"> -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الأحکام، محمّد علی المشهور بالشیخ حمزة علی </w:t>
      </w: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 xml:space="preserve"> -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مقلاد الرشاد فی شرح آیات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توضیح آیات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فضل الله الموسوی الساروی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موضّح الأحکام فی شرح آیات الأحکام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مقلاد الرشاد فی شرح آیات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مهدی البنائی المراغی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الأحکام، إسماعیل بن نقی الاُرومی التبریزی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الأحکام، محمّد باقر بن محمّد حسن القائینی البیرجندی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آیات الأحکام من سورة النساء، محمّد بن محمّد الخانجی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آیات الأحکام، یحیی بن محمّد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الأحکام، السیّد محمّد إبراهیم الحسینی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آیات الأحکام، محمّد عبد الله دراز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المحاکمات والمسؤولیة الجنائیة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إبراهیم خجسته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الأحکام، الشیخ خلف آل عصفور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أواخر القرن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الجمان الحسان فی أحکام القرآن، السیّد محمود بن مهدی الموسوی الدهسرخی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الأحکام، العلّامة القاضی حسین بن العمری الیمانی الصنعائی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الفتاوی، محمود شلتوت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آیات الأحکام وفق المذهب الجعفری والمذاهب الأربعة، السیّد محمّد حسین الطباطبائی الیزدی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الأحکام، السیّد یحیی الیزدی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معارف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منتخب من معارف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الأحکام تفسیر معارف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شفیع الدیوبندی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دفع إیهام الاضطراب عن آیات الأحکام، محمّد أمین بن مختار الجکنی الشنقیطی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أضواء البیان فی إیضاح القرآن بالقرآن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بدائع الکلام فی تفسیر آیات الأحکام، محمّد باقر الملکی المیانجی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أدوار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محمود الشهابی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الأحکام، أحمد المیرخانی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أحکام القرآن، محمّد الخزائلی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الولادة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أحکام القرآن، السیّد أبوالفضل البرقعی، 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تبصرة الفقهاء بین الکتاب والسنّة، محمّد الصادقی الطهرانی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الولادة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أقصی البیان فی آیات الأحکام وفقه القرآن، مسعود السلطانی، 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آیات الأحکام، مناع القطّان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آیات الأحکام من سورتی الأنعام والأعراف، فرید مصطفی سلمان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الدین والقرآن، زین العابدین التونسی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روائع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آیات الأحکام من القرآن، محمّد علی الصابونی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أحکام من القرآن، عبد الجبّار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آیات الأحکام، محمّد علی السایس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لعلوم القرآن، الشیخ موسی الشیخ جعفر السودانی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من الجزء الثانی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آیات الأحکام، أحمد محمّد الحصری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القرآن فی آیات الأحکام، محمود عبد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الإرث والربا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باقر بهبودی، 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ترجمة وتلخیص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السیّد جعفر السجادی، 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قبس من التفسیر الفقهی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فی بعض آیات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الشافعی عبد الرحمن السیّد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دراسات فی تفسیر بعض آیات الأحکام، کمال جودة أبو المعاطی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غلام رضا الأمیری الجروسی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القرآن وخصائصه، فرج توفیق الولید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أحکام القرآن، محمّد بن أحمد عبد الله خویز، مالکی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أحکام القرآن علی مذهب المالکیة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الإیضاح عن أحکام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فی بیان أدلّة الأحکام، عزّ الدین عبد السلام السلمی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أهل البیت وآیات الأحکام، إعداد قاضی الزاهدی والبخشایشی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الأحکام، هاشم هاشم زاده المهریسی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الأحکام والتشریع فی الإسلام، محمود فرحات، 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القرآن، محمد الیزدی، 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جامع آیات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زین العابدین القربانی اللاهیجی، 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فی آیات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محمدهادی آل راضی، 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دروس تمهیدیة فی تفسیر آیات الأحکام، باقر الإیروانی، 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الأحکام، کاظم مدیر شانه‌جی، 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الأحکام، عمید زنجانی، 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الأحکام، محمّد رضا العبائی الکرمانی، 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فاکر المیبدی، 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آیات الأحکام، مصطفی البغا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الأحکام،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الدین 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الحقوق المدنیة والجزائیة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خلیل القِبلَئی الخوئی، شیعی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الحقوقیة والجزائیة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 القاسم الجرجی، شیعی</w:t>
      </w:r>
      <w:bookmarkStart w:id="382" w:name="pg5707_46604"/>
    </w:p>
    <w:p>
      <w:pPr>
        <w:pStyle w:val="Heading3"/>
        <w:numPr>
          <w:ilvl w:val="2"/>
          <w:numId w:val="1"/>
        </w:numPr>
        <w:rPr/>
      </w:pPr>
      <w:bookmarkStart w:id="383" w:name="__RefHeading___Toc3818499_581953129"/>
      <w:bookmarkStart w:id="384" w:name="_Toc152"/>
      <w:bookmarkEnd w:id="382"/>
      <w:bookmarkEnd w:id="383"/>
      <w:r>
        <w:rPr>
          <w:rtl w:val="true"/>
        </w:rPr>
        <w:t xml:space="preserve">ملحق </w:t>
      </w:r>
      <w:r>
        <w:rPr/>
        <w:t>2</w:t>
      </w:r>
      <w:r>
        <w:rPr>
          <w:rtl w:val="true"/>
        </w:rPr>
        <w:t>:</w:t>
      </w:r>
      <w:r>
        <w:rPr>
          <w:rtl w:val="true"/>
        </w:rPr>
        <w:t>نماذج من أهمّ التفاسیر ذات الاتجاه الفقهی</w:t>
      </w:r>
      <w:bookmarkEnd w:id="384"/>
    </w:p>
    <w:p>
      <w:pPr>
        <w:pStyle w:val="BookText"/>
        <w:rPr/>
      </w:pPr>
      <w:r>
        <w:rPr>
          <w:rFonts w:ascii="IRNazanin" w:hAnsi="IRNazanin" w:eastAsia="IRNazanin"/>
          <w:color w:val="111111"/>
          <w:sz w:val="28"/>
          <w:sz w:val="28"/>
          <w:szCs w:val="28"/>
          <w:rtl w:val="true"/>
          <w:lang w:bidi="fa-IR"/>
        </w:rPr>
        <w:t xml:space="preserve">تفسیر القرآن العظیم، أبو الفداء إسماعیل 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 الجنان وروح البیان فی تفسیر القرآن، حسن بن علی الخزاعی النیشابوری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البروجردی، السیّد إبراهیم البروجردی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التبیان فی تفسیر القرآن، شیخ الطائفة أبو جعفر محمّد بن الحسن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البحر المحیط، محمّد بن یوسف الأندلسی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المعانی فی تفسیر القرآن، شهاب الدین محمود الآلوسی </w:t>
      </w:r>
      <w:r>
        <w:rPr>
          <w:rFonts w:eastAsia="IRNazanin" w:cs="IRNazanin"/>
          <w:color w:val="111111"/>
          <w:sz w:val="28"/>
          <w:szCs w:val="28"/>
          <w:rtl w:val="true"/>
          <w:lang w:bidi="fa-IR"/>
        </w:rPr>
        <w:t>(</w:t>
      </w:r>
      <w:r>
        <w:rPr>
          <w:rFonts w:eastAsia="IRNazanin" w:cs="IRNazanin"/>
          <w:color w:val="111111"/>
          <w:sz w:val="28"/>
          <w:szCs w:val="28"/>
          <w:lang w:bidi="fa-IR"/>
        </w:rPr>
        <w:t>1217</w:t>
      </w:r>
      <w:r>
        <w:rPr>
          <w:rFonts w:eastAsia="IRNazanin" w:cs="IRNazanin"/>
          <w:color w:val="111111"/>
          <w:sz w:val="28"/>
          <w:szCs w:val="28"/>
          <w:rtl w:val="true"/>
          <w:lang w:bidi="fa-IR"/>
        </w:rPr>
        <w:t xml:space="preserve"> -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 القدیر، الشوکانی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385" w:name="pg5707_46606"/>
    </w:p>
    <w:p>
      <w:pPr>
        <w:pStyle w:val="Heading3"/>
        <w:numPr>
          <w:ilvl w:val="2"/>
          <w:numId w:val="1"/>
        </w:numPr>
        <w:rPr/>
      </w:pPr>
      <w:bookmarkStart w:id="386" w:name="__RefHeading___Toc3818501_581953129"/>
      <w:bookmarkStart w:id="387" w:name="_Toc153"/>
      <w:bookmarkEnd w:id="385"/>
      <w:bookmarkEnd w:id="386"/>
      <w:r>
        <w:rPr>
          <w:rtl w:val="true"/>
        </w:rPr>
        <w:t xml:space="preserve">ملحق </w:t>
      </w:r>
      <w:r>
        <w:rPr/>
        <w:t>3</w:t>
      </w:r>
      <w:r>
        <w:rPr>
          <w:rtl w:val="true"/>
        </w:rPr>
        <w:t>:</w:t>
      </w:r>
      <w:r>
        <w:rPr>
          <w:rtl w:val="true"/>
        </w:rPr>
        <w:t>فهرس بروایات کتاب وسائل الشیعة المتضمّنة لآیات الأحکام</w:t>
      </w:r>
      <w:bookmarkEnd w:id="387"/>
    </w:p>
    <w:p>
      <w:pPr>
        <w:pStyle w:val="Heading4"/>
        <w:numPr>
          <w:ilvl w:val="3"/>
          <w:numId w:val="1"/>
        </w:numPr>
        <w:rPr/>
      </w:pPr>
      <w:bookmarkStart w:id="388" w:name="__RefHeading___Toc3818503_581953129"/>
      <w:bookmarkStart w:id="389" w:name="_Toc154"/>
      <w:bookmarkEnd w:id="388"/>
      <w:r>
        <w:rPr>
          <w:rtl w:val="true"/>
        </w:rPr>
        <w:t>مرتّب بحسب ترتیب مجلّدات الکتاب</w:t>
      </w:r>
      <w:bookmarkEnd w:id="389"/>
    </w:p>
    <w:p>
      <w:pPr>
        <w:pStyle w:val="BookText"/>
        <w:rPr/>
      </w:pPr>
      <w:r>
        <w:rPr>
          <w:rFonts w:ascii="Amiri" w:hAnsi="Amiri" w:eastAsia="Amiri" w:cs="Amiri"/>
          <w:color w:val="111111"/>
          <w:sz w:val="28"/>
          <w:sz w:val="28"/>
          <w:szCs w:val="28"/>
          <w:rtl w:val="true"/>
          <w:lang w:bidi="ar-SA"/>
        </w:rPr>
        <w:t>المجلّد الأوّل</w:t>
      </w:r>
    </w:p>
    <w:p>
      <w:pPr>
        <w:pStyle w:val="BookText"/>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مقدّمة العبادات، ح</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مقدّمة العبادات،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مقدّمة‌العبادات،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مقدّمة العبادات، 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مقدّمة العبادات، 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المطفّفین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السجدة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مقدّمة العبادات، 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مقدّمة العبادات،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مقدّمة العبادات،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مقدّمة العبادات، 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مقدّمة العبادات،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مقدّمة العبادات،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مقدّمة العبادات،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مقدّمة العبادات،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مقدّمة العبادات،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مقدّمة العبادات،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مقدّمة العبادات، 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مقدّمة العبادات،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مقدّمة العبادات،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مقدّمة العبادات،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مقدّمة العبادات،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مقدّمة العبادات،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مقدّمة العبادات،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مقدّمة العبادات، 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مقدّمة العبادات،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مقدّمة العبادات،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الزلزال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مقدّمة العبادات، 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مقدّمة العبادات، 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الماء المطلق،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الماء المطلق، 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الماء المطلق، 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الماء المضاف،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الماء المضاف،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نواقض الوضوء،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نواقض الوضوء،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نواقض الوضوء،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أحکام الخلوة،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أحکام الخلوة،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أحکام الخلوة،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أحکام الخلوة،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أحکام الخلوة،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أحکام الخلوة،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أحکام الخلوة،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الوضوء،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الوضوء،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الوضوء،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الوضوء، ح</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الوضوء،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الوضوء،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الوضوء، 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الوضوء، ح</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الوضوء،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الوضوء، 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الوضوء،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الوضوء،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الوضوء،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المجلّد الثانی</w:t>
      </w:r>
    </w:p>
    <w:p>
      <w:pPr>
        <w:pStyle w:val="BookText"/>
        <w:rPr/>
      </w:pP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آداب الحمام،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آداب الحمام،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آداب الحمام،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آداب الحمام،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آداب الحمام،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آداب الحمام،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آداب الحمام،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آداب الحمام،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آداب الحمام،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آداب الحمام،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آداب الحمام،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الجنابة، ح</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الجنابة، 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الجنابة، 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الجنابة،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الحیض،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الحیض، 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الثالث</w:t>
      </w:r>
    </w:p>
    <w:p>
      <w:pPr>
        <w:pStyle w:val="BookText"/>
        <w:rPr/>
      </w:pP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الدفن،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الدفن،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الدفن،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الأغسال المسنونة،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التیمم،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التیمم، 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التیمم،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التیمم،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التیمم،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التیمم،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المجلّدالرابع</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أعداد الفرائض،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أعداد الفرائض،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أعداد الفرائض،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أعداد الفرائض،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أعداد الفرائض،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أعداد الفرائض،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أعداد الفرائض، 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أعداد الفرائض،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أعداد الفرائض،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أعداد الفرائض،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الماعون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أعداد الفرائض،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المعارج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أعداد الفرائض،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أعداد الفرائض،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طه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أعداد الفرائض،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أعداد الفرائض، ح</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أعداد الفرائض، ح</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أعداد الفرائض، ح</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أعداد الفرائض،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أعداد الفرائض،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أعداد الفرائض،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طه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الطور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أعداد الفرائض، 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أعداد الفرائض،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أعداد الفرائض،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أعداد الفرائض،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المواقیت، ح</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الماعون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المواقیت، ح</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الماعون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المواقیت، ح</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الماعون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المواقیت،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المواقیت، ح</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الماعون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المواقیت،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المواقیت،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المواقیت،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المواقیت،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المواقیت،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المواقیت، 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المواقیت، 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المواقیت،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المواقیت،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المواقیت،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المواقیت،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المواقیت، 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المواقیت،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المواقیت،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المواقیت، 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المواقیت،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المواقیت،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المواقیت،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القبلة،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القبلة،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القبلة،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القبلة،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القبلة،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القبلة،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القبلة، 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القبلة، 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القبلة،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القبلة،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القبلة،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القبلة،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القبلة،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القبلة، 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القبلة،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القبلة، 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القبلة، 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القبلة، ح</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القبلة،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لباس المصلّی،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لباس المصلّی،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لباس المصلّی،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لباس المصلّی، 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لباس المصلّی،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لباس المصلّی،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الخامس</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أحکام الملابس،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أحکام الملابس،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أحکام الملابس،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أحکام الملابس،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أحکام الملابس،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أحکام الملابس، 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أحکام الملابس،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أحکام الملابس،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أحکام الملابس، 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أحکام الملابس،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أحکام الملابس،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أحکام الملابس،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أحکام الملابس،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أحکام الملابس، 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أحکام الملابس، 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أحکام الملابس، 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أحکام الملابس،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أحکام الملابس،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أحکام الملابس،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أحکام الملابس،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الضحی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أحکام الملابس،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مکان المصلّی، 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مکان المصلّی،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أحکام المساجد،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أحکام المساجد،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أحکام المساجد،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أحکام المساکن،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أحکام المساکن،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أفعال الصلاة،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أفعال الصلاة،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أفعال الصلاة،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القیام،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القیام، ح</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القیام،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الکوثر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القیام،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القیام،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السادس</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تکبیرة الإحرام والافتتاح،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الکوثر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تکبیرة الإحرام والافتتاح، 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الکوثر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تکبیرة الإحرام والافتتاح، ح</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الکوثر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تکبیرة الإحرام والافتتاح، 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الکوثر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تکبیرة الإحرام والافتتاح، ح</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الکوثر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القراءة فی الصلاة،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الفاتحة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القراءة فی الصلاة،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القراءة فی الصلاة،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القراءة فی الصلاة،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قراءة القرآن، 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قراءة القرآن،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قراءة القرآن،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قراءة القرآن،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قراءة القرآن،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قراءة القرآن،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قراءة القرآن،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قراءة القرآن،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قراءة القرآن، 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قراءة القرآن،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القنوت،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القنوت،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المزمّل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الرکوع،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الرکوع،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الرکوع،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الرکوع،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الواقعة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الحاقة</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الأعلی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الرکوع،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المزمّل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السجود، 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السجود،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السجود،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السجود،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العلق</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السجود،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السجود،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السجود،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التشهد،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الاعلی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التعقیب،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الانشراح</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التعقیب،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التعقیب،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التعقیب،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التعقیب،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التعقیب،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التعقیب،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التعقیب،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التعقیب،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التعقیب،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التعقیب، 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المجلّد السابع</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سجدتی الشکر،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الدعاء،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الدعاء،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الدعاء،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الدعاء،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الدعاء، ح</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الدعاء،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الدعاء،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الدعاء،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الدعاء،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الدعاء،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الدعاء،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المزمّل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الدعاء،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الدعاء،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الدعاء،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الدعاء،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الدعاء،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الدعاء،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الدعاء،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الدعاء،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الدعاء،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الدعاء،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الذکر،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الذکر،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المدّثر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الذکر، 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العنکبوت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الذکر،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الذکر،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الذکر، 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الذکر، 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الذکر،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الذکر،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الذکر،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الذکر،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الذکر،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الذکر،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الذکر،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الذکر،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الذکر،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قواطع الصلاة،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قواطع الصلاة،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صلاة الجمعة، 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صلاة الجمعة،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صلاة الجمعة،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صلاة الجمعة،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صلاة الجمعة، 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صلاة الجمعة، 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صلاة الجمعة،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صلاة الجمعة،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صلاة الجمعة،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صلاة الجمعة،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صلاة الجمعة،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صلاة الجمعة،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صلاة الجمعة،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صلاة العید،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صلاة العید،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صلاة العید،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صلاة العید،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الاعلی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صلاة العید،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صلاة العید،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صلاة العید،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صلاة العید،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الثامن</w:t>
      </w:r>
    </w:p>
    <w:p>
      <w:pPr>
        <w:pStyle w:val="BookText"/>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نافلة شهر رمضان،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بقیة الصلوات المندوبة،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بقیة الصلوات المندوبة،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بقیة الصلوات المندوبة،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بقیة الصلوات المندوبة،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المزمّل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بقیة الصلوات المندوبة،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المزمّل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بقیة الصلوات المندوبة، 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بقیة الصلوات المندوبة، 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بقیة الصلوات المندوبة، ح</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بقیة الصلوات المندوبة، ح</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السجدة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بقیة الصلوات المندوبة، ح</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بقیة الصلوات المندوبة، ح</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بقیة الصلوات المندوبة،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بقیة الصلوات المندوبة، 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السجدة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صلاة الجماعة، 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صلاة الجماعة،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صلاة الجماعة، 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صلاة الجماعة،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صلاة الجماعة،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صلاة الجماعة،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صلاة الجماعة،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صلاة الخوف والمطاردة،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صلاة الخوف والمطاردة،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صلاة الخوف والمطاردة،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صلاة الخوف والمطاردة،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صلاة الخوف والمطاردة،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صلاة الخوف والمطاردة،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صلاة الخوف والمطاردة، 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صلاة الخوف والمطاردة، 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صلاة الخوف والمطاردة، 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صلاة الخوف والمطاردة، 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صلاة الخوف والمطاردة، 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صلاة المسافر،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صلاة المسافر،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المجلّد التاسع</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ما تجب فیه الزکاة،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ما تجب فیه الزکاة،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ما تجب فیه الزکاة، 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ما تجب فیه الزکاة،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ما تجب فیه الزکاة،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ما تجب فیه الزکاة،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ما تجب فیه الزکاة،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ما تجب فیه الزکاة، ح</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ما تجب فیه الزکاة، ح</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ما تجب فیه الزکاة، ح</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ما تجب فیه الزکاة،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ما تجب فیه الزکاة،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ما تجب فیه الزکاة،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ما تجب فیه الزکاة،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ما تجب فیه الزکاة،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المزمّل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تجب فیه الزکاة،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الماعون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ما تجب فیه الزکاة،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ما تجب فیه الزکاة،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ما تجب فیه الزکاة،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ما تجب فیه الزکاة، 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المعارج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ما تجب فیه الزکاة، ح</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ما تجب فیه الزکاة،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ما تجب فیه الزکاة، ح</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زکاة الغلات،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زکاة الغلات،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زکاة الغلات،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زکاة الغلات،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زکاة الغلات،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زکاة الغلات،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زکاة الغلات،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زکاة الغلات، 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زکاة الغلات، 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زکاة الغلات، 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زکاة الغلات،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زکاة الغلات،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زکاة الغلات،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زکاة الغلات،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زکاة الغلات،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زکاة الغلات،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زکاة الغلات، 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زکاة الغلات،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زکاة الغلات،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زکاة الغلات،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زکاة الغلات،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زکاة الغلات،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زکاة الغلات،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زکاة الغلات،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المستحقّین للزکاة،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المستحقّین للزکاة،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المستحقّین للزکاة،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المستحقّین للزکاة،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المستحقّین للزکاة، 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المستحقّین للزکاة،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المستحقّین للزکاة،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المستحقّین للزکاة،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المستحقّین للزکاة،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المستحقّین للزکاة،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المستحقّین للزکاة،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المستحقّین للزکاة،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المستحقّین للزکاة،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المستحقّین للزکاة،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المستحقّین للزکاة،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المستحقّین للزکاة، 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المستحقّین للزکاة، 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زکاة الفطرة،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الاعلی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زکاة الفطرة، 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زکاة الفطرة، 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زکاة الفطرة، 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زکاة الفطرة، 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زکاة الفطرة، ح</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زکاة الفطرة،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الاعلی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زکاة الفطرة،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الصدقة،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الصدقة، 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الصدقة،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الزلزلة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الصدقة،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الصدقة، 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الصدقة،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الصدقة،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الصدقة،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الصدقة،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الصدقة، 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الصدقة،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الصدقة،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الصدقة،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الصدقة،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الصدقة،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الصدقة،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الصدقة،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الصدقة،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الصدقة،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الصدقة،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الصدقة،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الصدقة،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الصدقة،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الصدقة،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الصدقة،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الصدقة،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الصدقة،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الصدقة،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الصدقة،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فیه الخمس، 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فیه الخمس،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فیه الخمس،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قسمة الخمس،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قسمة الخمس،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قسمة الخمس،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قسمة الخمس،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قسمة الخمس،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قسمة الخمس،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قسمة الخمس، 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قسمة الخمس، 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قسمة الخمس، 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قسمة الخمس، 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قسمة الخمس، 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قسمة الخمس،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قسمة الخمس،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الأنفال،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الأنفال، 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الأنفال، 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الأنفال، 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الأنفال، 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الأنفال، ح</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الأنفال، 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الأنفال، ح</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الأنفال،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الأنفال،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الأنفال، ح</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الأنفال، ح</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العاشر</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ما یمسک عنه الصائم، 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ما یمسک عنه الصائم،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ما یمسک عنه الصائم،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ما یمسک عنه الصائم،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ما یمسک عنه الصائم،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ما یمسک عنه الصائم،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ما یمسک عنه الصائم،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ما یمسک عنه الصائم،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آداب الصائم،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آداب الصائم،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آداب الصائم،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آداب الصائم، 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آداب الصائم،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من یصحّ منه الصوم،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من یصحّ منه الصوم،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من یصحّ منه الصوم، 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من یصحّ منه الصوم،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من یصحّ منه الصوم،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من یصحّ منه الصوم،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من یصحّ منه الصوم،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المجادلة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من یصحّ منه الصوم،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من یصحّ منه الصوم،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من یصحّ منه الصوم،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من یصحّ منه الصوم،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المجادلة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من یصحّ منه الصوم،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من یصحّ منه الصوم،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من یصحّ منه الصوم،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من یصحّ منه الصوم،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أحکام شهر رمضان،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أحکام شهر رمضان،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أحکام شهر رمضان،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أحکام شهر رمضان، ح</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أحکام شهر رمضان، ح</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أحکام شهر رمضان، ح</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أحکام شهر رمضان، ح</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أحکام شهر رمضان، ح</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أحکام شهر رمضان، ح</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أحکام شهر رمضان،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أحکام شهر رمضان،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أحکام شهر رمضان،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أحکام شهر رمضان، ح</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أحکام شهر رمضان،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المجادلة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أحکام شهر رمضان، 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أحکام شهر رمضان،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أحکام شهر رمضان،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أحکام شهر رمضان،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أحکام شهر رمضان،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أحکام شهر رمضان،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بقیة الصوم الواجب،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المجادلة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بقیة الصوم الواجب،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بقیة الصوم الواجب،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بقیة الصوم الواجب،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الصوم المندوب،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الصوم المندوب،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الصوم المندوب،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الصوم المندوب، 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الصوم المندوب، 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الصوم المندوب، ح</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الصوم المندوب، ح</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الصوم المندوب، ح</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الصوم المندوب، ح</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الصوم المندوب، ح</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الصوم المندوب، ح</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الصوم المندوب،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الصوم المندوب،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الصوم المندوب،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الصوم المندوب، ح</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الحادی عشر</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وجوب الحجّ وشرائطه،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وجوب الحجّ وشرائطه،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وجوب الحجّ وشرائطه،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وجوب الحجّ وشرائطه،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وجوب الحجّ وشرائطه،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وجوب الحجّ وشرائطه، 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وجوب الحجّ وشرائطه، ح</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وجوب الحجّ وشرائطه،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وجوب الحجّ وشرائطه،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وجوب الحجّ وشرائطه،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وجوب الحجّ وشرائطه،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وجوب الحجّ وشرائطه،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وجوب الحجّ وشرائطه،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وجوب الحجّ وشرائطه،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وجوب الحجّ وشرائطه،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وجوب الحجّ وشرائطه، 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وجوب الحجّ وشرائطه، 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وجوب الحجّ وشرائطه،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وجوب الحجّ وشرائطه،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وجوب الحجّ وشرائطه،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وجوب الحجّ وشرائطه،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وجوب الحجّ وشرائطه،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وجوب الحجّ وشرائطه،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وجوب الحجّ وشرائطه،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وجوب الحجّ وشرائطه،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وجوب الحجّ وشرائطه،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وجوب الحجّ وشرائطه، 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وجوب الحجّ وشرائطه، 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وجوب الحجّ وشرائطه، 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وجوب الحجّ وشرائطه، 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وجوب الحجّ وشرائطه، 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وجوب الحجّ وشرائطه،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وجوب الحجّ وشرائطه،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وجوب الحجّ وشرائطه،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وجوب الحجّ وشرائطه،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وجوب الحجّ وشرائطه، 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وجوب الحجّ وشرائطه،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وجوب الحجّ وشرائطه،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وجوب الحجّ وشرائطه، 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وجوب الحجّ وشرائطه،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وجوب الحجّ وشرائطه، 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وجوب الحجّ وشرائطه، 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وجوب الحجّ وشرائطه، ح</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وجوب الحجّ وشرائطه، ح</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المنافقین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وجوب الحجّ وشرائطه، ح</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وجوب الحجّ وشرائطه، ح</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وجوب الحجّ وشرائطه، ح</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وجوب الحجّ وشرائطه،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وجوب الحجّ وشرائطه،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وجوب الحجّ وشرائطه،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وجوب الحجّ وشرائطه،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النیابة فی الحجّ،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أقسام الحجّ،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أقسام الحجّ، 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أقسام الحجّ، ح</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أقسام الحجّ، ح</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أقسام الحجّ، ح</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أقسام الحجّ، ح</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أقسام الحجّ، ح</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أقسام الحجّ،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أقسام الحجّ،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أقسام الحجّ،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أقسام الحجّ،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أقسام الحجّ،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أقسام الحجّ،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أقسام الحجّ،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أقسام الحجّ،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أقسام الحجّ،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أقسام الحجّ، 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أقسام الحجّ،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أقسام الحجّ،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أقسام الحجّ،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أقسام الحجّ،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أقسام الحجّ، 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أقسام الحجّ، 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أقسام الحجّ، 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المواقیت،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آداب السفر،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آداب السفر،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آداب السفر،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آداب السفر،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آداب السفر،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آداب السفر،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آداب السفر،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آداب السفر،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آداب السفر،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آداب السفر،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أحکام الدواب،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أحکام الدواب،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أحکام الدواب،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الثانی عشر</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أحکام العشرة،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أحکام العشرة،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أحکام العشرة،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أحکام العشرة،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أحکام العشرة،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أحکام العشرة،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أحکام العشرة،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أحکام العشرة،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أحکام العشرة،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أحکام العشرة،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أحکام العشرة،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أحکام العشرة،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أحکام العشرة،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أحکام العشرة،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أحکام العشرة، 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أحکام العشرة،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أحکام العشرة،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أحکام العشرة،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أحکام العشرة،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أحکام العشرة،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أحکام العشرة،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أحکام العشرة،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أحکام العشرة،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أحکام العشرة،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أحکام العشرة،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أحکام العشرة،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أحکام العشرة، ح</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أحکام العشرة،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أحکام العشرة،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أحکام العشرة،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أحکام العشرة، 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الإحرام،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الإحرام،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تروک الإحرام،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تروک الإحرام،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تروک الإحرام،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تروک الإحرام، 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تروک الإحرام،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تروک الإحرام،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تروک الإحرام،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تروک الإحرام،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تروک الإحرام، 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تروک الإحرام، ح</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تروک الإحرام،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تروک الإحرام،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تروک الإحرام،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تروک الإحرام،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تروک الإحرام،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تروک الإحرام، 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تروک الإحرام،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تروک الإحرام،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الثالث عشر</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کفّارات الصید،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کفّارات الصید،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کفّارات الصید،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کفّارات الصید،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کفّارات الصید،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کفّارات الصید،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کفّارات الصید، 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کفّارات الصید، 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کفّارات الصید،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کفّارات الصید،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کفّارات الصید،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کفّارات الصید،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کفّارات الصید، 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کفّارات الصید،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کفّارات الصید،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کفّارات الصید،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کفّارات الصید،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کفّارات الصید،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کفّارات الصید،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کفّارات الصید،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کفّارات الاستمتاع،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کفّارات الاحرام، 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کفّارات الاحرام،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کفّارات الاحرام،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کفّارات الاحرام،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مقدمات الطواف،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مقدّمات الطواف، ح</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مقدّمات الطواف،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مقدّمات الطواف،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مقدّمات الطواف،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مقدّمات الطواف،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مقدّمات الطواف، 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مقدّمات الطواف، 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مقدّمات الطواف، 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مقدّمات الطواف، 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مقدّمات الطواف،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مقدّمات الطواف،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مقدّمات الطواف،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مقدّمات الطواف،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مقدّمات الطواف،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مقدّمات الطواف، 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مقدّمات الطواف،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مقدّمات الطواف،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مقدّمات الطواف،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مقدّمات الطواف،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مقدّمات الطواف،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مقدّمات الطواف،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الطواف، 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الطواف، 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الطواف، 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الطواف،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الطواف،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الطواف،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الطواف،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الطواف،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الطواف،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الطواف،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الطواف، 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الطواف، 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الطواف، 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الطواف، 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السعی،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السعی،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السعی،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السعی،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السعی،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السعی،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إحرام الحجّ،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إحرام الحجّ،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إحرام الحجّ،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البروج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إحرام الحجّ،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البروج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إحرام الحجّ،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البروج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إحرام الحجّ، 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إحرام الحجّ، ح</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البروج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إحرام الحجّ، 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إحرام الحجّ، 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إحرام الحجّ، 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إحرام الحجّ، 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إحرام الحجّ، ح</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إحرام الحجّ، ح</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إحرام الحجّ،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إحرام الحجّ،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إحرام الحجّ،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المجلّد الرابع عشر</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الوقوف بالمشعر،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الوقوف بالمشعر، 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الذبح،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الذبح،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الذبح،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الذبح،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الذبح، 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الذبح،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الذبح،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الذبح، 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الذبح،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الذبح، 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الذبح، 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الذبح، ح</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الذبح، ح</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الذبح،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الذبح،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الذبح،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الذبح،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الذبح، 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الذبح، 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الذبح، 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الذبح، 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الذبح، 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الذبح،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الذبح،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الذبح،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الذبح، 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الحلق والتقصیر،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الحلق والتقصیر،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الحلق والتقصیر،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الحلق والتقصیر، 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الحلق والتقصیر،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الحلق والتقصیر، 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الحلق والتقصیر،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الحلق والتقصیر،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زیارة البیت،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العود الی منی،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العود الی منی،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العود الی منی،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العود الی منی،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العود الی منی،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العود الی منی،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العود الی منی،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العود الی منی،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العود الی منی،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العود الی منی،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العود الی منی،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العود الی منی، 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العود الی منی،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العود الی منی،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العود الی منی،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العود الی منی، 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العمرة،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العمرة،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العمرة،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العمرة،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العمرة، 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العمرة، 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العمرة، 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العمرة، 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العمرة، 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العمرة،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العمرة،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العمرة، 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العمرة،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العمرة،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المزار،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المزار،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المزار، 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المزار،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المزار،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المزار،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المزار،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المزار،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المزار،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المزار،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المزار،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المزار،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580</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المزار،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المزار،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المزار،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الخامس عشر</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جهاد العدو، 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جهاد العدو،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جهاد العدو،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جهاد العدو،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الشوری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التحریم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الحج</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جهاد العدو،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جهاد العدو،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جهاد العدو،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جهاد العدو،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جهاد العدو،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الحج</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جهاد العدو،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جهاد العدو،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جهاد العدو،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طه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جهاد العدو،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الصف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جهاد العدو،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جهاد العدو،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جهاد العدو،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جهاد العدو،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جهاد العدو،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جهاد العدو،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العنکبوت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الأنعام</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الحج</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الجن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الحج</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الجن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العنکبوت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الدخان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جهاد النفس، 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جهاد النفس،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الانشراح</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جهاد النفس،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المطفّفین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جهاد النفس،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جهاد النفس، 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جهاد النفس، 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جهاد النفس، ح</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جهاد النفس،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جهاد النفس،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المجلّد السادس عشر</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جهاد النفس، 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جهاد النفس،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جهاد النفس،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جهاد النفس، 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جهاد النفس،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جهاد النفس،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جهاد النفس،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جهاد النفس،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جهاد النفس،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جهاد النفس، 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جهاد النفس، 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جهاد النفس، 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جهاد النفس، 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جهاد النفس، 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جهاد النفس، 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جهاد النفس، ح</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جهاد النفس، ح</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جهاد النفس، ح</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الحشر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المجادلة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لنحل</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الأمر والنّهی،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فعل المعروف، 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فعل المعروف، ح</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فعل المعروف،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فعل المعروف، 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فعل المعروف،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فعل المعروف،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فعل المعروف،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فعل المعروف،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فعل المعروف،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فعل المعروف،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فعل المعروف،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فعل المعروف،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فعل المعروف، 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فعل المعروف،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السابع عشر</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مقدّمات التجارة،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مقدّمات التجارة،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مقدّمات التجارة،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مقدّمات التجارة، 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مقدّمات التجارة،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مقدّمات التجارة،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مقدّمات التجارة، 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مقدّمات التجارة، 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مقدّمات التجارة،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مقدّمات التجارة،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مقدّمات التجارة، 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الشوری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ما یکتسب به، 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آداب التجارة،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آداب التجارة،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آداب التجارة،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آداب التجارة،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آداب التجارة،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المجلّد الثامن عشر</w:t>
      </w:r>
    </w:p>
    <w:p>
      <w:pPr>
        <w:pStyle w:val="BookText"/>
        <w:rPr/>
      </w:pP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الربا،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الربا، ح</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الربا،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الربا،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الربا،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الربا، 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الربا، 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الربا، 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الربا،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الدین والقرض،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الدین والقرض،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الدین والقرض،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الدین والقرض،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الدین والقرض،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الدین والقرض،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الدین والقرض،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الحجر،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الصلح،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الصلح،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المجلّد التاسع عشر</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المزارعة والمساقاة،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المزارعة والمساقاة، 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المزارعة والمساقاة،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الودیعة،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الودیعة،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الودیعة،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الإجارة،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الوکالة،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الوکالة،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الهبات،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السبق والرمایة،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الوصایا،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الوصایا،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الوصایا،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الوصایا، ح</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الوصایا،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الوصایا،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الوصایا،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الوصایا،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الوصایا،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الوصایا، 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الوصایا،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الوصایا،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الوصایا،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الوصایا،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الوصایا،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الوصایا،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الوصایا،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الوصایا،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الوصایا،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الوصایا،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الوصایا،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الوصایا،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الوصایا،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الوصایا،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الأحقاف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الوصایا،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الوصایا،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الوصایا، 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الوصایا، 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الوصایا، 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الوصایا،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الوصایا،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الوصایا،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الوصایا،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الوصایا،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الوصایا،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الوصایا،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الوصایا،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الوصایا، 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الوصایا، 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الوصایا،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الوصایا،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الوصایا،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الوصایا،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الوصایا،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الوصایا،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العشرون</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مقدّمات النکاح، 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مقدّمات النکاح،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مقدّمات النکاح،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مقدّمات النکاح،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مقدّمات النکاح،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مقدّمات النکاح،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مقدّمات النکاح،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مقدّمات النکاح،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مقدّمات النکاح،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مقدّمات النکاح،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مقدّمات النکاح،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مقدّمات النکاح،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مقدّمات النکاح،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مقدّمات النکاح،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مقدّمات النکاح،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مقدّمات النکاح،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مقدّمات النکاح، 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مقدّمات النکاح، 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مقدّمات النکاح،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مقدّمات النکاح،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مقدّمات النکاح، 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مقدّمات النکاح، 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مقدّمات النکاح، 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مقدّمات النکاح،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مقدّمات النکاح،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مقدّمات النکاح،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مقدّمات النکاح،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مقدّمات النکاح،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مقدّمات النکاح،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مقدّمات النکاح، 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مقدّمات النکاح، ح</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مقدّمات النکاح،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مقدّمات النکاح،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مقدّمات النکاح،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مقدّمات النکاح،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مقدّمات النکاح،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مقدّمات النکاح،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مقدّمات النکاح،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مقدّمات النکاح،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الممتحنة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مقدّمات النکاح،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الممتحنة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مقدّمات النکاح،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الممتحنة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مقدّمات النکاح،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مقدّمات النکاح،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مقدّمات النکاح،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مقدّمات النکاح،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مقدّمات النکاح،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مقدّمات النکاح،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مقدّمات النکاح،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مقدّمات النکاح، 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مقدّمات النکاح، 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مقدّمات النکاح،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عقد النکاح،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عقد النکاح،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عقد النکاح،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النکاح المحرّم،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النکاح المحرّم، ح</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المجادلة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النکاح المحرّم، ح</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المجادلة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النکاح المحرّم،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النکاح المحرّم،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النکاح المحرّم،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النکاح المحرّم،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النکاح المحرّم،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النکاح المحرّم،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النکاح المحرّم، 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النکاح المحرّم،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النکاح المحرّم، 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ما یحرم بالنسب،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ما یحرم بالنسب،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ما یحرم بالمصاهرة،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ما یحرم بالمصاهرة،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ما یحرم بالمصاهرة،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المائدة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ما یحرم بالمصاهرة،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ما یحرم بالمصاهرة،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ما یحرم بالمصاهرة،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ما یحرم بالمصاهرة،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ما یحرم بالمصاهرة، 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ما یحرم بالمصاهرة، 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ما یحرم بالمصاهرة،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ما یحرم بالمصاهرة،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ما یحرم بالمصاهرة،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ما یحرم بالمصاهرة،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ما یحرم بالمصاهرة،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ما یحرم بالمصاهرة،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ما یحرم بالمصاهرة،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ما یحرم بالمصاهرة،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ما یحرم بالمصاهرة، 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ما یحرم بالمصاهرة، ح</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ما یحرم بالمصاهرة، 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ما یحرم بالمصاهرة، 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ما یحرم بالمصاهرة،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ما یحرم بالمصاهرة،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ما یحرم بالمصاهرة،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ما یحرم بالمصاهرة،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ما یحرم بالمصاهرة،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ما یحرم بالمصاهرة،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ما یحرم بالمصاهرة،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ما یحرم بالمصاهرة،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xml:space="preserve"> -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ما یحرم بالمصاهرة،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ما یحرم بالکفر،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الممتحنة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ما یحرم بالکفر،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ما یحرم بالکفر،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الممتحنة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ما یحرم بالکفر،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الممتحنة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ما یحرم بالکفر،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ما یحرم بالکفر،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الممتحنة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ما یحرم بالکفر،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الممتحنة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ما یحرم بالکفر،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ما یحرم بالکفر، 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ما یحرم بالکفر، 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ما یحرم بالکفر، 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الحادی والعشرون</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المتعة،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المتعة،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المتعة،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المتعة، 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المتعة، 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المتعة، 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المتعة، 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المتعة، 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المتعة، ح</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المتعة،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المتعة، 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المتعة،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المتعة،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المتعة،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المتعة،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المتعة،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المتعة،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المتعة،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المتعة،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المتعة، 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المتعة،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نکاح‌العبید،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نکاح‌العبید،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نکاح‌العبید،ح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نکاح‌العبید، 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نکاح‌العبید، 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نکاح‌العبید، 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نکاح العبید، 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نکاح‌العبید،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نکاح‌العبید،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نکاح‌العبید،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المهور، 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المهور،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المهور،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المهور،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المهور،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المهور،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المهور،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المهور،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المهور،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المهور، 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المهور،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المهور،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المهور،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المهور،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المهور،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المهور، 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المهور،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المهور،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المهور،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المهور،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المهور،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المهور،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القسم والنشوز،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القسم والنشوز،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القسم والنشوز،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القسم والنشوز،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القسم والنشوز،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القسم والنشوز،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القسم والنشوز،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القسم والنشوز،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القسم والنشوز،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القسم والنشوز،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القسم والنشوز،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القسم والنشوز،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القسم والنشوز،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القسم والنشوز،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أحکام الأولاد،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أحکام الأولاد،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أحکام الأولاد،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أحکام الأولاد، 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الأحقاف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أحکام الأولاد، 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الأحقاف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أحکام الأولاد،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أحکام الأولاد،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أحکام الأولاد،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أحکام الأولاد،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أحکام الأولاد،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أحکام الأولاد،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أحکام الأولاد،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أحکام الأولاد،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أحکام الأولاد،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أحکام الأولاد،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النفقات،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النفقات،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النفقات، 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النفقات، 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النفقات،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النفقات،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النفقات،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النفقات،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النفقات،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النفقات،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النفقات، ح</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النفقات،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النفقات،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النفقات،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النفقات،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النفقات،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النفقات، 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النفقات، 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النفقات، 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النفقات،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النفقات،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النفقات،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النفقات،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النفقات،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النفقات،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النفقات،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الثانی والعشرون</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مقدّمات الطلاق،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مقدّمات الطلاق، 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مقدّمات الطلاق،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مقدّمات الطلاق،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مقدّمات الطلاق، 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مقدّمات الطلاق، 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مقدّمات الطلاق،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مقدّمات الطلاق، 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مقدّمات الطلاق،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مقدّمات الطلاق،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مقدّمات الطلاق،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مقدّمات الطلاق، ح</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مقدّمات الطلاق، ح</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الحشر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مقدّمات الطلاق،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مقدّمات الطلاق،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مقدّمات الطلاق،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مقدّمات الطلاق،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أقسام الطلاق،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أقسام الطلاق،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أقسام الطلاق،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أقسام الطلاق، 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أقسام الطلاق، 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أقسام الطلاق، 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أقسام الطلاق، 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أقسام الطلاق،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أقسام الطلاق،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أقسام الطلاق،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أقسام الطلاق،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العدد،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العدد، ح</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العدد،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العدد، 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العدد، 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العدد،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العدد،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العدد،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العدد،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العدد،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العدد،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العدد،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العدد،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العدد،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العدد،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العدد،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العدد،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العدد،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العدد، 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العدد، 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الخلع والمباراة، 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الظهار،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الظهار،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الظهار،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الإیلاء،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الکفّارات،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المجادلة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الکفّارات،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المجادلة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الکفّارات،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المجادلة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الکفّارات،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الکفّارات،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الکفّارات،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الکفّارات، 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الکفّارات، 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الکفّارات، 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الکفّارات، ح</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الکفّارات،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الکفّارات،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الکفّارات،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الکفّارات،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الکفّارات، 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الکفّارات، 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الکفّارات،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اللعان،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اللعان، 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اللعان، 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اللعان،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الثالث والعشرون</w:t>
      </w:r>
    </w:p>
    <w:p>
      <w:pPr>
        <w:pStyle w:val="BookText"/>
        <w:rPr/>
      </w:pP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العتق،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العتق،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العتق،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العتق،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المکاتبة،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المکاتبة،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المکاتبة،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المکاتبة،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المکاتبة،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المکاتبة،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المکاتبة،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المکاتبة،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المکاتبة،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المکاتبة،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الأیمان،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الأیمان،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الأیمان،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الأیمان، 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الأیمان، 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الأیمان، ح</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الأیمان،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الواقعة</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الأیمان، 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الأیمان، ح</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الأیمان،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الأیمان،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الأیمان،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الأیمان،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الأیمان،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الأیمان،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الأیمان،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الأیمان،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الأیمان،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الأیمان،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الأیمان،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الأیمان،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الأیمان،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الأیمان،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الأیمان،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النجم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الأیمان،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الأیمان، 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الأیمان، ح</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الواقعة</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الأیمان،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الواقعة</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البلد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الأیمان،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الواقعة</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البلد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الأیمان،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الأیمان،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الأیمان،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الأیمان،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الأیمان،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الأیمان،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النذر والعهد،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النذر والعهد،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النذر والعهد،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النذر والعهد،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النذر والعهد،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الصید،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الصید،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الصید، 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الصید،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الصید،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الصید،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الصید،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الصید،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الصید،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الصید،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الصید، ح</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الصید، ح</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الصید،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الرابع والعشرون</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الذبائح،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الذبائح،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الذبائح،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الذبائح،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الذبائح،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الذبائح،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الذبائح، 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الذبائح، 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الذبائح، 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الذبائح،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الذبائح،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الذبائح،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الذبائح،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الذبائح،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الذبائح، ح</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الذبائح، ح</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الذبائح، ح</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الذبائح، ح</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الذبائح، ح</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الأطعمة المحرّمة، 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الأطعمة المحرّمة،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الأطعمة المحرّمة،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الأطعمة المحرّمة، 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الأطعمة المحرّمة، 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الأطعمة المحرّمة، 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الأطعمة المحرّمة، 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الأطعمة المحرّمة،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الأطعمة المحرّمة،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الأطعمة المحرّمة،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الأطعمة المحرّمة،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الأطعمة المحرّمة، 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الأطعمة المحرّمة،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الأطعمة المحرّمة،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الأطعمة المحرّمة،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الأطعمة المحرّمة،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الأطعمة المحرّمة،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الأطعمة المحرّمة،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الأطعمة المحرّمة،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آداب المائدة،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آداب المائدة،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آداب المائدة،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آداب المائدة،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آداب المائدة،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آداب المائدة، 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آداب المائدة،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آداب المائدة، ح</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آداب المائدة،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التکاثر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آداب المائدة،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التکاثر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آداب المائدة،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التکاثر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آداب المائدة،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آداب المائدة،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آداب المائدة،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آداب المائدة،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آداب المائدة،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آداب المائدة،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آداب المائدة،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آداب المائدة، 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آداب المائدة،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آداب المائدة، 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آداب المائدة،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التکاثر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آداب المائدة،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آداب المائدة،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آداب المائدة،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آداب المائدة،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آداب المائدة،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المجلّد الخامس والعشرون</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الأطعمة المباحة،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الأطعمة المباحة،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الأطعمة المباحة،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الأطعمة المباحة،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الأطعمة المباحة، 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التکاثر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الأطعمة المباحة، ح</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الأطعمة المباحة،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الأطعمة المباحة،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الأطعمة المباحة،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الأطعمة المباحة،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الأطعمة المباحة،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الأطعمة المباحة،ح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الأطعمة المباحة، 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الأطعمة المباحة،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الأطعمة المباحة،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الأطعمة المباحة،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الأطعمة المباحة، 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الأطعمة المباحة،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الأشربة المباحة،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الأشربة المباحة، 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الأشربة المباحة، 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الأشربة المباحة، 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الأشربة المباحة،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الأشربة المباحة،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الأشربة المباحة،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الأشربة المباحة،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الأشربة المحرّمة،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الأشربة المحرّمة، 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الأشربة المحرّمة، 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الأشربة المحرّمة، ح</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الأشربة المحرّمة،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الأشربة المحرّمة، 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الأشربة المحرّمة، 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الأشربة المحرّمة،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الغصب،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إحیاء الموات،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السادس والعشرون</w:t>
      </w:r>
    </w:p>
    <w:p>
      <w:pPr>
        <w:pStyle w:val="BookText"/>
        <w:rPr/>
      </w:pP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موجبات الإرث،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موجبات الإرث،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موجبات الإرث،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موجبات الإرث،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موجبات الإرث،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موجبات الإرث،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موجبات الإرث، 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موجبات الإرث،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موجبات الإرث، ح</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موجبات الإرث،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موجبات الإرث،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موجبات الإرث، 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موجبات الإرث، 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موجبات الإرث، 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میراث الأبوین والأولاد،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میراث الأبوین والأولاد،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میراث الأبوین والأولاد،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میراث الأبوین والأولاد،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میراث الأبوین والأولاد، 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میراث الأبوین والأولاد،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میراث الأبوین والأولاد،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میراث الأبوین والأولاد،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میراث الأبوین والأولاد،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میراث الأبوین والأولاد،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میراث الأبوین والأولاد،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میراث الأبوین والأولاد،ح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میراث الأخوة والأجداد،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میراث الأخوة والأجداد،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میراث الأخوة والأجداد،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میراث الأخوة والأجداد،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میراث الأخوة والأجداد،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میراث الأخوة والأجداد،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میراث الأخوة والأجداد،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میراث الأخوة والأجداد،ح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میراث الأخوة والأجداد،ح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میراث الأخوة والأجداد،ح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میراث الأعمام والأخوال،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میراث الأعمام والأخوال،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میراث الأعمام والأخوال،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میراث الأعمام والأخوال،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میراث الأزواج،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میراث ولاء العتق،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میراث ولاء العتق،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میراث ولاء العتق،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الأحزاب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میراث ولاء العتق، 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ولاء ضمان الجریرة والامامة،ح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ولاء ضمان الجریرة والامامة،ح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ولاء ضمان الجریرة والامامة،ح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المجادلة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ولاء ضمان الجریرة والامامة،ح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میراث الخنثی،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میراث الخنثی،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میراث الخنثی،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میراث الخنثی، 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السابع والعشرون</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الفاتحة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الزخرف</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البقرة</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،صفات القاضی، ح</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الحج</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الأحقاف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الحجّ</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القاضی، ح</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صفات القاضی، ح</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آداب القاضی،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کیفیة الحکم، 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کیفیة الحکم، 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کیفیة الحکم، ح</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کیفیة الحکم، ح</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کیفیة الحکم،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کیفیة الحکم،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النجم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الشهادات،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الشهادات،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الشهادات،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الشهادات،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الشهادات، 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الشهادات، 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الشهادات،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الشهادات،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الشهادات،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الشهادات،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الشهادات،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الشهادات،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الشهادات، 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الشهادات،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الشهادات،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الشهادات،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الشهادات،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الشهادات، 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الشهادات، ح</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الشهادات، ح</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الشهادات،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الشهادات،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الشهادات،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الشهادات، ح</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الشهادات، ح</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المجلّد الثامن والعشرون</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مقدّمات الحدود،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مقدّمات الحدود، 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مقدّمات الحدود،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مقدّمات الحدود،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مقدّمات الحدود،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حدّ الزنا، ح</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حدّ الزنا، 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حدّ الزنا،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حدّ الزنا، 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حدّ الزنا،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حدّ الزنا،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حدّ الزنا،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حدّ الزنا، 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حدّ الزنا،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حدّ المسکر،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حدّ المسکر،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حدّ السرقة،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حدّ السرقة،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حدّ المحارب،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حدّ المحارب،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حدّ المحارب،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حدّ المحارب،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حدّ المحارب، 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حدّ المحارب، 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حدّ المحارب، 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حدّ المحارب،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حدّ المحارب،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حدّ المحارب،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حدّ المحارب، 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حدّ المرتد،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حدّ المرتد، ح</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حدّ المرتد، ح</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حدّ المرتد، ح</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حدّ المرتد، ح</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نکاح البهائم ووط‌ء الأموات،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بقیّة الحدود والتعزیرات،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بقیّة الحدود والتعزیرات،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التاسع والعشرون</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القصاص فی النفس،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القصاص فی النفس،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القصاص فی النفس، 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القصاص فی النفس، 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القصاص فی النفس، ح</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القصاص فی النفس، ح</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القصاص فی النفس،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القصاص فی النفس،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القصاص فی النفس،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القصاص فی النفس،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القصاص فی النفس،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القصاص فی النفس،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القصاص فی النفس،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القصاص فی النفس،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القصاص فی النفس، 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القصاص فی النفس، 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القصاص فی النفس، 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القصاص فی النفس، ح</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القصاص فی النفس، ح</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القصاص فی النفس، ح</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القصاص فی النفس،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القصاص فی النفس،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القصاص فی النفس،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القصاص فی النفس،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القصاص فی النفس،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القصاص فی النفس،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القصاص فی النفس،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القصاص فی النفس،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القصاص فی النفس،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القصاص فی النفس،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القصاص فی النفس،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القصاص فی النفس،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دعوی القتل،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قصاص الطرف،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دیات النفس،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دیات النفس،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دیات النفس،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دیات النفس،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موجبات الضمان،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موجبات الضمان،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دیات الأعضاء، 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دیات الأعضاء،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دیات الأعضاء، 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دیات الأعضاء، 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bookmarkStart w:id="390" w:name="pg5707_46676"/>
    </w:p>
    <w:p>
      <w:pPr>
        <w:pStyle w:val="Heading3"/>
        <w:numPr>
          <w:ilvl w:val="2"/>
          <w:numId w:val="1"/>
        </w:numPr>
        <w:rPr/>
      </w:pPr>
      <w:bookmarkStart w:id="391" w:name="__RefHeading___Toc3818505_581953129"/>
      <w:bookmarkStart w:id="392" w:name="_Toc155"/>
      <w:bookmarkEnd w:id="390"/>
      <w:bookmarkEnd w:id="391"/>
      <w:r>
        <w:rPr>
          <w:rtl w:val="true"/>
        </w:rPr>
        <w:t xml:space="preserve">ملحق </w:t>
      </w:r>
      <w:r>
        <w:rPr/>
        <w:t>4</w:t>
      </w:r>
      <w:r>
        <w:rPr>
          <w:rtl w:val="true"/>
        </w:rPr>
        <w:t>:</w:t>
      </w:r>
      <w:r>
        <w:rPr>
          <w:rtl w:val="true"/>
        </w:rPr>
        <w:t>فهرس بالآیات التی یمکن الإفادة منها فی استنباط الأحکام مرتّب بحسب ترتیب سور القرآن</w:t>
      </w:r>
      <w:bookmarkEnd w:id="3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125</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110</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78</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63</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77</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227</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89</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77</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49</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72</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49</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65</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141</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76</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53</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85</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52</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الدخان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51</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الأحقاف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56</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49</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57</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68</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96</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التغابن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52</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المرسلات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المطفّفین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البروج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الأعلی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الانشراح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البیّنة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الزلزال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التکاثر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الکوثر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النصر</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bookmarkStart w:id="393" w:name="pg5707_46682"/>
    </w:p>
    <w:p>
      <w:pPr>
        <w:pStyle w:val="Heading3"/>
        <w:numPr>
          <w:ilvl w:val="2"/>
          <w:numId w:val="1"/>
        </w:numPr>
        <w:rPr/>
      </w:pPr>
      <w:bookmarkStart w:id="394" w:name="__RefHeading___Toc3818507_581953129"/>
      <w:bookmarkStart w:id="395" w:name="_Toc156"/>
      <w:bookmarkEnd w:id="393"/>
      <w:bookmarkEnd w:id="394"/>
      <w:r>
        <w:rPr>
          <w:rtl w:val="true"/>
        </w:rPr>
        <w:t xml:space="preserve">ملحق </w:t>
      </w:r>
      <w:r>
        <w:rPr/>
        <w:t>5</w:t>
      </w:r>
      <w:r>
        <w:rPr>
          <w:rtl w:val="true"/>
        </w:rPr>
        <w:t>:</w:t>
      </w:r>
      <w:r>
        <w:rPr>
          <w:rtl w:val="true"/>
        </w:rPr>
        <w:t>أبحاث تکمیلیة للتحقیق ولمزید الاطّلاع</w:t>
      </w:r>
      <w:bookmarkEnd w:id="395"/>
    </w:p>
    <w:p>
      <w:pPr>
        <w:pStyle w:val="Heading4"/>
        <w:numPr>
          <w:ilvl w:val="3"/>
          <w:numId w:val="1"/>
        </w:numPr>
        <w:rPr/>
      </w:pPr>
      <w:bookmarkStart w:id="396" w:name="__RefHeading___Toc3818509_581953129"/>
      <w:bookmarkStart w:id="397" w:name="_Toc157"/>
      <w:bookmarkEnd w:id="396"/>
      <w:r>
        <w:rPr>
          <w:rtl w:val="true"/>
        </w:rPr>
        <w:t>النصّ الأوّل</w:t>
      </w:r>
      <w:bookmarkEnd w:id="397"/>
    </w:p>
    <w:p>
      <w:pPr>
        <w:pStyle w:val="BookText"/>
        <w:rPr/>
      </w:pPr>
      <w:r>
        <w:rPr>
          <w:rFonts w:ascii="Amiri" w:hAnsi="Amiri" w:eastAsia="Amiri" w:cs="Amiri"/>
          <w:color w:val="111111"/>
          <w:sz w:val="28"/>
          <w:sz w:val="28"/>
          <w:szCs w:val="28"/>
          <w:rtl w:val="true"/>
          <w:lang w:bidi="ar-SA"/>
        </w:rPr>
        <w:t>أَسکِنُوهُنَّ مِن حَیثُ سَکَنتُم مِن وُجدِکُم وَ لا تُضآرُّوهُنَّ لِتُضَیِّقُوا عَلَیهِنَّ وَ إِن کُنَّ أُولاتِ حَملٍ فَأَنفِقُوا عَلَیهِنَّ حَتّی یَضَعنَ حَملَهُنَّ فَإِن أَرضَعنَ لَکُم فَآتُوهُنَّ أُجُورَهُنَّ وَ أتَمِرُوا بَینَکُم بِمَعرُوفٍ وَ إِن تَعاسَرتُم فَسَتُرضِعُ لَهُ أُخری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البیان الإجمالی</w:t>
      </w:r>
    </w:p>
    <w:p>
      <w:pPr>
        <w:pStyle w:val="BookText"/>
        <w:rPr/>
      </w:pPr>
      <w:r>
        <w:rPr>
          <w:rFonts w:ascii="IRNazanin" w:hAnsi="IRNazanin" w:eastAsia="IRNazanin"/>
          <w:color w:val="111111"/>
          <w:sz w:val="28"/>
          <w:sz w:val="28"/>
          <w:szCs w:val="28"/>
          <w:rtl w:val="true"/>
          <w:lang w:bidi="fa-IR"/>
        </w:rPr>
        <w:t>النّص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فقرة من آیة قد تعرّضت إلی أحکام المطلّقة ورعایة حقوقها، التی من ضمنها لزوم إعطائها اجرة إرضاع الولد، وأنّ الزوج مسؤول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التحلیل اللفظی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فَآتُوهُنَّ الإیتاء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الإعطاء</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و فَآتُوهُنَّ جواب الشرط وهو فَإِن أَرضَعنَ لَکُم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أُجُورَهُنَّ الأجر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یعود من ثواب العمل دنیوباً کان أو اخرویاً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والأجرة فی الثواب الدنیوی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الأجر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والأجر والاُجرة یقال فیما کان عن عقد وما یجری مجری العقد، ولا یقال إلّا فی النفع دون الضرّ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أتَمِرُوا الائتمار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للتشاور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لقبول بعضهم أمر بعض فیما أشار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المدلول التشریعی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 بهذا النصّ علی مشروعیة الإجارة علی العمل وصحتها لو کان متعلّقها الإرضاع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ولا خصوصیة للإرضاع، فلو کان مورد الإجارة غیر الإرضاع صحّ أیضاً، بل المشروعیة فی غیر الإرضاع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فیه غرراً، فإنّ اللبن قد یقلّ وقد یکثر، وقد یشرب الصبی من اللبن کثیراً وقد یشرب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لا خصوصیة للزوجة، فلو کانت الإجارة مع غیرها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للفهم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فتتم دلالة الآیة علی مشروعیة الإجارة مطلقاً وعلی لزوم دفع الأجرة للأجیر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لم یرتضِ البعض هذا الاستدلال، وناقش فیه باعتبار احتمال ألا یکون المراد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المجعول عوضاً فی عقد الإجارة، بل عوض المثل للرضاع، فالوالدة متی ما أرضعت طفلها استحقّت عوض ذلک علی الزوج، سواءً تمّ عقد الإجارة أم لم 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علی کلا التقدیرین تستحقّ ذلک مادامت لم تقصد التبرّع </w:t>
      </w:r>
      <w:r>
        <w:rPr>
          <w:rStyle w:val="FootnoteAnchor"/>
          <w:rtl w:val="true"/>
        </w:rPr>
        <w:footnoteReference w:id="424"/>
      </w:r>
      <w:r>
        <w:rPr>
          <w:rFonts w:ascii="IRNazanin" w:hAnsi="IRNazanin" w:eastAsia="IRNazanin"/>
          <w:color w:val="111111"/>
          <w:sz w:val="28"/>
          <w:sz w:val="28"/>
          <w:szCs w:val="28"/>
          <w:rtl w:val="true"/>
          <w:lang w:bidi="fa-IR"/>
        </w:rPr>
        <w:t>، وحیث لا دافع لهذا الاحتمال، فلا یمکن انعقاد دلالة الآیة علی الإجارة المصطلحة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الذین استدلّوا بالآیة علی الإجارة اختلفوا فی تصویر متعلّق الإجارة للإرضاع، فهل العقد یقع علی الحضانة ویکون اللبن تابعاً، أو یقع علی اللبن والحضانة تابعة؟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 هذا الخلاف ناشئ من مشکلتین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لبن المرأة عیناً، والمعاوضة علی العین یکون بعقد البیع لا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الرضاع مختلفاً، فربّ صبی أکثر رضاع من صبی، وربّ امرأة أکثر لبناً من امرأة، فلا یمکن ضبط ذلک</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وحلّ ذلک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لبن المرأة وإن کان عیناً لکن اجری مجری المنافع التی تستحقّ بعقود الإجارات، وخرج عن حکم الأعیان بالدلیل الخاصّ، ومنه هذه الآیة؛ قال الجصّاص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ولذلک لم یجز أصحابنا بیع لبن المرأة کما لایجوز عقد البیع علی المنافع، وفارقَ لبنُ المرأة بذلک لبنَ سائر الحیوان، ألاتری أنّه لا یجوز استئجار شاة لرضاع 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الأعیان لا تستحق بعقود الإجارات کاستئجار النخل والشجر</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العرف یعدّ ذلک من المنافع</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ثانیاً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متعلّق الإجارة لیس اللبن، وإنّما متعلّقها الإرضاع کما یظهر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أَرضَعنَ لَکُم، ولا شکّ فی أنّه عمل ومنفعة له مالیة بنظر العقلاء، فیصحّ وقوع الإجارة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الإجارة علی العمل یمکن ضبطها ببعض الضوابط کالزمان مثلاً وغیره، ووجود الجهالة بهذا المقدار مغتفر فی مثل هذه المعاوضة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استفاد بعض من هذه الآیة دلالتها علی أنّ الاُجرة إنّما تستحقّ بالفراغ من العمل لا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أوجبها بعد الرضاع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أَرضَعنَ لَکُم فَآتُوهُنَّ أُجُورَهُنَّ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فإنّ الاُجرة تلزم بعد العمل، وبه قال مالک، وأبوحنیفة، فلا تملک بالعقد إلّا إذا اشترط</w:t>
      </w:r>
      <w:bookmarkStart w:id="398" w:name="pg5707_46685"/>
    </w:p>
    <w:p>
      <w:pPr>
        <w:pStyle w:val="BookText"/>
        <w:rPr/>
      </w:pPr>
      <w:bookmarkEnd w:id="398"/>
      <w:r>
        <w:rPr>
          <w:rFonts w:ascii="IRNazanin" w:hAnsi="IRNazanin" w:eastAsia="IRNazanin"/>
          <w:color w:val="111111"/>
          <w:sz w:val="28"/>
          <w:sz w:val="28"/>
          <w:szCs w:val="28"/>
          <w:rtl w:val="true"/>
          <w:lang w:bidi="fa-IR"/>
        </w:rPr>
        <w:t>تعجیلها، فی حین ذهب الشافعی أنّ الأجرة تملک بمجرّد العقد</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واستدلّ بعض بهذه الآیة علی أحکام اخری خارجة عن الإجارة،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 إذا رضیت أن ترضع ولدها باُجرة المثل فهی أحق به، ولم یکن للأب أن یسترضع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 الله إیاه بإعطاء الأجر إذا أرضعت ولده</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استفید دلالتها علی کون نفقة الولد الصغیر علی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إذا لزمه اجرة الرضاع فکفایته ألزم</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 أولی بحضانة الولد من کلّ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بعض إلی لزوم إرضاع الولد علی الاُم إلّا فیما استثنی، وفرّع علی ذلک عدم استحقاقها الاُجرة حال الوجوب علیها</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 وذهب آخرون إلی أنّه لا یلزم المرأة إرضاع ولدها کانت عند زوجها أو لم تکن</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وقد تضمّنت الآیة توصیة أخلاقیة بأن یکون التعامل قائماً علی أساس المعروف بحیث لایتضرّر الرجل بزیادة الأجر الذی ینفقه ولا المرأة بنقیصته ولا الولد بنقص مدّة الرضاع وغیر ذلک، والخطاب هنا للرجل والمرأة معاً، أی تشاوروا فی أمر الولد وتوافقوا فی معروف من العادة؛ مراعاة لحقوق الجمیع</w:t>
      </w:r>
      <w:r>
        <w:rPr>
          <w:rFonts w:eastAsia="IRNazanin" w:cs="IRNazanin"/>
          <w:color w:val="111111"/>
          <w:sz w:val="28"/>
          <w:szCs w:val="28"/>
          <w:rtl w:val="true"/>
          <w:lang w:bidi="fa-IR"/>
        </w:rPr>
        <w:t xml:space="preserve">. </w:t>
      </w:r>
      <w:r>
        <w:rPr>
          <w:rStyle w:val="FootnoteAnchor"/>
          <w:rtl w:val="true"/>
        </w:rPr>
        <w:footnoteReference w:id="433"/>
      </w:r>
    </w:p>
    <w:p>
      <w:pPr>
        <w:pStyle w:val="Heading4"/>
        <w:numPr>
          <w:ilvl w:val="3"/>
          <w:numId w:val="1"/>
        </w:numPr>
        <w:rPr/>
      </w:pPr>
      <w:bookmarkStart w:id="399" w:name="__RefHeading___Toc3818511_581953129"/>
      <w:bookmarkStart w:id="400" w:name="_Toc158"/>
      <w:bookmarkEnd w:id="399"/>
      <w:r>
        <w:rPr>
          <w:rtl w:val="true"/>
        </w:rPr>
        <w:t>النصّ الثانی</w:t>
      </w:r>
      <w:bookmarkEnd w:id="400"/>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لَو شِئتَ لاَتَّخَذتَ عَلَیهِ أَجراً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البیان الإجمالی</w:t>
      </w:r>
    </w:p>
    <w:p>
      <w:pPr>
        <w:pStyle w:val="BookText"/>
        <w:rPr/>
      </w:pPr>
      <w:r>
        <w:rPr>
          <w:rFonts w:ascii="Amiri" w:hAnsi="Amiri" w:eastAsia="Amiri" w:cs="Amiri"/>
          <w:color w:val="111111"/>
          <w:sz w:val="28"/>
          <w:sz w:val="28"/>
          <w:szCs w:val="28"/>
          <w:rtl w:val="true"/>
          <w:lang w:bidi="ar-SA"/>
        </w:rPr>
        <w:t>إنّ هذا النص هو فقرة من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حَتّی إِذا أَتَیا أَهلَ قَریَةٍ استَطعَما أَهلَها فَأَبَوا أَن یُضَیِّفُوهُما فَوَجَدا فِیها جِداراً یُرِیدُ أَن یَنقَضَّ فَأَقامَهُ قالَ لَو شِئتَ لاَتَّخَذتَ عَلَیهِ أَجراً، وهذه الآیة وردت ضمن آیات تتحدّث عن قصة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العبد الصالح، واعتراض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شاهده منه ثلاث مرّات أخیرتهنّ حینما وصلا إلی قریة‌وطلبا الطعام من أهلها فأبوا أن یضیّفوهما، ثم إنّهما وجدا فی تلک القریة جداراً مشرفاً علی السقوط والانهدام فأصلحه وعمّره العبد الصالح، وهنا بادره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 بأنّه بإمکانک أن تأخذ علی عملک فی إقامة الجدار وإصلاحه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لحاجتهما الماسّة للطعام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القریة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أنطاکیا، کما عن ابن عباس،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إیلة، کما عن ابن سیرین ومحمد بن کعب،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قریة علی ساحل البحر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ناصرة، وبها سمّیت النصاری نصاری، وهو المروی عن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القراءة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قرأ ابن کثیر، وأبو عمرو، ویعقوب، وابن محیصن، والیزیدی، والحسن، وابن مسعود، وقتادة، وأبو بحریة، ومجاهد، وابن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روایة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لاَتَّخَذتَ بتاء الخطاب وخاء معجمة مکسورة</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ونسبت هذه القراءة إلی لغة هذیل</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وقرأ ابن کثیر، وحفص عن عاصم، ورویس فی أحد الوجهین، والتمّار بإظهار الذال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لتغایر مخرج الذال والتاء</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وأدغم الذال فی التاء أبو عمرو، وابن عامر، ونافع، وحمزة والکسائی، وحمّاد،</w:t>
      </w:r>
    </w:p>
    <w:p>
      <w:pPr>
        <w:pStyle w:val="BookText"/>
        <w:rPr/>
      </w:pPr>
      <w:r>
        <w:rPr>
          <w:rFonts w:ascii="IRNazanin" w:hAnsi="IRNazanin" w:eastAsia="IRNazanin"/>
          <w:color w:val="111111"/>
          <w:sz w:val="28"/>
          <w:sz w:val="28"/>
          <w:szCs w:val="28"/>
          <w:rtl w:val="true"/>
          <w:lang w:bidi="fa-IR"/>
        </w:rPr>
        <w:t>ویحیی عن أبی بکر، عن عاصم، ورویس فی وجهه الثانی والتّمار، ویعقوب، وخلف، وأبوجعفر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لتقارب مخرجیهما</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التحلیل اللفظی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لاَتَّخَذتَ التاء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کما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افتعل منه کاتَّبع من تبِع، ولیس من الأخذ فی شیء </w:t>
      </w:r>
      <w:r>
        <w:rPr>
          <w:rStyle w:val="FootnoteAnchor"/>
          <w:rtl w:val="true"/>
        </w:rPr>
        <w:footnoteReference w:id="438"/>
      </w:r>
      <w:r>
        <w:rPr>
          <w:rFonts w:ascii="IRNazanin" w:hAnsi="IRNazanin" w:eastAsia="IRNazanin"/>
          <w:color w:val="111111"/>
          <w:sz w:val="28"/>
          <w:sz w:val="28"/>
          <w:szCs w:val="28"/>
          <w:rtl w:val="true"/>
          <w:lang w:bidi="fa-IR"/>
        </w:rPr>
        <w:t xml:space="preserve">، وذهب بعض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واحد</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لایتعدّی إلّا إلی مفعول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یتعدّی إلی مفعول واحد وتارة إلی مفعولین</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عَلَیهِ الضمیر للإقامة المفهومة من قوله فَأَقامَهُ ، وهو مصدر جائز الوجهین</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المدلول التشریعی</w:t>
      </w:r>
    </w:p>
    <w:p>
      <w:pPr>
        <w:pStyle w:val="BookText"/>
        <w:rPr/>
      </w:pPr>
      <w:r>
        <w:rPr>
          <w:rFonts w:ascii="IRNazanin" w:hAnsi="IRNazanin" w:eastAsia="IRNazanin"/>
          <w:color w:val="111111"/>
          <w:sz w:val="28"/>
          <w:sz w:val="28"/>
          <w:szCs w:val="28"/>
          <w:rtl w:val="true"/>
          <w:lang w:bidi="fa-IR"/>
        </w:rPr>
        <w:t>استدلّ به علی مشروعیة الإجارة علی العمل</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واعترض علی ذلک بکون الدلیل أعمّ من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لاحتمال کون الأجر هنا لا بمعنی المسمّی بعقد الإجارة بل هو عوض مثل عمل بناء الجدار، نظیر ما قیل فی النصّ السابق، بل یمکن أن یورد علیه مضافاً لما سبق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المتتبع لمسار القصة حیث إنّ العبد الصالح الذی اصطحب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قام ببناء الجدار وبعد ذلک اقترح علیه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الأجرة، فینتفی احتمال تقدّم عقد الإجارة علیه، ویتعیّن الاحتمال الآخر</w:t>
      </w:r>
      <w:r>
        <w:rPr>
          <w:rFonts w:eastAsia="IRNazanin" w:cs="IRNazanin"/>
          <w:color w:val="111111"/>
          <w:sz w:val="28"/>
          <w:szCs w:val="28"/>
          <w:rtl w:val="true"/>
          <w:lang w:bidi="fa-IR"/>
        </w:rPr>
        <w:t>.</w:t>
      </w:r>
      <w:bookmarkStart w:id="401" w:name="pg5707_46688"/>
    </w:p>
    <w:p>
      <w:pPr>
        <w:pStyle w:val="BookText"/>
        <w:rPr/>
      </w:pPr>
      <w:bookmarkEnd w:id="40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ظاهرالنصّ أیضاً قد یستفاد منه کون بناء الجدار قد أقدم علیه العبد الصالح تبرّعاً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 لم یذکر هناک طلب من أهل الجدار ولا من أهل القریة، فلا موضوع للأجر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یتوهّم أنّ ذلک یقتضی نسبة الجهل أو الظلم لموسی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یحتمل أن یکون مراد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اقتراحه هو عدم الإقدام تبرّعاً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 أهل تلک القریة لم یعاملوه وصاحبه معاملة إنسانیة حیث امتنعوا من تضییفهما فلم یکونوا یستحقون الإحسان، أو باعتبار حاجتهما الماسّة إلی المال وقتها لتحصیل القوت، لا أنّ مراده أخذ الأجر بعد وقوع العمل تبرّعاً، بل لعلّ هذا هو الظاهر، فیدلّ علی جواز جعل الاُجرة ابتداء</w:t>
      </w:r>
      <w:r>
        <w:rPr>
          <w:rFonts w:eastAsia="IRNazanin" w:cs="IRNazanin"/>
          <w:color w:val="111111"/>
          <w:sz w:val="28"/>
          <w:szCs w:val="28"/>
          <w:rtl w:val="true"/>
          <w:lang w:bidi="fa-IR"/>
        </w:rPr>
        <w:t xml:space="preserve">. </w:t>
      </w:r>
      <w:r>
        <w:rPr>
          <w:rStyle w:val="FootnoteAnchor"/>
          <w:rtl w:val="true"/>
        </w:rPr>
        <w:footnoteReference w:id="443"/>
      </w:r>
    </w:p>
    <w:p>
      <w:pPr>
        <w:pStyle w:val="Heading4"/>
        <w:numPr>
          <w:ilvl w:val="3"/>
          <w:numId w:val="1"/>
        </w:numPr>
        <w:rPr/>
      </w:pPr>
      <w:bookmarkStart w:id="402" w:name="__RefHeading___Toc3818513_581953129"/>
      <w:bookmarkStart w:id="403" w:name="_Toc159"/>
      <w:bookmarkEnd w:id="402"/>
      <w:r>
        <w:rPr>
          <w:rtl w:val="true"/>
        </w:rPr>
        <w:t>النصّ الثالث</w:t>
      </w:r>
      <w:bookmarkEnd w:id="403"/>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ذَا القَرنَینِ إِنَّ یَأجُوجَ وَ مَأجُوجَ مُفسِدُونَ فِی الأَرضِ فَهَل نَجعَلُ لَکَ خَرجاً عَلی أَن تَجعَلَ بَینَنا وَ بَینَهُم سَدًّا </w:t>
      </w:r>
      <w:r>
        <w:rPr>
          <w:rStyle w:val="FootnoteAnchor"/>
          <w:rtl w:val="true"/>
        </w:rPr>
        <w:footnoteReference w:id="444"/>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العوض، وقد وقع فی مقابل العمل، فتدلّ علی مشروعیة الإجارة للعمل</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ویرد علی الاستدلال بها، بأنّ المأخوذ أعم من کونه ما جعل فی عقد الإجارة أو غیرها من العقود کالجعالة، مضافاً إلی أنّ هذا العرض کان من قبل القوم الذین لا نعرف عنهم شیئاً إلّا ما وصفهم به الله تعالی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یَکادُونَ یَفقَهُونَ قَولاً </w:t>
      </w:r>
      <w:r>
        <w:rPr>
          <w:rStyle w:val="FootnoteAnchor"/>
          <w:rtl w:val="true"/>
        </w:rPr>
        <w:footnoteReference w:id="445"/>
      </w:r>
      <w:r>
        <w:rPr>
          <w:rFonts w:ascii="IRNazanin" w:hAnsi="IRNazanin" w:eastAsia="IRNazanin"/>
          <w:color w:val="111111"/>
          <w:sz w:val="28"/>
          <w:sz w:val="28"/>
          <w:szCs w:val="28"/>
          <w:rtl w:val="true"/>
          <w:lang w:bidi="fa-IR"/>
        </w:rPr>
        <w:t>، ولا حجیّة فی قولهم، بل ممّا یزید الطین بلّة أنّه لم یبیّن بأنّ ذا القرنین کان قد أجابهم لما</w:t>
      </w:r>
      <w:bookmarkStart w:id="404" w:name="pg5707_46689"/>
    </w:p>
    <w:p>
      <w:pPr>
        <w:pStyle w:val="BookText"/>
        <w:rPr/>
      </w:pPr>
      <w:bookmarkEnd w:id="404"/>
      <w:r>
        <w:rPr>
          <w:rFonts w:ascii="IRNazanin" w:hAnsi="IRNazanin" w:eastAsia="IRNazanin"/>
          <w:color w:val="111111"/>
          <w:sz w:val="28"/>
          <w:sz w:val="28"/>
          <w:szCs w:val="28"/>
          <w:rtl w:val="true"/>
          <w:lang w:bidi="fa-IR"/>
        </w:rPr>
        <w:t xml:space="preserve">أرادوا أم لا، بل قد ورد فی الأثر أنّه ردّ ذلک وبیّن عدم احتیاجه للمال </w:t>
      </w:r>
      <w:r>
        <w:rPr>
          <w:rStyle w:val="FootnoteAnchor"/>
          <w:rtl w:val="true"/>
        </w:rPr>
        <w:footnoteReference w:id="446"/>
      </w:r>
      <w:r>
        <w:rPr>
          <w:rFonts w:ascii="IRNazanin" w:hAnsi="IRNazanin" w:eastAsia="IRNazanin"/>
          <w:color w:val="111111"/>
          <w:sz w:val="28"/>
          <w:sz w:val="28"/>
          <w:szCs w:val="28"/>
          <w:rtl w:val="true"/>
          <w:lang w:bidi="fa-IR"/>
        </w:rPr>
        <w:t>، مضافاً إلی أنّنا لا نعرف شخصیة ذی القرنین وما هی مکانته، وهل کان من الأنبیاء أو من الأولیاء أو من الصالحین أو غیر ذلک حتی نستدلّ بفعله أو تقریره</w:t>
      </w:r>
      <w:r>
        <w:rPr>
          <w:rFonts w:eastAsia="IRNazanin" w:cs="IRNazanin"/>
          <w:color w:val="111111"/>
          <w:sz w:val="28"/>
          <w:szCs w:val="28"/>
          <w:rtl w:val="true"/>
          <w:lang w:bidi="fa-IR"/>
        </w:rPr>
        <w:t>.</w:t>
      </w:r>
    </w:p>
    <w:p>
      <w:pPr>
        <w:pStyle w:val="Heading4"/>
        <w:numPr>
          <w:ilvl w:val="3"/>
          <w:numId w:val="1"/>
        </w:numPr>
        <w:rPr/>
      </w:pPr>
      <w:bookmarkStart w:id="405" w:name="__RefHeading___Toc3818515_581953129"/>
      <w:bookmarkStart w:id="406" w:name="_Toc160"/>
      <w:bookmarkEnd w:id="405"/>
      <w:r>
        <w:rPr>
          <w:rtl w:val="true"/>
        </w:rPr>
        <w:t>النصّ الرابع</w:t>
      </w:r>
      <w:bookmarkEnd w:id="406"/>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مُوسی هَل أَتَّبِعُکَ عَلی أَن تُعَلِّمَنِ مِمّا عُلِّمتَ رُشداً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حیث إنّ عَلی تدلّ علی العوض ویرد علی الاستدلال بها إنّ الواقع بین موسی والعبد الصالح لیس إجارة، فلیس کلّ اتفاق یکون معاملة، ولیس کل اشتراط یکون عقداً فضلاً عن أن یکون عقد إجارة، ففرق بین الاتفاق المعاملی والاتفاق الأخلاقی فلم یکن هنا معاوضة ولا مبادلة</w:t>
      </w:r>
      <w:r>
        <w:rPr>
          <w:rFonts w:eastAsia="IRNazanin" w:cs="IRNazanin"/>
          <w:color w:val="111111"/>
          <w:sz w:val="28"/>
          <w:szCs w:val="28"/>
          <w:rtl w:val="true"/>
          <w:lang w:bidi="fa-IR"/>
        </w:rPr>
        <w:t>.</w:t>
      </w:r>
    </w:p>
    <w:p>
      <w:pPr>
        <w:pStyle w:val="Heading4"/>
        <w:numPr>
          <w:ilvl w:val="3"/>
          <w:numId w:val="1"/>
        </w:numPr>
        <w:rPr/>
      </w:pPr>
      <w:bookmarkStart w:id="407" w:name="__RefHeading___Toc3818517_581953129"/>
      <w:bookmarkStart w:id="408" w:name="_Toc161"/>
      <w:bookmarkEnd w:id="407"/>
      <w:r>
        <w:rPr>
          <w:rtl w:val="true"/>
        </w:rPr>
        <w:t>النصّ الخامس</w:t>
      </w:r>
      <w:bookmarkEnd w:id="408"/>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هُم یَقسِمُونَ رَحمَتَ رَبِّکَ نَحنُ قَسَمنا بَینَهُم مَعِیشَتَهُم فِی الحَیاةِ الدُّنیا وَ رَفَعنا بَعضَهُم فَوقَ بَعضٍ دَرَجاتٍ لِیَتَّخِذَ بَعضُهُم بَعضاً سُخرِیًّا وَ رَحمَتُ رَبِّکَ خَیرٌ مِمّا یَجمَعُونَ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حیث جعلها بعضهم من أدلّة الإجارة </w:t>
      </w:r>
      <w:r>
        <w:rPr>
          <w:rStyle w:val="FootnoteAnchor"/>
          <w:rtl w:val="true"/>
        </w:rPr>
        <w:footnoteReference w:id="447"/>
      </w:r>
      <w:r>
        <w:rPr>
          <w:rFonts w:ascii="IRNazanin" w:hAnsi="IRNazanin" w:eastAsia="IRNazanin"/>
          <w:color w:val="111111"/>
          <w:sz w:val="28"/>
          <w:sz w:val="28"/>
          <w:szCs w:val="28"/>
          <w:rtl w:val="true"/>
          <w:lang w:bidi="fa-IR"/>
        </w:rPr>
        <w:t>، وقد روی الاستدلال بها عن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فیما روی عنه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وجه الإجارة 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قَسَمنا بَینَهُم مَعِیشَتَهُم فِی الحَیاةِ الدُّنیا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یَجمَعُونَ فأخبرنا سبحانه أنّ الإجارة أحد معایش الخلق</w:t>
      </w:r>
      <w:r>
        <w:rPr>
          <w:rFonts w:eastAsia="Amiri" w:cs="Amiri" w:ascii="Amiri" w:hAnsi="Amiri"/>
          <w:color w:val="111111"/>
          <w:sz w:val="28"/>
          <w:szCs w:val="28"/>
          <w:rtl w:val="true"/>
          <w:lang w:bidi="ar-SA"/>
        </w:rPr>
        <w:t xml:space="preserve">... . </w:t>
      </w:r>
      <w:r>
        <w:rPr>
          <w:rStyle w:val="FootnoteAnchor"/>
          <w:rtl w:val="true"/>
        </w:rPr>
        <w:footnoteReference w:id="448"/>
      </w:r>
      <w:bookmarkStart w:id="409" w:name="pg5707_46690"/>
    </w:p>
    <w:p>
      <w:pPr>
        <w:pStyle w:val="BookText"/>
        <w:rPr/>
      </w:pPr>
      <w:bookmarkEnd w:id="409"/>
      <w:r>
        <w:rPr>
          <w:rFonts w:ascii="IRNazanin" w:hAnsi="IRNazanin" w:eastAsia="IRNazanin"/>
          <w:color w:val="111111"/>
          <w:sz w:val="28"/>
          <w:sz w:val="28"/>
          <w:szCs w:val="28"/>
          <w:rtl w:val="true"/>
          <w:lang w:bidi="fa-IR"/>
        </w:rPr>
        <w:t>ویمکن المناقشة فیه بأنّ أقصی ما یمکن استفادته من ظاهر الآیة هو مشروعیة انتفاع الناس بعضهم ببعض، وهذا کما تری أعم من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المروی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فضعیف سنداً، مضافاً إلی إمکان حمله علی الأعم من الإجارة المصطلحة</w:t>
      </w:r>
      <w:r>
        <w:rPr>
          <w:rFonts w:eastAsia="IRNazanin" w:cs="IRNazanin"/>
          <w:color w:val="111111"/>
          <w:sz w:val="28"/>
          <w:szCs w:val="28"/>
          <w:rtl w:val="true"/>
          <w:lang w:bidi="fa-IR"/>
        </w:rPr>
        <w:t>.</w:t>
      </w:r>
    </w:p>
    <w:p>
      <w:pPr>
        <w:pStyle w:val="Heading4"/>
        <w:numPr>
          <w:ilvl w:val="3"/>
          <w:numId w:val="1"/>
        </w:numPr>
        <w:rPr/>
      </w:pPr>
      <w:bookmarkStart w:id="410" w:name="__RefHeading___Toc3818519_581953129"/>
      <w:bookmarkStart w:id="411" w:name="_Toc162"/>
      <w:bookmarkEnd w:id="410"/>
      <w:r>
        <w:rPr>
          <w:rtl w:val="true"/>
        </w:rPr>
        <w:t>النصّ السادس</w:t>
      </w:r>
      <w:bookmarkEnd w:id="411"/>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جاءَ بِهِ حِملُ بَعِیرٍ وَ أَنَا بِهِ زَعِیمٌ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استدلّ بها بعضٌ علی مشروعیة الإجارة؛ لکونها تحکی مشروعیتها فی شریعة نبی من أنبیاء الله، وهو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والظاهر إنّها تدلّ علی مشروعیة عقد آخر یشبه الإجارة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الجُعالة</w:t>
      </w:r>
      <w:r>
        <w:rPr>
          <w:rFonts w:eastAsia="IRNazanin" w:cs="IRNazanin"/>
          <w:color w:val="111111"/>
          <w:sz w:val="28"/>
          <w:szCs w:val="28"/>
          <w:rtl w:val="true"/>
          <w:lang w:bidi="fa-IR"/>
        </w:rPr>
        <w:t>).</w:t>
      </w:r>
    </w:p>
    <w:p>
      <w:pPr>
        <w:pStyle w:val="Heading4"/>
        <w:numPr>
          <w:ilvl w:val="3"/>
          <w:numId w:val="1"/>
        </w:numPr>
        <w:rPr/>
      </w:pPr>
      <w:bookmarkStart w:id="412" w:name="__RefHeading___Toc3818521_581953129"/>
      <w:bookmarkStart w:id="413" w:name="_Toc163"/>
      <w:bookmarkEnd w:id="412"/>
      <w:r>
        <w:rPr>
          <w:rtl w:val="true"/>
        </w:rPr>
        <w:t>النصّ السابع</w:t>
      </w:r>
      <w:bookmarkEnd w:id="413"/>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استَمتَعتُم بِهِ مِنهُنَّ فَآتُوهُنَّ أُجُورَهُنَّ فَرِیضَةً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فَانکِحُوهُنَّ بِإِذنِ أَهلِهِنَّ وَ آتُوهُنَّ أُجُورَهُنَّ بِالمَعرُوفِ</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 ونحوه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جُناحَ عَلَیکُم أَن تَنکِحُوهُنَّ إِذا آتَیتُمُوهُنَّ أُجُورَهُنَّ </w:t>
      </w:r>
      <w:r>
        <w:rPr>
          <w:rStyle w:val="FootnoteAnchor"/>
          <w:rtl w:val="true"/>
        </w:rPr>
        <w:footnoteReference w:id="451"/>
      </w:r>
      <w:r>
        <w:rPr>
          <w:rFonts w:ascii="Amiri" w:hAnsi="Amiri" w:eastAsia="Amiri" w:cs="Amiri"/>
          <w:color w:val="111111"/>
          <w:sz w:val="28"/>
          <w:sz w:val="28"/>
          <w:szCs w:val="28"/>
          <w:rtl w:val="true"/>
          <w:lang w:bidi="ar-SA"/>
        </w:rPr>
        <w:t>، وکذلک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إِنّا أَحلَلنا لَکَ أَزواجَکَ اللاّتِی آتَیتَ أُجُورَهُنَّ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ویردّ علی هذا الاستدلال أنّ المراد بالاُجور هنا؛ المعنی الکنائی لا المعنی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إجارة هنا قطعاً، بل الواقع هو عقد النکاح، والمراد بالاُجور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المهوروالصدُقات</w:t>
      </w:r>
      <w:r>
        <w:rPr>
          <w:rFonts w:eastAsia="IRNazanin" w:cs="IRNazanin"/>
          <w:color w:val="111111"/>
          <w:sz w:val="28"/>
          <w:szCs w:val="28"/>
          <w:rtl w:val="true"/>
          <w:lang w:bidi="fa-IR"/>
        </w:rPr>
        <w:t>.</w:t>
      </w:r>
      <w:bookmarkStart w:id="414" w:name="pg5707_46692"/>
    </w:p>
    <w:p>
      <w:pPr>
        <w:pStyle w:val="Heading2"/>
        <w:numPr>
          <w:ilvl w:val="1"/>
          <w:numId w:val="1"/>
        </w:numPr>
        <w:rPr/>
      </w:pPr>
      <w:bookmarkStart w:id="415" w:name="__RefHeading___Toc3818523_581953129"/>
      <w:bookmarkStart w:id="416" w:name="_Toc164"/>
      <w:bookmarkEnd w:id="414"/>
      <w:bookmarkEnd w:id="415"/>
      <w:r>
        <w:rPr>
          <w:rtl w:val="true"/>
        </w:rPr>
        <w:t>المصادر</w:t>
      </w:r>
      <w:bookmarkEnd w:id="416"/>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الآملی، عبد الله، کتاب الصلاة،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تقریر أبحاث محمد المحقّق الداماد، مؤسسة النشر الإسلامی التابعة لجماعة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الآلوسی، محمود شکری، روح المعانی فی تفسیر القرآن العظیم والسبع المثانی،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أبی جمهور، محمّد بن علی بن إبراهیم الأحسانی، عوالی الآلی العزیزیته فی الأحادیث النبویة، مطبعة سیدالشهداء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الأثیر الجزری، مجد الدین محمد، النهایة فی غریب الحدیث والأثر، المکتبة الإسلامیة،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الجوزی، أبو الفرج، عبد الرحمن، المصفّی بأکفّ أهل الرسوخ من علم الناسخ والمنسوخ،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حزم الأندلسی، علی بن أحمد بن سعید، المحلّی، دار الآفاق الجدیدة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حزم الأندلسی، علی بن أحمد بن سعید، الناسخ والمنسوخ،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خالویه، الحسین بن أحمد، الحجّة فی القراءات السبع، دار الشروق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درید، أبو بکر محمد بن الحسن، جمهرة اللغة، دار العلم للملایین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رشد، القاضی أبو الولید، محمد بن أحمد الأندلسی القرطبی الشهیر بابن رشد الحفید، بدایة المجتهد ونهایة المقتصد،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سلمة،أبوجعفر أحمد بن محمّد بن سلامة بن عبدالملک بن سلمة الأسدی الحجری الطحاوی الحنفی، شرح معانی الآثار، دارالکتب العلمیة، ط</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 البرّ، یوسف بن عبد الله، جامع بیان العلم وفضله وما ینبغی فی روایته وحمله، مؤسسة الکتب 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عبّاد، کافی الکفاة، الصاحب إسماعیل، المحیط فی اللغة، عالم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عدی، الحافظ أبوأحمد عبدالله، الکامل فی ضغفاء الرجال، دارالفکر للطباعة ئالنشر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ascii="IRNazanin" w:hAnsi="IRNazanin" w:eastAsia="IRNazanin"/>
          <w:color w:val="111111"/>
          <w:sz w:val="28"/>
          <w:sz w:val="28"/>
          <w:szCs w:val="28"/>
          <w:lang w:bidi="fa-IR"/>
        </w:rPr>
        <w:t>‌</w:t>
      </w:r>
      <w:r>
        <w:rPr>
          <w:rFonts w:eastAsia="IRNazanin" w:cs="IRNazanin"/>
          <w:color w:val="111111"/>
          <w:sz w:val="28"/>
          <w:szCs w:val="28"/>
          <w:lang w:bidi="fa-IR"/>
        </w:rPr>
        <w:t>1409/3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العربی، محمد بن عبد الله، أحکام القرآن،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العربی، محمد بن عبد الله، قانون التأویل، دار الغرب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أبو الحسین، أحمد بن فارس بن زکریا، معجم مقاییس اللغة،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بدون تاریخ</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أبو الحسین أحمد بن فارس بن زکریا، مجمل اللغة،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القیّم، شمس الدین أبو عبد الله، محمد بن أبی بکر، أعلام الموقّعین عن ربّ العالمین، 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الدمشقی، أبو الفداء، إسماعیل بن عمر، تفسیر القرآن العظیم،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مفتاح، أبو الحسن، عبد الله، المنتزع المختار من الغیث المدرار 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الأزهار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التراث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الأفریقی، محمد بن مکرّم، لسان العرب، دار إحیاء التراث العربی و مؤسسة التاریخ العربی،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ندیم، أبوالفرج محمّد بن أبی یعقوب،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الأردبیلی، المولی أحمد بن محمد، زبدة البیان فی أحکام القرآن، مؤتمر المقدّس الأردبیلی، 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الأردبیلی، المولی أحمد بن محمد، مجمع الفائدة والبرهان، مؤتمر المقدّس الأردبیلی، 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الأزهری، محمد بن أحمد، تهذیب اللغة، دار القومیة العربیة،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الأصفهانی، بهاء الدین محمد بن الحسن، کشف اللثام عن قواعد الأحکام، مؤسسة النشر الإسلامی التابعة لجماعة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مالک، مالک بن أنس، الموطّأ، دار إحیاء التراث العربی، 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الأندلسی الأشبیلی، أبو بکر، محمد بن عبدالله المعروف بابن العربی، أحکام القرآن، 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الأنصاری، جمال الدین، محمد بن عبد الله بن هشام، مغنی اللبیب عن کتب الأعاریب،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الأنصاری، مرتضی، الأنظار التفسیریة للشیخ الأنصاری، مکتب الإعلام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المکاسب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 ضمن تراث الشیخ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الفکر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الأیازی، محمد علی، التحقیق فی فقه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باللغة 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بژوهی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 الإعلام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الإیروانی، باقر، دروس تمهیدیة فی تفسیر آیات الأحکام، دار الفقه للطباعة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الباقلانی، محمد بن الطیّب، إعجاز القرآن، 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البخاری، أبو عبد الله، إسماعیل بن إبراهیم، التاریخ الکبیر،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البخاری، أبوعبدلله، محمّد بن إسماعیل بن إبراهیم، صیح البخاری، دارالفکر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بالأوفیت عن طبعة دارالطباعة العامرة باستانبول</w:t>
      </w:r>
      <w:r>
        <w:rPr>
          <w:rFonts w:eastAsia="IRNazanin" w:cs="IRNazanin"/>
          <w:color w:val="111111"/>
          <w:sz w:val="28"/>
          <w:szCs w:val="28"/>
          <w:rtl w:val="true"/>
          <w:lang w:bidi="fa-IR"/>
        </w:rPr>
        <w:t>/</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البستانی، المعلّم بطرس، محیط المحیط، مکتبة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البغدادی، ابن ناقیا، الجمان فی تشبیهات القرآن، دار الجمهوریة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البقاعی، برهان الدین بن عمر، نظم الدرر فی تناسب الآیات والسور،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البکری الدمیاطی، أبو بکر العارف بالله السید محمد شطا، إعانة الطالبین،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البهائی العاملی، محمد بن الحسین المعروف بالشیخ البهائی، مشرق الشمسین وإکسیر السعادتین، مجمع البحوث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بیات، بیت الله، معجم الفروق اللغویة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 لکتاب أبی هلال العسکری وجزء من کتاب السید نور الدین الجزائری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النشر الاسلامی التابعة لجماعة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البیهقی، أحمد بن الحسین، السنن الکبری،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الترمذی، محمد بن عیسی، سنن الترمذی،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التستری، محمّد تقی، قاموس الرجال، مؤسسة النشر الإسلامی التابعة لجماعة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التمیمی المغربی، القاضی أبو حنیفة، النعمان بن محمّد، دعائم الإسلام وذکر الحلال والحرام، 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التونی البشروی، عبد الله بن محمد، الوافیة فی اصول الفقه، مجمع الفکر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الثعلبی، أبو إسحاق أحمد، الکشف والبیان 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الجرجانی، عبد القاهر، دلائل الإعجاز،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الجصّاص، أبو بکر، أحمد بن علی الرازی، أحکام القرآن،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الجوهری، إسماعیل بن حماد، تاج اللغة وصحاح العربیة،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الحاکم النیسابوری، أبو عبد الله، المستدرک علی الصحیحین،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الحرّ العاملی، محمّد بن الحسن، تفصیل وسائل الشیعة إلی تحصیل مسائل الشریعة،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عباس، النحو الوافی، 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ط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الحکیم، محمّد باقر، علوم القرآن، المجمع العالمی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الحکیم، محمّد تقی، الاُصول العامّة للفقه المقارن، المجمع العالمی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الحلّی، فخر المحققین أبو طالب محمد بن الحسن، إیضاح الفوائد فی شرح إشکالات القواعد، مؤسسة إسماعیلیان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الحمد، غانم قدّوری، رسم المصحف، منشورات اللجنة الوطنیة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الحموی، أحمد بن عمر، القواعد والإشارات فی اصول القراءات، دار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الخضری، محمد، اصول الفقه، دار الحدیث،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الخضری، محمد، تاریخ التشریع، دار الحدیث،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الخطیب، عبد اللطیف، معجم القراءات، دار سعد الدین دمشق،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الخطیب الإسکافی، أبو عبد الله محمد بن عبد الله، درّة التنزیل وغرّة التأویل فی بیان الآیات المتشابهات فی کتاب الله العزیز، دار الآفاق الحدیثة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خلاف، عبد الوهاب، علم اصول الفقه وخلاصة تاریخ التشریع الإسلامی، القاهرة،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الخوئی، أبو القاسم، البیان فی تفسیر القرآن، المطبعة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مستند العروة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النکاح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مدرسة دار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الخمینی، روح الله، تحریر الوسیلة، مطبعة الآداب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افسیت 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الدارقطنی، علی بن عمر، سنن الدارقطنی،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الدارمی، أبو محمد، عبد الله بن عبد الرحمن بن الفضل بن بهرام، سنن الدارمی، دار الفکر، بیروت،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الدانی، عثمان بن سعید، البیان فی عدّ آی القرآن، مرکز المخطوطات والتراث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الکویت،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الدانی، عثمان بن سعید، التیسیر فی القراءات السبع،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الدانی، عثمان بن سعید، المحکم فی نقط المصحف،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الدرویش، محیی الدین، إعراب القرآن الکریم وبیانه، ط حمص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الیمامة</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الدمشقی، الحافظ أبو الفداء، إسماعیل بن کثیر، تفسیر القرآن العظیم، دار الفجر للتراث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الدمیاطی، شهاب الدین أحمد بن عمر، إتحاف فضلاء البشر فی القراءات الأربعة عشر،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الدهسرخی، محمود، الجمان الحسان فی أحکام القرآن،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الدینوری، عبد الله بن مسلم بن قتیبة، تأویل مشکل القرآن، المکتبة العلمیة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الذهبی، أبوعبدالله محمّد بن أحمد بن عثمان، تاریخ الإسلام، دارالکتاب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الذهبی، محمد حسین، التفسیر والمفسّرون، دار الکتب الحدیثة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الرازی، الفخر محمد بن عمر، التفسیر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ط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نهایة الإیجاز فی درایة الإعجاز، دار العلم للملایین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ا،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الراغب الإصفهانی، مفردات ألفاظ القرآن، دار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الراوندی، قطب الدین، سعید بن هبة الله، فقه القرآن، مطبعة 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الرفسنجانی، علی أکبر، التفسیر المرشد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باللغة 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الروحانی، محمد صادق، فقه الصادق، قم،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الروحانی، محمود، المعجم الإحصائی لألفاظ القرآن الکریم، الروضة الرضویة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الزبیدی، محمد مرتضی، تاج العروس من جواهر القاموس، دار مکتبة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الزرعی الدمشقی، شمس الدین محمد بن أبی بکر، الأمثال فی القرآن، مکتبة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الزرقانی، محمد عبد العظیم، مناهل العرفاند فی علوم القرآن، دار إحیاء الکتب العربیة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البابی وشرکاه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مصر، ط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الزرکشی، بدر الدین، محمد بن عبد الله، البرهان فی علوم القرآن،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الزمخشری، جار الله محمد بن عمر، الکشّاف عن حقائق غوامض التنزیل وعیون الأقاویل فی وجوه التأویل، نشر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الزهری، ابن شهاب، تنزیل القرآن بمکة والمدینة، دار الکتاب الجدید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السایس، محمّد علی، تفسیر آیات الأحکام، دار إحیاء التراث العربی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السبزواری، عبد الأعلی، مهذّب الأحکام فی بیان الحلال والحرام، مؤسسة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السبزواری، عبد الأعلی، مواهب الرحمان، مؤسسة المنار،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السجستانی، سلیمان بن الأشعث، سنن أبی داود،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السدوسی، قتادة بن دعامة، الناسخ والمنسوخ،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السرخسی، شمس الدین أبو بکر محمد بن أبی سهل، المبسوط،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سلقینی، إبراهیم محمد، المیسّر فی اصول الفقه الإسلامی،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السیوری، جمال الدین الفاضل المقداد بن عبدالله، کنز العرفان،المکتبة المرتضویة‌طهران،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السیوطی، جلال الدین عبد الرحمن، الإتقان فی علوم القرآن،المکتبة العصریة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السیوطی، جلال الدین عبد الرحمن، أسرار ترتیب القرآن، دار الاعتصام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السیوطی، جلال الدین عبد الرحمن، تناسق الدرر فی تناسب السور، عالم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السیوطی، جلال الدین عبد الرحمن، الدرّ المنثورفی التفسیر المأثور، دار 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السیوطی، جلال الدین عبد الرحمن، لباب النقول فی أسباب النزول، إحیاء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معترک الأقران فی إعجاز القرآن،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الشافعی، أبو عبدالله محمد بن إدریس، أحکام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أبوبکر أحمد بن الحسین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مسند الامام الشافعی،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الاُم،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شبّر، عبد الله، الاُصول الأصلیة والقواعد الشرعیة، مکتبة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الشریف الرضی، أبو الحسن محمد بن الحسین، حقائق التأویل فی متشابه التنزیل، 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الشریف الرضی، أبو الحسن محمد بن الحسین، تلخیص البیان فی مجازات القرآن، مؤسسة نهج البلاغة،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شلتوت، محمود، الإسلام عقیدة وشریعة، دار الشروق، ط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شهاب الدین، أحمد بن علی، العجاب فی بیان الأسباب، دار ابن الجوزی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السعودیة،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الشهید الأول، محمد بن مکی، الدروس الشرعیة فی فقه الإمامیة، مؤسسة النشر الإسلامی التابعة لجماعة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الشهید الثانی، زین الدین الجبعی، الروضة البهیة فی شرح اللمعة الدمشقیة، 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الشوکانی، محمد بن علی، إرشاد الفحول إلی تحقیق الحق من علم الاُصول، 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نیل الأوطار شرح منتقی الأخبار، مکتبة البابی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الشیبانی، أحمد بن حنبل، مسند الإمام أحمد، مؤسسة التاریخ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نظام، الفتاوی الهندیة،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الصابونی، محمّد علی، روائع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آیات الأحکام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الصالح، صبحی، مباحث فی علوم القرآن، دار العلم للملایین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افسیت منشورات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الصدر، محمّد باقر، الإسلام یقود 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 ضمن المجموعة الکاملة للشهید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التعارف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محمّد بن علی بن بابویه، من لایحضره الفقیه، دار الکتب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الأمالی، 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الصنعانی، عبد الرزاق بن همام، المصنّف، بیروت،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الطباطبائی، محمّد حسین، المیزان فی تفسیر القرآن، 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الطباطبائی الیزدی، محمد کاظم، العروة الوثقی، مؤسسة الأعلمی للمنشورات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الطباطبائی الیزدی النجفی، آقا حسین، تفسیر آیات الأحکام وفق المذهب الجعفری والمذاهب الأربعة، مطبعة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الطبری، أبو جعفر محمد بن جریر، جامع البیان عن تأویل آی القرآن،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الطبرسی، الامام السعید أبو علی الفضل بن الحسن، مجمع البیان فی تفسیر القرآن، دار المعرفة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الطبری، عماد الدین بن محمد المعروف بالکیا الهرّاس، أحکام القرآن، 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الطریحی، فخر الدین، مجمع البحرین، المکتبة المرتضویة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الطهرانی الحائری، محمد حسین، الفصول الغرویة فی الاُصول الفقهیة،دار إحیاء العلوم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حجریة،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الطوسی، محمد بن الحسن، الاستبصار فیما اختلف من الأخبار، دار الکتب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الأمالی، 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التبیان فی تفسیر القرآن،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تهذیب الأحکام، دار الکتب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الخلاف، مؤسسة النشر الاسلامی التابعة لجماعة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المبسوط فی فقه الإمامیة، المکتبة المرتضویة لإحیاء الآثار الجعفریة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العاملی، محمد جواد، مفتاح الکرامة فی شرح قواعد العلامة، مؤسسة النشر الاسلامی التابعة لجماعة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عبده، محمد، شرح نهج البلاغة، مکتب الإعلام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عتریس، محمد، معجم التعبیرات القرآنیة، الدار الثقافیة للنشر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العسکری، مرتضی، معالم المدرستین، 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عقیقی بخشایشی، طبقات مفسّری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العکبری، أبو البقاء عبد الله بن الحسین، إملاء ما منّ به الرحمن من وجوه الإعراب والقراءات فی جمیع القرآن، مکتبة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العکبری، أبو البقاء عبد الله بن الحسین، التبیان فی إعراب القرآن، عیسی البابی الحلبی وشرکاه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العلامة الحلّی، الحسن بن یوسف المطهّر، تذکرة الفقهاء،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مبادئ الوصول إلیعلم الاُصول، 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الغزالی، أبو حامد محمد بن محمد، المستصفی من علم الاُصول، بولاق،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افسیت منشورات الشریف الرضی،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الله، أحمد، معجم ألفاظ الفقه الجعفری، مطابع المدخول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الدمام،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الفیروز آبادی، مرتضی، فضائل الخمسة من الصحاح الستّة، 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الفیروز آبادی، مجد الدین محمد بن یعقوب، القاموس المحیط،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الفیومی، أحمد بن محمد بن علی المقری، المصباح المنیر،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القرضاوی، یوسف، الاجتهاد فی الشریعة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نظرات تحلیلیة فی الاجتهاد المعاصر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الکویت،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القرطبی، محمد بن أحمد، الجامع لأحکام القرآن،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القزوینی، محمد بن یزید، سنن ابن ماجه، دار الفکر،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القیسی، مکی بن أبی طالب، مشکل إعراب القرآن،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الکاشانی، علاء الدین، أبو بکر بن سعود، بدائع الصنائع فی ترتیب الشرائع، دار إحیاء التراث العربی و مؤسسة التاریخ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الکاظمی، أبو عبد الله، شمس الدین محمد المعروف بالفاضل الجواد، مسالک الأفهام إلی آیات الأحکام، طهران المکتبة المرتضویة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الکرکی، علی بن الحسین، المعروف بالمحقّق الکرکی، رسائل الکرکی، منشورات مکتبة آیة الله المرعشی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الکرمانی، محمد بن حمزة بن نصر، أسرارالتکرار فی القرآن، دار الاعتصام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حمزة بن نصر، البرهان فی متشابه القرآن،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الکرمی المقدسی، زین الدین مرعی بن یوسف، أقاویل الثقات فی تأویل الأسماء والصفات والآیات المحکمات والمشتبهات،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الکلینی، محمّد بن یعقوب، الکافی، دار الکتب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الکوفی العبسی، عبد الله بن محمّد بن أبی شیبه، المصنّف فی الأحادیث والآثار،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اللنکرانی، محمد الفاضل، کتاب 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أبحاث الإمام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تنظیم ونشر آثار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کولسون، فی تاریخ التشریع الإسلامی، المؤسسة الجامعیة للدراسات والنشر والتوزیع،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مؤسسة دائرة معارف الفقه الإسلامی طبقاً لمذهب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مجلّة فقه أهل‌البیت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مؤسسة دائرة معارف الفقه الإسلامی طبقاً لمذهب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الفقه الإسلامی طبقاً لمذهب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المازندرانی، أبو جعفر محمد بن علی بن شهر آشوب، متشابه القرآن ومختلفه، منشورات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المتقی الهندی، علاء الدین علی بن حسام الدین، کنز العمّال فی سنن الأقوال والأفعال،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المجلسی، محمّد باقر، بحار الأنوار الجامعة لدرر أخبار الأئمّة الأطهار، مؤسسة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المحقق الحلّی، نجم الدین، أبو القاسم جعفر بن الحسن، المعتبر فی شرح المختصر، مؤسسة سید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شرائع الاسلام فی مسائل الحلال والحرام، النجف الأشرف،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المحقّق الطهرانی، أغا بزرگ الطهرانی، الذریعة إلیتصانیف الشیعة، دار الأضواء، بیروت،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المرتضی، الإمام أحمد بن عبدالله الجنداری، شرح الأزهار، مکتبة غمضان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صغاء،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المرتضی، علم الهدی علی بن الحسین، الانتصار، مؤسسة النشر الإسلامی التابعة لجماعة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المرتضی، علم الهدی علی بن الحسین، الناصریات، رابطة التقانة والعلاقات الأسلامیة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الوسیط، دار الفکر،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معرفة، محمد هادی، التفسیر والمفسّرون فی توبه القشیب، الجامعة الرضویة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معرفة، محمد هادی، التمهید فی علوم القرآن، مطبعة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المقدسی، ابن قدامة موفّق الدین عبد الله بن أحمد، المغنی، دار الفکر،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المقری، هبة الله بن سلامة بن نصر، الناسخ والمنسوخ، المکتب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المنادی، أحمد بن جعفر بن أبی داود، متشابه القرآن العظیم،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المنجد فی اللغة، دار الشرق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المنهاجی الاسیوطی، محمد بن أحمد، جواهر العقود ومعین القضاة والموقّعین والشهود،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الموسوی البجنوردی، کاظم، دائرة المعارف الإسلامیة الکبری، طهران،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النجفی، محمّد حسن، جواهر الکلام فی شرح شرائع الاسلام، مؤسسة التاریخ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النحّاس، أبو جعفر أحمد بن محمد بن إسماعیل، إعراب القرآن، عالم الکتب،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النحّاس، أبو جعفر، أحمد بن محمد بن إسماعیل، الناسخ والمنسوخ، مؤسسة الکتب 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النراقی، المولی أحمد بن محمد مهدی، مستند الشیعة فی أحکام الشریعة،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النسائی، أبو عبد الرحمن أحمد بن شعیب بن علی بن بحر، سنن النسائی،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النورسی، بدیع الزمان سعید، إشارات الإعجاز فی مظانّ الإیجاز، دار الأنبار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النوری الطبرسی، میرزا حسین، مستدرک الوسائل ومستنبط المسائل،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النووی، أبو زکریا، محیی الدین بن شرف، تحریر التنبیه، دار الفکر المعاصر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ط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المجموع، دار الفکر،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النیشابوری، أبوالحسین مسلم بن الحجاج بن مسلم القشیری، الجامع الصمیم المعروف بصحیح مسلم، مؤسسة عزّالدین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الهیثمی، علی بن أبی بکر، مجمع الزوائد ومنبع الفوائد،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الواحدی النیسابوری، علی بن أحمد، أسباب النزول،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افسیت منشورات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وزارة الأوقاف والشؤون الاسلامیة، الموسوعة الفقهیة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الکویتیة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موارد مندرج در ذیل در تمام کتاب جست‌وجو شوند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أجل، سنشیر إلی أنّ ثمّة من یری أنّ أکثر المعارف التی تُعدّ من علوم ما هی إلّا مجموعة من المقدّمات والمبادئ للدخول فی علم التفسیر وعلم فقه القرآن، ولیست هی فی عرض هذین العلمین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ومهما یکن من أمر فعلی کلتا الرؤیتین من المناسب التعرّف الإجمالی علی علوم القرآن وما هو المراد بها، وإن کانت المناسبة بناءً علی الأوّل أوضح</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الجدیر بالذکر أنّه لیس هناک عدد متّفق علیه لعلوم القرآن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القرآن، الحکیم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مباحث فی علوم القرآن، صبحی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قانون التأویل، ابن العربی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 المنیر، الفیومی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لسان العرب، ابن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القاموس المحیط، الفیروزآبادی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تاج العروس، الزبیدی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ألفاظ الفقه الجعفری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الصحاح، الجوهری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2276</w:t>
      </w:r>
      <w:r>
        <w:rPr>
          <w:rFonts w:ascii="IRNazanin" w:hAnsi="IRNazanin" w:eastAsia="IRNazanin"/>
          <w:b w:val="false"/>
          <w:b w:val="false"/>
          <w:bCs w:val="false"/>
          <w:i w:val="false"/>
          <w:i w:val="false"/>
          <w:iCs w:val="false"/>
          <w:color w:val="333333"/>
          <w:sz w:val="20"/>
          <w:sz w:val="20"/>
          <w:szCs w:val="20"/>
          <w:rtl w:val="true"/>
        </w:rPr>
        <w:t>؛معجم مقاییس اللغة، ابن فارس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البحرین، الطریحی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الجمهرة، ابن درید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لسان العرب،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w:t>
      </w:r>
      <w:r>
        <w:rPr>
          <w:rFonts w:ascii="IRNazanin" w:hAnsi="IRNazanin" w:eastAsia="IRNazanin"/>
          <w:b w:val="false"/>
          <w:b w:val="false"/>
          <w:bCs w:val="false"/>
          <w:i w:val="false"/>
          <w:i w:val="false"/>
          <w:iCs w:val="false"/>
          <w:color w:val="333333"/>
          <w:sz w:val="20"/>
          <w:sz w:val="20"/>
          <w:szCs w:val="20"/>
          <w:rtl w:val="true"/>
        </w:rPr>
        <w:t>؛المحیط فی اللغة، ابن 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472/10</w:t>
      </w:r>
      <w:r>
        <w:rPr>
          <w:rFonts w:ascii="IRNazanin" w:hAnsi="IRNazanin" w:eastAsia="IRNazanin"/>
          <w:b w:val="false"/>
          <w:b w:val="false"/>
          <w:bCs w:val="false"/>
          <w:i w:val="false"/>
          <w:i w:val="false"/>
          <w:iCs w:val="false"/>
          <w:color w:val="333333"/>
          <w:sz w:val="20"/>
          <w:sz w:val="20"/>
          <w:szCs w:val="20"/>
          <w:rtl w:val="true"/>
        </w:rPr>
        <w:t>؛ المصباح المنیر، الفیومی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المحیط فی اللغة، ابن 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472/10</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المعانی، الآلوسی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مجمل اللغة، ابن فارس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معجم مقاییس اللغة، ابن فارس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 الصحاح، الجوهری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2276/6</w:t>
      </w:r>
      <w:r>
        <w:rPr>
          <w:rFonts w:ascii="IRNazanin" w:hAnsi="IRNazanin" w:eastAsia="IRNazanin"/>
          <w:b w:val="false"/>
          <w:b w:val="false"/>
          <w:bCs w:val="false"/>
          <w:i w:val="false"/>
          <w:i w:val="false"/>
          <w:iCs w:val="false"/>
          <w:color w:val="333333"/>
          <w:sz w:val="20"/>
          <w:sz w:val="20"/>
          <w:szCs w:val="20"/>
          <w:rtl w:val="true"/>
        </w:rPr>
        <w:t>؛ النهایة، 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الصحاح، الجوهری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دروس فی علم الاُصول،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المیسّر فی اصول الفقه الاسلامی، سلقینی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والمفسّرون، الذهبی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دائرة المعارف الشیعیة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 دائرة المعارف الإسلامیة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العتق،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السرقة،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23541/126/9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وغیره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القرآن، الحکیم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دعائم الإسلام، القاضی المغربی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باب الردّ إلی الکتاب والسنّة،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175/7</w:t>
      </w:r>
      <w:r>
        <w:rPr>
          <w:rFonts w:ascii="IRNazanin" w:hAnsi="IRNazanin" w:eastAsia="IRNazanin"/>
          <w:b w:val="false"/>
          <w:b w:val="false"/>
          <w:bCs w:val="false"/>
          <w:i w:val="false"/>
          <w:i w:val="false"/>
          <w:iCs w:val="false"/>
          <w:color w:val="333333"/>
          <w:sz w:val="20"/>
          <w:sz w:val="20"/>
          <w:szCs w:val="20"/>
          <w:rtl w:val="true"/>
        </w:rPr>
        <w:t xml:space="preserve">، باب التحدید،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لمزید الاطّلاع،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الإتقان،السیوطی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النوع الخامس والستون فی العلوم المستنبطة من القرآن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الإیلاء،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الشهید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الشهید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الفصول الغرویة فی الاُصول الفقهیة، الطهرانی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وغیرها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القاضی،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الخیار،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الانتصار، السید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فقه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مجلّة فقه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مجلّة فقه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المجتهد، ابن 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الأصلیة والقواعد الشرعیة، 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القاضی،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أیضاً 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448/4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ورواه الترمذی فی صحیحه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3797</w:t>
      </w:r>
      <w:r>
        <w:rPr>
          <w:rFonts w:ascii="IRNazanin" w:hAnsi="IRNazanin" w:eastAsia="IRNazanin"/>
          <w:b w:val="false"/>
          <w:b w:val="false"/>
          <w:bCs w:val="false"/>
          <w:i w:val="false"/>
          <w:i w:val="false"/>
          <w:iCs w:val="false"/>
          <w:color w:val="333333"/>
          <w:sz w:val="20"/>
          <w:sz w:val="20"/>
          <w:szCs w:val="20"/>
          <w:rtl w:val="true"/>
        </w:rPr>
        <w:t>، کتاب المناقب، باب مناقب أهل بیت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ملاحظة کتاب فضائل الخمسة من الصحاح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علی بقیة مصادر الحدیث</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الوضوء،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حکاه السیّد عبدالله شبّر فی الاُصول الأصلیّة والقواعد الشرعیّة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عن الفاضل القزوینی فی شرح العدّة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تمهیدیة فی تفسیر آیات الأحکام، الإیروانی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أعلام الموقّعین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السنن الکبری، البیهقی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المجموع، النووی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 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باب الأمر بالصلاة علی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الموطّأ، مالک بن أنس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کتاب الجنائز</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مقدّمة سنن الدارمی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سنن الدارمی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مسند أحمد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وغیرها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مسند أحمد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سنن الدارمی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وغیرهما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ینبغی عدم الخلط بین مصطلح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الصدر الإسلامی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ظهر عقیب العصر النبوی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والذی هو مصطلح قدیم، وبین مصطلح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علوم القرآن والذی ظهر فی أزمنة متأخّرة جدّاً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المصنف، 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سنن أبی داوود، السجستانی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 علی الصحیحین، الحاکم النیسابوری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الخضری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العامّة للفقه المقارن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الخضری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بیان العلم وفضله، 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العلم،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الخضری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سنن أبی داوود السجستانی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الخضری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العامّة للفقه المقارن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الخضری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 ثمّة آیات لا تقبل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هنا صرّحوا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أمثال هذه الآیات لا تقبل نسخاًَ وَ الَّذِینَ یَرمُونَ المُحصَناتِ ثُمَّ لَم یَأتُوا بِأَربَعَةِ شُهَداءَ فَاجلِدُوهُم ثَمانِینَ جَلدَةً وَ لا تَقبَلُوا لَهُم شَهادَةً أَبَداً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کما صرّحوا أنّ الآیات المُخبرة عن امور تقع لا تقبل النسخ؛ لانتهائها إلی التکذیب</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العامّة للفقه المقارن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المعجم الإحصائی، محمود الروحانی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علوم القرآن، الزرکشی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تحقیق مرعشلی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العرفان، السیوری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المستصفی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مبادئ الوصول،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إرشاد الفحول، الشوکانی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 الغرویة فی الاُصول الفقهیة، الطهرانی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الجمان الحسان فی أحکام القرآن، الدهسرخی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الإسلام عقیدة وشریعة، شلتوت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التشریع لخضری بک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مفسّری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 اصول الفقه وخلاصة تاریخ التشریع الإاسلامی، 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منتهی المرام فی شرح آیات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 فی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الاجتهاد فی الشریعة الإسلامیة، القرضاوی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مراجعة‌لآیات القرآن الفقهیة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فاکر میبدی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القرآن، ابن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الفهارس فی أواخر الأجزاء الأربعة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مراجعة‌لآیات القرآن الفقهیة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باللغة 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فاکر میبدی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والمفسّرون فی ثوبه القشیب، معرفة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تعلیقة المؤلّف علی ما ذکره الفاضل المقداد، فی الهامش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نفسها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قبیل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اذکُرُوا اللّهَ ذِکراً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سَبِّحُوهُ بُکرَةً وَ أَصِیلاً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قبیل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تُزَکُّوا أَنفُسَکُم هُوَ أَعلَمُ بِمَنِ اتَّقی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قبیل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کُلُوا مِن طَیِّباتِ ما رَزَقناکُم وَ اشکُرُوا لِلّهِ إِن کُنتُم إِیّاهُ تَعبُدُونَ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قبیل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قُضِیَتِ الصَّلاةُ فَانتَشِرُوا فِی الأَرضِ وَ ابتَغُوا مِن فَضلِ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إِذا قُمتُم إِلَی الصَّلاةِ فَاغسِلُوا وُجُوهَکُم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السّارِقُ وَ السّارِقَةُ فَاقطَعُوا أَیدِیَهُما جَزاءً بِما کَسَبا نَکالاً مِنَ اللّهِ وَ اللّهُ عَزِیزٌ حَکِیمٌ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تاریخ التشریع الإسلامی، کولسون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دروس تمهیدیة فی تفسیر آیات الأحکام، الإیروانی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کالآیات الدالّة علی الإحسان والبِرّ إلی المحتاجین والأرحام،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کالآیات الدالّة علی الإیمان بالملائکة والکتب السماویة والأنبیاء الله،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الإجتهاد فی الشریعة 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دروس تمهیدیة فی تفسیر آیات الأحکام، الإیروانی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المرشد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راهنما باللغة 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الرفسنجانی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المرشد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راهنما باللغة 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الرفسنجانی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المرشد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راهنما باللغة 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الرفسنجانی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المرشد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راهنما باللغة 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الرفسنجانی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628/2</w:t>
      </w:r>
      <w:r>
        <w:rPr>
          <w:rFonts w:ascii="IRNazanin" w:hAnsi="IRNazanin" w:eastAsia="IRNazanin"/>
          <w:b w:val="false"/>
          <w:b w:val="false"/>
          <w:bCs w:val="false"/>
          <w:i w:val="false"/>
          <w:i w:val="false"/>
          <w:iCs w:val="false"/>
          <w:color w:val="333333"/>
          <w:sz w:val="20"/>
          <w:sz w:val="20"/>
          <w:szCs w:val="20"/>
          <w:rtl w:val="true"/>
        </w:rPr>
        <w:t xml:space="preserve">، باب النوادر، فضل القرآن،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باب الردّ إلی الکتاب والسنّة،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الإسلام یقود الحیاة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المجموعة الکاملة للشهید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404/4</w:t>
      </w:r>
      <w:r>
        <w:rPr>
          <w:rFonts w:ascii="IRNazanin" w:hAnsi="IRNazanin" w:eastAsia="IRNazanin"/>
          <w:b w:val="false"/>
          <w:b w:val="false"/>
          <w:bCs w:val="false"/>
          <w:i w:val="false"/>
          <w:i w:val="false"/>
          <w:iCs w:val="false"/>
          <w:color w:val="333333"/>
          <w:sz w:val="20"/>
          <w:sz w:val="20"/>
          <w:szCs w:val="20"/>
          <w:rtl w:val="true"/>
        </w:rPr>
        <w:t>؛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الانتصار، المرتضی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الناصریات،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الخلاف،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عوالی اللآلی، الإحسانی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مالک بن الحویرث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لنا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صلّوا کما رأیتمونی اصلّی، فإذا حضرت الصلاة فلیؤذّن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أحدکم،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لیؤمّکم أکبرکم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سنن الدارقطنی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2801056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w:t>
      </w:r>
      <w:r>
        <w:rPr>
          <w:rFonts w:ascii="IRNazanin" w:hAnsi="IRNazanin" w:eastAsia="IRNazanin"/>
          <w:b w:val="false"/>
          <w:b w:val="false"/>
          <w:bCs w:val="false"/>
          <w:i w:val="false"/>
          <w:i w:val="false"/>
          <w:iCs w:val="false"/>
          <w:color w:val="333333"/>
          <w:sz w:val="20"/>
          <w:sz w:val="20"/>
          <w:szCs w:val="20"/>
          <w:rtl w:val="true"/>
        </w:rPr>
        <w:t>؛ 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الأذان للمسافر، و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باب ما جاء فی إجازة خیرالواحد؛ السنن الکبری، البیهقی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شرح الأزهار، أحمد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الناصرایات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شرح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روی عن جابر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رأیت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یرمی علی راحلته یوم النحر، یقول 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خذوا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لتأخذوا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مناسککم، فإنّی لا أدری لعلّی ألّا أحجّ بعد حجّتی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سنن أبی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ورواه فی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یسیر؛ سنن النسائی </w:t>
      </w:r>
      <w:r>
        <w:rPr>
          <w:rFonts w:eastAsia="IRNazanin" w:cs="IRNazanin"/>
          <w:b w:val="false"/>
          <w:bCs w:val="false"/>
          <w:i w:val="false"/>
          <w:iCs w:val="false"/>
          <w:color w:val="333333"/>
          <w:sz w:val="20"/>
          <w:szCs w:val="20"/>
        </w:rPr>
        <w:t>270/5</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جابر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قدمت مع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فخطیهم، فحمدالله وأثنی علیه،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لو استقلبت من أمری ما استدبرت ما سقت الهدی، و لو لم أسق الهدی لأحللت، ألا فخذوا مناسککم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معانی الآثار، ابن سلمة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و المفسّرون، معرفة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وراجع أیضاً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البیان،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 ابن عدی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من محمد،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التسلسل العام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فهرست ابن الندیم، ابن الندیم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 الطهرانی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التستری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282/9</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الکافی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آیة الوضوء فی تفسیر 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تفسیر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الَّذِینَ یَبتَغُونَ الکِتابَ مِمّا مَلَکَت أَیمانُکُم فَکاتِبُوهُم إِن عَلِمتُم فِیهِم خَیراً وَ آتُوهُم مِن مالِ اللّهِ الَّذِی آتاکُم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التبیان، الطوسی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نُنّبه علی أمرین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الإحصائیات مبتنیة علی ما هو المذکور والمصرّح به من الانتماءات المذهبیة للمؤلّفین، ولو اجری تحقیق فی هذا المجال، ربّما تتغیّر بعض النسب بین المذاهب السنّیة، وامّا نسبتها إلی مصنّفات الإمامیة فالمتوقّع ألّایعروها تغییر 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أهمّ مصادرنا فی هذد الإحصائیات ما 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فی تصانیف الشیعة، للمحقّق الطهرانی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 للذهبی</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القراءات، الخطیب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الکشاف، الزمخشری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فقد سئل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البیت أکان یحجّ قبل أن یبعث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وتصدیقه فی القرآن قول شعیب حین قال لموسی حیث تزوّج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تَأجُرَنِی ثَمانِیَ حِجَجٍ ولم یقل ثمانی سنین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وجوب الحجّ وشرائطه، الرقم </w:t>
      </w:r>
      <w:r>
        <w:rPr>
          <w:rFonts w:eastAsia="IRNazanin" w:cs="IRNazanin"/>
          <w:b w:val="false"/>
          <w:bCs w:val="false"/>
          <w:i w:val="false"/>
          <w:iCs w:val="false"/>
          <w:color w:val="333333"/>
          <w:sz w:val="20"/>
          <w:szCs w:val="20"/>
        </w:rPr>
        <w:t>89222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العروة الوثقی، الیزدی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المغنی، 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الموسوعة الفقهیة، الکویتیة،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ولکن من الجدیر بالذکر أنّ فی هذا المقام خاصة قد یقال بصحة الاستناد إلی هذا النص وإن لم نسلّم بکبری حجیّة شرع مَن قبلنا؛ نظراً لما ورد من روایات عن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الاستناد فیها إلی الآیة ممّا یدلّ علی حجیة هذه الآیات هنا علی الأقلّ</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یخفی أنّ مسألة حجیّة شرع من قبلنا بالنسبة إلینا من المسائل المبحوثة فی علم اصول الفقه، وطرحت بشأنها ثلاث نظریات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النظریة 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الشرائع السابقة التی أنزلها الله تعالی شرع لنا مطلقاً إلّا ما ثبت نسخه فی شریعتنا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النظریة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لیست بشرع لنا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منسوخة جملة وتفصیلاً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النظریة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التفصیل بین ما قصّه الله ورسوله علینا من أحکام الشرائع السابقة ولم یرد فی شرعنا دلیل یبیّن لنا الوظیفة یکون شرعاً لنا وعلینا اتباعه، وبین ما لم یذکر فی الکتاب والسنّة فلا یکون کذلک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العامة للفقه المقارن، الحکیم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الشافعی فی 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ذکر الله تعالی الإجارة فی کتابه، وعمل بها بعض أنبیائه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فذکر الله عزّوجلّ أنّ نبیاً من أنبیائه أجّر نفسه حججاً مسمّاة، یملک بها بضع 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فدلّ علی تجویز الإجارة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وظاهره اختیار الرأی الأوّل، وإن کان فی العبارة ما یوهم إرادته الرأی الثانی</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فقه الصادق، الروحانی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العقود، المنهاجی الأسیوطی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أحکام القرآن، ابن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أحکام القرآن، ابن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الفائدة والبرهان، الأردبیلی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نعم،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الذی جری من صالح مدین لم یکن ذکراً لصداق المرأة، وإنّما کان اشتراطاً لنفسه علی ما تفعله الأعراب، فإنّها تشترط صداق بناتها، وتقول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 کذا فی خاصّة 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وردّه ابن العربی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الذی تفعله الأعراب هو حلوان وزیادة علی المهر، وهو حرام لا یلیق بالأنبیاء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1473/3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فقد أشرنا إلی ما رواه یحیی بن سلام، ونضیف ما رواه عتبة بن المنذر السلمی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من أصحاب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موسی لمّا أراد فراق شعیب أمر امرأته أن تسأل أباها عن نتاج غنمه ما یعیشون به، فأعطاها ما ولدت غنمه من قالِب لون ذلک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وردت الحوض وقف موسی بإزاء الحوض فلم تمرّ به شاة إلاّ ضرب جنبها بعصا، فوضعت قوالب ألون کلّها اثنین وثلاثة، کلّ شاة لیس منهنّ فَشوش ولا ضَبوب ولاکمشة ولا ثعول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وقالِب 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ولدت علی خلاف لون امّهاتها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 إنّه نقل عن أهل التفسیر بأنّهم ذکروا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صالحاً عیّن له رعیة الغنم وعلیه فلم تکن الإجارة مطلقة، وعلّق علی ذلک بعدم صحّة السند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1470/4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الجمهور،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القرآن، ابن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حیث تعرّض إلی ما یربو علی الثلاثین مسألة أغلبها خارج عن الإجارة ومتعلّق بالنکاح</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لمزید الاطّلاع راجع الملحق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زبدة البیان، الأردبیلی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وقد ذکر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خطابه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لِلمُؤمِنِینَ یتناول الذکور والإناث من المؤمنین، حسب کلّ خطاب عامّ فی القرآن، وهنا یبرز 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إذن، لِمَ کرّر الخطاب للإناث؟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ذلک للتأکید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القرطبی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ویحتمل أن یکون ذلک أبلغ فی التأثیر ودفع المکلّف نحو الامتثال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یحتمل أنّ المرادین یختلفان بحسب اختلاف المخاطب، أی أنّ المأمور بالغضّ عنه من الرجال یختلف عن المأمور به الإناث، والحفظ المطلوب من الرجال غیر ما یراد من الإناث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ویحتمل أن یکون توطئة لتشریع أحکام إضافیة للنساء زیادة علی ما ورد فی الآیة الأولی ممّا له ارتباط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آیات الحکام، السایس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آیات الأحکام، السایس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192/20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مقدّمات النکاح،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زبدة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إنّ توجیه الخطاب للنبی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مخاطبة المقصود مباشرة قد یُفهم علی أساس أنّه نوع توبیخ وتجاهل وتهکّم بالمؤمنین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یُفهم علی أساس أنّه فیه نوع تلطّف للمخاطب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ویحتمل أنّه لا هذا ولا ذاک، بل المراد کون ذلک من الأمور الاجتماعیة العامة ویعود أمر تطبیقها والإشراف علیها للنبی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فیأمر وینهی ویوجّه، فإنّ ذلک لیس حکماً مرتبطاً بالفرد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الوجه الأخیر لا یختص بهذا النص، بل یشمل الموارد الأخری المشابهة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آیات الأحکام، السایس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المفردات،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لأحکام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آیات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ونوقش بأنّ المناسب الإتیان بالفاء، مع أنّ حذف المقصود وذکر غیر المقصود غیر موجّه، وأیضاً الخبر غیر مناسب؛ إذ مضمونه قد لا یقع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زبدة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التبیان،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مغنی اللبیب،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وضعّف لضعف زیادتها فی الإثبات إلا شاذّاً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فی کتب اللغة علی من صرّح باستعمالها فی هذا المعنی، ویبدو أنّ مراده ما یرجع إلی بعض الاحتمالات کالأوّل والخامس</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مغنی اللبیب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إعراب القرآن، الدوریش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أنّنا لم نجد من اللغویین من عدّ ذلک أحد المعانی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مقابل المعانی الاُخری؛ فهم بین مَن جعل معانی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النحو الوافی، عباس 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وبین من جعلها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بدواً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مغنی اللبیب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لأحکام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 هذا التعلیل بأنّ هذا لیس مفاد التعلیل هنا، وأیضاً لیس فی منطوق القرآن إباحة الأوّل وتحریم الثانی إلّا ما استُثنی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ونوقش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ذلک لیس مراداً من الآیة؛ إذ لا یحتمل أنّ الرجل یلزمه حینما یواجه المرأة إطباق جفنیه، وهکذا الحال بالنسبة إلی المرأة حینما تواجه الرجل، بل یکفی عدم النظر ولو من دون إطباق الجفن بصرف النظر إلی الأرض أو إلی جهة اخری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 أنّ إرادة هذا المعنی لا تتناسب مع الإتیان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إذا جُعلت للتبعیض</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تقریرات بحث المحقّق الداماد، الآملی،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آیات الأحکام، السایس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من الواضح أنّ هذا التأیید لا ینحصر بهذا الاحتمال، بل هذا المؤیِّد ینسجم مع احتمالات اخری</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تقریرات بحث المحقّق الداماد، الآملی،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وضعّف بأنّ غضّ البصر هو ضدّ للإبصار، ولم یتداول عرفاً طلب فعل أحد الضدّین بقصد طلب ترک الضدّ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 یصعب تبریر الإیتان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یَغُضُّوا مِن أَبصارِهِم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کونها للتبعیض</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مستند العروة الوثقی، کتاب النکاح، الخوئی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والفرق العملی بین الاحتمالین الثالث والرابع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بناء علی الاحتمال الثالث یحرم النظر إلی غیر المماثل مطلقاً حتی لو کان من دون شهوة وتلذّذ، وهذا بخلافه علی الاحتمال الرابع فإنّه یختصّ بما إذا کان عن ذلک؛ فإنّ الغفلة وعدم الطمع بالمرأة صادقان فیما إذا کان النظر مجرّداً عن ذلک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الرجل یتلذّذ بالمرأة وبالعکس من دون نظر؛ فإنّ ذلک نحو من الاستمتاع الذی لا یصدق معه التغافل وعدم الطمع، فیحرم وإن لم یکن هناک نظر، کما لو کان بالتخیّل والتفکیر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وعلیه، فتختلف النتیجة بحسب ما نرجّحه من هذه الاحتمالات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الکلام فی صدر الآیة الثانیة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الاحتمال بعید جدّاً؛ لأنّه خلاف الظاهر، کما سیتضح بعد حین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النکاح</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تقریرات الإمام الخمینی، اللنکرانی،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الحقّ إنّه ینبغی إسقاط هذا الاحتمال من الحساب؛ لعدم ورود لفظ العورة فی الآیة کی نحار فی تحدیدها، بل الوارد هو عنوان الفرج، ومفهومه واضح فلا خلاف فی تحدیده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 یمکن إعادة الاعتبار لهذا الاحتمال من حیث النتیجة فیما إذا استفدنا من مفهوم الحفظ فی خصوص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یَحفَظنَ فُرُوجَهُنَّ إذ إنّ حفظ المرأة لفرجها عن النظر لا یتحقّق بالاقتصار علی ستره فقط، بل لابدّ من ستر مفاتنها؛ للفهم العرفی، وحینئذٍ یدلّ ذلک علی حرمة النظر إلی مفاتن المرأة، لا خصوص الفرج منها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زبدة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حاول الأردبیلی التغلّب علی هذه المشکلة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ینبغی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المفهوم تحریم النظر، و لزوم حفظ الفرج مطلقاً، وقد علم الجواز فی المحارم والحلائل بالآیة والإجماع وغیرهما، وبقی الباقی تحته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الموسوعة الفقهیة، الکویتیة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343/40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الکاظمی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للمطالعة والتحقیق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هناک استنثاء من حرمة النظر؟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البحث دائراً فی نطاق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یَحفَظُوا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یَغضُضنَ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یَحفَظنَ فلا استثناء، ولکن دائرة الحرمة تضیق وتتسع تبعاً لما یستفاد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لو استظهرنا کون المراد من غضّ البصر التقلیل منه، فبالإمکان الإفتاء بحلّیة النظرة الاُولی دون الثانیة، کما ورد فی ذلک بعض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لو کان البحث بلحاظ جمیع مفاصل الآیتین بما فی ذلک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یُبدِینَ زِینَتَهُنَّ إِلاّ ما ظَهَرَ مِنها فمن الواضح الاستثناء من حرمة إبداء الزینة، وکذا الحال بالنسبة لقوله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یُبدِینَ زِینَتَهُنَّ إِلاّ لِبُعُولَتِهِنَّ، لکن ذلک لا یکفی فی استثناء النظر؛ فإنّ للبحث فی ملازمة ذلک لجواز النظر مجالاً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لو کان البحث بلحاظ کافّة النصوص القرآنیة کقوله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القَواعِدُ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أمر یرجأ إلی بحث تلک النصوص فی محلّها، وهل هناک ملازمة بین ذلک الاستثناء وإباحة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الآیة 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یَغُضُّوا مطلقة، فلا فرق بین الناظر سواء کان حرّاً أم عبداً، وأیضاً سواء کانت المنظورة حرّة أم مملوکة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أفتی بعض الفقهاء باستثناء المرأة التی یرید الزواج بها، والأمة التی یرید، والذمّیة أو مطلق الکافرة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492/2</w:t>
      </w:r>
      <w:r>
        <w:rPr>
          <w:rFonts w:ascii="IRNazanin" w:hAnsi="IRNazanin" w:eastAsia="IRNazanin"/>
          <w:b w:val="false"/>
          <w:b w:val="false"/>
          <w:bCs w:val="false"/>
          <w:i w:val="false"/>
          <w:i w:val="false"/>
          <w:iCs w:val="false"/>
          <w:color w:val="333333"/>
          <w:sz w:val="20"/>
          <w:sz w:val="20"/>
          <w:szCs w:val="20"/>
          <w:rtl w:val="true"/>
        </w:rPr>
        <w:t xml:space="preserve">،النکاح،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وردت بذلک عدّة 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استفادة الجواز من الآیة فی الجملة بأحد الوجوه التالیة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الموردین الأوّل والثانی ینطبق علیهما عنوان الحاجة الذی هو أحد الوجوه فی تفسیر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ما ظَهَرَ مِنها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سیرة قائمة آنذاک علی عدم غضّ البصر عن الثلاثة مِن قبل المتدیّنین والمتشرّعة من دون نکیر، وهذا یکشف عن وجود فهم آنذاک للآیة یصرفها عن ذلک، سیّما فی الأولین، بل لا یبعد دعوی قیام سیرة العقلاء علی ذلک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ویدلّ علیه أیضاً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یَحِلُّ لَکَ النِّساءُ مِن بَعدُ وَ لا أَن تَبَدَّلَ بِهِنَّ مِن أَزواجٍ وَ لَو أَعجَبَکَ حُسنُهُنَّ</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فقه القرآن، الجصاص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ویمکن إضافة احتمالات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الاحتمال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کون المراد الحفظ من الزنا، فیتحفّظ حینئذٍ من غیر المماثل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معنی ذلک إباحة الفاحشة مع المماثل، بل المراد أنّ هذا النص ناظر إلی الزنا، وساکت عن غیره، وإنّما تستفاد حرمة الفاحشة مع المماثل من أدلّة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الاحتمال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کون المراد الحفظ من مطلق الفاحشة، فالتحفّظ یکون حتی من المماثل فضلاً عن غیر المماثل، بل حتی من الحیوانات والبهائم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الاحتمال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کون المراد الحفظ من کلّ ما یوجب الاستلذاذ من الغیر فیُتحفّظ من کلّ ما یثیر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الاحتمال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توسعة الاحتمال الخامس لکلّ من یحتمل فیه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الاحتمال السابع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أوسع ممّا سبق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التحفّظ حتی من النفس بألّا یمارس الانسان الاستلذاذ الجنسی مع نفسه بالاستمناء أو بأیّة إثارة جنسیة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أبحاث لمزید الإطلاع والتحقیق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هناک استثناء من وجوب الحفظ؟ تختلف دائرة الوجوب بمقدار ما یستفاد من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یَحفَظُوا فُرُوجَهُم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یَحفَظنَ فُرُوجَهُنَّ ، والحکم هنا مطلق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ورد الاستثناء فی نصوص اخری، نظیر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الَّذِینَ هُم لِفُرُوجِهِم حافِظُونَ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عَلی أَزواجِهِم أَو ما مَلَکَت أَیمانُهُم فَإِنَّهُم غَیرُ مَلُومِینَ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وهذا الاستثناء محکّم مطلقاً مهما کانت استفادتنا من الفقرات موضوعة البحث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إذا جاز إباحة الزوجة نفسها لزوجها جاز له أن ینظر إلی جسم زوجته باطناً وظاهراً بتلذّذ وبدونه؛ وذلک للملازمة العرفیة بین الأمرین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أجل، قد ورد فی بعض الأحادیث نهی الزوج عن النظر إلی فرج امرأته، وحمله الفقهاء علی الکراهة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الحرمة، وأضاف الفاضل الإصفهانی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ربّما یرشد إلیه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فَوَسوَسَ لَهُمَا الشَّیطانُ لِیُبدِیَ لَهُما ما وُورِیَ عَنهُما مِن سَوآتِهِما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ذاقَا الشَّجَرَةَ بَدَت لَهُما سَوآتُهُما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یَنزِعُ عَنهُما لِباسَهُما لِیُرِیَهُما سَوآتِهِما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وجوب الستر علی الرجل ویمکن إثباته بتقریبین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التقریب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مرّ من أنّ المستفاد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یَحفَظُوا فُرُوجَهُم هو حفظ الفرج لا أکثر؛ وهو الظاهر، وعلیه فلا یجب علی الرجل الستر زیادة علی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التقریب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استفادة ذلک من مجموع الآیتین؛ وذلک فإنّ تخصیص المؤمنین بالخطاب وأمرهم بحفظ الفروج فقط مع أمر المؤمنات فی الآیة التالیة به وبعدم إبداء الزینة، مع أنّ المولی عزّوجلّ فی مقام البیان، فیه دلالة ظاهرة علی عدم وجوب الستر علی الرجال سوی فروجهم، فبدنهم لیس بعورة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روائع البیان، الصابونی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لأحکام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الخلخال، وکلّ حلقة من سوار وقرط</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الخرز</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لأحکام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لأحکام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القراءات، الخطیب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تحریر التنبیه، النووی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لأحکام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زبدة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روائع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لأحکام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روائع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الوثقی،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دروس تمهیدیة فی تفسیر آیات الاحکام، الإیروانی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فقه القرآن،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عرکت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حاضت، والمراد إذا بلغت سنّ التکلیف</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لأحکام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وسنورده لاحقاً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النکاح،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زبدة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مستند العروة الوثقی،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لاحکام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زبدة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آیات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النکاح،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علی بن ابراهیم فی تفسیره عن أبی الجارود، عن الإمام محمد بن علی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تعالی وَ لا یُبدِینَ زِینَتَهُنَّ إِلاّ ما ظَهَرَ مِنها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فهی الثیاب، والکحل، والخاتم، وخضاب الکفّ، والسوار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والزینة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زینة للناس، وزینة للمحرَم، وزینة للزوج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زینة الناس فقد ذکرنا، وأمّا زینة المحرم فموضع القلادة فما فوقها، والدملج فمادونه، والخلخال وما سفل منه، وأمّا زینة الزوج فالجسد کلّه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النکاح،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تحریر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خواتیم کبار تلبس فی الأیدی</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 هذین الاحتمالین المودودی فی تفسیر سورة النور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الصابونی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روائع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لأحکام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الأنظار التفسیریة للشیخ الأنصاری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لأحکام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العدد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لأحکام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زبدة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؛الجامع لأحکام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زبدة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الحیض،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الوثقی،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روائع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وقد استدلّ فی المغنی بهذه الفقرة من الآیة علی جواز نظر عبد المرأة إلی وجهها وکفّیها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روائع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الآلوسی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بدائع الصنائع،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روائع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روائع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روی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التّابِعِینَ غَیرِ أُولِی الإِربَةِ مِنَ الرِّجالِ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الأحمق الذی لا یأتی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ما عن عبد الرحمن بن أبی عبد الله إلا أنّه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الأحمق المولّی علیه الذی لا یأتی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الکشاف، الزمخشری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زبدة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لأحکام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روائع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لأحکام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الصنائع،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المجموع، النووی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إعانة الطالبین، البکری الدمیاطی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المفردات،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أفرد الشیخ الحرّ العاملی باباً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تحریم تتبّع زلات المؤمن ومعایبه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فیه جملة أحادیث، منها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حذیفة بن منصور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 یقوله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عورة المؤمن علی المؤمن حرام،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حیث یذهبون، إنّما عنی عورة المؤمن أن یزلّ زلّة أو یتکلّم بشیء یعاب علیه، فیحفظ علیه لیعیّره به یوماً 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سنان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عورة المؤمن علی المؤمن حرام؟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أعنی سفلیه،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حیث تذهب، إنّما هو إذاعة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الشحّام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عورة المؤمن علی المؤمن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أن ینکشف فیری منه شیئاً، إنّما هو أن یزری علیه أو یعیبه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آداب الحمّام،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أفرد ابن ماجة فی سننه باباً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الستر علی المؤمن ودفع الحدود بالشبهات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وممّا جاء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ستر عورة أخیه المسلم ستر الله عورته یوم القیامة، ومن کشف عورة أخیه المسلم کشف الله عورته حتی یفضحه بها فی بیته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ابن ماجة، القزوینی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وأیضاً أفرد ابن ماجة فی سننه باباً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فضل الرباط فی سبیل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وممّا جاء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بن کعب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لرباط یوم فی سبیل الله من وراء عورة المسلمین محتسباً من غیر شهر رمضان أعظم أجراً من عبادة مئة سنة صیامها وقیامها، ورباط یومُ فی سبیل الله من وراء عورة المسلمین محتسباً من شهر رمضان أفضل عند الله وأعظم أجراً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عبادة ألف سنة صیامها وقیامها، فإن ردّه الله الی أهله سالماً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والهدف من سرد هذه الأحادیث هنا هو رفع الاستغراب عمّا رجّحناه من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ولیس المراد حصراً استعمالها بهذا المعنی؛ علی أنّنا لا ننفی استعمال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الروایات بمعنی السوأة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مستند العورة الوثقی،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لأحکام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روائع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کنز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لأحکام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زبدة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لأحکام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زبدة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دروس تمهیدیة فی تفسیر آیات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لأحکام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دروس تمهیدیة فی تفسیر آیات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العروة الوثقی، الیزدی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النکاح،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مهذب الأحکام، السبزواری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زبدة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494/5</w:t>
      </w:r>
      <w:r>
        <w:rPr>
          <w:rFonts w:ascii="IRNazanin" w:hAnsi="IRNazanin" w:eastAsia="IRNazanin"/>
          <w:b w:val="false"/>
          <w:b w:val="false"/>
          <w:bCs w:val="false"/>
          <w:i w:val="false"/>
          <w:i w:val="false"/>
          <w:iCs w:val="false"/>
          <w:color w:val="333333"/>
          <w:sz w:val="20"/>
          <w:sz w:val="20"/>
          <w:szCs w:val="20"/>
          <w:rtl w:val="true"/>
        </w:rPr>
        <w:t xml:space="preserve">، النکاح،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تفسیر آیات الاحکام، السایس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زبدة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تفسیر آیات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112/15</w:t>
      </w:r>
      <w:r>
        <w:rPr>
          <w:rFonts w:ascii="IRNazanin" w:hAnsi="IRNazanin" w:eastAsia="IRNazanin"/>
          <w:b w:val="false"/>
          <w:b w:val="false"/>
          <w:bCs w:val="false"/>
          <w:i w:val="false"/>
          <w:i w:val="false"/>
          <w:iCs w:val="false"/>
          <w:color w:val="333333"/>
          <w:sz w:val="20"/>
          <w:sz w:val="20"/>
          <w:szCs w:val="20"/>
          <w:rtl w:val="true"/>
        </w:rPr>
        <w:t>؛ 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ویحتمل اتحاده مع المذکور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دروس تمهیدیة فی تفسیر آیات الاحکام، الإیروانی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القرآن،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القرآن، الجصاص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القرآن،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أحکام القرآن، الجصاص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أحکام القرآن، ابن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أحکام القرآن،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الطباطبائی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القراءات، الخطیب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البیان،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التبیان،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أحکام القرآن، ابن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المبسوط، السرخسی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الإجارة،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الأزهار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image" Target="media/image2.jpeg"/><Relationship Id="rId329" Type="http://schemas.openxmlformats.org/officeDocument/2006/relationships/image" Target="media/image2.jpeg"/><Relationship Id="rId330" Type="http://schemas.openxmlformats.org/officeDocument/2006/relationships/footer" Target="footer323.xml"/><Relationship Id="rId331" Type="http://schemas.openxmlformats.org/officeDocument/2006/relationships/footnotes" Target="footnotes.xml"/><Relationship Id="rId332" Type="http://schemas.openxmlformats.org/officeDocument/2006/relationships/numbering" Target="numbering.xml"/><Relationship Id="rId333" Type="http://schemas.openxmlformats.org/officeDocument/2006/relationships/fontTable" Target="fontTable.xml"/><Relationship Id="rId334" Type="http://schemas.openxmlformats.org/officeDocument/2006/relationships/settings" Target="settings.xml"/><Relationship Id="rId3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332</Pages>
  <Words>63211</Words>
  <Characters>281711</Characters>
  <CharactersWithSpaces>339626</CharactersWithSpaces>
  <Paragraphs>5297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2026-08-19T03:55:35Z</dcterms:created>
  <dc:creator>ghaemiyeh.com</dc:creator>
  <dc:description/>
  <dc:language>en-US</dc:language>
  <cp:lastModifiedBy/>
  <dcterms:modified xsi:type="dcterms:W3CDTF">2026-08-19T07:25:45Z</dcterms:modified>
  <cp:revision>1</cp:revision>
  <dc:subject/>
  <dc:title>مدخل عام لدارسة فقه القرآن المقارن</dc:title>
</cp:coreProperties>
</file>

<file path=docProps/custom.xml><?xml version="1.0" encoding="utf-8"?>
<Properties xmlns="http://schemas.openxmlformats.org/officeDocument/2006/custom-properties" xmlns:vt="http://schemas.openxmlformats.org/officeDocument/2006/docPropsVTypes"/>
</file>