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11.jpeg" ContentType="image/jpeg"/>
  <Override PartName="/word/media/image7.jpeg" ContentType="image/jpeg"/>
  <Override PartName="/word/media/image8.jpeg" ContentType="image/jpeg"/>
  <Override PartName="/word/media/image9.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مشروعیت و ضرورت اجرای حدود اسلامی در زمان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9371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793715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793717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3793719_581953129">
            <w:r>
              <w:rPr>
                <w:webHidden/>
                <w:rStyle w:val="IndexLink"/>
                <w:rtl w:val="true"/>
              </w:rPr>
              <w:t>نکات مقدماتی بحث</w:t>
            </w:r>
            <w:r>
              <w:rPr>
                <w:rStyle w:val="IndexLink"/>
                <w:rtl w:val="true"/>
              </w:rPr>
              <w:tab/>
            </w:r>
            <w:r>
              <w:rPr>
                <w:rStyle w:val="IndexLink"/>
              </w:rPr>
              <w:t>9</w:t>
            </w:r>
          </w:hyperlink>
        </w:p>
        <w:p>
          <w:pPr>
            <w:pStyle w:val="Contents2"/>
            <w:tabs>
              <w:tab w:val="clear" w:pos="8743"/>
              <w:tab w:val="right" w:pos="9026" w:leader="dot"/>
            </w:tabs>
            <w:rPr/>
          </w:pPr>
          <w:hyperlink w:anchor="__RefHeading___Toc3793721_581953129">
            <w:r>
              <w:rPr>
                <w:webHidden/>
                <w:rStyle w:val="IndexLink"/>
                <w:rtl w:val="true"/>
              </w:rPr>
              <w:t>ملازمه مشروعیّت قضا و مشروعیّت اجرا</w:t>
            </w:r>
            <w:r>
              <w:rPr>
                <w:rStyle w:val="IndexLink"/>
                <w:rtl w:val="true"/>
              </w:rPr>
              <w:tab/>
            </w:r>
            <w:r>
              <w:rPr>
                <w:rStyle w:val="IndexLink"/>
              </w:rPr>
              <w:t>13</w:t>
            </w:r>
          </w:hyperlink>
        </w:p>
        <w:p>
          <w:pPr>
            <w:pStyle w:val="Contents2"/>
            <w:tabs>
              <w:tab w:val="clear" w:pos="8743"/>
              <w:tab w:val="right" w:pos="9026" w:leader="dot"/>
            </w:tabs>
            <w:rPr/>
          </w:pPr>
          <w:hyperlink w:anchor="__RefHeading___Toc3793723_581953129">
            <w:r>
              <w:rPr>
                <w:webHidden/>
                <w:rStyle w:val="IndexLink"/>
                <w:rtl w:val="true"/>
              </w:rPr>
              <w:t>ملازمه نظریه ولایت فقیه و مشروعیّت اجرای حدود</w:t>
            </w:r>
            <w:r>
              <w:rPr>
                <w:rStyle w:val="IndexLink"/>
                <w:rtl w:val="true"/>
              </w:rPr>
              <w:tab/>
            </w:r>
            <w:r>
              <w:rPr>
                <w:rStyle w:val="IndexLink"/>
              </w:rPr>
              <w:t>14</w:t>
            </w:r>
          </w:hyperlink>
        </w:p>
        <w:p>
          <w:pPr>
            <w:pStyle w:val="Contents2"/>
            <w:tabs>
              <w:tab w:val="clear" w:pos="8743"/>
              <w:tab w:val="right" w:pos="9026" w:leader="dot"/>
            </w:tabs>
            <w:rPr/>
          </w:pPr>
          <w:hyperlink w:anchor="__RefHeading___Toc3793725_581953129">
            <w:r>
              <w:rPr>
                <w:webHidden/>
                <w:rStyle w:val="IndexLink"/>
                <w:rtl w:val="true"/>
              </w:rPr>
              <w:t>دیدگاه های موجود در مسأله</w:t>
            </w:r>
            <w:r>
              <w:rPr>
                <w:rStyle w:val="IndexLink"/>
                <w:rtl w:val="true"/>
              </w:rPr>
              <w:tab/>
            </w:r>
            <w:r>
              <w:rPr>
                <w:rStyle w:val="IndexLink"/>
              </w:rPr>
              <w:t>16</w:t>
            </w:r>
          </w:hyperlink>
        </w:p>
        <w:p>
          <w:pPr>
            <w:pStyle w:val="Contents2"/>
            <w:tabs>
              <w:tab w:val="clear" w:pos="8743"/>
              <w:tab w:val="right" w:pos="9026" w:leader="dot"/>
            </w:tabs>
            <w:rPr/>
          </w:pPr>
          <w:hyperlink w:anchor="__RefHeading___Toc3793727_581953129">
            <w:r>
              <w:rPr>
                <w:webHidden/>
                <w:rStyle w:val="IndexLink"/>
                <w:rtl w:val="true"/>
              </w:rPr>
              <w:t>بررسی عبارات فقها در مسئله جواز اجرای حدود در زمان غیبت</w:t>
            </w:r>
            <w:r>
              <w:rPr>
                <w:rStyle w:val="IndexLink"/>
                <w:rtl w:val="true"/>
              </w:rPr>
              <w:tab/>
            </w:r>
            <w:r>
              <w:rPr>
                <w:rStyle w:val="IndexLink"/>
              </w:rPr>
              <w:t>18</w:t>
            </w:r>
          </w:hyperlink>
        </w:p>
        <w:p>
          <w:pPr>
            <w:pStyle w:val="Contents3"/>
            <w:tabs>
              <w:tab w:val="clear" w:pos="8459"/>
              <w:tab w:val="right" w:pos="9026" w:leader="dot"/>
            </w:tabs>
            <w:rPr/>
          </w:pPr>
          <w:hyperlink w:anchor="__RefHeading___Toc3793729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3793731_581953129">
            <w:r>
              <w:rPr>
                <w:webHidden/>
                <w:rStyle w:val="IndexLink"/>
              </w:rPr>
              <w:t>1</w:t>
            </w:r>
            <w:r>
              <w:rPr>
                <w:rStyle w:val="IndexLink"/>
                <w:rtl w:val="true"/>
              </w:rPr>
              <w:t xml:space="preserve"> - </w:t>
            </w:r>
            <w:r>
              <w:rPr>
                <w:rStyle w:val="IndexLink"/>
                <w:rtl w:val="true"/>
              </w:rPr>
              <w:t>مرحوم شیخ مفید</w:t>
            </w:r>
            <w:r>
              <w:rPr>
                <w:rStyle w:val="IndexLink"/>
                <w:rtl w:val="true"/>
              </w:rPr>
              <w:tab/>
            </w:r>
            <w:r>
              <w:rPr>
                <w:rStyle w:val="IndexLink"/>
              </w:rPr>
              <w:t>18</w:t>
            </w:r>
          </w:hyperlink>
        </w:p>
        <w:p>
          <w:pPr>
            <w:pStyle w:val="Contents3"/>
            <w:tabs>
              <w:tab w:val="clear" w:pos="8459"/>
              <w:tab w:val="right" w:pos="9026" w:leader="dot"/>
            </w:tabs>
            <w:rPr/>
          </w:pPr>
          <w:hyperlink w:anchor="__RefHeading___Toc3793733_581953129">
            <w:r>
              <w:rPr>
                <w:webHidden/>
                <w:rStyle w:val="IndexLink"/>
              </w:rPr>
              <w:t>2</w:t>
            </w:r>
            <w:r>
              <w:rPr>
                <w:rStyle w:val="IndexLink"/>
                <w:rtl w:val="true"/>
              </w:rPr>
              <w:t xml:space="preserve"> - </w:t>
            </w:r>
            <w:r>
              <w:rPr>
                <w:rStyle w:val="IndexLink"/>
                <w:rtl w:val="true"/>
              </w:rPr>
              <w:t>سلّار رحمه الله</w:t>
            </w:r>
            <w:r>
              <w:rPr>
                <w:rStyle w:val="IndexLink"/>
                <w:rtl w:val="true"/>
              </w:rPr>
              <w:tab/>
            </w:r>
            <w:r>
              <w:rPr>
                <w:rStyle w:val="IndexLink"/>
              </w:rPr>
              <w:t>18</w:t>
            </w:r>
          </w:hyperlink>
        </w:p>
        <w:p>
          <w:pPr>
            <w:pStyle w:val="Contents3"/>
            <w:tabs>
              <w:tab w:val="clear" w:pos="8459"/>
              <w:tab w:val="right" w:pos="9026" w:leader="dot"/>
            </w:tabs>
            <w:rPr/>
          </w:pPr>
          <w:hyperlink w:anchor="__RefHeading___Toc3793735_581953129">
            <w:r>
              <w:rPr>
                <w:webHidden/>
                <w:rStyle w:val="IndexLink"/>
              </w:rPr>
              <w:t>3</w:t>
            </w:r>
            <w:r>
              <w:rPr>
                <w:rStyle w:val="IndexLink"/>
                <w:rtl w:val="true"/>
              </w:rPr>
              <w:t xml:space="preserve"> - </w:t>
            </w:r>
            <w:r>
              <w:rPr>
                <w:rStyle w:val="IndexLink"/>
                <w:rtl w:val="true"/>
              </w:rPr>
              <w:t>ابوالصلاح حلبی رحمه الله</w:t>
            </w:r>
            <w:r>
              <w:rPr>
                <w:rStyle w:val="IndexLink"/>
                <w:rtl w:val="true"/>
              </w:rPr>
              <w:tab/>
            </w:r>
            <w:r>
              <w:rPr>
                <w:rStyle w:val="IndexLink"/>
              </w:rPr>
              <w:t>19</w:t>
            </w:r>
          </w:hyperlink>
        </w:p>
        <w:p>
          <w:pPr>
            <w:pStyle w:val="Contents3"/>
            <w:tabs>
              <w:tab w:val="clear" w:pos="8459"/>
              <w:tab w:val="right" w:pos="9026" w:leader="dot"/>
            </w:tabs>
            <w:rPr/>
          </w:pPr>
          <w:hyperlink w:anchor="__RefHeading___Toc3793737_581953129">
            <w:r>
              <w:rPr>
                <w:webHidden/>
                <w:rStyle w:val="IndexLink"/>
              </w:rPr>
              <w:t>4</w:t>
            </w:r>
            <w:r>
              <w:rPr>
                <w:rStyle w:val="IndexLink"/>
                <w:rtl w:val="true"/>
              </w:rPr>
              <w:t xml:space="preserve"> - </w:t>
            </w:r>
            <w:r>
              <w:rPr>
                <w:rStyle w:val="IndexLink"/>
                <w:rtl w:val="true"/>
              </w:rPr>
              <w:t>ابن زهره رحمه الله</w:t>
            </w:r>
            <w:r>
              <w:rPr>
                <w:rStyle w:val="IndexLink"/>
                <w:rtl w:val="true"/>
              </w:rPr>
              <w:tab/>
            </w:r>
            <w:r>
              <w:rPr>
                <w:rStyle w:val="IndexLink"/>
              </w:rPr>
              <w:t>20</w:t>
            </w:r>
          </w:hyperlink>
        </w:p>
        <w:p>
          <w:pPr>
            <w:pStyle w:val="Contents3"/>
            <w:tabs>
              <w:tab w:val="clear" w:pos="8459"/>
              <w:tab w:val="right" w:pos="9026" w:leader="dot"/>
            </w:tabs>
            <w:rPr/>
          </w:pPr>
          <w:hyperlink w:anchor="__RefHeading___Toc3793739_581953129">
            <w:r>
              <w:rPr>
                <w:webHidden/>
                <w:rStyle w:val="IndexLink"/>
              </w:rPr>
              <w:t>5</w:t>
            </w:r>
            <w:r>
              <w:rPr>
                <w:rStyle w:val="IndexLink"/>
                <w:rtl w:val="true"/>
              </w:rPr>
              <w:t xml:space="preserve"> - </w:t>
            </w:r>
            <w:r>
              <w:rPr>
                <w:rStyle w:val="IndexLink"/>
                <w:rtl w:val="true"/>
              </w:rPr>
              <w:t>ابن سعید در</w:t>
            </w:r>
            <w:r>
              <w:rPr>
                <w:rStyle w:val="IndexLink"/>
                <w:rtl w:val="true"/>
              </w:rPr>
              <w:tab/>
            </w:r>
            <w:r>
              <w:rPr>
                <w:rStyle w:val="IndexLink"/>
              </w:rPr>
              <w:t>20</w:t>
            </w:r>
          </w:hyperlink>
        </w:p>
        <w:p>
          <w:pPr>
            <w:pStyle w:val="Contents3"/>
            <w:tabs>
              <w:tab w:val="clear" w:pos="8459"/>
              <w:tab w:val="right" w:pos="9026" w:leader="dot"/>
            </w:tabs>
            <w:rPr/>
          </w:pPr>
          <w:hyperlink w:anchor="__RefHeading___Toc3793741_581953129">
            <w:r>
              <w:rPr>
                <w:webHidden/>
                <w:rStyle w:val="IndexLink"/>
              </w:rPr>
              <w:t>6</w:t>
            </w:r>
            <w:r>
              <w:rPr>
                <w:rStyle w:val="IndexLink"/>
                <w:rtl w:val="true"/>
              </w:rPr>
              <w:t xml:space="preserve"> - </w:t>
            </w:r>
            <w:r>
              <w:rPr>
                <w:rStyle w:val="IndexLink"/>
                <w:rtl w:val="true"/>
              </w:rPr>
              <w:t>شیخ طوسی</w:t>
            </w:r>
            <w:r>
              <w:rPr>
                <w:rStyle w:val="IndexLink"/>
                <w:rtl w:val="true"/>
              </w:rPr>
              <w:tab/>
            </w:r>
            <w:r>
              <w:rPr>
                <w:rStyle w:val="IndexLink"/>
              </w:rPr>
              <w:t>21</w:t>
            </w:r>
          </w:hyperlink>
        </w:p>
        <w:p>
          <w:pPr>
            <w:pStyle w:val="Contents3"/>
            <w:tabs>
              <w:tab w:val="clear" w:pos="8459"/>
              <w:tab w:val="right" w:pos="9026" w:leader="dot"/>
            </w:tabs>
            <w:rPr/>
          </w:pPr>
          <w:hyperlink w:anchor="__RefHeading___Toc3793743_581953129">
            <w:r>
              <w:rPr>
                <w:webHidden/>
                <w:rStyle w:val="IndexLink"/>
              </w:rPr>
              <w:t>7</w:t>
            </w:r>
            <w:r>
              <w:rPr>
                <w:rStyle w:val="IndexLink"/>
                <w:rtl w:val="true"/>
              </w:rPr>
              <w:t xml:space="preserve"> - </w:t>
            </w:r>
            <w:r>
              <w:rPr>
                <w:rStyle w:val="IndexLink"/>
                <w:rtl w:val="true"/>
              </w:rPr>
              <w:t>ابن ادریس رحمه الله</w:t>
            </w:r>
            <w:r>
              <w:rPr>
                <w:rStyle w:val="IndexLink"/>
                <w:rtl w:val="true"/>
              </w:rPr>
              <w:tab/>
            </w:r>
            <w:r>
              <w:rPr>
                <w:rStyle w:val="IndexLink"/>
              </w:rPr>
              <w:t>25</w:t>
            </w:r>
          </w:hyperlink>
        </w:p>
        <w:p>
          <w:pPr>
            <w:pStyle w:val="Contents3"/>
            <w:tabs>
              <w:tab w:val="clear" w:pos="8459"/>
              <w:tab w:val="right" w:pos="9026" w:leader="dot"/>
            </w:tabs>
            <w:rPr/>
          </w:pPr>
          <w:hyperlink w:anchor="__RefHeading___Toc3793745_581953129">
            <w:r>
              <w:rPr>
                <w:webHidden/>
                <w:rStyle w:val="IndexLink"/>
              </w:rPr>
              <w:t>8</w:t>
            </w:r>
            <w:r>
              <w:rPr>
                <w:rStyle w:val="IndexLink"/>
                <w:rtl w:val="true"/>
              </w:rPr>
              <w:t xml:space="preserve"> - </w:t>
            </w:r>
            <w:r>
              <w:rPr>
                <w:rStyle w:val="IndexLink"/>
                <w:rtl w:val="true"/>
              </w:rPr>
              <w:t>نظر علّامه حلّی رحمه الله</w:t>
            </w:r>
            <w:r>
              <w:rPr>
                <w:rStyle w:val="IndexLink"/>
                <w:rtl w:val="true"/>
              </w:rPr>
              <w:tab/>
            </w:r>
            <w:r>
              <w:rPr>
                <w:rStyle w:val="IndexLink"/>
              </w:rPr>
              <w:t>30</w:t>
            </w:r>
          </w:hyperlink>
        </w:p>
        <w:p>
          <w:pPr>
            <w:pStyle w:val="Contents3"/>
            <w:tabs>
              <w:tab w:val="clear" w:pos="8459"/>
              <w:tab w:val="right" w:pos="9026" w:leader="dot"/>
            </w:tabs>
            <w:rPr/>
          </w:pPr>
          <w:hyperlink w:anchor="__RefHeading___Toc3793747_581953129">
            <w:r>
              <w:rPr>
                <w:webHidden/>
                <w:rStyle w:val="IndexLink"/>
              </w:rPr>
              <w:t>9</w:t>
            </w:r>
            <w:r>
              <w:rPr>
                <w:rStyle w:val="IndexLink"/>
                <w:rtl w:val="true"/>
              </w:rPr>
              <w:t xml:space="preserve"> - </w:t>
            </w:r>
            <w:r>
              <w:rPr>
                <w:rStyle w:val="IndexLink"/>
                <w:rtl w:val="true"/>
              </w:rPr>
              <w:t>نظر شهید اول رحمه الله</w:t>
            </w:r>
            <w:r>
              <w:rPr>
                <w:rStyle w:val="IndexLink"/>
                <w:rtl w:val="true"/>
              </w:rPr>
              <w:tab/>
            </w:r>
            <w:r>
              <w:rPr>
                <w:rStyle w:val="IndexLink"/>
              </w:rPr>
              <w:t>31</w:t>
            </w:r>
          </w:hyperlink>
        </w:p>
        <w:p>
          <w:pPr>
            <w:pStyle w:val="Contents3"/>
            <w:tabs>
              <w:tab w:val="clear" w:pos="8459"/>
              <w:tab w:val="right" w:pos="9026" w:leader="dot"/>
            </w:tabs>
            <w:rPr/>
          </w:pPr>
          <w:hyperlink w:anchor="__RefHeading___Toc3793749_581953129">
            <w:r>
              <w:rPr>
                <w:webHidden/>
                <w:rStyle w:val="IndexLink"/>
              </w:rPr>
              <w:t>10</w:t>
            </w:r>
            <w:r>
              <w:rPr>
                <w:rStyle w:val="IndexLink"/>
                <w:rtl w:val="true"/>
              </w:rPr>
              <w:t xml:space="preserve"> - </w:t>
            </w:r>
            <w:r>
              <w:rPr>
                <w:rStyle w:val="IndexLink"/>
                <w:rtl w:val="true"/>
              </w:rPr>
              <w:t>اشاره به نظر محقّق ثانی رحمه الله</w:t>
            </w:r>
            <w:r>
              <w:rPr>
                <w:rStyle w:val="IndexLink"/>
                <w:rtl w:val="true"/>
              </w:rPr>
              <w:tab/>
            </w:r>
            <w:r>
              <w:rPr>
                <w:rStyle w:val="IndexLink"/>
              </w:rPr>
              <w:t>32</w:t>
            </w:r>
          </w:hyperlink>
        </w:p>
        <w:p>
          <w:pPr>
            <w:pStyle w:val="Contents3"/>
            <w:tabs>
              <w:tab w:val="clear" w:pos="8459"/>
              <w:tab w:val="right" w:pos="9026" w:leader="dot"/>
            </w:tabs>
            <w:rPr/>
          </w:pPr>
          <w:hyperlink w:anchor="__RefHeading___Toc3793751_581953129">
            <w:r>
              <w:rPr>
                <w:webHidden/>
                <w:rStyle w:val="IndexLink"/>
              </w:rPr>
              <w:t>11</w:t>
            </w:r>
            <w:r>
              <w:rPr>
                <w:rStyle w:val="IndexLink"/>
                <w:rtl w:val="true"/>
              </w:rPr>
              <w:t xml:space="preserve"> - </w:t>
            </w:r>
            <w:r>
              <w:rPr>
                <w:rStyle w:val="IndexLink"/>
                <w:rtl w:val="true"/>
              </w:rPr>
              <w:t>بررسی نظر شهید ثانی رحمه الله</w:t>
            </w:r>
            <w:r>
              <w:rPr>
                <w:rStyle w:val="IndexLink"/>
                <w:rtl w:val="true"/>
              </w:rPr>
              <w:tab/>
            </w:r>
            <w:r>
              <w:rPr>
                <w:rStyle w:val="IndexLink"/>
              </w:rPr>
              <w:t>32</w:t>
            </w:r>
          </w:hyperlink>
        </w:p>
        <w:p>
          <w:pPr>
            <w:pStyle w:val="Contents3"/>
            <w:tabs>
              <w:tab w:val="clear" w:pos="8459"/>
              <w:tab w:val="right" w:pos="9026" w:leader="dot"/>
            </w:tabs>
            <w:rPr/>
          </w:pPr>
          <w:hyperlink w:anchor="__RefHeading___Toc3793753_581953129">
            <w:r>
              <w:rPr>
                <w:webHidden/>
                <w:rStyle w:val="IndexLink"/>
              </w:rPr>
              <w:t>12</w:t>
            </w:r>
            <w:r>
              <w:rPr>
                <w:rStyle w:val="IndexLink"/>
                <w:rtl w:val="true"/>
              </w:rPr>
              <w:t xml:space="preserve"> - </w:t>
            </w:r>
            <w:r>
              <w:rPr>
                <w:rStyle w:val="IndexLink"/>
                <w:rtl w:val="true"/>
              </w:rPr>
              <w:t>تبیین نظر فاضل مقداد رحمه الله</w:t>
            </w:r>
            <w:r>
              <w:rPr>
                <w:rStyle w:val="IndexLink"/>
                <w:rtl w:val="true"/>
              </w:rPr>
              <w:tab/>
            </w:r>
            <w:r>
              <w:rPr>
                <w:rStyle w:val="IndexLink"/>
              </w:rPr>
              <w:t>33</w:t>
            </w:r>
          </w:hyperlink>
        </w:p>
        <w:p>
          <w:pPr>
            <w:pStyle w:val="Contents3"/>
            <w:tabs>
              <w:tab w:val="clear" w:pos="8459"/>
              <w:tab w:val="right" w:pos="9026" w:leader="dot"/>
            </w:tabs>
            <w:rPr/>
          </w:pPr>
          <w:hyperlink w:anchor="__RefHeading___Toc3793755_581953129">
            <w:r>
              <w:rPr>
                <w:webHidden/>
                <w:rStyle w:val="IndexLink"/>
                <w:rtl w:val="true"/>
              </w:rPr>
              <w:t>خلاصه و نتیجۀ اقوال بیان شده</w:t>
            </w:r>
            <w:r>
              <w:rPr>
                <w:rStyle w:val="IndexLink"/>
                <w:rtl w:val="true"/>
              </w:rPr>
              <w:tab/>
            </w:r>
            <w:r>
              <w:rPr>
                <w:rStyle w:val="IndexLink"/>
              </w:rPr>
              <w:t>35</w:t>
            </w:r>
          </w:hyperlink>
        </w:p>
        <w:p>
          <w:pPr>
            <w:pStyle w:val="Contents2"/>
            <w:tabs>
              <w:tab w:val="clear" w:pos="8743"/>
              <w:tab w:val="right" w:pos="9026" w:leader="dot"/>
            </w:tabs>
            <w:rPr/>
          </w:pPr>
          <w:hyperlink w:anchor="__RefHeading___Toc3793757_581953129">
            <w:r>
              <w:rPr>
                <w:webHidden/>
                <w:rStyle w:val="IndexLink"/>
                <w:rtl w:val="true"/>
              </w:rPr>
              <w:t>بررسی ادلّۀ طرفداران دیدگاه عدم جواز</w:t>
            </w:r>
            <w:r>
              <w:rPr>
                <w:rStyle w:val="IndexLink"/>
                <w:rtl w:val="true"/>
              </w:rPr>
              <w:tab/>
            </w:r>
            <w:r>
              <w:rPr>
                <w:rStyle w:val="IndexLink"/>
              </w:rPr>
              <w:t>36</w:t>
            </w:r>
          </w:hyperlink>
        </w:p>
        <w:p>
          <w:pPr>
            <w:pStyle w:val="Contents2"/>
            <w:tabs>
              <w:tab w:val="clear" w:pos="8743"/>
              <w:tab w:val="right" w:pos="9026" w:leader="dot"/>
            </w:tabs>
            <w:rPr/>
          </w:pPr>
          <w:hyperlink w:anchor="__RefHeading___Toc3793759_581953129">
            <w:r>
              <w:rPr>
                <w:webHidden/>
                <w:rStyle w:val="IndexLink"/>
                <w:rtl w:val="true"/>
              </w:rPr>
              <w:t>بررسی ادلّه طرفداران دیدگاه جواز</w:t>
            </w:r>
            <w:r>
              <w:rPr>
                <w:rStyle w:val="IndexLink"/>
                <w:rtl w:val="true"/>
              </w:rPr>
              <w:tab/>
            </w:r>
            <w:r>
              <w:rPr>
                <w:rStyle w:val="IndexLink"/>
              </w:rPr>
              <w:t>43</w:t>
            </w:r>
          </w:hyperlink>
        </w:p>
        <w:p>
          <w:pPr>
            <w:pStyle w:val="Contents3"/>
            <w:tabs>
              <w:tab w:val="clear" w:pos="8459"/>
              <w:tab w:val="right" w:pos="9026" w:leader="dot"/>
            </w:tabs>
            <w:rPr/>
          </w:pPr>
          <w:hyperlink w:anchor="__RefHeading___Toc3793761_581953129">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3793763_581953129">
            <w:r>
              <w:rPr>
                <w:webHidden/>
                <w:rStyle w:val="IndexLink"/>
                <w:rtl w:val="true"/>
              </w:rPr>
              <w:t>دلیل اول</w:t>
            </w:r>
            <w:r>
              <w:rPr>
                <w:rStyle w:val="IndexLink"/>
                <w:rtl w:val="true"/>
              </w:rPr>
              <w:t xml:space="preserve">: </w:t>
            </w:r>
            <w:r>
              <w:rPr>
                <w:rStyle w:val="IndexLink"/>
                <w:rtl w:val="true"/>
              </w:rPr>
              <w:t>اجماع</w:t>
            </w:r>
            <w:r>
              <w:rPr>
                <w:rStyle w:val="IndexLink"/>
                <w:rtl w:val="true"/>
              </w:rPr>
              <w:tab/>
            </w:r>
            <w:r>
              <w:rPr>
                <w:rStyle w:val="IndexLink"/>
              </w:rPr>
              <w:t>44</w:t>
            </w:r>
          </w:hyperlink>
        </w:p>
        <w:p>
          <w:pPr>
            <w:pStyle w:val="Contents3"/>
            <w:tabs>
              <w:tab w:val="clear" w:pos="8459"/>
              <w:tab w:val="right" w:pos="9026" w:leader="dot"/>
            </w:tabs>
            <w:rPr/>
          </w:pPr>
          <w:hyperlink w:anchor="__RefHeading___Toc3793765_581953129">
            <w:r>
              <w:rPr>
                <w:webHidden/>
                <w:rStyle w:val="IndexLink"/>
                <w:rtl w:val="true"/>
              </w:rPr>
              <w:t>دلیل دوم</w:t>
            </w:r>
            <w:r>
              <w:rPr>
                <w:rStyle w:val="IndexLink"/>
                <w:rtl w:val="true"/>
              </w:rPr>
              <w:t xml:space="preserve">: </w:t>
            </w:r>
            <w:r>
              <w:rPr>
                <w:rStyle w:val="IndexLink"/>
                <w:rtl w:val="true"/>
              </w:rPr>
              <w:t>مقبولۀ عمر بن حنظله</w:t>
            </w:r>
            <w:r>
              <w:rPr>
                <w:rStyle w:val="IndexLink"/>
                <w:rtl w:val="true"/>
              </w:rPr>
              <w:tab/>
            </w:r>
            <w:r>
              <w:rPr>
                <w:rStyle w:val="IndexLink"/>
              </w:rPr>
              <w:t>45</w:t>
            </w:r>
          </w:hyperlink>
        </w:p>
        <w:p>
          <w:pPr>
            <w:pStyle w:val="Contents4"/>
            <w:tabs>
              <w:tab w:val="clear" w:pos="8176"/>
              <w:tab w:val="right" w:pos="9026" w:leader="dot"/>
            </w:tabs>
            <w:rPr/>
          </w:pPr>
          <w:hyperlink w:anchor="__RefHeading___Toc3793767_58195312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793769_581953129">
            <w:r>
              <w:rPr>
                <w:webHidden/>
                <w:rStyle w:val="IndexLink"/>
                <w:rtl w:val="true"/>
              </w:rPr>
              <w:t>بررسی سند حدیث</w:t>
            </w:r>
            <w:r>
              <w:rPr>
                <w:rStyle w:val="IndexLink"/>
                <w:rtl w:val="true"/>
              </w:rPr>
              <w:tab/>
            </w:r>
            <w:r>
              <w:rPr>
                <w:rStyle w:val="IndexLink"/>
              </w:rPr>
              <w:t>46</w:t>
            </w:r>
          </w:hyperlink>
        </w:p>
        <w:p>
          <w:pPr>
            <w:pStyle w:val="Contents4"/>
            <w:tabs>
              <w:tab w:val="clear" w:pos="8176"/>
              <w:tab w:val="right" w:pos="9026" w:leader="dot"/>
            </w:tabs>
            <w:rPr/>
          </w:pPr>
          <w:hyperlink w:anchor="__RefHeading___Toc3793771_581953129">
            <w:r>
              <w:rPr>
                <w:webHidden/>
                <w:rStyle w:val="IndexLink"/>
                <w:rtl w:val="true"/>
              </w:rPr>
              <w:t>بیان استدلال به روایت</w:t>
            </w:r>
            <w:r>
              <w:rPr>
                <w:rStyle w:val="IndexLink"/>
                <w:rtl w:val="true"/>
              </w:rPr>
              <w:tab/>
            </w:r>
            <w:r>
              <w:rPr>
                <w:rStyle w:val="IndexLink"/>
              </w:rPr>
              <w:t>51</w:t>
            </w:r>
          </w:hyperlink>
        </w:p>
        <w:p>
          <w:pPr>
            <w:pStyle w:val="Contents4"/>
            <w:tabs>
              <w:tab w:val="clear" w:pos="8176"/>
              <w:tab w:val="right" w:pos="9026" w:leader="dot"/>
            </w:tabs>
            <w:rPr/>
          </w:pPr>
          <w:hyperlink w:anchor="__RefHeading___Toc3793773_581953129">
            <w:r>
              <w:rPr>
                <w:webHidden/>
                <w:rStyle w:val="IndexLink"/>
                <w:rtl w:val="true"/>
              </w:rPr>
              <w:t>تنبیه</w:t>
            </w:r>
            <w:r>
              <w:rPr>
                <w:rStyle w:val="IndexLink"/>
                <w:rtl w:val="true"/>
              </w:rPr>
              <w:tab/>
            </w:r>
            <w:r>
              <w:rPr>
                <w:rStyle w:val="IndexLink"/>
              </w:rPr>
              <w:t>61</w:t>
            </w:r>
          </w:hyperlink>
        </w:p>
        <w:p>
          <w:pPr>
            <w:pStyle w:val="Contents4"/>
            <w:tabs>
              <w:tab w:val="clear" w:pos="8176"/>
              <w:tab w:val="right" w:pos="9026" w:leader="dot"/>
            </w:tabs>
            <w:rPr/>
          </w:pPr>
          <w:hyperlink w:anchor="__RefHeading___Toc3793775_581953129">
            <w:r>
              <w:rPr>
                <w:webHidden/>
                <w:rStyle w:val="IndexLink"/>
                <w:rtl w:val="true"/>
              </w:rPr>
              <w:t>اشکال</w:t>
            </w:r>
            <w:r>
              <w:rPr>
                <w:rStyle w:val="IndexLink"/>
                <w:rtl w:val="true"/>
              </w:rPr>
              <w:tab/>
            </w:r>
            <w:r>
              <w:rPr>
                <w:rStyle w:val="IndexLink"/>
              </w:rPr>
              <w:t>61</w:t>
            </w:r>
          </w:hyperlink>
        </w:p>
        <w:p>
          <w:pPr>
            <w:pStyle w:val="Contents4"/>
            <w:tabs>
              <w:tab w:val="clear" w:pos="8176"/>
              <w:tab w:val="right" w:pos="9026" w:leader="dot"/>
            </w:tabs>
            <w:rPr/>
          </w:pPr>
          <w:hyperlink w:anchor="__RefHeading___Toc3793777_581953129">
            <w:r>
              <w:rPr>
                <w:webHidden/>
                <w:rStyle w:val="IndexLink"/>
                <w:rtl w:val="true"/>
              </w:rPr>
              <w:t>پاسخ</w:t>
            </w:r>
            <w:r>
              <w:rPr>
                <w:rStyle w:val="IndexLink"/>
                <w:rtl w:val="true"/>
              </w:rPr>
              <w:tab/>
            </w:r>
            <w:r>
              <w:rPr>
                <w:rStyle w:val="IndexLink"/>
              </w:rPr>
              <w:t>61</w:t>
            </w:r>
          </w:hyperlink>
        </w:p>
        <w:p>
          <w:pPr>
            <w:pStyle w:val="Contents3"/>
            <w:tabs>
              <w:tab w:val="clear" w:pos="8459"/>
              <w:tab w:val="right" w:pos="9026" w:leader="dot"/>
            </w:tabs>
            <w:rPr/>
          </w:pPr>
          <w:hyperlink w:anchor="__RefHeading___Toc3793779_581953129">
            <w:r>
              <w:rPr>
                <w:webHidden/>
                <w:rStyle w:val="IndexLink"/>
                <w:rtl w:val="true"/>
              </w:rPr>
              <w:t>دلیل سوم</w:t>
            </w:r>
            <w:r>
              <w:rPr>
                <w:rStyle w:val="IndexLink"/>
                <w:rtl w:val="true"/>
              </w:rPr>
              <w:t xml:space="preserve">: </w:t>
            </w:r>
            <w:r>
              <w:rPr>
                <w:rStyle w:val="IndexLink"/>
                <w:rtl w:val="true"/>
              </w:rPr>
              <w:t>مقبولۀ ابی خدیجه</w:t>
            </w:r>
            <w:r>
              <w:rPr>
                <w:rStyle w:val="IndexLink"/>
                <w:rtl w:val="true"/>
              </w:rPr>
              <w:tab/>
            </w:r>
            <w:r>
              <w:rPr>
                <w:rStyle w:val="IndexLink"/>
              </w:rPr>
              <w:t>63</w:t>
            </w:r>
          </w:hyperlink>
        </w:p>
        <w:p>
          <w:pPr>
            <w:pStyle w:val="Contents3"/>
            <w:tabs>
              <w:tab w:val="clear" w:pos="8459"/>
              <w:tab w:val="right" w:pos="9026" w:leader="dot"/>
            </w:tabs>
            <w:rPr/>
          </w:pPr>
          <w:hyperlink w:anchor="__RefHeading___Toc3793781_581953129">
            <w:r>
              <w:rPr>
                <w:webHidden/>
                <w:rStyle w:val="IndexLink"/>
                <w:rtl w:val="true"/>
              </w:rPr>
              <w:t>دلیل چهارم</w:t>
            </w:r>
            <w:r>
              <w:rPr>
                <w:rStyle w:val="IndexLink"/>
                <w:rtl w:val="true"/>
              </w:rPr>
              <w:t xml:space="preserve">: </w:t>
            </w:r>
            <w:r>
              <w:rPr>
                <w:rStyle w:val="IndexLink"/>
                <w:rtl w:val="true"/>
              </w:rPr>
              <w:t>توقیع شریف</w:t>
            </w:r>
            <w:r>
              <w:rPr>
                <w:rStyle w:val="IndexLink"/>
                <w:rtl w:val="true"/>
              </w:rPr>
              <w:tab/>
            </w:r>
            <w:r>
              <w:rPr>
                <w:rStyle w:val="IndexLink"/>
              </w:rPr>
              <w:t>64</w:t>
            </w:r>
          </w:hyperlink>
        </w:p>
        <w:p>
          <w:pPr>
            <w:pStyle w:val="Contents3"/>
            <w:tabs>
              <w:tab w:val="clear" w:pos="8459"/>
              <w:tab w:val="right" w:pos="9026" w:leader="dot"/>
            </w:tabs>
            <w:rPr/>
          </w:pPr>
          <w:hyperlink w:anchor="__RefHeading___Toc3793783_581953129">
            <w:r>
              <w:rPr>
                <w:webHidden/>
                <w:rStyle w:val="IndexLink"/>
                <w:rtl w:val="true"/>
              </w:rPr>
              <w:t>دلیل پنجم</w:t>
            </w:r>
            <w:r>
              <w:rPr>
                <w:rStyle w:val="IndexLink"/>
                <w:rtl w:val="true"/>
              </w:rPr>
              <w:t xml:space="preserve">: </w:t>
            </w:r>
            <w:r>
              <w:rPr>
                <w:rStyle w:val="IndexLink"/>
                <w:rtl w:val="true"/>
              </w:rPr>
              <w:t>روایت سلیمان</w:t>
            </w:r>
            <w:r>
              <w:rPr>
                <w:rStyle w:val="IndexLink"/>
                <w:rtl w:val="true"/>
              </w:rPr>
              <w:tab/>
            </w:r>
            <w:r>
              <w:rPr>
                <w:rStyle w:val="IndexLink"/>
              </w:rPr>
              <w:t>65</w:t>
            </w:r>
          </w:hyperlink>
        </w:p>
        <w:p>
          <w:pPr>
            <w:pStyle w:val="Contents3"/>
            <w:tabs>
              <w:tab w:val="clear" w:pos="8459"/>
              <w:tab w:val="right" w:pos="9026" w:leader="dot"/>
            </w:tabs>
            <w:rPr/>
          </w:pPr>
          <w:hyperlink w:anchor="__RefHeading___Toc3793785_581953129">
            <w:r>
              <w:rPr>
                <w:webHidden/>
                <w:rStyle w:val="IndexLink"/>
                <w:rtl w:val="true"/>
              </w:rPr>
              <w:t>دلیل ششم</w:t>
            </w:r>
            <w:r>
              <w:rPr>
                <w:rStyle w:val="IndexLink"/>
                <w:rtl w:val="true"/>
              </w:rPr>
              <w:t xml:space="preserve">: </w:t>
            </w:r>
            <w:r>
              <w:rPr>
                <w:rStyle w:val="IndexLink"/>
                <w:rtl w:val="true"/>
              </w:rPr>
              <w:t>عدم جواز تعطیلی حدود</w:t>
            </w:r>
            <w:r>
              <w:rPr>
                <w:rStyle w:val="IndexLink"/>
                <w:rtl w:val="true"/>
              </w:rPr>
              <w:tab/>
            </w:r>
            <w:r>
              <w:rPr>
                <w:rStyle w:val="IndexLink"/>
              </w:rPr>
              <w:t>68</w:t>
            </w:r>
          </w:hyperlink>
        </w:p>
        <w:p>
          <w:pPr>
            <w:pStyle w:val="Contents3"/>
            <w:tabs>
              <w:tab w:val="clear" w:pos="8459"/>
              <w:tab w:val="right" w:pos="9026" w:leader="dot"/>
            </w:tabs>
            <w:rPr/>
          </w:pPr>
          <w:hyperlink w:anchor="__RefHeading___Toc3793787_581953129">
            <w:r>
              <w:rPr>
                <w:webHidden/>
                <w:rStyle w:val="IndexLink"/>
                <w:rtl w:val="true"/>
              </w:rPr>
              <w:t>دلیل هفتم</w:t>
            </w:r>
            <w:r>
              <w:rPr>
                <w:rStyle w:val="IndexLink"/>
                <w:rtl w:val="true"/>
              </w:rPr>
              <w:t xml:space="preserve">: </w:t>
            </w:r>
            <w:r>
              <w:rPr>
                <w:rStyle w:val="IndexLink"/>
                <w:rtl w:val="true"/>
              </w:rPr>
              <w:t>حکمت اجرای حدود</w:t>
            </w:r>
            <w:r>
              <w:rPr>
                <w:rStyle w:val="IndexLink"/>
                <w:rtl w:val="true"/>
              </w:rPr>
              <w:tab/>
            </w:r>
            <w:r>
              <w:rPr>
                <w:rStyle w:val="IndexLink"/>
              </w:rPr>
              <w:t>74</w:t>
            </w:r>
          </w:hyperlink>
        </w:p>
        <w:p>
          <w:pPr>
            <w:pStyle w:val="Contents3"/>
            <w:tabs>
              <w:tab w:val="clear" w:pos="8459"/>
              <w:tab w:val="right" w:pos="9026" w:leader="dot"/>
            </w:tabs>
            <w:rPr/>
          </w:pPr>
          <w:hyperlink w:anchor="__RefHeading___Toc3793789_581953129">
            <w:r>
              <w:rPr>
                <w:webHidden/>
                <w:rStyle w:val="IndexLink"/>
                <w:rtl w:val="true"/>
              </w:rPr>
              <w:t>دلیل هشتم</w:t>
            </w:r>
            <w:r>
              <w:rPr>
                <w:rStyle w:val="IndexLink"/>
                <w:rtl w:val="true"/>
              </w:rPr>
              <w:t xml:space="preserve">: </w:t>
            </w:r>
            <w:r>
              <w:rPr>
                <w:rStyle w:val="IndexLink"/>
                <w:rtl w:val="true"/>
              </w:rPr>
              <w:t>گسترش مفاسد در صورت تعطیلی حدود</w:t>
            </w:r>
            <w:r>
              <w:rPr>
                <w:rStyle w:val="IndexLink"/>
                <w:rtl w:val="true"/>
              </w:rPr>
              <w:tab/>
            </w:r>
            <w:r>
              <w:rPr>
                <w:rStyle w:val="IndexLink"/>
              </w:rPr>
              <w:t>76</w:t>
            </w:r>
          </w:hyperlink>
        </w:p>
        <w:p>
          <w:pPr>
            <w:pStyle w:val="Contents3"/>
            <w:tabs>
              <w:tab w:val="clear" w:pos="8459"/>
              <w:tab w:val="right" w:pos="9026" w:leader="dot"/>
            </w:tabs>
            <w:rPr/>
          </w:pPr>
          <w:hyperlink w:anchor="__RefHeading___Toc3793791_581953129">
            <w:r>
              <w:rPr>
                <w:webHidden/>
                <w:rStyle w:val="IndexLink"/>
                <w:rtl w:val="true"/>
              </w:rPr>
              <w:t>دلیل نهم</w:t>
            </w:r>
            <w:r>
              <w:rPr>
                <w:rStyle w:val="IndexLink"/>
                <w:rtl w:val="true"/>
              </w:rPr>
              <w:t xml:space="preserve">: </w:t>
            </w:r>
            <w:r>
              <w:rPr>
                <w:rStyle w:val="IndexLink"/>
                <w:rtl w:val="true"/>
              </w:rPr>
              <w:t>روایات دالّ بر ترغیب اجرای حدود</w:t>
            </w:r>
            <w:r>
              <w:rPr>
                <w:rStyle w:val="IndexLink"/>
                <w:rtl w:val="true"/>
              </w:rPr>
              <w:tab/>
            </w:r>
            <w:r>
              <w:rPr>
                <w:rStyle w:val="IndexLink"/>
              </w:rPr>
              <w:t>77</w:t>
            </w:r>
          </w:hyperlink>
        </w:p>
        <w:p>
          <w:pPr>
            <w:pStyle w:val="Contents3"/>
            <w:tabs>
              <w:tab w:val="clear" w:pos="8459"/>
              <w:tab w:val="right" w:pos="9026" w:leader="dot"/>
            </w:tabs>
            <w:rPr/>
          </w:pPr>
          <w:hyperlink w:anchor="__RefHeading___Toc3793793_581953129">
            <w:r>
              <w:rPr>
                <w:webHidden/>
                <w:rStyle w:val="IndexLink"/>
                <w:rtl w:val="true"/>
              </w:rPr>
              <w:t>دلیل دهم</w:t>
            </w:r>
            <w:r>
              <w:rPr>
                <w:rStyle w:val="IndexLink"/>
                <w:rtl w:val="true"/>
              </w:rPr>
              <w:t xml:space="preserve">: </w:t>
            </w:r>
            <w:r>
              <w:rPr>
                <w:rStyle w:val="IndexLink"/>
                <w:rtl w:val="true"/>
              </w:rPr>
              <w:t>برخی مؤیدات</w:t>
            </w:r>
            <w:r>
              <w:rPr>
                <w:rStyle w:val="IndexLink"/>
                <w:rtl w:val="true"/>
              </w:rPr>
              <w:tab/>
            </w:r>
            <w:r>
              <w:rPr>
                <w:rStyle w:val="IndexLink"/>
              </w:rPr>
              <w:t>78</w:t>
            </w:r>
          </w:hyperlink>
        </w:p>
        <w:p>
          <w:pPr>
            <w:pStyle w:val="Contents2"/>
            <w:tabs>
              <w:tab w:val="clear" w:pos="8743"/>
              <w:tab w:val="right" w:pos="9026" w:leader="dot"/>
            </w:tabs>
            <w:rPr/>
          </w:pPr>
          <w:hyperlink w:anchor="__RefHeading___Toc3793795_581953129">
            <w:r>
              <w:rPr>
                <w:webHidden/>
                <w:rStyle w:val="IndexLink"/>
                <w:rtl w:val="true"/>
              </w:rPr>
              <w:t xml:space="preserve">نقد مقالۀ </w:t>
            </w:r>
            <w:r>
              <w:rPr>
                <w:rStyle w:val="IndexLink"/>
                <w:rtl w:val="true"/>
              </w:rPr>
              <w:t>«</w:t>
            </w:r>
            <w:r>
              <w:rPr>
                <w:rStyle w:val="IndexLink"/>
                <w:rtl w:val="true"/>
              </w:rPr>
              <w:t>نظریۀ اقامۀ حدود</w:t>
            </w:r>
            <w:r>
              <w:rPr>
                <w:rStyle w:val="IndexLink"/>
                <w:rtl w:val="true"/>
              </w:rPr>
              <w:t>»</w:t>
              <w:tab/>
            </w:r>
            <w:r>
              <w:rPr>
                <w:rStyle w:val="IndexLink"/>
              </w:rPr>
              <w:t>79</w:t>
            </w:r>
          </w:hyperlink>
        </w:p>
        <w:p>
          <w:pPr>
            <w:pStyle w:val="Contents3"/>
            <w:tabs>
              <w:tab w:val="clear" w:pos="8459"/>
              <w:tab w:val="right" w:pos="9026" w:leader="dot"/>
            </w:tabs>
            <w:rPr/>
          </w:pPr>
          <w:hyperlink w:anchor="__RefHeading___Toc3793797_58195312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3793799_581953129">
            <w:r>
              <w:rPr>
                <w:webHidden/>
                <w:rStyle w:val="IndexLink"/>
                <w:rtl w:val="true"/>
              </w:rPr>
              <w:t>توضیح دیدگاه نویسنده</w:t>
            </w:r>
            <w:r>
              <w:rPr>
                <w:rStyle w:val="IndexLink"/>
                <w:rtl w:val="true"/>
              </w:rPr>
              <w:tab/>
            </w:r>
            <w:r>
              <w:rPr>
                <w:rStyle w:val="IndexLink"/>
              </w:rPr>
              <w:t>79</w:t>
            </w:r>
          </w:hyperlink>
        </w:p>
        <w:p>
          <w:pPr>
            <w:pStyle w:val="Contents3"/>
            <w:tabs>
              <w:tab w:val="clear" w:pos="8459"/>
              <w:tab w:val="right" w:pos="9026" w:leader="dot"/>
            </w:tabs>
            <w:rPr/>
          </w:pPr>
          <w:hyperlink w:anchor="__RefHeading___Toc3793801_581953129">
            <w:r>
              <w:rPr>
                <w:webHidden/>
                <w:rStyle w:val="IndexLink"/>
                <w:rtl w:val="true"/>
              </w:rPr>
              <w:t>نقد و بررسی</w:t>
            </w:r>
            <w:r>
              <w:rPr>
                <w:rStyle w:val="IndexLink"/>
                <w:rtl w:val="true"/>
              </w:rPr>
              <w:tab/>
            </w:r>
            <w:r>
              <w:rPr>
                <w:rStyle w:val="IndexLink"/>
              </w:rPr>
              <w:t>82</w:t>
            </w:r>
          </w:hyperlink>
        </w:p>
        <w:p>
          <w:pPr>
            <w:pStyle w:val="Contents2"/>
            <w:tabs>
              <w:tab w:val="clear" w:pos="8743"/>
              <w:tab w:val="right" w:pos="9026" w:leader="dot"/>
            </w:tabs>
            <w:rPr/>
          </w:pPr>
          <w:hyperlink w:anchor="__RefHeading___Toc3793803_581953129">
            <w:r>
              <w:rPr>
                <w:webHidden/>
                <w:rStyle w:val="IndexLink"/>
                <w:rtl w:val="true"/>
              </w:rPr>
              <w:t>فهرست منابع و مناخذ</w:t>
            </w:r>
            <w:r>
              <w:rPr>
                <w:rStyle w:val="IndexLink"/>
                <w:rtl w:val="true"/>
              </w:rPr>
              <w:tab/>
            </w:r>
            <w:r>
              <w:rPr>
                <w:rStyle w:val="IndexLink"/>
              </w:rPr>
              <w:t>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01_52714"/>
      <w:bookmarkStart w:id="1" w:name="pg5701_52714"/>
      <w:bookmarkEnd w:id="1"/>
    </w:p>
    <w:p>
      <w:pPr>
        <w:pStyle w:val="Heading2"/>
        <w:numPr>
          <w:ilvl w:val="1"/>
          <w:numId w:val="1"/>
        </w:numPr>
        <w:rPr/>
      </w:pPr>
      <w:bookmarkStart w:id="2" w:name="pg5701_52714"/>
      <w:bookmarkStart w:id="3" w:name="__RefHeading___Toc379371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فاضل‌لنکرانی، محمدجواد،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مشروعیت و ضرورت اجرای حدود اسلامی در زمان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محمدجواد فاضل‌لنکرانی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۱۹۵</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۲۸۳۸۸۶۹</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میدان معلم، انتشارات مرکز فقهی ائمّه اطهار علیهم السلام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79371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مشروعیت و ضرورت اجرای حدود اسلامی در زمان غیبت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محمدجواد فاضل‌لنکرانی</w:t>
      </w:r>
      <w:bookmarkStart w:id="7" w:name="pg5701_52718"/>
    </w:p>
    <w:p>
      <w:pPr>
        <w:pStyle w:val="Heading2"/>
        <w:numPr>
          <w:ilvl w:val="1"/>
          <w:numId w:val="1"/>
        </w:numPr>
        <w:rPr/>
      </w:pPr>
      <w:bookmarkStart w:id="8" w:name="__RefHeading___Toc3793717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22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13" o:detectmouseclick="t"/>
                <v:stroke color="#3465a4" joinstyle="round" endcap="flat"/>
                <w10:wrap type="none"/>
              </v:shape>
            </w:pict>
          </mc:Fallback>
        </mc:AlternateContent>
      </w:r>
      <w:bookmarkStart w:id="10" w:name="pg5701_52720"/>
    </w:p>
    <w:p>
      <w:pPr>
        <w:pStyle w:val="Heading2"/>
        <w:numPr>
          <w:ilvl w:val="1"/>
          <w:numId w:val="1"/>
        </w:numPr>
        <w:rPr/>
      </w:pPr>
      <w:bookmarkStart w:id="11" w:name="__RefHeading___Toc3793719_581953129"/>
      <w:bookmarkStart w:id="12" w:name="_Toc4"/>
      <w:bookmarkEnd w:id="10"/>
      <w:bookmarkEnd w:id="11"/>
      <w:r>
        <w:rPr>
          <w:rtl w:val="true"/>
        </w:rPr>
        <w:t>نکات مقدماتی بحث</w:t>
      </w:r>
      <w:bookmarkEnd w:id="12"/>
    </w:p>
    <w:p>
      <w:pPr>
        <w:pStyle w:val="BookText"/>
        <w:rPr/>
      </w:pPr>
      <w:r>
        <w:rPr>
          <w:rFonts w:ascii="IRNazanin" w:hAnsi="IRNazanin" w:eastAsia="IRNazanin"/>
          <w:color w:val="111111"/>
          <w:sz w:val="28"/>
          <w:sz w:val="28"/>
          <w:szCs w:val="28"/>
          <w:rtl w:val="true"/>
          <w:lang w:bidi="fa-IR"/>
        </w:rPr>
        <w:t>یکی از ویژگی‌های بسیار مهمّ دین اسلام، که از مؤلّفه‌های مؤثر در جامعیّت این دین به شمار می‌آید، تبیین جرم‌ها و گناهان و بیان ناهنجاری‌های شخصی و اجتماعی، و به دنبال آن ذکر آثار دنیوی و اخروی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اسلام به عنوان عملی قبیح شمرده شده، و از مصادیق گناهان محسوب می‌شود، دارای آثار مهمّ دنیوی و عقوبت‌های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دنیوی، جنبه وضعی، و به تعبیر دیگر، جنبه قهری و تکوینی، و برخی دیگر جنبه عقوبتی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همان طور که نسبت به دوری از گناه سفارش، و در همه اجتماعات نسبت به تقوا، دین‌داری و ترس از خدا تأکید شده، برای برخی گناهان نیز عقوبت‌هایی در نظر گرفته شده است که در فقه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مجازات‌ها چهار نکته وجود دارد که از آن به مؤلّفه تعبیر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اندک تأمّلی معلوم می‌شود همه حدود در مواردی اجرا می‌گردد که شخص انسان و خود او به تنهایی مطرح نیست؛ بلکه جرم در ارتباط با فعل یک انسان با مال دیگر، یا شخصی دیگر و یا جمعی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شخصی از قبیل دروغ و یا غیبت، که در آن فعل یک نفر مطرح است و فعل، مال و یا عِرض افراد دیگر در آن مطرح نیست، موضوع برای حدود نیست؛ ولی در مواردی مانند زنا، لواط، سرقت و قذف، حدود الهی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کاشف از آن است که اراده اوّلیّه شارع مقدّس بر آن نبوده که نسبت به همه پلیدی‌ها، حرام‌ها و گناه‌ها عقوبتی را وضع کند؛ بلکه جرائمی که در دایره فرد و مال، یا عِرض و یا عقیده او محدود و محصور نباشد، مشمول این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مورد ارتداد، چنان‌چه شخصی آن را اظهار نکند و صرفاً آن را در ذهن خود داشته باشد، عقوبت دنیوی و حدّی وجود ندارد؛ ولی زمانی که آن را اظهار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نوعی اعلان مقابله با دین و متدیّنان و تخریب عقائد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حدّ مطرح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توجّه به این نکته نیز حائز اهمیّت است که بر طبق قانون درء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وَادرَئُوا الحُدُودَ عَنِ المُسلِمِینَ مَا استَطَعتُم</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یا مطابق نقل شیخ صدوق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إِدرَئُوا الحُدُودَ بِالشُّبَهَاتِ</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 بر آن است که تا اندازۀ ممکن استحقاق حدّ در مورد افراد منتفی باشد و</w:t>
      </w:r>
    </w:p>
    <w:p>
      <w:pPr>
        <w:pStyle w:val="BookText"/>
        <w:rPr/>
      </w:pPr>
      <w:r>
        <w:rPr>
          <w:rFonts w:ascii="IRNazanin" w:hAnsi="IRNazanin" w:eastAsia="IRNazanin"/>
          <w:color w:val="111111"/>
          <w:sz w:val="28"/>
          <w:sz w:val="28"/>
          <w:szCs w:val="28"/>
          <w:rtl w:val="true"/>
          <w:lang w:bidi="fa-IR"/>
        </w:rPr>
        <w:t>هیچ‌گاه این دین اصراری بر اثبات جرم و به دنبال آن، اقامۀ حدود مترتّب بر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موارد اثبات جرم، هیچ‌گاه آن را به وسیله طریقی آسان و ساده نپذیرفته است؛ تا جایی که در برخی از صورت‌ها، اقامه چهار شاهد عادل مرد را لازم دانسته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مؤلّفه دیگر، مواردی است که به عنوان عفو در اختیار حاکم شرع و قاضی جامع الشرائط 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مؤلّفه آخر آن است که بر اساس برخی روایات، در صورت جهل به حرمت و حکم، استحقاق حدّ منتفی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 در صحیحه حلبی از امام صادق علیه السلام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دَخَلَ فِی الإِسلامِ وَأَقَرَّ بِهِ ثُمَّ شَرِبَ الخَمرَ وَزَنَی وَأَکَلَ الرِّبَا وَلَم یَتَبَیَّنَ لَهُ شَیءٌ مِنَ الحَلالِ وَالحَرامِ لَم أَقِم عَلَیهِ الحَدِّ إِذَا کَانَ جَاهِلاً إِلّا أَن تَقُومَ عَلَیهِ البَیِّنَةُ أَنَّهُ قَرَءَ السُّورَةَ الَّتِی فِیهَا الزِّنَا وَالخَمرُ وَأَکلُ الرِّبَا وَإِذَا جَهِلَ ذلِکَ أَعلَمتُهُ وَأخبَرتُهُ فَإِن رَکِبَهُ بَعدَ ذلِکَ جَلَدتُهُ وَأَقَمتُ عَلَیهِ الحَدَّ</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و نیز در ضابطه کلّی و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رَجُلٍ رَکِبَ أَمراً بِجَهَالَةٍ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شامل شبهات حکمیه است و هم در شبهات موضوعیه جریان دارد، هم شامل جاهل قاصر می‌شود و هم جاهل مقصّر، به این جهت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روشن است که لازم نیست مجرم، علم به وجود حدّ و مقدار آن داشته باشد؛ بلکه فقط باید بداند این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استحقاق حدّ دارد؛ هرچند نداند که حدّ شرعی و عقوبت در چنین حرامی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چهار مؤلّفه و خصوصیّت، روشن می‌شود استحقاق حدّ امری است که به آسانی محقّق نمی‌شود، بلکه بعد از شرایط و اموری تحقّق آن ممکن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دین اسلام، تصمیم شارع مقدّس بر تکثیر حدود و اجرا و شیوع آن در جامعه نبوده، و به مقدار ضرورت و به کمترین مقدار لازم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روشن شدن این خصوصیات، باید گفت در بحث اجرای حدود نزاع در این است که آیا اقامه حدود از مختصّات زمان حضور معصوم علیه السلام است که باید به اذن وی باشد یا این‌که شامل زمان غیبت هم می‌شود؟ و آیا این احتمال وجود دارد که چنان‌چه اجرای حدود از احکام اختصاصی زمان حضور باشد، بگوئیم ائمّه معصومین علیهم السلام به فقهای جامع الشرایط در این مورد اذن عام داده‌اند و آنان ولایت بر این امر دارند؟ همان‌طور که ممکن است نسبت به زمان حضور معتقد باشیم ائمه علیهم السلام برای اجرای آن در مورد دیگران اذن داده‌اند؟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قضاوت، فقها تصریح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ولایتِ بر حکم دارد؛ و به تعبیر دیگر، قضاوت ونفوذ آن از مصادیق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اجرای حدود نیز جهت ولایت باید وجود داشته باشد و بدون آن، کسی حق اجرای حدود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بحث در این است که آیا چنین ولایتی برای فقهای جامع الشرائط در زمان غیبت قرار داده شده است و یا آن‌که مختص امام معصوم علیه السلام است و بدون حضور و اذن ایشان نمی‌توان این حدود را اجرا کرد؟</w:t>
      </w:r>
      <w:bookmarkStart w:id="13" w:name="pg5701_52724"/>
    </w:p>
    <w:p>
      <w:pPr>
        <w:pStyle w:val="BookText"/>
        <w:rPr/>
      </w:pPr>
      <w:bookmarkEnd w:id="13"/>
      <w:r>
        <w:rPr>
          <w:rFonts w:ascii="IRNazanin" w:hAnsi="IRNazanin" w:eastAsia="IRNazanin"/>
          <w:color w:val="111111"/>
          <w:sz w:val="28"/>
          <w:sz w:val="28"/>
          <w:szCs w:val="28"/>
          <w:rtl w:val="true"/>
          <w:lang w:bidi="fa-IR"/>
        </w:rPr>
        <w:t>بعد از روشن شدن محل نزاع، واضح است که در مقام استدلال، لازم است بر اشتراط و اختصاص، دلیل اقامه شود و چنان‌چه دلیل روشنی بر اختصاص این امر به امام معصوم علیه السلام دلالت داشته باشد، قائل به اختصاص می‌شویم؛ ولی اگر دلیلی بر این اختصاص نباشد، بعد از اثبات ولایت مطلقه برای فقیه جامع الشرائط، اصالة عدم الاشتراط در این مورد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این مطلب مسلّم است که اثباتِ حدّ باید با نظر حاکم شرع باشد؛ ولی بحث در این است که در مواردی که بر حسب ظاهر برای افراد معمولی نیز اصل جرم با خصوصیّات و شرایط آن ثابت است، آیا این افراد می‌توانند خودْ حاکم و مجری در اجرای حدّ باشند؟ به عبارت دیگر، نمی‌توان پذیرفت بین مسئلۀ اثبات و مسئلۀ اجرای حدّ ملازمه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اثبات حدّ تردیدی نیست که این امر باید نزد حاکم مجتهد باشد، ولی این کار ملازمه‌ای ندارد با این مطلب که در اجرا، مجری نیز مجتهد باشد</w:t>
      </w:r>
      <w:r>
        <w:rPr>
          <w:rFonts w:eastAsia="IRNazanin" w:cs="IRNazanin"/>
          <w:color w:val="111111"/>
          <w:sz w:val="28"/>
          <w:szCs w:val="28"/>
          <w:rtl w:val="true"/>
          <w:lang w:bidi="fa-IR"/>
        </w:rPr>
        <w:t>.</w:t>
      </w:r>
    </w:p>
    <w:p>
      <w:pPr>
        <w:pStyle w:val="Heading2"/>
        <w:numPr>
          <w:ilvl w:val="1"/>
          <w:numId w:val="1"/>
        </w:numPr>
        <w:rPr/>
      </w:pPr>
      <w:bookmarkStart w:id="14" w:name="__RefHeading___Toc3793721_581953129"/>
      <w:bookmarkStart w:id="15" w:name="_Toc5"/>
      <w:bookmarkEnd w:id="14"/>
      <w:r>
        <w:rPr>
          <w:rtl w:val="true"/>
        </w:rPr>
        <w:t>ملازمه مشروعیّت قضا و مشروعیّت اجرا</w:t>
      </w:r>
      <w:bookmarkEnd w:id="15"/>
    </w:p>
    <w:p>
      <w:pPr>
        <w:pStyle w:val="BookText"/>
        <w:rPr/>
      </w:pPr>
      <w:r>
        <w:rPr>
          <w:rFonts w:ascii="IRNazanin" w:hAnsi="IRNazanin" w:eastAsia="IRNazanin"/>
          <w:color w:val="111111"/>
          <w:sz w:val="28"/>
          <w:sz w:val="28"/>
          <w:szCs w:val="28"/>
          <w:rtl w:val="true"/>
          <w:lang w:bidi="fa-IR"/>
        </w:rPr>
        <w:t>آیا بین مشروعیّت قضا در زمان غیبت و مشروعیّت اجرای حدود ملازمه وجود دارد؟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عبارات فقهایی که به جواز اقامه حدود در زمان غیبت معتقد هستند، معمولاً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حکم و قضا از شؤون فقاهت است، اجرای حدود نیز چنین است؛ و گویا در ارتکاز فقها این</w:t>
      </w:r>
      <w:bookmarkStart w:id="16" w:name="pg5701_52725"/>
    </w:p>
    <w:p>
      <w:pPr>
        <w:pStyle w:val="BookText"/>
        <w:rPr/>
      </w:pPr>
      <w:bookmarkEnd w:id="16"/>
      <w:r>
        <w:rPr>
          <w:rFonts w:ascii="IRNazanin" w:hAnsi="IRNazanin" w:eastAsia="IRNazanin"/>
          <w:color w:val="111111"/>
          <w:sz w:val="28"/>
          <w:sz w:val="28"/>
          <w:szCs w:val="28"/>
          <w:rtl w:val="true"/>
          <w:lang w:bidi="fa-IR"/>
        </w:rPr>
        <w:t>ملازمه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نیز همین است که یک ملازمۀ شرعی و عادی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هم این است که اگر قضا مشروع باشد، ولی اجرای حدود مشروع نباشد، لغو بودن قضا در برخی از موارد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دلیل‌های مشروعیت قضا حتی نسبت به مواردی که در آن‌ها حدود الاهی وجود دارد، اطلاق دارند؛ و اگر اجرای حدود در زمان غیبت را مشروع ندانیم، لازم می‌آید در این ادلّه، تخصیص و یا تقیید وارد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عدم مشروعیت اجرای حدود، یا مستلزم لغو بودن مشروعیت قضا در برخی از موارد است، و یا این‌که باید ملتزم به تخصیص و یا تقیید در آن شویم؛ و هیچ کدام از این دو امر قابل التزام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می‌توانیم ملازمه بین این‌ها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 گفت بین مشروعیّت افتا و اجرای حدود ملازمه‌ای نیست</w:t>
      </w:r>
      <w:r>
        <w:rPr>
          <w:rFonts w:eastAsia="IRNazanin" w:cs="IRNazanin"/>
          <w:color w:val="111111"/>
          <w:sz w:val="28"/>
          <w:szCs w:val="28"/>
          <w:rtl w:val="true"/>
          <w:lang w:bidi="fa-IR"/>
        </w:rPr>
        <w:t>.</w:t>
      </w:r>
    </w:p>
    <w:p>
      <w:pPr>
        <w:pStyle w:val="Heading2"/>
        <w:numPr>
          <w:ilvl w:val="1"/>
          <w:numId w:val="1"/>
        </w:numPr>
        <w:rPr/>
      </w:pPr>
      <w:bookmarkStart w:id="17" w:name="__RefHeading___Toc3793723_581953129"/>
      <w:bookmarkStart w:id="18" w:name="_Toc6"/>
      <w:bookmarkEnd w:id="17"/>
      <w:r>
        <w:rPr>
          <w:rtl w:val="true"/>
        </w:rPr>
        <w:t>ملازمه نظریه ولایت فقیه و مشروعیّت اجرای حدود</w:t>
      </w:r>
      <w:bookmarkEnd w:id="1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کلمات برخی از محقّقان ارجمند</w:t>
      </w:r>
      <w:r>
        <w:rPr>
          <w:rStyle w:val="FootnoteAnchor"/>
          <w:rtl w:val="true"/>
        </w:rPr>
        <w:footnoteReference w:id="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جواز اقامۀ حدود در زمان غیبت، به معنای انکار نظریه ولایت فقیه نیست؛ چرا که میان این دو مبحث، به اصطلاح اهل منطق، رابطه عموم و خصوص من وجه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افرادی قائل به نظریه ولایت فقیه به معنای رایج نباشند ولی معتقد باشند فقیهان جامع الشرایط می‌توانند قضاوت و اقامه حدود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خوئی رحمه الله از این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کسی هم قائل به ولایت فقیه باشد ولی حدود و اختیارات فقیه را به اجرای حدود یا جهاد با کفّار تسرّی ندهد؛ مانند 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هم هست که کسی به هیچ‌کدام قائل نباشد؛ مانند مرحوم آیت‌اللّه سید احمد خوانساری و آیت‌اللّه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که برخی به هر دو نظریه قائل باشند؛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و شمار زیادی از معاصرین و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این سخن قابل مناقشه است؛ زیرا مبتنی بر نظریه ولایت مطلقه فقیه است و باید پرسید آیا ملازمه‌ای بین این نظریه و مسئلۀ اجرای حدود وجود دارد یا خیر؟</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چنین ملازمه‌ای وجود دارد، وگرنه خلاف فرض لازم می‌آید و عنوان اطلاق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گفت در این‌جا بین دو مطلب خلط شده است؛ نخست آن‌که آیا لازمۀ مسأله ولایت مطلقه جواز اقامه حدود در زمان غیبت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اقوال بزرگان چند قول است؟ نویسنده محترم نسبت به مطلب دوّم توجّه فرموده‌اند، در حالی که بحث در ملازمه، مربوط به مطلب اول است؛ و بین پذیرش ولایت مطلقه برای فقیه و مشروعیت اقامه حدود ملازمه روشنی وجود دارد، مگر آن‌که دلیلی خاص بر عدم مشروعیت در زمان غیبت اقامه شود؛ که در این صورت، از نظر فتوا، باید در عین این‌که ولایت مطلقه را پذیرفت، نسبت به آن دلیل خاص بر فرض مقبولیّت آن نیز عمل شود؛ ولی با قطع نظر از وجود دلیل خاص، تردیدی در این</w:t>
      </w:r>
      <w:bookmarkStart w:id="19" w:name="pg5701_52727"/>
    </w:p>
    <w:p>
      <w:pPr>
        <w:pStyle w:val="BookText"/>
        <w:rPr/>
      </w:pPr>
      <w:bookmarkEnd w:id="19"/>
      <w:r>
        <w:rPr>
          <w:rFonts w:ascii="IRNazanin" w:hAnsi="IRNazanin" w:eastAsia="IRNazanin"/>
          <w:color w:val="111111"/>
          <w:sz w:val="28"/>
          <w:sz w:val="28"/>
          <w:szCs w:val="28"/>
          <w:rtl w:val="true"/>
          <w:lang w:bidi="fa-IR"/>
        </w:rPr>
        <w:t>ملازمه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لازم است که عمومیت و اطلاق ولایت فقیه، به طور قطع شامل اجرای حدود نیز می‌شود و از این نظر، مسئله بالاتر و مهم‌تر از عنوان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اجرای حدود یکی از مصادیق عنوان عمومی ولایت مطلقه فقیه است؛ و تعبیر به ملازمه، تعبیر مسامحی است</w:t>
      </w:r>
      <w:r>
        <w:rPr>
          <w:rFonts w:eastAsia="IRNazanin" w:cs="IRNazanin"/>
          <w:color w:val="111111"/>
          <w:sz w:val="28"/>
          <w:szCs w:val="28"/>
          <w:rtl w:val="true"/>
          <w:lang w:bidi="fa-IR"/>
        </w:rPr>
        <w:t>.</w:t>
      </w:r>
    </w:p>
    <w:p>
      <w:pPr>
        <w:pStyle w:val="Heading2"/>
        <w:numPr>
          <w:ilvl w:val="1"/>
          <w:numId w:val="1"/>
        </w:numPr>
        <w:rPr/>
      </w:pPr>
      <w:bookmarkStart w:id="20" w:name="__RefHeading___Toc3793725_581953129"/>
      <w:bookmarkStart w:id="21" w:name="_Toc7"/>
      <w:bookmarkEnd w:id="20"/>
      <w:r>
        <w:rPr>
          <w:rtl w:val="true"/>
        </w:rPr>
        <w:t>دیدگاه های موجود در مسأله</w:t>
      </w:r>
      <w:bookmarkEnd w:id="21"/>
    </w:p>
    <w:p>
      <w:pPr>
        <w:pStyle w:val="BookText"/>
        <w:rPr/>
      </w:pPr>
      <w:r>
        <w:rPr>
          <w:rFonts w:ascii="IRNazanin" w:hAnsi="IRNazanin" w:eastAsia="IRNazanin"/>
          <w:color w:val="111111"/>
          <w:sz w:val="28"/>
          <w:sz w:val="28"/>
          <w:szCs w:val="28"/>
          <w:rtl w:val="true"/>
          <w:lang w:bidi="fa-IR"/>
        </w:rPr>
        <w:t>در این بحث به طور کلی چهار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 نحو مطلق؛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به نحو مطلق؛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موارد جواز، که توضیح آن خواهد آمد؛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توقّف در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قائلان به جواز و تفصیل خود پنج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اقامه حدود برای فقیه جامع الشرایط به نحو مطلق و عدم جواز اقامه حدود برای غیر فقیه، مگر مولا نسبت به مملوک خویش</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از کلمات شهید ثانی رحمه الله در مسالک</w:t>
      </w:r>
      <w:r>
        <w:rPr>
          <w:rStyle w:val="FootnoteAnchor"/>
          <w:rtl w:val="true"/>
        </w:rPr>
        <w:footnoteReference w:id="6"/>
      </w:r>
      <w:r>
        <w:rPr>
          <w:rFonts w:ascii="IRNazanin" w:hAnsi="IRNazanin" w:eastAsia="IRNazanin"/>
          <w:color w:val="111111"/>
          <w:sz w:val="28"/>
          <w:sz w:val="28"/>
          <w:szCs w:val="28"/>
          <w:rtl w:val="true"/>
          <w:lang w:bidi="fa-IR"/>
        </w:rPr>
        <w:t>و الروضة البهیّة</w:t>
      </w:r>
      <w:r>
        <w:rPr>
          <w:rStyle w:val="FootnoteAnchor"/>
          <w:rtl w:val="true"/>
        </w:rPr>
        <w:footnoteReference w:id="7"/>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اقامه حدود برای فقیه به صورت مطلق و عدم جواز برای غیر فقیه، هرچند که مالک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کلمات مقنعه</w:t>
      </w:r>
      <w:r>
        <w:rPr>
          <w:rStyle w:val="FootnoteAnchor"/>
          <w:rtl w:val="true"/>
        </w:rPr>
        <w:footnoteReference w:id="8"/>
      </w:r>
      <w:r>
        <w:rPr>
          <w:rFonts w:ascii="IRNazanin" w:hAnsi="IRNazanin" w:eastAsia="IRNazanin"/>
          <w:color w:val="111111"/>
          <w:sz w:val="28"/>
          <w:sz w:val="28"/>
          <w:szCs w:val="28"/>
          <w:rtl w:val="true"/>
          <w:lang w:bidi="fa-IR"/>
        </w:rPr>
        <w:t>و مراسم</w:t>
      </w:r>
      <w:r>
        <w:rPr>
          <w:rStyle w:val="FootnoteAnchor"/>
          <w:rtl w:val="true"/>
        </w:rPr>
        <w:footnoteReference w:id="9"/>
      </w:r>
      <w:r>
        <w:rPr>
          <w:rFonts w:ascii="IRNazanin" w:hAnsi="IRNazanin" w:eastAsia="IRNazanin"/>
          <w:color w:val="111111"/>
          <w:sz w:val="28"/>
          <w:sz w:val="28"/>
          <w:szCs w:val="28"/>
          <w:rtl w:val="true"/>
          <w:lang w:bidi="fa-IR"/>
        </w:rPr>
        <w:t>و کتاب کافی</w:t>
      </w:r>
      <w:r>
        <w:rPr>
          <w:rStyle w:val="FootnoteAnchor"/>
          <w:rtl w:val="true"/>
        </w:rPr>
        <w:footnoteReference w:id="10"/>
      </w:r>
      <w:r>
        <w:rPr>
          <w:rFonts w:ascii="IRNazanin" w:hAnsi="IRNazanin" w:eastAsia="IRNazanin"/>
          <w:color w:val="111111"/>
          <w:sz w:val="28"/>
          <w:sz w:val="28"/>
          <w:szCs w:val="28"/>
          <w:rtl w:val="true"/>
          <w:lang w:bidi="fa-IR"/>
        </w:rPr>
        <w:t>نوشتۀ ابوالصلاح حلبی، و مرحوم علّامه در مختلف</w:t>
      </w:r>
      <w:r>
        <w:rPr>
          <w:rStyle w:val="FootnoteAnchor"/>
          <w:rtl w:val="true"/>
        </w:rPr>
        <w:footnoteReference w:id="11"/>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اقامه حدود فقط برای موالی و عدم جواز برای غیر آن‌ها مطلقا</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قول سوم به انضمام جواز اقامه حدود برای پدران و شوهران</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اقامه حدود برای فقیه و آباء و ازواج و موالی و عدم جواز برای غیر این‌ها</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بررسی بهتر اقوال لازم است برخی از عبارات فقها را مورد تأمّل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عباراتی که از آن‌ها به صراحت، جواز اجرای حدود در زمان غیبت استفاده می‌شود را نقل می‌کنیم؛ و سپس به بررسی عبارات شیخ طوسی، ابن ادریس و محقّق حلّی رحمهم الله خواهیم پرداخت</w:t>
      </w:r>
      <w:r>
        <w:rPr>
          <w:rFonts w:eastAsia="IRNazanin" w:cs="IRNazanin"/>
          <w:color w:val="111111"/>
          <w:sz w:val="28"/>
          <w:szCs w:val="28"/>
          <w:rtl w:val="true"/>
          <w:lang w:bidi="fa-IR"/>
        </w:rPr>
        <w:t>.</w:t>
      </w:r>
      <w:bookmarkStart w:id="22" w:name="pg5701_52729"/>
    </w:p>
    <w:p>
      <w:pPr>
        <w:pStyle w:val="Heading2"/>
        <w:numPr>
          <w:ilvl w:val="1"/>
          <w:numId w:val="1"/>
        </w:numPr>
        <w:rPr/>
      </w:pPr>
      <w:bookmarkStart w:id="23" w:name="__RefHeading___Toc3793727_581953129"/>
      <w:bookmarkStart w:id="24" w:name="_Toc8"/>
      <w:bookmarkEnd w:id="22"/>
      <w:bookmarkEnd w:id="23"/>
      <w:r>
        <w:rPr>
          <w:rtl w:val="true"/>
        </w:rPr>
        <w:t>بررسی عبارات فقها در مسئله جواز اجرای حدود در زمان غیبت</w:t>
      </w:r>
      <w:bookmarkEnd w:id="24"/>
    </w:p>
    <w:p>
      <w:pPr>
        <w:pStyle w:val="Heading3"/>
        <w:numPr>
          <w:ilvl w:val="2"/>
          <w:numId w:val="1"/>
        </w:numPr>
        <w:rPr/>
      </w:pPr>
      <w:bookmarkStart w:id="25" w:name="__RefHeading___Toc3793729_581953129"/>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برخی از مهم‌ترین دیدگاه‌های مطرح شده در این زمینه، به قرار زیر است</w:t>
      </w:r>
      <w:r>
        <w:rPr>
          <w:rFonts w:eastAsia="IRNazanin" w:cs="IRNazanin"/>
          <w:color w:val="111111"/>
          <w:sz w:val="28"/>
          <w:szCs w:val="28"/>
          <w:rtl w:val="true"/>
          <w:lang w:bidi="fa-IR"/>
        </w:rPr>
        <w:t>:</w:t>
      </w:r>
    </w:p>
    <w:p>
      <w:pPr>
        <w:pStyle w:val="Heading3"/>
        <w:numPr>
          <w:ilvl w:val="2"/>
          <w:numId w:val="1"/>
        </w:numPr>
        <w:rPr/>
      </w:pPr>
      <w:bookmarkStart w:id="27" w:name="__RefHeading___Toc3793731_581953129"/>
      <w:bookmarkStart w:id="28" w:name="_Toc10"/>
      <w:bookmarkEnd w:id="27"/>
      <w:r>
        <w:rPr/>
        <w:t>1</w:t>
      </w:r>
      <w:r>
        <w:rPr>
          <w:rtl w:val="true"/>
        </w:rPr>
        <w:t xml:space="preserve"> - </w:t>
      </w:r>
      <w:r>
        <w:rPr>
          <w:rtl w:val="true"/>
        </w:rPr>
        <w:t>مرحوم شیخ مفید</w:t>
      </w:r>
      <w:bookmarkEnd w:id="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إقامة الحدود فهو إلی سلطان الاسلام والمنصوب من قبل اللّه تعالی وهم أئمّة الهدی من آل محمد صلی الله علیه و آله أو من نصبوه لذلک من الاُمراء والحکّام وقد فوّضوا النظر فیه إلی فقهاء شیعتهم مع الامکان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اقامه حدود از شؤون رئیس و سلطان اسلام است، یا کسی که از ناحیه خداوند متعال منصوب شده باشد؛ یعنی ائمه هدی علیهم السلام یا کسانی که از طرف آنان منصوب می‌شوند؛ و ائمّه علیهم السلام این امر را به فقهای شیعه تفویض کرده‌اند که آنان در صورت امکان این کار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شیخ مفید رحمه الله نخستین کسی است که تصریح کرده فقها در زمان غیبت می‌توانند حدود را اقامه کنند</w:t>
      </w:r>
      <w:r>
        <w:rPr>
          <w:rFonts w:eastAsia="IRNazanin" w:cs="IRNazanin"/>
          <w:color w:val="111111"/>
          <w:sz w:val="28"/>
          <w:szCs w:val="28"/>
          <w:rtl w:val="true"/>
          <w:lang w:bidi="fa-IR"/>
        </w:rPr>
        <w:t>.</w:t>
      </w:r>
    </w:p>
    <w:p>
      <w:pPr>
        <w:pStyle w:val="Heading3"/>
        <w:numPr>
          <w:ilvl w:val="2"/>
          <w:numId w:val="1"/>
        </w:numPr>
        <w:rPr/>
      </w:pPr>
      <w:bookmarkStart w:id="29" w:name="__RefHeading___Toc3793733_581953129"/>
      <w:bookmarkStart w:id="30" w:name="_Toc11"/>
      <w:bookmarkEnd w:id="29"/>
      <w:r>
        <w:rPr/>
        <w:t>2</w:t>
      </w:r>
      <w:r>
        <w:rPr>
          <w:rtl w:val="true"/>
        </w:rPr>
        <w:t xml:space="preserve"> - </w:t>
      </w:r>
      <w:r>
        <w:rPr>
          <w:rtl w:val="true"/>
        </w:rPr>
        <w:t>سلّار رحمه الله</w:t>
      </w:r>
      <w:bookmarkEnd w:id="3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فوّضوا علیهم السلام إلی الفقهاء إقامة الحدود والأحکام بین الناس بعد أن لا یتعدّوا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أن للإنسان أن یقیم علی ولده وعبده الحدود إذا کان فقیهاً ولم یخف من ذلک علی نفسه والأوّل أثبت</w:t>
      </w:r>
      <w:r>
        <w:rPr>
          <w:rFonts w:eastAsia="IRNazanin" w:cs="IRNazanin"/>
          <w:color w:val="111111"/>
          <w:sz w:val="28"/>
          <w:szCs w:val="28"/>
          <w:rtl w:val="true"/>
          <w:lang w:bidi="fa-IR"/>
        </w:rPr>
        <w:t>».</w:t>
      </w:r>
      <w:r>
        <w:rPr>
          <w:rStyle w:val="FootnoteAnchor"/>
          <w:rtl w:val="true"/>
        </w:rPr>
        <w:footnoteReference w:id="16"/>
      </w:r>
      <w:bookmarkStart w:id="31" w:name="pg5701_52730"/>
    </w:p>
    <w:p>
      <w:pPr>
        <w:pStyle w:val="BookText"/>
        <w:rPr/>
      </w:pPr>
      <w:bookmarkEnd w:id="31"/>
      <w:r>
        <w:rPr>
          <w:rFonts w:ascii="IRNazanin" w:hAnsi="IRNazanin" w:eastAsia="IRNazanin"/>
          <w:color w:val="111111"/>
          <w:sz w:val="28"/>
          <w:sz w:val="28"/>
          <w:szCs w:val="28"/>
          <w:rtl w:val="true"/>
          <w:lang w:bidi="fa-IR"/>
        </w:rPr>
        <w:t>از دقت در کلمات سلّار رحمه الله فهمیده می‌شود که مقصود ایشان آن است که قول اول، یعنی جواز اقامه حدود به طور مطلق، از حیث ادلّه، اثبت، و مستند آن بسیار محکم است؛ و قول دوم، یعنی جواز اقامه حدّ بر فرزند و عبد حتی در زمان حضور امام علیه السلام را، هرچند که مقتضای اطلاق روایت است، غیر اثبت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استناد به روایتی است که چندان نمی‌توان به آن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قول در کلمات برخی دیگر از قدما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شیخ مفید، سلاّر رحمه الله دومین کسی است که به مشروعیت اقامه حدود در زمان غیبت فتوا داده است</w:t>
      </w:r>
      <w:r>
        <w:rPr>
          <w:rFonts w:eastAsia="IRNazanin" w:cs="IRNazanin"/>
          <w:color w:val="111111"/>
          <w:sz w:val="28"/>
          <w:szCs w:val="28"/>
          <w:rtl w:val="true"/>
          <w:lang w:bidi="fa-IR"/>
        </w:rPr>
        <w:t>.</w:t>
      </w:r>
    </w:p>
    <w:p>
      <w:pPr>
        <w:pStyle w:val="Heading3"/>
        <w:numPr>
          <w:ilvl w:val="2"/>
          <w:numId w:val="1"/>
        </w:numPr>
        <w:rPr/>
      </w:pPr>
      <w:bookmarkStart w:id="32" w:name="__RefHeading___Toc3793735_581953129"/>
      <w:bookmarkStart w:id="33" w:name="_Toc12"/>
      <w:bookmarkEnd w:id="32"/>
      <w:r>
        <w:rPr/>
        <w:t>3</w:t>
      </w:r>
      <w:r>
        <w:rPr>
          <w:rtl w:val="true"/>
        </w:rPr>
        <w:t xml:space="preserve"> - </w:t>
      </w:r>
      <w:r>
        <w:rPr>
          <w:rtl w:val="true"/>
        </w:rPr>
        <w:t>ابوالصلاح حلبی رحمه الله</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 الأحکام الشرعیّة والحکم بمقتضی التعبّد فیها من فروض الائمّة علیهم السلام المختصّة بهم دون من عداهم ممّن لم یؤهّلوه لذلک فإن تعذّر تنفیذها بهم علیهم السلام وبالمأهول لها من قبلهم لأحد الأسباب لم یجز لغیر شیعتهم تولّی ذلک ولا التحاکم إلیه ولا التوصّل بحکمه إلی الحقّ ولا تقلیده الحکم مع الاختیار ولا لمن لم یتکامل له شروط النائب عن الإمام فی الحکم من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فمتی تکاملت هذه الشروط فقد أذن له فی تقلّد الحکم وإن کان مقلّده ظالماً متغلّباً وعلیه متی عرض لذلک أن یتولّاه لکون هذه الولایة أمراً بمعروف و نهیاً عن منکر تعیّن فرضها بالتعریض للولایة علیه</w:t>
      </w:r>
      <w:r>
        <w:rPr>
          <w:rFonts w:eastAsia="IRNazanin" w:cs="IRNazanin"/>
          <w:color w:val="111111"/>
          <w:sz w:val="28"/>
          <w:szCs w:val="28"/>
          <w:rtl w:val="true"/>
          <w:lang w:bidi="fa-IR"/>
        </w:rPr>
        <w:t>».</w:t>
      </w:r>
      <w:r>
        <w:rPr>
          <w:rStyle w:val="FootnoteAnchor"/>
          <w:rtl w:val="true"/>
        </w:rPr>
        <w:footnoteReference w:id="17"/>
      </w:r>
      <w:bookmarkStart w:id="34" w:name="pg5701_52731"/>
    </w:p>
    <w:p>
      <w:pPr>
        <w:pStyle w:val="BookText"/>
        <w:rPr/>
      </w:pPr>
      <w:bookmarkEnd w:id="34"/>
      <w:r>
        <w:rPr>
          <w:rFonts w:ascii="IRNazanin" w:hAnsi="IRNazanin" w:eastAsia="IRNazanin"/>
          <w:color w:val="111111"/>
          <w:sz w:val="28"/>
          <w:sz w:val="28"/>
          <w:szCs w:val="28"/>
          <w:rtl w:val="true"/>
          <w:lang w:bidi="fa-IR"/>
        </w:rPr>
        <w:t>طبق این کلام کسانی که شرایط نیابت از ائمۀ معصومین علیهم السلام را دارند، در تقلّد حکم و تنفیذ و اجرای آن‌ها از طرف ائمّه علیهم السلام مأذون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در این کلام، از اجرای احکام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آن‌که از مجموع کلمات ایشان استفاده می‌شود که ایشان ولایت در قضا و ولایت در اجرا را از مصادیق امر به معروف و نهی از منکر می‌دانند</w:t>
      </w:r>
      <w:r>
        <w:rPr>
          <w:rFonts w:eastAsia="IRNazanin" w:cs="IRNazanin"/>
          <w:color w:val="111111"/>
          <w:sz w:val="28"/>
          <w:szCs w:val="28"/>
          <w:rtl w:val="true"/>
          <w:lang w:bidi="fa-IR"/>
        </w:rPr>
        <w:t>.</w:t>
      </w:r>
    </w:p>
    <w:p>
      <w:pPr>
        <w:pStyle w:val="Heading3"/>
        <w:numPr>
          <w:ilvl w:val="2"/>
          <w:numId w:val="1"/>
        </w:numPr>
        <w:rPr/>
      </w:pPr>
      <w:bookmarkStart w:id="35" w:name="__RefHeading___Toc3793737_581953129"/>
      <w:bookmarkStart w:id="36" w:name="_Toc13"/>
      <w:bookmarkEnd w:id="35"/>
      <w:r>
        <w:rPr/>
        <w:t>4</w:t>
      </w:r>
      <w:r>
        <w:rPr>
          <w:rtl w:val="true"/>
        </w:rPr>
        <w:t xml:space="preserve"> - </w:t>
      </w:r>
      <w:r>
        <w:rPr>
          <w:rtl w:val="true"/>
        </w:rPr>
        <w:t>ابن زهره رحمه الله</w:t>
      </w:r>
      <w:bookmarkEnd w:id="36"/>
    </w:p>
    <w:p>
      <w:pPr>
        <w:pStyle w:val="BookText"/>
        <w:rPr/>
      </w:pPr>
      <w:r>
        <w:rPr>
          <w:rFonts w:ascii="IRNazanin" w:hAnsi="IRNazanin" w:eastAsia="IRNazanin"/>
          <w:color w:val="111111"/>
          <w:sz w:val="28"/>
          <w:sz w:val="28"/>
          <w:szCs w:val="28"/>
          <w:rtl w:val="true"/>
          <w:lang w:bidi="fa-IR"/>
        </w:rPr>
        <w:t>ایشان ابتدا شرایط قاضی را بیان کرده و در آخر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ویجوز للحاکم أن یحکم بعلمه فی جمیع الأشیاء من الأموال والحدود والقصاص وغیر ذلک</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ایشان در متولّی قضا چند شرط را معتبر دانسته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عالم به حق در حکم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خردمند باشد؛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خوش‌فکر و اندیشمند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 و باتقوا 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وظایف و اختیارات خویش توانمند باشد، که اجرای حدود را می‌توان از این شرط ششم استفاده نمود</w:t>
      </w:r>
      <w:r>
        <w:rPr>
          <w:rFonts w:eastAsia="IRNazanin" w:cs="IRNazanin"/>
          <w:color w:val="111111"/>
          <w:sz w:val="28"/>
          <w:szCs w:val="28"/>
          <w:rtl w:val="true"/>
          <w:lang w:bidi="fa-IR"/>
        </w:rPr>
        <w:t>.</w:t>
      </w:r>
    </w:p>
    <w:p>
      <w:pPr>
        <w:pStyle w:val="Heading3"/>
        <w:numPr>
          <w:ilvl w:val="2"/>
          <w:numId w:val="1"/>
        </w:numPr>
        <w:rPr/>
      </w:pPr>
      <w:bookmarkStart w:id="37" w:name="__RefHeading___Toc3793739_581953129"/>
      <w:bookmarkStart w:id="38" w:name="_Toc14"/>
      <w:bookmarkEnd w:id="37"/>
      <w:r>
        <w:rPr/>
        <w:t>5</w:t>
      </w:r>
      <w:r>
        <w:rPr>
          <w:rtl w:val="true"/>
        </w:rPr>
        <w:t xml:space="preserve"> - </w:t>
      </w:r>
      <w:r>
        <w:rPr>
          <w:rtl w:val="true"/>
        </w:rPr>
        <w:t>ابن سعید در</w:t>
      </w:r>
      <w:bookmarkEnd w:id="38"/>
    </w:p>
    <w:p>
      <w:pPr>
        <w:pStyle w:val="BookText"/>
        <w:rPr/>
      </w:pPr>
      <w:r>
        <w:rPr>
          <w:rFonts w:ascii="IRNazanin" w:hAnsi="IRNazanin" w:eastAsia="IRNazanin"/>
          <w:color w:val="111111"/>
          <w:sz w:val="28"/>
          <w:sz w:val="28"/>
          <w:szCs w:val="28"/>
          <w:rtl w:val="true"/>
          <w:lang w:bidi="fa-IR"/>
        </w:rPr>
        <w:t>الجامع للشرائع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ویتولّی الحدود إمام الأصل أو خلیفته أو من یأذنان 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امام</w:t>
      </w:r>
      <w:bookmarkStart w:id="39" w:name="pg5701_52732"/>
    </w:p>
    <w:p>
      <w:pPr>
        <w:pStyle w:val="BookText"/>
        <w:rPr/>
      </w:pPr>
      <w:bookmarkEnd w:id="39"/>
      <w:r>
        <w:rPr>
          <w:rFonts w:ascii="IRNazanin" w:hAnsi="IRNazanin" w:eastAsia="IRNazanin"/>
          <w:color w:val="111111"/>
          <w:sz w:val="28"/>
          <w:sz w:val="28"/>
          <w:szCs w:val="28"/>
          <w:rtl w:val="true"/>
          <w:lang w:bidi="fa-IR"/>
        </w:rPr>
        <w:t>معصوم علیه السلام یا جانشین او و یا مأذون از طرف این دو، عهده‌دار حدود و اجرای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عبارات به خوبی استفاده می‌شود که اجرای حدود در زمان غیبت جایز و مشروع است</w:t>
      </w:r>
      <w:r>
        <w:rPr>
          <w:rFonts w:eastAsia="IRNazanin" w:cs="IRNazanin"/>
          <w:color w:val="111111"/>
          <w:sz w:val="28"/>
          <w:szCs w:val="28"/>
          <w:rtl w:val="true"/>
          <w:lang w:bidi="fa-IR"/>
        </w:rPr>
        <w:t>.</w:t>
      </w:r>
    </w:p>
    <w:p>
      <w:pPr>
        <w:pStyle w:val="Heading3"/>
        <w:numPr>
          <w:ilvl w:val="2"/>
          <w:numId w:val="1"/>
        </w:numPr>
        <w:rPr/>
      </w:pPr>
      <w:bookmarkStart w:id="40" w:name="__RefHeading___Toc3793741_581953129"/>
      <w:bookmarkStart w:id="41" w:name="_Toc15"/>
      <w:bookmarkEnd w:id="40"/>
      <w:r>
        <w:rPr/>
        <w:t>6</w:t>
      </w:r>
      <w:r>
        <w:rPr>
          <w:rtl w:val="true"/>
        </w:rPr>
        <w:t xml:space="preserve"> - </w:t>
      </w:r>
      <w:r>
        <w:rPr>
          <w:rtl w:val="true"/>
        </w:rPr>
        <w:t>شیخ طوسی</w:t>
      </w:r>
      <w:bookmarkEnd w:id="41"/>
    </w:p>
    <w:p>
      <w:pPr>
        <w:pStyle w:val="BookText"/>
        <w:rPr/>
      </w:pPr>
      <w:r>
        <w:rPr>
          <w:rFonts w:ascii="IRNazanin" w:hAnsi="IRNazanin" w:eastAsia="IRNazanin"/>
          <w:color w:val="111111"/>
          <w:sz w:val="28"/>
          <w:sz w:val="28"/>
          <w:szCs w:val="28"/>
          <w:rtl w:val="true"/>
          <w:lang w:bidi="fa-IR"/>
        </w:rPr>
        <w:t>شیخ طوسی رحمه الله در نهایة آورده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إقامة الحدود فلیس یجوز لأحد إقامتها إلاّ لسلطان الزمان المنصوب من قبل اللّه تعالی أو من نصبه الإمام لإقامتها ولا یجوز لأحد سواهما إقامتها علی حال وقد رخّص فی حال قصور أیدی أئمّة الحقّ وتغلّب الظالمین أن یقیم الإنسان الحدّ علی ولده وأهله وممالیکه إذا لم یخف فی ذلک ضرراً من الظالمین وأمن بوائقهم فمتی لم یأمن ذلک لم یجز له التعرّض لذلک علی حال ومن استخلفه سلطان ظالم علی قوم وجعل إلیه إقامة الحدود جاز له أن یقیمها علیهم علی الکمال ویعتقد أنّه إنّما یفعل ذلک بإذن سلطان الحقّ لا بإذن سلطان الجور ویجب علی المؤمنین معونته وتمکینه من ذلک ما لم یتعدّ الحقّ فی ذلک وما هو مشروع فی شریعة الإسلام فإن تعدّی فیما جعل إلیه الحقّ فی ذلک لم یجز له القیام به ولا لأحد معاونته علی ذلک، اللهمّ إلّاأن یخاف فی ذلک علی نفسه فإنّه یجوز له حینئذٍ أن یفعل ذلک فی حال التقیّة ما لم یبلغ قتل النفوس وأمّا قتل النفوس فلا یجوز فیه التقیّة علی حال وأمّا الحکم بین الناس والقضاء بین المختلفین فلا یجوز ذلک أیضاً إلاّ لمن أذن له سلطان الحقّ فی ذلک وقد فوّضوا ذلک إلی فقهاء</w:t>
      </w:r>
    </w:p>
    <w:p>
      <w:pPr>
        <w:pStyle w:val="BookText"/>
        <w:rPr/>
      </w:pPr>
      <w:r>
        <w:rPr>
          <w:rFonts w:ascii="IRNazanin" w:hAnsi="IRNazanin" w:eastAsia="IRNazanin"/>
          <w:color w:val="111111"/>
          <w:sz w:val="28"/>
          <w:sz w:val="28"/>
          <w:szCs w:val="28"/>
          <w:rtl w:val="true"/>
          <w:lang w:bidi="fa-IR"/>
        </w:rPr>
        <w:t>شیعتهم فی حال لا یتمکّنون فیه من تولّیه بنفوسهم فمن تمکّن من إنفاذ حکم أو إصلاح بین الناس أو فصل بین المختلفین فلیفعل ذلک وله بذلک الأجر والثواب</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کلام مرحوم شیخ را می‌توان به صورت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اقامه حدود شرعی در زمان حضور معصوم علیه السلام فقط برای امام معصوم علیه السلام و کسی که از طرف او نصب خاص دارد، جایز است؛ و برای غیر این دو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زمانی که ائمّه معصومین علیهم السلام بسط ید ندارند و غلبه با ظالمین است، اجازه داده شده است که انسان بر فرزند، اهل و مملوک خودش حدّ جاری کند؛ مشروط بر این‌که ضرری از طرف ظالمین بر او وارد نشود، و از دست آنان در امان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سلطان جائر و ظالم، کسی را بر قومی نصب کند و امر اقامه حدود را به او واگذار کند، وی می‌تواند حدود را اقامه کند؛ البتّه به شرط اعتقاد به این‌که با اذن سلطان حق است نه با اذن سلطان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مؤمنین کمک به او لازم است تا زمانی که از حقّ تعدّی نکند، و آن‌چه را که در شریعت اسلام مشروع است انجام دهد؛ ولی اگر تعدّی کرد، قیام به این امر برای او جایز نیست و هیچ کس هم حق ندارد او را یاری کند؛ مگر این‌که ترس بر نفس داشته باشد و تقیّه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و قضاوت بین مردم فقط برای سلطان حق جایز است که این</w:t>
      </w:r>
    </w:p>
    <w:p>
      <w:pPr>
        <w:pStyle w:val="BookText"/>
        <w:rPr/>
      </w:pPr>
      <w:r>
        <w:rPr>
          <w:rFonts w:ascii="IRNazanin" w:hAnsi="IRNazanin" w:eastAsia="IRNazanin"/>
          <w:color w:val="111111"/>
          <w:sz w:val="28"/>
          <w:sz w:val="28"/>
          <w:szCs w:val="28"/>
          <w:rtl w:val="true"/>
          <w:lang w:bidi="fa-IR"/>
        </w:rPr>
        <w:t>امر به فقهای شیعه نیز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برای فقیهی انفاذ حکم یا اصلاح بین مردم و فصل خصومت ممکن باشد، باید این کار را انجام دهد؛ و برای او اجر و ثواب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شیخ رحمه الله در نهایه استفاده می‌شود که فقیه ابتدا نمی‌تواند اقامۀ حدود کند و حقّ اقامه حدود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جائر کسی را منصوب کرد، او می‌تواند حدود را اجرا کند؛ هرچند فقیه هم نباشد؛ ولی این تا زمانی است که تعدّی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اقامه حدود با یکدیگر فرق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رحمه الله معقتد است که انسان مجاز است بر فرزند، اهل و مملوک خویش حدّ جاری نماید؛ و این امر در شریعت اجازه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دقت آن است که بسیاری از فقها قول جواز اقامه حدود در زمان غیبت را به شیخ طوسی رحمه الله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فهد حلّی رحمه الله در کتاب المهذّب البارع این قول را به شیخ رحمه الله در نهایه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در تذکره و منتهی تعبیر به جزم نموده 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وجزم به الشیخان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شهید ثانی رحمه الله در مسالک به شیخ طوسی رحمه الله و جماعتی این قول را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همان‌طور که از عبارت شیخ رحمه الله در نهایه استفاده می‌شود، نمی‌توان قول به جواز را به مرحوم شیخ نسبت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انفاذ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اجرای حکم بدانیم، در این صورت می‌توان این قول را به شیخ رحمه الله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محمّد باقر شفتی در رساله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المخالف بل المتوقّف فی المسألة غیر ظاهر عدا ما یظهر من العبارة السالفة من شیخ الطائفة فی النهایة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ایشان ابتدا از عبارت شیخ رحمه الله در نهایة مخالفت با جواز اقامه حدود را استفاده نموده؛ ولی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فوّضوا ذلک إلی فقهاء شیعتهم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هم اجرا و هم حکم، به فقهای شیعه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صورتی صحیح است که مشارٌ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و حکم، هر دو، برگردانیم؛ در حالی که ظهور اوّلی آن فقط حکم و قضا است، و شامل اجرا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عبارت مرحوم شیخ در مبسوط می‌توان این قول را به روشنی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مبسوط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أن یقیم الحدّ علی ما ملکت یمینه بغیر إذن الإمام علیه السلام عندنا وعند جماعة، أمّا الحدّ لشرب الخمر فله أیضاً إقامته علیهم عندنا لما رواه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الحدود علی ما ملکت أیمانکم و هذا عامّ أمّا القطع بالسرقة فالأولی أن نقول له ذلک لعموم الأخبار أمّا القتل بالردّة فله أیضاً لما قدّمناه ومن قال للسیّد إقامة الحدّ علیهم أجراه مجری الحاکم والإمام، فکلّ شیء للحاکم أو الإمام به إقامة الحدّ من إقرار وبیّنة و علم فللسیّد مثله</w:t>
      </w:r>
      <w:r>
        <w:rPr>
          <w:rFonts w:eastAsia="IRNazanin" w:cs="IRNazanin"/>
          <w:color w:val="111111"/>
          <w:sz w:val="28"/>
          <w:szCs w:val="28"/>
          <w:rtl w:val="true"/>
          <w:lang w:bidi="fa-IR"/>
        </w:rPr>
        <w:t>».</w:t>
      </w:r>
      <w:r>
        <w:rPr>
          <w:rStyle w:val="FootnoteAnchor"/>
          <w:rtl w:val="true"/>
        </w:rPr>
        <w:footnoteReference w:id="2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این عبارت با صراحت گفته که هر آن‌چه را که حاکم</w:t>
      </w:r>
      <w:bookmarkStart w:id="42" w:name="pg5701_52736"/>
    </w:p>
    <w:p>
      <w:pPr>
        <w:pStyle w:val="BookText"/>
        <w:rPr/>
      </w:pPr>
      <w:bookmarkEnd w:id="42"/>
      <w:r>
        <w:rPr>
          <w:rFonts w:ascii="IRNazanin" w:hAnsi="IRNazanin" w:eastAsia="IRNazanin"/>
          <w:color w:val="111111"/>
          <w:sz w:val="28"/>
          <w:sz w:val="28"/>
          <w:szCs w:val="28"/>
          <w:rtl w:val="true"/>
          <w:lang w:bidi="fa-IR"/>
        </w:rPr>
        <w:t>شرع نسبت به اجرای حدود دارد، مولا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جواز اقامه حدود برای مولا به عنوان یک استثنا مطرح نیست؛ بلکه مولا را به منزله حاکم قرار داده است؛ و در نتیجه، شیخ رحمه الله باید نسبت به خودِ حاکم، مسأله را مسلّم و قطعی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از عبارت شیخ رحمه الله در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می‌تواند بر طبق علم خودش در همه موارد، چه اموال و چه حدود و چه قصاص، حکم کند؛ و سپس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فعل ما یجب به الحدّ فی أرض العدوّ من المسلمین وجب علیه الحدّ إلّاأنّه لا یقام علیه الحدّ فی أرض العدوّ بل یؤخّر إلی أن یرجع إلی دار الاسلام</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جواز اجرای حدّ برای حاکم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است که شیخ طوسی رحمه الله در مبسوط و خلاف به صورت روشن معتقد به جواز اقامه حدود در زمان غیبت است؛ و در کتاب نهایه، با توجیه، می‌توان مرحوم شیخ را از طرفداران این نظریه دانست</w:t>
      </w:r>
      <w:r>
        <w:rPr>
          <w:rFonts w:eastAsia="IRNazanin" w:cs="IRNazanin"/>
          <w:color w:val="111111"/>
          <w:sz w:val="28"/>
          <w:szCs w:val="28"/>
          <w:rtl w:val="true"/>
          <w:lang w:bidi="fa-IR"/>
        </w:rPr>
        <w:t>.</w:t>
      </w:r>
    </w:p>
    <w:p>
      <w:pPr>
        <w:pStyle w:val="Heading3"/>
        <w:numPr>
          <w:ilvl w:val="2"/>
          <w:numId w:val="1"/>
        </w:numPr>
        <w:rPr/>
      </w:pPr>
      <w:bookmarkStart w:id="43" w:name="__RefHeading___Toc3793743_581953129"/>
      <w:bookmarkStart w:id="44" w:name="_Toc16"/>
      <w:bookmarkEnd w:id="43"/>
      <w:r>
        <w:rPr/>
        <w:t>7</w:t>
      </w:r>
      <w:r>
        <w:rPr>
          <w:rtl w:val="true"/>
        </w:rPr>
        <w:t xml:space="preserve"> - </w:t>
      </w:r>
      <w:r>
        <w:rPr>
          <w:rtl w:val="true"/>
        </w:rPr>
        <w:t>ابن ادریس رحمه الله</w:t>
      </w:r>
      <w:bookmarkEnd w:id="44"/>
    </w:p>
    <w:p>
      <w:pPr>
        <w:pStyle w:val="BookText"/>
        <w:rPr/>
      </w:pPr>
      <w:r>
        <w:rPr>
          <w:rFonts w:ascii="IRNazanin" w:hAnsi="IRNazanin" w:eastAsia="IRNazanin"/>
          <w:color w:val="111111"/>
          <w:sz w:val="28"/>
          <w:sz w:val="28"/>
          <w:szCs w:val="28"/>
          <w:rtl w:val="true"/>
          <w:lang w:bidi="fa-IR"/>
        </w:rPr>
        <w:t>ابن ادریس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عندی أنّه لا یجوز له أن یقیم الحدود إلاّ علی عبده فحسب، دون ما عداه من الأهل والقرابات لما قد ورد فی العبد من الأخبار واستفاض به النقل بین الخاصّ والعام</w:t>
      </w:r>
      <w:r>
        <w:rPr>
          <w:rFonts w:eastAsia="IRNazanin" w:cs="IRNazanin"/>
          <w:color w:val="111111"/>
          <w:sz w:val="28"/>
          <w:szCs w:val="28"/>
          <w:rtl w:val="true"/>
          <w:lang w:bidi="fa-IR"/>
        </w:rPr>
        <w:t>».</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اولین اختلاف ابن ادریس رحمه الله با مرحوم شیخ در این بحث</w:t>
      </w:r>
    </w:p>
    <w:p>
      <w:pPr>
        <w:pStyle w:val="BookText"/>
        <w:rPr/>
      </w:pPr>
      <w:r>
        <w:rPr>
          <w:rFonts w:ascii="IRNazanin" w:hAnsi="IRNazanin" w:eastAsia="IRNazanin"/>
          <w:color w:val="111111"/>
          <w:sz w:val="28"/>
          <w:sz w:val="28"/>
          <w:szCs w:val="28"/>
          <w:rtl w:val="true"/>
          <w:lang w:bidi="fa-IR"/>
        </w:rPr>
        <w:t>است که ابن ادریس رحمه الله فقط در عبید، اقامه حد را برای مولا جایز می‌داند، ولی نسبت به بقیّه موارد مانند اهل و خویشاوندان، اقامۀ حدود را جایز نمی‌داند؛ بر خلاف شیخ رحمه الله که اقامه حدود را در هر سه مورد جایز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رحمه الله در ادامۀ سخن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 أنّ من استخلفه سلطان ظالم علی قوم وجعل إلیه إقامة الحدود جاز له أن یقیمها علیهم علی الکمال ویعتقد أنّه إنّما یفعل ذلک بإذن سلطان الحقّ لا بإذن سلطان الجور ویجب علی المؤمنین معونته وتمکینه من ذلک ما لم یتعدّ الحقّ فی ذلک وما هو مشروع فی شریعة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ادریس مصنّف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أوردها شیخنا أبو جعفر فی نهایته وقد اعتذرنا له فیما یورده فی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عدّة مواضع وقلنا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یورده إیراداً من طریق الخبر لا اعتقاداً من جهة الفتیا والنظر</w:t>
      </w:r>
      <w:r>
        <w:rPr>
          <w:rFonts w:eastAsia="IRNazanin" w:cs="IRNazanin"/>
          <w:color w:val="111111"/>
          <w:sz w:val="28"/>
          <w:szCs w:val="28"/>
          <w:rtl w:val="true"/>
          <w:lang w:bidi="fa-IR"/>
        </w:rPr>
        <w:t>».</w:t>
      </w:r>
      <w:r>
        <w:rPr>
          <w:rStyle w:val="FootnoteAnchor"/>
          <w:rtl w:val="true"/>
        </w:rPr>
        <w:footnoteReference w:id="2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ادریس معتقد است شیخ رحمه الله این مطلب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سلطان ظالم کسی را برای اقامه حدود نصب نمود، او می‌تواند این کار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روایت نقل کرده و از نظر فتوا و رأی به آن معتقد نبوده است؛ زیرا اجماع اصحاب و مسلمین بر این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جایز نیست؛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در آیات و ادلّه حدود، ائمّه علیهم السلام و حکّامی هستند که به اذن آنان عمل می‌کنند و غیر از این‌ها صلاحیّت ندارند که متعرّض این امور شوند؛ و با یک خبر واحد نمی‌توان از اجماع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ادریس رحمه الله در انتهای عبارت، نسبت به حکم و قضاوت بین مردم، همان نظریه شیخ رحمه الله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کلام ابن ادریس رحمه الله، شیخ طوسی رحمه الله نیز با اقامه حدود حتّی در موردی که سلطان ظالم هم معیّن کرده باشد،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رحمه الله با شیخ طوسی رحمه الله موافق است، مگر در اقامه حدود بر نزدیکان و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فقها از کلمات ابن ادریس رحمه الله، همین نتیجه را گرفته‌اند که ایشان با اجرای حدود در زمان غیبت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صیمری در غایة المرام</w:t>
      </w:r>
      <w:r>
        <w:rPr>
          <w:rStyle w:val="FootnoteAnchor"/>
          <w:rtl w:val="true"/>
        </w:rPr>
        <w:footnoteReference w:id="26"/>
      </w:r>
      <w:r>
        <w:rPr>
          <w:rFonts w:ascii="IRNazanin" w:hAnsi="IRNazanin" w:eastAsia="IRNazanin"/>
          <w:color w:val="111111"/>
          <w:sz w:val="28"/>
          <w:sz w:val="28"/>
          <w:szCs w:val="28"/>
          <w:rtl w:val="true"/>
          <w:lang w:bidi="fa-IR"/>
        </w:rPr>
        <w:t>، ابن فهد رحمه الله در المهذّب البارع</w:t>
      </w:r>
      <w:r>
        <w:rPr>
          <w:rStyle w:val="FootnoteAnchor"/>
          <w:rtl w:val="true"/>
        </w:rPr>
        <w:footnoteReference w:id="27"/>
      </w:r>
      <w:r>
        <w:rPr>
          <w:rFonts w:ascii="IRNazanin" w:hAnsi="IRNazanin" w:eastAsia="IRNazanin"/>
          <w:color w:val="111111"/>
          <w:sz w:val="28"/>
          <w:sz w:val="28"/>
          <w:szCs w:val="28"/>
          <w:rtl w:val="true"/>
          <w:lang w:bidi="fa-IR"/>
        </w:rPr>
        <w:t>و فاضل مقداد در التنقیح</w:t>
      </w:r>
      <w:r>
        <w:rPr>
          <w:rStyle w:val="FootnoteAnchor"/>
          <w:rtl w:val="true"/>
        </w:rPr>
        <w:footnoteReference w:id="28"/>
      </w:r>
      <w:r>
        <w:rPr>
          <w:rFonts w:ascii="IRNazanin" w:hAnsi="IRNazanin" w:eastAsia="IRNazanin"/>
          <w:color w:val="111111"/>
          <w:sz w:val="28"/>
          <w:sz w:val="28"/>
          <w:szCs w:val="28"/>
          <w:rtl w:val="true"/>
          <w:lang w:bidi="fa-IR"/>
        </w:rPr>
        <w:t>همین مطلب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سیّد محمّد باقر شفتی در رساله خود این نتیجه را نپذیرفته و معتقد است آن‌چه را که این فقها فهمیده‌اند، مطابق با برخی از عبارات وی می‌باشد؛ در حالی که اگر کلمات دیگر او را ملاحظه کنیم به نتیجه دیگری می‌رسیم و آن این که ایشان از موافقین اجرای حدود در زمان غیبت است، و حتی بر این نظریه اصرار و تأکید نیز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ابن ادریس در اواخر سرائر فصلی را به عنوان تنفیذ احکام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 آخر سرائر و عبارت دیگری از ایشان به خوبی استفاده می‌کنیم که ابن ادریس رحمه الله با مرحوم شیخ طوسی در مسأله جواز اجرای احکام مخالفتی ندارد و نسبت مخالفت به</w:t>
      </w:r>
    </w:p>
    <w:p>
      <w:pPr>
        <w:pStyle w:val="BookText"/>
        <w:rPr/>
      </w:pPr>
      <w:r>
        <w:rPr>
          <w:rFonts w:ascii="IRNazanin" w:hAnsi="IRNazanin" w:eastAsia="IRNazanin"/>
          <w:color w:val="111111"/>
          <w:sz w:val="28"/>
          <w:sz w:val="28"/>
          <w:szCs w:val="28"/>
          <w:rtl w:val="true"/>
          <w:lang w:bidi="fa-IR"/>
        </w:rPr>
        <w:t>او مطابق با صواب و صحت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شفتی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إذا تأمّلت فی العبارات المذکورة تعلم أنّ ما عزوه إلی ابن ادریس من منعه إقامة الحدود من الفقهاء فی هذه الأزمنة غیر مقرون بالصحّة وأنّ الداعی لتلک النسبة الجمود ببعض کلماته من دون تأمّل فی السّابق علیه واللاحق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ایشان سپس مطلب مهمتری را به ابن ادریس نسبت می‌دهد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یظهر من مجموع کلماته الّتی أوردناها فی المقام و غیرها أنّ إصراره فی الجواز فوق کلام المجوّزین</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ابن ادریس در آخر سرائر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صحّة التنفیذ یفتقر إلی معرفة من یصحّ حکمه ویمضی تنفیذه فإذا ثبت ذلک فتنفیذ الأحکام الشرعیّة والحکم بمقتضی التعبّد فیها من فروض الأئمّه علیهم السلام المختصّة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فمتی تکاملت هذه الشروط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النیابة عن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أذن له فی تقلید الحکم وإن کان مقلّده ظالماً متغلّباً وعلیه فمتی عرض لذلک أن یتولّاه لکون هذه الولایة أمراً بمعروف ونهیاً عن منکر تعیّن غرضهما بالتعریض للولایة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والتمکین من أنفسهم بحدّ أو تأدیب تعیّن علیهم ولا یحلّ لهم الرغبة عنه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این عبارت چند شاهد روشن بر مدّعای مرحوم شفتی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رحمه الله در صدر عبارت تصریح دارد که اگر تنفیذ از جانب امام معصوم علیه السلام متعذّر شد، باید به کسی رجوع شود که او شروط نیابت</w:t>
      </w:r>
    </w:p>
    <w:p>
      <w:pPr>
        <w:pStyle w:val="BookText"/>
        <w:rPr/>
      </w:pPr>
      <w:r>
        <w:rPr>
          <w:rFonts w:ascii="IRNazanin" w:hAnsi="IRNazanin" w:eastAsia="IRNazanin"/>
          <w:color w:val="111111"/>
          <w:sz w:val="28"/>
          <w:sz w:val="28"/>
          <w:szCs w:val="28"/>
          <w:rtl w:val="true"/>
          <w:lang w:bidi="fa-IR"/>
        </w:rPr>
        <w:t xml:space="preserve">ائمّه علیهم السلام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علم به حق در حکمی است که به او رجوع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مأذون در حکم و تنفیذ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طرف ظالمی، مأمور به حکم و اجرا می‌شود در حقیقت نائب از ولی امر علیه السلام است و ایشان اذن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لثبوت الإذن منه ومن آبائه علیهم السلام لمن کان بصفته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یحلّ له القعود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نه تنها قائل به جواز است، بلکه به وجوب هم اعتقاد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ذیل عبارت نیز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الحقیقة مأهول لذلک بإذن ولاة الأمر علیهم السلام وإخوانه فی الدین مأمورون بالتحاکم إلیه وحمل حقوق الأموال إلیه والتمکین من أنفسهم بحدّ أو 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اولاً صلاحیت کسی که دارای شرایط نیابت برای حکم و تنفیذ است بیان شده؛ و ثانیاً مؤمنین مأمور هستند که به او در مسائل و خصومات رجوع نمایند و اگر او حدّی را لازم دانست، نفوس خودشان را برای آن حدّ یا تأدیب آماده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واضح‌تر، مطلبی است که در آخر کتاب سرائر در مقام استدلال بر این‌که حاکم در حکم خود در همه اشیا و امور می‌تواند به علم خویش اعتماد کند،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ما یوجب الحدود فالصحیح من أقوال طائفتنا وذوی التحصیل من فقهاء عصابتنا لا یفرّقون بین الحدود و غیرها من الأحکام الشرعیّات فی أنّ للحاکم النائب من قبل الإمام أن یحکم فیها بعلمه کما أنّ للإمام ذلک مثل ما</w:t>
      </w:r>
      <w:bookmarkStart w:id="45" w:name="pg5701_52741"/>
    </w:p>
    <w:p>
      <w:pPr>
        <w:pStyle w:val="BookText"/>
        <w:rPr/>
      </w:pPr>
      <w:bookmarkEnd w:id="45"/>
      <w:r>
        <w:rPr>
          <w:rFonts w:ascii="IRNazanin" w:hAnsi="IRNazanin" w:eastAsia="IRNazanin"/>
          <w:color w:val="111111"/>
          <w:sz w:val="28"/>
          <w:sz w:val="28"/>
          <w:szCs w:val="28"/>
          <w:rtl w:val="true"/>
          <w:lang w:bidi="fa-IR"/>
        </w:rPr>
        <w:t>سلف فی الأحکام الّتی هی غیر الحدود لأنّ جمیع ما دلّ هناک هو الدلیل هاهنا والفرق بین الأمرین مخالف مناقض فی الأدلّة</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سپس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فقها بین امام و غیر امام تفصیل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معصوم از خطا است، ولی غیر امام معصوم نیست؛ و اقامه حدود بر غیر امام واجب نیست و از فرائضی است که مختص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ادریس رحمه الله در ردّ این عدّه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این‌که اقامه حدود از فرائض فقیه نیست خطای محض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ایشان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قوله إقامة الحدود لیست من فروضه فعین الخطأ المحض عند جمیع الاُمّة لأنّ الحکّام جمیعهم هم المعنیّون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أَیْدِیَهُما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بر اساس این عبارت، ایشان مخاطب در این آیات شریفه را جمیع حکّام، اعم از معصوم و غیرمعصوم می‌داند؛ و در نتیجه، اجرای حدود را فریضه برای جمیع حکّام می‌داند</w:t>
      </w:r>
      <w:r>
        <w:rPr>
          <w:rFonts w:eastAsia="IRNazanin" w:cs="IRNazanin"/>
          <w:color w:val="111111"/>
          <w:sz w:val="28"/>
          <w:szCs w:val="28"/>
          <w:rtl w:val="true"/>
          <w:lang w:bidi="fa-IR"/>
        </w:rPr>
        <w:t>.</w:t>
      </w:r>
    </w:p>
    <w:p>
      <w:pPr>
        <w:pStyle w:val="Heading3"/>
        <w:numPr>
          <w:ilvl w:val="2"/>
          <w:numId w:val="1"/>
        </w:numPr>
        <w:rPr/>
      </w:pPr>
      <w:bookmarkStart w:id="46" w:name="__RefHeading___Toc3793745_581953129"/>
      <w:bookmarkStart w:id="47" w:name="_Toc17"/>
      <w:bookmarkEnd w:id="46"/>
      <w:r>
        <w:rPr/>
        <w:t>8</w:t>
      </w:r>
      <w:r>
        <w:rPr>
          <w:rtl w:val="true"/>
        </w:rPr>
        <w:t xml:space="preserve"> - </w:t>
      </w:r>
      <w:r>
        <w:rPr>
          <w:rtl w:val="true"/>
        </w:rPr>
        <w:t>نظر علّامه حلّی رحمه الله</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تذکره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وهل یجوز للفقهاء إقامة الحدود فی حال الغیبة؟ جزم به الشیخان عملاً بهذه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الحدود إلی من بیده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یأتی أنّ للفقهاء الحکم بین الناس فکان إلیهم إقامة الحدود لما</w:t>
      </w:r>
      <w:bookmarkStart w:id="48" w:name="pg5701_52742"/>
    </w:p>
    <w:p>
      <w:pPr>
        <w:pStyle w:val="BookText"/>
        <w:rPr/>
      </w:pPr>
      <w:bookmarkEnd w:id="48"/>
      <w:r>
        <w:rPr>
          <w:rFonts w:ascii="IRNazanin" w:hAnsi="IRNazanin" w:eastAsia="IRNazanin"/>
          <w:color w:val="111111"/>
          <w:sz w:val="28"/>
          <w:sz w:val="28"/>
          <w:szCs w:val="28"/>
          <w:rtl w:val="true"/>
          <w:lang w:bidi="fa-IR"/>
        </w:rPr>
        <w:t>فی تعطیل الحدود من الفساد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از این عبارت استفاده می‌شود مرحوم علّامه رأی منسوب به شیخ رحمه الله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منتهی المطلب نیز مطلب تذکره را آورده است؛ ابتدا نسبت به فتوای شیخ طوسی رحمه الله و شیخ مفید رحمه الله توقف نموده و سپس با فاصله کمی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قوّی عندی</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تحریر نیز نظیر مطلب منتهی را دارند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قوّی عندی</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در قواعد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إقامة الحدود فإنّها للإمام خاصّة أو من یأذن له ولفقهاء الشیعة فی حال الغیبة ذلک</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در ارشاد الاذهان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وللفقیه الجامع لشرائط الافتاء إقامتها والحکم بین الناس</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در تبصرة المتعلمین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وللفقهاء إقامتها حال الغیبة مع الأمن ویجب علی الناس مساعدتهم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در این عبارت، علاوه بر این‌که فرموده فقها در اقامه حدود ولایت دارند، مسأله لزوم مساعدت مردم را نیز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مختلف الشیعه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والأقرب عندی جواز ذلک للفقهاء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أنّ ابن ادریس ادّعی الإجماع فی ذلک مع مخالفة مثل الشیخ و غیره من علمائنا فیه</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49" w:name="__RefHeading___Toc3793747_581953129"/>
      <w:bookmarkStart w:id="50" w:name="_Toc18"/>
      <w:bookmarkEnd w:id="49"/>
      <w:r>
        <w:rPr/>
        <w:t>9</w:t>
      </w:r>
      <w:r>
        <w:rPr>
          <w:rtl w:val="true"/>
        </w:rPr>
        <w:t xml:space="preserve"> - </w:t>
      </w:r>
      <w:r>
        <w:rPr>
          <w:rtl w:val="true"/>
        </w:rPr>
        <w:t>نظر شهید اول رحمه الله</w:t>
      </w:r>
      <w:bookmarkEnd w:id="5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اوّل رحمه الله در کتاب دروس در مباحث امر به معروف می‌نویسد</w:t>
      </w:r>
      <w:r>
        <w:rPr>
          <w:rFonts w:eastAsia="IRNazanin" w:cs="IRNazanin"/>
          <w:color w:val="111111"/>
          <w:sz w:val="28"/>
          <w:szCs w:val="28"/>
          <w:rtl w:val="true"/>
          <w:lang w:bidi="fa-IR"/>
        </w:rPr>
        <w:t>:</w:t>
      </w:r>
      <w:bookmarkStart w:id="51" w:name="pg5701_52743"/>
    </w:p>
    <w:p>
      <w:pPr>
        <w:pStyle w:val="BookText"/>
        <w:rPr/>
      </w:pPr>
      <w:bookmarkEnd w:id="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والحدود والتعزیرات إلی الإمام ونائبه ولو عموماً فیجوز فی حال الغیبة للفقیه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الموصوف بما یأتی فی القضاء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إقامتها مع المکنة وتجب علی العامّة تقویته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ایشان در این عبارت علاوه بر این‌که اقامه حدود را از اختیارات فقیه در زمان غیبت دانسته، مسأله لزوم تقویت بر عموم مردم را نیز مورد توجه قرار داده است</w:t>
      </w:r>
      <w:r>
        <w:rPr>
          <w:rFonts w:eastAsia="IRNazanin" w:cs="IRNazanin"/>
          <w:color w:val="111111"/>
          <w:sz w:val="28"/>
          <w:szCs w:val="28"/>
          <w:rtl w:val="true"/>
          <w:lang w:bidi="fa-IR"/>
        </w:rPr>
        <w:t>.</w:t>
      </w:r>
    </w:p>
    <w:p>
      <w:pPr>
        <w:pStyle w:val="Heading3"/>
        <w:numPr>
          <w:ilvl w:val="2"/>
          <w:numId w:val="1"/>
        </w:numPr>
        <w:rPr/>
      </w:pPr>
      <w:bookmarkStart w:id="52" w:name="__RefHeading___Toc3793749_581953129"/>
      <w:bookmarkStart w:id="53" w:name="_Toc19"/>
      <w:bookmarkEnd w:id="52"/>
      <w:r>
        <w:rPr/>
        <w:t>10</w:t>
      </w:r>
      <w:r>
        <w:rPr>
          <w:rtl w:val="true"/>
        </w:rPr>
        <w:t xml:space="preserve"> - </w:t>
      </w:r>
      <w:r>
        <w:rPr>
          <w:rtl w:val="true"/>
        </w:rPr>
        <w:t>اشاره به نظر محقّق ثانی رحمه الله</w:t>
      </w:r>
      <w:bookmarkEnd w:id="53"/>
    </w:p>
    <w:p>
      <w:pPr>
        <w:pStyle w:val="BookText"/>
        <w:rPr/>
      </w:pPr>
      <w:r>
        <w:rPr>
          <w:rFonts w:ascii="IRNazanin" w:hAnsi="IRNazanin" w:eastAsia="IRNazanin"/>
          <w:color w:val="111111"/>
          <w:sz w:val="28"/>
          <w:sz w:val="28"/>
          <w:szCs w:val="28"/>
          <w:rtl w:val="true"/>
          <w:lang w:bidi="fa-IR"/>
        </w:rPr>
        <w:t>مرحوم محقّق ثانی در حاشیه بر شرائع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القول بالجواز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التمکّن من إقامتها علی الوجه المعتبر والأمن من الضرر له ولغیره من المؤمنین ومن ثوران الفتنة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54" w:name="__RefHeading___Toc3793751_581953129"/>
      <w:bookmarkStart w:id="55" w:name="_Toc20"/>
      <w:bookmarkEnd w:id="54"/>
      <w:r>
        <w:rPr/>
        <w:t>11</w:t>
      </w:r>
      <w:r>
        <w:rPr>
          <w:rtl w:val="true"/>
        </w:rPr>
        <w:t xml:space="preserve"> - </w:t>
      </w:r>
      <w:r>
        <w:rPr>
          <w:rtl w:val="true"/>
        </w:rPr>
        <w:t>بررسی نظر شهید ثانی رحمه الله</w:t>
      </w:r>
      <w:bookmarkEnd w:id="55"/>
    </w:p>
    <w:p>
      <w:pPr>
        <w:pStyle w:val="BookText"/>
        <w:rPr/>
      </w:pPr>
      <w:r>
        <w:rPr>
          <w:rFonts w:ascii="IRNazanin" w:hAnsi="IRNazanin" w:eastAsia="IRNazanin"/>
          <w:color w:val="111111"/>
          <w:sz w:val="28"/>
          <w:sz w:val="28"/>
          <w:szCs w:val="28"/>
          <w:rtl w:val="true"/>
          <w:lang w:bidi="fa-IR"/>
        </w:rPr>
        <w:t xml:space="preserve">مرحوم شهید ثانی در مسالک بعد از قول صاحب شرائع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یجوز للفقهاء إقامة الحدود فی حال غیبة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القول مذهب الشیخین وجماعة من الأصحاب و به روایة عن الصادق علیه السلام وفی طریقها ضعف ولکن روایة عمر بن حنظلة مؤیّدة لذلک، فإنّ إقامة الحدود ضرب من الحکم و فیه مصلحة کلیّة ولطف فی ترک المحارم وحسم لانتشار المفاسد وهو قویّ</w:t>
      </w:r>
      <w:r>
        <w:rPr>
          <w:rFonts w:eastAsia="IRNazanin" w:cs="IRNazanin"/>
          <w:color w:val="111111"/>
          <w:sz w:val="28"/>
          <w:szCs w:val="28"/>
          <w:rtl w:val="true"/>
          <w:lang w:bidi="fa-IR"/>
        </w:rPr>
        <w:t>».</w:t>
      </w:r>
      <w:r>
        <w:rPr>
          <w:rStyle w:val="FootnoteAnchor"/>
          <w:rtl w:val="true"/>
        </w:rPr>
        <w:footnoteReference w:id="42"/>
      </w:r>
      <w:bookmarkStart w:id="56" w:name="pg5701_52744"/>
    </w:p>
    <w:p>
      <w:pPr>
        <w:pStyle w:val="Heading3"/>
        <w:numPr>
          <w:ilvl w:val="2"/>
          <w:numId w:val="1"/>
        </w:numPr>
        <w:rPr/>
      </w:pPr>
      <w:bookmarkStart w:id="57" w:name="__RefHeading___Toc3793753_581953129"/>
      <w:bookmarkStart w:id="58" w:name="_Toc21"/>
      <w:bookmarkEnd w:id="56"/>
      <w:bookmarkEnd w:id="57"/>
      <w:r>
        <w:rPr/>
        <w:t>12</w:t>
      </w:r>
      <w:r>
        <w:rPr>
          <w:rtl w:val="true"/>
        </w:rPr>
        <w:t xml:space="preserve"> - </w:t>
      </w:r>
      <w:r>
        <w:rPr>
          <w:rtl w:val="true"/>
        </w:rPr>
        <w:t>تبیین نظر فاضل مقداد رحمه الله</w:t>
      </w:r>
      <w:bookmarkEnd w:id="58"/>
    </w:p>
    <w:p>
      <w:pPr>
        <w:pStyle w:val="BookText"/>
        <w:rPr/>
      </w:pPr>
      <w:r>
        <w:rPr>
          <w:rFonts w:ascii="IRNazanin" w:hAnsi="IRNazanin" w:eastAsia="IRNazanin"/>
          <w:color w:val="111111"/>
          <w:sz w:val="28"/>
          <w:sz w:val="28"/>
          <w:szCs w:val="28"/>
          <w:rtl w:val="true"/>
          <w:lang w:bidi="fa-IR"/>
        </w:rPr>
        <w:t>فاضل مقداد رحمه الله در التنقیح الرائع بعد از این‌که عبارت نافع را آورده و ذکر کرده که قائل به جواز اقامه حدود در زمان غیبت شیخان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رحمه الله نیز همین قول را اختیار نموده و دلیل ایشان دو مطلب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تعطیل الحدود یفضی إلی ارتکاب المحارم و انتشار المفاسد و ذلک مطلوب الترک فی نظر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عمر بن حنظلة عن الصادق علیه السلام انظروا إلی من کان منکم قد روی حدیثنا ونظر فی حلالنا وحرامنا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یؤیّده العمومات والنظر، أمّا العمومات فقوله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ورثة الأنبیاء ومعلوم أنّهم لم یرثوا من المال شیئاً فتکون وراثتهم العلم أو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والأوّل تعریف المعرّف فیکون المراد هو الثّانی، وهو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امّتی کأنبیاء بنی إسرائیل و معلوم أنّ أنبیاء بنی إسرائیل لهم اقامة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النظر فهو أنّ المقتضی لإقامة الحدّ قائم فی صورتی حضور الإمام وغیبته ولیست الحکمة عائدة إلی مقیمه قطعاً، فتکون عائدة إلی مستحقّه أو إلی نوع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التقدیرین لابدّ من إقامتها مطلقاً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مرحوم صیمری در غایة المرام و مرحوم ابن فهد در المهذّب البارع فقط دو قول را بدون ترجیح نقل کرده‌اند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غایة المرام در ذیل عبارت 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یجوز للفقهاء العارفین إقامة الحدود حال غیبة الإمام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قول الشیخ</w:t>
      </w:r>
    </w:p>
    <w:p>
      <w:pPr>
        <w:pStyle w:val="BookText"/>
        <w:rPr/>
      </w:pPr>
      <w:r>
        <w:rPr>
          <w:rFonts w:ascii="IRNazanin" w:hAnsi="IRNazanin" w:eastAsia="IRNazanin"/>
          <w:color w:val="111111"/>
          <w:sz w:val="28"/>
          <w:sz w:val="28"/>
          <w:szCs w:val="28"/>
          <w:rtl w:val="true"/>
          <w:lang w:bidi="fa-IR"/>
        </w:rPr>
        <w:t>وابن الجنید وسلّار</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المهذّب البارع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للفقهاء إقامة الحدود علی العموم وهو مذهب الشیخ فی النهایة وأبی علی</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مرحوم محقّق در شرائع الأحکام در مورد نهی از منکر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افتقر إلی الجرح أو القتل هل یجب؟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وقیل، لا، إلّابإذن الإمام وهو الأظهر ولایجوز لأحد إقامة الحدود إلّاللإمام مع وجوده أو من نصبه لاقامتها ومع عدمه یجوز للمولی إقامة الحدّ علی مملوکه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یقیم الرجل علی ولده و زوجته؟ 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للفقهاء العارفین إقامة الحدود فی حال غیبة الإمام علیه السلام کما لهم الحکم بین الناس مع الأمن من ضرر سلطان الوقت ویجب علی الناس مساعدتهم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أن یتعرّض لإقامة الحدود ولا للحکم بین الناس إلّاعارف بالأحکام مطّلع علی مأخذها عارف بکیفیّة إیقاعها علی الوجوه الشّرعیّة</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در کتاب المختصر النافع نیز نظیر این مطلب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یقیم الفقهاء الحدود فی زمان الغیبة إذا أمنوا ویجب علی الناس مساعدتهم</w:t>
      </w:r>
      <w:r>
        <w:rPr>
          <w:rFonts w:eastAsia="IRNazanin" w:cs="IRNazanin"/>
          <w:color w:val="111111"/>
          <w:sz w:val="28"/>
          <w:szCs w:val="28"/>
          <w:rtl w:val="true"/>
          <w:lang w:bidi="fa-IR"/>
        </w:rPr>
        <w:t>».</w:t>
      </w:r>
      <w:r>
        <w:rPr>
          <w:rStyle w:val="FootnoteAnchor"/>
          <w:rtl w:val="true"/>
        </w:rPr>
        <w:footnoteReference w:id="4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از عبارت مرحوم محقّق در دو کتاب خویش، مخالفت استفاده می‌شود، ولی بعید نیست که بگوییم چون نسبت به قولی که آنان را</w:t>
      </w:r>
      <w:bookmarkStart w:id="59" w:name="pg5701_52746"/>
    </w:p>
    <w:p>
      <w:pPr>
        <w:pStyle w:val="BookText"/>
        <w:rPr/>
      </w:pPr>
      <w:bookmarkEnd w:id="59"/>
      <w:r>
        <w:rPr>
          <w:rFonts w:ascii="IRNazanin" w:hAnsi="IRNazanin" w:eastAsia="IRNazanin"/>
          <w:color w:val="111111"/>
          <w:sz w:val="28"/>
          <w:sz w:val="28"/>
          <w:szCs w:val="28"/>
          <w:rtl w:val="true"/>
          <w:lang w:bidi="fa-IR"/>
        </w:rPr>
        <w:t xml:space="preserve">با عنوانِ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هیچ‌گونه ردّی ذکر نکرده است، لذا در مجموع، از کلام ایشان توقف را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سیّد احمد خوانساری در مدارک الأحکام و مرحوم آیت‌اللّه آقای خویی در مبانی تکملة المنهاج نیز محقّق رحمه الله را از متوقّفین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ایشان گرچه در مباحث امر به معروف تردید و توقّف نموده است، ولی در مباحث حدود از شرائع به جواز قائل شده است،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 الحاکم إقامة حدود اللّه تعالی بعلمه کحدّ الزنا</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در بحث حد لواط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ویحکم الحاکم فیه بعلمه إماماً کان أو غیره علی الأصحّ</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و این عبارت، صریح است در این‌که غیر امام معصوم هم باید در قضاوت، بر طبق علم خودش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فقهایی که در این مسأله توقّف کرده، صاحب کشف الرموز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البحث فی الفقهاء فقد قال الشیخان و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فوّضوا ذلک إلی الفقهاء ولنا فیه نظر</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ایشان هم در این‌که فقها چنین اختیاری را دارند تأمّل و نظر دارد</w:t>
      </w:r>
      <w:r>
        <w:rPr>
          <w:rFonts w:eastAsia="IRNazanin" w:cs="IRNazanin"/>
          <w:color w:val="111111"/>
          <w:sz w:val="28"/>
          <w:szCs w:val="28"/>
          <w:rtl w:val="true"/>
          <w:lang w:bidi="fa-IR"/>
        </w:rPr>
        <w:t>.</w:t>
      </w:r>
    </w:p>
    <w:p>
      <w:pPr>
        <w:pStyle w:val="Heading3"/>
        <w:numPr>
          <w:ilvl w:val="2"/>
          <w:numId w:val="1"/>
        </w:numPr>
        <w:rPr/>
      </w:pPr>
      <w:bookmarkStart w:id="60" w:name="__RefHeading___Toc3793755_581953129"/>
      <w:bookmarkStart w:id="61" w:name="_Toc22"/>
      <w:bookmarkEnd w:id="60"/>
      <w:r>
        <w:rPr>
          <w:rtl w:val="true"/>
        </w:rPr>
        <w:t>خلاصه و نتیجۀ اقوال بیان شده</w:t>
      </w:r>
      <w:bookmarkEnd w:id="6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جواز اقامۀ حدود در زمان غیبت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سلاّر، ابوالصلاح حلبی، ابن زهره، ابن سعید، شیخ طوسی به صورت صریح در</w:t>
      </w:r>
      <w:bookmarkStart w:id="62" w:name="pg5701_52747"/>
    </w:p>
    <w:p>
      <w:pPr>
        <w:pStyle w:val="BookText"/>
        <w:rPr/>
      </w:pPr>
      <w:bookmarkEnd w:id="62"/>
      <w:r>
        <w:rPr>
          <w:rFonts w:ascii="IRNazanin" w:hAnsi="IRNazanin" w:eastAsia="IRNazanin"/>
          <w:color w:val="111111"/>
          <w:sz w:val="28"/>
          <w:sz w:val="28"/>
          <w:szCs w:val="28"/>
          <w:rtl w:val="true"/>
          <w:lang w:bidi="fa-IR"/>
        </w:rPr>
        <w:t>کتاب مبسوط و خلاف و در کتاب نهایه با توجیه عبارت و نیز ابن ادریس با توجّه به مجموع کلمات وی، به ویژه عبارات آخر سرائر، ظاهر علّامه در تذکره و تصریح ایشان در تحریر و قواعد و ارشاد و تبصره و مختلف، شهید اول در دروس، محقّق ثانی در حاشیه بر شرائع، شهید ثانی در مسالک، فاضل مقداد در التنقیح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 به عدم جواز، مرحوم آیت‌اللّه سید احمد خوانساری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توقّف نموده‌اند،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صیمری در غایة المرام، ابن فهد در المهذّب البارع، محقّق در شرائع و المختصر النافع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 شدن اقوال در این بحث، ابتدا لازم است این مطلب مورد توجّه قرارگیرد که آیا جواز اقامه حدود در زمان غیبت محتاج به دلیل است یا اختصاص آن به حضور معصوم، نیازمند دلیل است؟</w:t>
      </w:r>
    </w:p>
    <w:p>
      <w:pPr>
        <w:pStyle w:val="BookText"/>
        <w:rPr/>
      </w:pPr>
      <w:r>
        <w:rPr>
          <w:rFonts w:ascii="IRNazanin" w:hAnsi="IRNazanin" w:eastAsia="IRNazanin"/>
          <w:color w:val="111111"/>
          <w:sz w:val="28"/>
          <w:sz w:val="28"/>
          <w:szCs w:val="28"/>
          <w:rtl w:val="true"/>
          <w:lang w:bidi="fa-IR"/>
        </w:rPr>
        <w:t xml:space="preserve">ظاهر آن است که بعد از وجود اطلاقات و عموماتی که در مورد حدود وارد شده است، و بعد از پذیرش اصل نیابت فقها از ائمّه معصومین علیهم السلام آن‌چه که به دلیل نیاز دارد اختصاص این امر به معصوم علیه السلام است؛ و چنان‌چه نتوانیم دلیلی بر اختصاص پیدا کنیم همین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نبود دلیل بر اختصاص اقامه حدود به امام 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مشروعیّت این امر در زمان غیبت کفایت می‌کند</w:t>
      </w:r>
      <w:r>
        <w:rPr>
          <w:rFonts w:eastAsia="IRNazanin" w:cs="IRNazanin"/>
          <w:color w:val="111111"/>
          <w:sz w:val="28"/>
          <w:szCs w:val="28"/>
          <w:rtl w:val="true"/>
          <w:lang w:bidi="fa-IR"/>
        </w:rPr>
        <w:t>.</w:t>
      </w:r>
    </w:p>
    <w:p>
      <w:pPr>
        <w:pStyle w:val="Heading2"/>
        <w:numPr>
          <w:ilvl w:val="1"/>
          <w:numId w:val="1"/>
        </w:numPr>
        <w:rPr/>
      </w:pPr>
      <w:bookmarkStart w:id="63" w:name="__RefHeading___Toc3793757_581953129"/>
      <w:bookmarkStart w:id="64" w:name="_Toc23"/>
      <w:bookmarkEnd w:id="63"/>
      <w:r>
        <w:rPr>
          <w:rtl w:val="true"/>
        </w:rPr>
        <w:t>بررسی ادلّۀ طرفداران دیدگاه عدم جواز</w:t>
      </w:r>
      <w:bookmarkEnd w:id="6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اقوال لازم است مهم‌ترین ادله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ادله کسانی که معتقدند در زمان غیبت، اجرای حدود جایز</w:t>
      </w:r>
    </w:p>
    <w:p>
      <w:pPr>
        <w:pStyle w:val="BookText"/>
        <w:rPr/>
      </w:pPr>
      <w:r>
        <w:rPr>
          <w:rFonts w:ascii="IRNazanin" w:hAnsi="IRNazanin" w:eastAsia="IRNazanin"/>
          <w:color w:val="111111"/>
          <w:sz w:val="28"/>
          <w:sz w:val="28"/>
          <w:szCs w:val="28"/>
          <w:rtl w:val="true"/>
          <w:lang w:bidi="fa-IR"/>
        </w:rPr>
        <w:t>نیست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مسأله ادعای اجماع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سیّد احمد خوانساری در جامع المدارک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إقامة الحدود فی غیر زمان الحضور وزمان الغیبة فالمعروف عدم جوازها وادّعی الإجماع فی کلام جماعة علی عدم الجواز إلّاللإمام أو المنصوب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صحیح نیست؛ زیرا همان‌طور که در مباحث پیشین عبارات قدما را ذکر کردیم، از بسیاری از عبارات به خوبی جواز اجرای حدود در زمان غیبت استفاده می‌شود؛ و حتّی اگر از عبارت شیخ رحمه الله در نهایه، جواز اجرای حدود در زمان غیبت استفاده نشود و آن توجیهی را که پیش‌تر ذکر کردیم، پذیرفته نشود، ولی ایشان در کتاب مبسوط و خلاف، به جواز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کلمات ابن ادریس رحمه الله نیز اجماع اصحاب و مسلمین بر عدم جواز اقامه حدود در زمان غیبت استفاده می‌شود، ولی باید توجه داشت مرحوم ابن ادریس اگر در برخی عبارات به عدم جواز معتقد شده است، ولی در عبارات دیگر از کتاب سرائر، فتوا به جواز داده است و بر این امر هم اصرار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بررسی کلمات ابن ادریس رحمه الله به خوبی روشن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نتیجه گرفت که اجماع در طرف دیگر مسأله است؛ یعنی اجماع فقها بر جواز اقامه حدود در زمان غیبت مطرح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چنان‌چه از مصادیق امر به معروف و نهی از</w:t>
      </w:r>
    </w:p>
    <w:p>
      <w:pPr>
        <w:pStyle w:val="BookText"/>
        <w:rPr/>
      </w:pPr>
      <w:r>
        <w:rPr>
          <w:rFonts w:ascii="IRNazanin" w:hAnsi="IRNazanin" w:eastAsia="IRNazanin"/>
          <w:color w:val="111111"/>
          <w:sz w:val="28"/>
          <w:sz w:val="28"/>
          <w:szCs w:val="28"/>
          <w:rtl w:val="true"/>
          <w:lang w:bidi="fa-IR"/>
        </w:rPr>
        <w:t>منکر باشد می‌توان جواز آن را در زمان غیبت پذیرفت؛ در حالی که از مصادیق این عنوان نیست، بلکه خودْ یک عنوان مستقل است، همان‌طور که عنوان اقامه نماز جمعه و عنوان قضا و حکم بین مردم یک عنوان مستقل است و ارتباط به امر به معروف و نهی از منکر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اقامه حدود از مصادیق این عنوان باشد، اطلاقات ادله لزوم امر به معروف و نهی از منکر در همه زمان‌ها شامل آن هم می‌شود؛ ولی اگر از مصادیق این عنوان نباشد، دلیلی بر مشروعیّت آن نداریم و روشن است که این عمل محتاج دلیل شرعی است و کسی نمی‌تواند احتمال دهد که این عمل محتاج به دلیل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نیز مخدوش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ادله جواز اقامه حدود در زمان غیبت روشن خواهیم کرد که این امر، ادله واضح و متعددی دارد؛ و از آن ادله می‌توانیم جواز را به خوبی استفاده کنیم؛ اعمّ از این‌که این عمل از مصادیق امر به معروف و نهی از منکر باشد یا نباشد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این ادله صرف نظر کنیم و معتقد باشیم از مصادیق امر به معروف و نهی از منکر است، مجرد این امر برای جواز کافی نیست؛ و چه بسا، اطلاقات ادله امر به معروف با ادله‌ای از قبیل اجماع و یا غیر آن تقیید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ممکن است کسی این عمل را از مصادیق امر به معروف و نهی از منکر بداند، ولی در عین حال معتقد به جواز نباشد و این مصداق را جایز نشمارد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متعددی وجود دارد،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اقامه حدود لازم است استحقاق حدّ شرعی نزد قاضی جامع الشرائط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مجتهد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شود؛ و این امر، بسیار مشکل و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نهی از منکر که در تشخیص منکر همین مقدار که ناهی بداند عمل انجام‌شده در شریعت حرام است، کفایت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نهی از منکر ممکن است مسأله احتمال تأثیر در فاعل منکر شرط باشد، ولی در برخی از حدود، اجرای آن‌ها مستلزم از بین بردن کسی است که حدّ بر او جاری می‌شود؛ و دیگر، موضوعی برای احتمال تأثیر در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آثاری که در روایات برای اقامه حدود مطرح شده است با آثاری که برای نهی از منکر ذکر شده است،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آثار، کاشف اختلاف این دو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کلمات فقها آمده است که حدود همراه با ایذاء و ایلام و قتل است؛ و این امور برای غیر نبی و امام معصوم علیه السلام و یا کسی که منصوب به نصب خاص است،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کلمات مرحوم آیت‌اللّه سیّد احمد خوانساری قدس سره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خود، اول نزاع و اختلاف است و می‌گوییم چرا این امور برای غیر نبی و امام معصوم علیه السلام جایز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این امور و به‌طور کلی اقامه حدود با نصب خاص هم امکان‌پذیر است، باید بپذیریم که با نصب عام نیز امکان‌پذیر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چنان‌چه معتقد شویم اصل مشروعیت اقامه حدود نیاز به حضور معصوم علیه السلام دارد و این امر را با دلیلی ثابت نمائیم، در این صورت بحثی وجود ندارد؛ ولی اگر مجرد ایذاء و ایلام را مانع از جواز اقامه حدود بدانیم،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زمان معصوم علیه السلام معتقد به امکان نصب خاص در این مورد باشیم، لازمۀ آن جواز و امکان اصل مشروعیت آن در زمان غیبت هم هست؛ و این عناوین نمی‌تواند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خطاب در آیات حدود، پیامبر صلی الله علیه و آله و ائمّه معصومین علیهم السلام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قطب راوندی رحمه الله در فقه القرآن، ذیل 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اَلزّانِیَةُ وَ الزّانِی فَاجْلِدُوا کُلَّ واحِدٍ مِنْهُما مِائَةَ جَلْدَةٍ </w:t>
      </w:r>
      <w:r>
        <w:rPr>
          <w:rStyle w:val="FootnoteAnchor"/>
          <w:rtl w:val="true"/>
        </w:rPr>
        <w:footnoteReference w:id="51"/>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والخطاب وإن کان متوجّهاً إلی الجماعة فالمراد به الأئمّة بلا خلاف لأنّ إقامة الحدود لیس لأحد إلّاالإمام أو من نصبه الإمام</w:t>
      </w:r>
      <w:r>
        <w:rPr>
          <w:rFonts w:eastAsia="IRNazanin" w:cs="IRNazanin"/>
          <w:color w:val="111111"/>
          <w:sz w:val="28"/>
          <w:szCs w:val="28"/>
          <w:rtl w:val="true"/>
          <w:lang w:bidi="fa-IR"/>
        </w:rPr>
        <w:t>».</w:t>
      </w:r>
      <w:r>
        <w:rPr>
          <w:rStyle w:val="FootnoteAnchor"/>
          <w:rtl w:val="true"/>
        </w:rPr>
        <w:footnoteReference w:id="52"/>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نیز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خطاب للائمّة علیهم السلام أو من کان منصوباً للأمر من جهتهم لأنّه لیس لأحد أن یقیم الحدود إلاّ الأئمّة علیهم السلام وولاتهم بلا خلاف</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فاضل مقداد رحمه الله نیز در کنز العرفان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والخطاب هناک فی قولهفَاجْلِدُوا للأئمّة علیهم السلام والحکّام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مرحوم فاضل استرآبادی نیز در آیات الأحکام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والخطاب لحکّام الشرع من النبیّ والأئمّة علیهم السلام وولاتهم فیجب علیهم إقامة الحدود علی کلّ امرأة زنت ورجل زنی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آیات شریفه در مقام بیان اصل اجرای حدود و مقدار آن است؛ ولی در صدد بیان مجری اقامه حدود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خطاب در آیه به صورت عمومی است و هیچ قرینه‌ای بر این‌که خصوص پیامبر صلی الله علیه و آله و یا اوصیای پیامبر علیهم السلام مراد باشند وجود ندارد؛ ابن ادریس در سرائر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الحکّام جمیعهم هم المعنیّون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السّارِقُ وَ السّارِقَةُ فَاقْطَعُوا أَیْدِیَهُما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گویا قطب راوندی، طبرسی رحمهما الله و کسانی که خطاب در آیه را مختص به افراد خاصی دانسته‌اند، ابتدا عدم جواز اقامه حدود برای غیر این گروه را مفروض و مسلّم دانسته‌اند و سپس خطاب را این چنین تفسیر نموده‌اند؛ در حالی که در تفسیر آیه شریفه و یا تحلیل خطاب نمی‌توان این‌گونه عمل کرد؛ و بر فرض که این مطلب مسلّم باشد، باید اطلاق و عموم خطاب را تقیید و تخصیص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ادله و قرینه مناسبت حکم و موضوع استفاده می‌شود که خطاب متوجه کسانی است که صلاحیت حکم و قضا را دارند و چنین گروهی می‌تواند حدود را نیز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آیه مختص به گروه خاص است، ولی دلیلی نداریم که این گروه خاص، خصوص پیامبر صلی الله علیه و آله و ائمه معصومین علیهم 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دیگر سو، نمی‌توان مخاطب آیه را جمیع حکّام، ولو کسانی که صلاحیت برای حکم ندارند،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آن‌چه که ابن ادریس رحمه الله معتقد شده است صحیح به 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اگر واقعاً مقصود خداوند متعال گروه خاصی باشد، لازم بود آن را به صورتی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بیان و ذکر اختصاص به گروه و زمان خاص، خودْ دلیل روشنی است که در میان مسلمین در همه زمان‌ها تا روز قیامت باید این حدود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عموم خطاب در این آیات می‌تواند جزو ادله قائلین به جواز اجرای حدود در زمان غیبت به شمار آید؛ و می‌توان استفاده نمود که بر همه مسلمین معاضدت و همراهی در اجرای حدود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هم هنگام بیان اقوال گفتیم همان‌طور که بر متصدی اجرای حدود این امر لازم است، بر سایر مردم نیز همراهی و کمک وی لازم 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مبنای امام خمینی قدس سره در مباحث اصول، باید این گونه خطابات را به عنوان خطابات عامه و قانونی تفسیر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دیگر مخاطب معین و مشخصی مورد نظر نخواهد بود و شارع مقدس در این</w:t>
      </w:r>
      <w:bookmarkStart w:id="65" w:name="pg5701_52754"/>
    </w:p>
    <w:p>
      <w:pPr>
        <w:pStyle w:val="BookText"/>
        <w:rPr/>
      </w:pPr>
      <w:bookmarkEnd w:id="65"/>
      <w:r>
        <w:rPr>
          <w:rFonts w:ascii="IRNazanin" w:hAnsi="IRNazanin" w:eastAsia="IRNazanin"/>
          <w:color w:val="111111"/>
          <w:sz w:val="28"/>
          <w:sz w:val="28"/>
          <w:szCs w:val="28"/>
          <w:rtl w:val="true"/>
          <w:lang w:bidi="fa-IR"/>
        </w:rPr>
        <w:t>گونه خطابات در مقام جعل قانون و تعیین وظیفه برای مخاطب یا گروه خاصی نیست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نتیجه آن‌که تمامی ادله کسانی که معتقد به عدم جواز هستند، مخدوش و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پیشین هم بیان کردیم، همین مقدار که دلیلی بر اختصاص حکم به معصوم علیه السلام یافت نشود، برای جواز مشروعیت اجرای حدود در زمان غیبت کفایت می‌کند؛ لیکن به جهت این‌که مناسب است فقیه به اطمینان بیشتری برسد، ادله قائلین به جواز را نیز مورد بررسی و مداقّه قرار می‌دهیم</w:t>
      </w:r>
      <w:r>
        <w:rPr>
          <w:rFonts w:eastAsia="IRNazanin" w:cs="IRNazanin"/>
          <w:color w:val="111111"/>
          <w:sz w:val="28"/>
          <w:szCs w:val="28"/>
          <w:rtl w:val="true"/>
          <w:lang w:bidi="fa-IR"/>
        </w:rPr>
        <w:t>.</w:t>
      </w:r>
    </w:p>
    <w:p>
      <w:pPr>
        <w:pStyle w:val="Heading2"/>
        <w:numPr>
          <w:ilvl w:val="1"/>
          <w:numId w:val="1"/>
        </w:numPr>
        <w:rPr/>
      </w:pPr>
      <w:bookmarkStart w:id="66" w:name="__RefHeading___Toc3793759_581953129"/>
      <w:bookmarkStart w:id="67" w:name="_Toc24"/>
      <w:bookmarkEnd w:id="66"/>
      <w:r>
        <w:rPr>
          <w:rtl w:val="true"/>
        </w:rPr>
        <w:t>بررسی ادلّه طرفداران دیدگاه جواز</w:t>
      </w:r>
      <w:bookmarkEnd w:id="67"/>
    </w:p>
    <w:p>
      <w:pPr>
        <w:pStyle w:val="Heading3"/>
        <w:numPr>
          <w:ilvl w:val="2"/>
          <w:numId w:val="1"/>
        </w:numPr>
        <w:rPr/>
      </w:pPr>
      <w:bookmarkStart w:id="68" w:name="__RefHeading___Toc3793761_581953129"/>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کسانی که معتقد به جواز اجرای حدود در زمان غیبت هستند، به ادله گوناگونی تمسک کرده‌اند و علاوه بر آن‌ها، مویداتی را نیز برای مدعای خویش ذکر کرده‌اند که لازم است همه آن‌ها ذکر و بررسی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جواز اجرای حدود در زمان غیبت تردید و وسوسه می‌کنند طعم فقه را نچشیده‌اند و از رموز فقه آگاه نیستند؛ و این مسأله از واضحاتی است که احتیاج به ادله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برای این نظریه به ده دلیل استناد شده است، که در ادامه به بررسی آن‌ها می‌پردازیم</w:t>
      </w:r>
      <w:r>
        <w:rPr>
          <w:rFonts w:eastAsia="IRNazanin" w:cs="IRNazanin"/>
          <w:color w:val="111111"/>
          <w:sz w:val="28"/>
          <w:szCs w:val="28"/>
          <w:rtl w:val="true"/>
          <w:lang w:bidi="fa-IR"/>
        </w:rPr>
        <w:t>.</w:t>
      </w:r>
      <w:bookmarkStart w:id="70" w:name="pg5701_52755"/>
    </w:p>
    <w:p>
      <w:pPr>
        <w:pStyle w:val="Heading3"/>
        <w:numPr>
          <w:ilvl w:val="2"/>
          <w:numId w:val="1"/>
        </w:numPr>
        <w:rPr/>
      </w:pPr>
      <w:bookmarkStart w:id="71" w:name="__RefHeading___Toc3793763_581953129"/>
      <w:bookmarkStart w:id="72" w:name="_Toc26"/>
      <w:bookmarkEnd w:id="70"/>
      <w:bookmarkEnd w:id="71"/>
      <w:r>
        <w:rPr>
          <w:rtl w:val="true"/>
        </w:rPr>
        <w:t>دلیل اول</w:t>
      </w:r>
      <w:r>
        <w:rPr>
          <w:rtl w:val="true"/>
        </w:rPr>
        <w:t xml:space="preserve">: </w:t>
      </w:r>
      <w:r>
        <w:rPr>
          <w:rtl w:val="true"/>
        </w:rPr>
        <w:t>اجماع</w:t>
      </w:r>
      <w:bookmarkEnd w:id="72"/>
    </w:p>
    <w:p>
      <w:pPr>
        <w:pStyle w:val="BookText"/>
        <w:rPr/>
      </w:pPr>
      <w:r>
        <w:rPr>
          <w:rFonts w:ascii="IRNazanin" w:hAnsi="IRNazanin" w:eastAsia="IRNazanin"/>
          <w:color w:val="111111"/>
          <w:sz w:val="28"/>
          <w:sz w:val="28"/>
          <w:szCs w:val="28"/>
          <w:rtl w:val="true"/>
          <w:lang w:bidi="fa-IR"/>
        </w:rPr>
        <w:t>شهرت و بلکه اجماع فقها بر جواز اجرای حدود در زمان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مطالب پیشین کلمات فقها را مورد بررسی قرار دادیم و روشن نمودیم بسیاری از فقها تصریح به جواز داشته‌اند؛ و اگرچه از برخی عبارات شیخ طوسی و ابن ادریس رحمهما الله مخالفتی استفاده می‌شود، ولی از برخی دیگر از کتب مرحوم شیخ و عبارت‌های دیگری از ابن ادریس رحمه الله قول به جواز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اجماع قدما بر این نظر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رحمه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لا أجد فیه خلافاً إلّاما یحکی عن ظاهر ابنی زهرة وادریس ولم نتحقّقه بل لعلّ المتحقّق خلافه، إذ قد سمعت سابقاً معقد إجماع الثّانی منهما الّذی یمکن إندراج الفقیه فی الحکّام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ما فی التنقیح من الحکایة عن سلّار أنّه جوّز الإقامة ما لم یکن قتلاً أو جرحاً کذلک أیضاً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اجرای حدود در زمان غیبت، مخالفی را در بین فقها نیافتم، مگر آن‌چه از ظاهر عبارت ابن‌زهره و ابن ادریس حکایت شده است؛ و تحقیق آن است که از عبارت این دو نیز مخالفت استفاده نمی‌شود؛ زیرا، در معقد اجماع ابن ادریس که ادّعا نمود مخاطب در آیات جمیع حکّام است، فقها نیز داخل هستند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را که می‌توان اضافه کرد، این است که تمامی معتقدین به جواز قضاوت و حکم در زمان غیبت، باید ملتزم به جواز اجرای حدود باشند؛ و ما از آن به اجماع ضمنی یا تقدیری تعبیر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w:t>
      </w:r>
      <w:bookmarkStart w:id="73" w:name="pg5701_52756"/>
    </w:p>
    <w:p>
      <w:pPr>
        <w:pStyle w:val="BookText"/>
        <w:rPr/>
      </w:pPr>
      <w:bookmarkEnd w:id="73"/>
      <w:r>
        <w:rPr>
          <w:rFonts w:ascii="IRNazanin" w:hAnsi="IRNazanin" w:eastAsia="IRNazanin"/>
          <w:color w:val="111111"/>
          <w:sz w:val="28"/>
          <w:sz w:val="28"/>
          <w:szCs w:val="28"/>
          <w:rtl w:val="true"/>
          <w:lang w:bidi="fa-IR"/>
        </w:rPr>
        <w:t>واقع و در تقدیر و در ضمن اجماع بر جواز قضاوت و حکم، چنین اجماعی نیز وجود دارد</w:t>
      </w:r>
      <w:r>
        <w:rPr>
          <w:rFonts w:eastAsia="IRNazanin" w:cs="IRNazanin"/>
          <w:color w:val="111111"/>
          <w:sz w:val="28"/>
          <w:szCs w:val="28"/>
          <w:rtl w:val="true"/>
          <w:lang w:bidi="fa-IR"/>
        </w:rPr>
        <w:t>.</w:t>
      </w:r>
    </w:p>
    <w:p>
      <w:pPr>
        <w:pStyle w:val="Heading3"/>
        <w:numPr>
          <w:ilvl w:val="2"/>
          <w:numId w:val="1"/>
        </w:numPr>
        <w:rPr/>
      </w:pPr>
      <w:bookmarkStart w:id="74" w:name="__RefHeading___Toc3793765_581953129"/>
      <w:bookmarkStart w:id="75" w:name="_Toc27"/>
      <w:bookmarkEnd w:id="74"/>
      <w:r>
        <w:rPr>
          <w:rtl w:val="true"/>
        </w:rPr>
        <w:t>دلیل دوم</w:t>
      </w:r>
      <w:r>
        <w:rPr>
          <w:rtl w:val="true"/>
        </w:rPr>
        <w:t xml:space="preserve">: </w:t>
      </w:r>
      <w:r>
        <w:rPr>
          <w:rtl w:val="true"/>
        </w:rPr>
        <w:t>مقبولۀ عمر بن حنظله</w:t>
      </w:r>
      <w:bookmarkEnd w:id="75"/>
    </w:p>
    <w:p>
      <w:pPr>
        <w:pStyle w:val="Heading4"/>
        <w:numPr>
          <w:ilvl w:val="3"/>
          <w:numId w:val="1"/>
        </w:numPr>
        <w:rPr/>
      </w:pPr>
      <w:bookmarkStart w:id="76" w:name="__RefHeading___Toc3793767_581953129"/>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مقبوله عمر بن حنظله دلیل دوّم بر این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رحمه الله به این دلیل برای جواز اقامه حدود در زمان غیبت استدلال نموده، و اقامه حدّ را از مصادیق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این روایت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مجرد حکم بدون انفاذ نیست؛ بلکه انفاذ نیز اراده شده که در آن اقامه و اجرا موجود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روایت را مشایخ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صدوق، شیخ طوسی 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خودشان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کتاب العقل و الجهل باب اختلاف الحدیث</w:t>
      </w:r>
      <w:r>
        <w:rPr>
          <w:rStyle w:val="FootnoteAnchor"/>
          <w:rtl w:val="true"/>
        </w:rPr>
        <w:footnoteReference w:id="59"/>
      </w:r>
      <w:r>
        <w:rPr>
          <w:rFonts w:ascii="IRNazanin" w:hAnsi="IRNazanin" w:eastAsia="IRNazanin"/>
          <w:color w:val="111111"/>
          <w:sz w:val="28"/>
          <w:sz w:val="28"/>
          <w:szCs w:val="28"/>
          <w:rtl w:val="true"/>
          <w:lang w:bidi="fa-IR"/>
        </w:rPr>
        <w:t>و در باب کراهت رجوع و مرافعه به قضات جور در کتاب القضاء در فروع کافی</w:t>
      </w:r>
      <w:r>
        <w:rPr>
          <w:rStyle w:val="FootnoteAnchor"/>
          <w:rtl w:val="true"/>
        </w:rPr>
        <w:footnoteReference w:id="60"/>
      </w:r>
      <w:r>
        <w:rPr>
          <w:rFonts w:ascii="IRNazanin" w:hAnsi="IRNazanin" w:eastAsia="IRNazanin"/>
          <w:color w:val="111111"/>
          <w:sz w:val="28"/>
          <w:sz w:val="28"/>
          <w:szCs w:val="28"/>
          <w:rtl w:val="true"/>
          <w:lang w:bidi="fa-IR"/>
        </w:rPr>
        <w:t>نقل نموده است؛ و نیز شیخ صدوق رحمه الله در باب اتّفاق بر عدلین در حکم، در ابواب قضایا و احکام من لایحضره الفقیه،</w:t>
      </w:r>
      <w:r>
        <w:rPr>
          <w:rStyle w:val="FootnoteAnchor"/>
          <w:rtl w:val="true"/>
        </w:rPr>
        <w:footnoteReference w:id="61"/>
      </w:r>
      <w:r>
        <w:rPr>
          <w:rFonts w:ascii="IRNazanin" w:hAnsi="IRNazanin" w:eastAsia="IRNazanin"/>
          <w:color w:val="111111"/>
          <w:sz w:val="28"/>
          <w:sz w:val="28"/>
          <w:szCs w:val="28"/>
          <w:rtl w:val="true"/>
          <w:lang w:bidi="fa-IR"/>
        </w:rPr>
        <w:t>و شیخ طوسی رحمه الله در کتاب القضایا و الأحکام</w:t>
      </w:r>
      <w:r>
        <w:rPr>
          <w:rStyle w:val="FootnoteAnchor"/>
          <w:rtl w:val="true"/>
        </w:rPr>
        <w:footnoteReference w:id="62"/>
      </w:r>
      <w:r>
        <w:rPr>
          <w:rFonts w:ascii="IRNazanin" w:hAnsi="IRNazanin" w:eastAsia="IRNazanin"/>
          <w:color w:val="111111"/>
          <w:sz w:val="28"/>
          <w:sz w:val="28"/>
          <w:szCs w:val="28"/>
          <w:rtl w:val="true"/>
          <w:lang w:bidi="fa-IR"/>
        </w:rPr>
        <w:t>این روایت را ذکر نموده‌اند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بر حسب آن‌چه که در کتاب کافی آمده،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یَعقُوب عَن مُحَمَّدِ بْنِ یَحْیَی عَنْ مُحَمَّدِ بْنِ الْحُسَیْنِ عَنْ مُحَمَّدِ بْنِ عِیسَی عَنْ صَفْوَانَ بْنِ یَحْیَی عَنْ دَاوُدَ بْنِ الْحُصَیْنِ عَنْ عُمَرَ بْنِ حَنْظَلَةَ قَالَ</w:t>
      </w:r>
      <w:bookmarkStart w:id="78" w:name="pg5701_52757"/>
    </w:p>
    <w:p>
      <w:pPr>
        <w:pStyle w:val="BookText"/>
        <w:rPr/>
      </w:pPr>
      <w:bookmarkEnd w:id="78"/>
      <w:r>
        <w:rPr>
          <w:rFonts w:ascii="Amiri" w:hAnsi="Amiri" w:eastAsia="Amiri" w:cs="Amiri"/>
          <w:color w:val="111111"/>
          <w:sz w:val="28"/>
          <w:sz w:val="28"/>
          <w:szCs w:val="28"/>
          <w:rtl w:val="true"/>
          <w:lang w:bidi="ar-SA"/>
        </w:rPr>
        <w:t>سَأَلْتُ أَبَا عَبْدِ اللّهِ علیه السلام 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لِأَنَّهُ أَخَذَهُ بِحُکْمِ الطَّاغُوتِ وَ قَدْ أَمَرَ اللَّهُ أَنْ یُکْفَرَ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یُرِیدُونَ أَنْ یَتَحاکَمُوا إِلَی الطّاغُوتِ وَ قَدْ أُمِرُوا أَنْ یَکْفُرُوا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فَکَیْفَ یَصْنَعَانِ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کُلُّ رَجُلٍ اخْتَارَ رَجُلاً مِنْ أَصْحَابِنَا فَرَضِیَا أَنْ یَکُونَا النَّاظِرَیْنِ فِی حَقِّهِمَا وَ اخْتَلَفَا فِیمَا حَکَمَا وَ کِلَاهُمَا اخْتَلَفَا فِی حَدِیثِکُمْ؟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 مَا حَکَمَ بِهِ أَعْدَلُهُمَا وَ أَفْقَهُهُمَا وَ أَصْدَقُهُمَا فِی الْحَدِیثِ وَ أَوْرَعُهُمَا وَ لا یُلْتَفَتُ إِلَی مَا یَحْکُمُ بِهِ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فَإِنَّهُمَا عَدْلَانِ مَرْضِیَّانِ عِنْدَ أَصْحَابِنَا لَا یُفَضَّلُ وَاحِدٌ مِنْهُمَا عَلَی الآْخَرِ قَالَ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3793769_581953129"/>
      <w:bookmarkStart w:id="80" w:name="_Toc29"/>
      <w:bookmarkEnd w:id="79"/>
      <w:r>
        <w:rPr>
          <w:rtl w:val="true"/>
        </w:rPr>
        <w:t>بررسی سند حدیث</w:t>
      </w:r>
      <w:bookmarkEnd w:id="80"/>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این روایت را صحیحه، عدّه‌ای موثّقه، تعدادی حسنه، برخی حسن کالموثّق و بعضی نیز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سند آن را به صورت</w:t>
      </w:r>
    </w:p>
    <w:p>
      <w:pPr>
        <w:pStyle w:val="BookText"/>
        <w:rPr/>
      </w:pPr>
      <w:r>
        <w:rPr>
          <w:rFonts w:ascii="IRNazanin" w:hAnsi="IRNazanin" w:eastAsia="IRNazanin"/>
          <w:color w:val="111111"/>
          <w:sz w:val="28"/>
          <w:sz w:val="28"/>
          <w:szCs w:val="28"/>
          <w:rtl w:val="true"/>
          <w:lang w:bidi="fa-IR"/>
        </w:rPr>
        <w:t>کوتاه بررسی کنیم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العطار و محمّد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توثیق هستند و در وثاقت این دو بحثی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مورد وثوق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مهران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جلالت و وثاقت مهم‌تر است؛ چرا که از اصحاب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چنان‌چه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عبارت نجاشی و علّامه رحمهما الله استفاده می‌شود که موثق است و بزرگانی مانند مرحوم شهید ثانی در مسالک به توثیق وی تصریح کرده‌اند؛</w:t>
      </w:r>
      <w:r>
        <w:rPr>
          <w:rStyle w:val="FootnoteAnchor"/>
          <w:rtl w:val="true"/>
        </w:rPr>
        <w:footnoteReference w:id="63"/>
      </w:r>
      <w:r>
        <w:rPr>
          <w:rFonts w:ascii="IRNazanin" w:hAnsi="IRNazanin" w:eastAsia="IRNazanin"/>
          <w:color w:val="111111"/>
          <w:sz w:val="28"/>
          <w:sz w:val="28"/>
          <w:szCs w:val="28"/>
          <w:rtl w:val="true"/>
          <w:lang w:bidi="fa-IR"/>
        </w:rPr>
        <w:t xml:space="preserve">ولی 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برخی مانند شیخ صدوق، استاد وی ابن ولید، شیخ طوسی و محقّق حلّی رحمهم الله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الفهرست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عیسی بن عبید الیقطینی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و در مقابل، بزرگانی از رجالیان مانند کشّی رحمه الله در رجال و نجاشی رحمه الله و مرحوم علّامه در خلاصه و نیز در کتاب‌های فقهی خود و مرحوم میرداماد در رواشح و مجلسی رحمه الله در وجیزه او را توثیق کرده‌اند؛ چون منشأ تضعیف کنندگان، کلامی است که از ابن ولید رسیده است، ولی این کلام بر ضعف وی دلالت ندارد؛</w:t>
      </w:r>
      <w:r>
        <w:rPr>
          <w:rStyle w:val="FootnoteAnchor"/>
          <w:rtl w:val="true"/>
        </w:rPr>
        <w:footnoteReference w:id="65"/>
      </w:r>
      <w:r>
        <w:rPr>
          <w:rFonts w:ascii="IRNazanin" w:hAnsi="IRNazanin" w:eastAsia="IRNazanin"/>
          <w:color w:val="111111"/>
          <w:sz w:val="28"/>
          <w:sz w:val="28"/>
          <w:szCs w:val="28"/>
          <w:rtl w:val="true"/>
          <w:lang w:bidi="fa-IR"/>
        </w:rPr>
        <w:t>بلکه دلالت دارد بر این‌که آن‌چه محمّد بن عیسی بن</w:t>
      </w:r>
    </w:p>
    <w:p>
      <w:pPr>
        <w:pStyle w:val="BookText"/>
        <w:rPr/>
      </w:pPr>
      <w:r>
        <w:rPr>
          <w:rFonts w:ascii="IRNazanin" w:hAnsi="IRNazanin" w:eastAsia="IRNazanin"/>
          <w:color w:val="111111"/>
          <w:sz w:val="28"/>
          <w:sz w:val="28"/>
          <w:szCs w:val="28"/>
          <w:rtl w:val="true"/>
          <w:lang w:bidi="fa-IR"/>
        </w:rPr>
        <w:t>عبید از کتب یونس نقل می‌کند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آن است که ابن ولید در اجازه روایت، لازم می‌دانست که شیخ اجازه تمام کتاب را بر شاگرد خود قرائت کند و او نیز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یونس، محمد بن عیسی سن کمی داشته است؛ لذا، اجازه یونس نسبت به او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توثیق کنندگان به مراتب بیش‌تر و آشناتر به رجال هستند، و کلام تضعیف‌کنندگان در مقابل آن، به ویژه با توضیحی که داده شد، اعتباری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اشعری باشد و خواه عبید بن یقطینی، هر دو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گفت نجاشی رحمه الله او را توثیق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حصین الأسدی مولاهم کوفی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امّا شیخ طوسی رحمه الله در رجال ضمن بیان اصحاب امام صادق علیه السلام نه مدحی برای او دارد و نه قدحی؛ لیکن به هنگام ذکر اصحاب امام کاظم علیه السلام تصریح می‌کند که او واقفی است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الحصین واقفی</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همین‌طور مرحوم علّامه در خلاصه نسبت به او توقف نموده و می‌نویسد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عندی التوقّف فی روایته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منشأ کلام مرحوم علّامه، کلام شیخ رحمه الله است؛ ولی چون در تقابل کلام شیخ و نجاشی، کلام نجاشی مقدم است، لذا باید کلام او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واقفی بودن منافاتی با ثقه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ظاهر، وثاقت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به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شیخ طوسی رحمه الله در رجال در یک مورد او را از اصحاب امام باقر علیه السلام و در مورد دیگر از صاحب امام صادق علیه السلام شمرده است؛ و آن را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حرف واو آورده و نسبت به او مدح یا ذمّی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علّامه رحمهما الله هم از او نامی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در اصول رجالیه توثیقی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شهید ثانی رحمه الله در الرعایة او را توثیق کرده است؛ و از برخی روایات نیز می‌توان وثاقت او را استفاده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باب وقت نماز ظهر و عصر در کتاب کافی، از امام صادق علیه السلام نسبت به عمر بن حنظله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لا یکذب علینا</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این تعبیر به وضوح دلالت بر وثاقت 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سند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توثیق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فرزند شهید ثانی رحمهما الله در کتاب منتقی الجمان از والد خودش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ووجدت بخطّه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بعض مفردات فوائده ما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غیر مذکور بجرح ولا تعدیل ولکن الأقوی أنّه ثقة لقول الصادق علیه السلام فی حدیث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لا یکذب علینا والحال أنّ الحدیث الّذی أشار إلیه ضعیف الطریق فتعلّقه به فی هذا الحکم مع ما علم من انفراده به غریب</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آری، اگر روایت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اجماع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یزید بن خلیفه را برای توثیق او کافی بدانیم، می‌توانیم او را نیز توثیق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که در تهذیب نقل شده است، حضرت به وی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رسولی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و از این روایت، وثاقت عمر بن حنظله به خوبی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در کتاب کافی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عمر بن حنظله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عمر لا تحملوا علی شیعتنا وارفقوا بهم فإنّ الناس لایحتملون ما تحملون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این روایت مرتبۀ اعتقادی عمر بن حنظله نزد امام صادق علیه السلام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امور، همین که راویان بزرگی چون زراره، ابن ابی عمیر و نظیر او از وی روایت می‌کنند، در وثاقت او کفایت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البیع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الشواهد الکثیرة المذکورة فی محلّها لو لم تدلّ علی وثاقته فلا أقلّ من دلالتها علی حسنه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صاحب مشارع الأحکام فی تحقیق مسائل الحلال والحرام نیز از این روایت به حسنه تعبیر کرده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این روایت از جهت سند معتبر است و عنوان موثّقه و یا حسنه را دارد؛ و برخی مانند صاحب الفوائد المدنیة والشواهد المکیة</w:t>
      </w:r>
      <w:r>
        <w:rPr>
          <w:rStyle w:val="FootnoteAnchor"/>
          <w:rtl w:val="true"/>
        </w:rPr>
        <w:footnoteReference w:id="73"/>
      </w:r>
      <w:r>
        <w:rPr>
          <w:rFonts w:ascii="IRNazanin" w:hAnsi="IRNazanin" w:eastAsia="IRNazanin"/>
          <w:color w:val="111111"/>
          <w:sz w:val="28"/>
          <w:sz w:val="28"/>
          <w:szCs w:val="28"/>
          <w:rtl w:val="true"/>
          <w:lang w:bidi="fa-IR"/>
        </w:rPr>
        <w:t>از آن به صحیحه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بسیاری از بزرگان مانند شیخ انصاری و نائینی رحمهما الله در المکاسب والبیع و در منیة الطالب و محقّق اصفهانی قدس سره در بحوث فی الاصول و حاشیه مکاسب، این روایت را مقبوله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روضة المتّقین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یفهم من مقبولة</w:t>
      </w:r>
      <w:bookmarkStart w:id="81" w:name="pg5701_52762"/>
    </w:p>
    <w:p>
      <w:pPr>
        <w:pStyle w:val="BookText"/>
        <w:rPr/>
      </w:pPr>
      <w:bookmarkEnd w:id="81"/>
      <w:r>
        <w:rPr>
          <w:rFonts w:ascii="IRNazanin" w:hAnsi="IRNazanin" w:eastAsia="IRNazanin"/>
          <w:color w:val="111111"/>
          <w:sz w:val="28"/>
          <w:sz w:val="28"/>
          <w:szCs w:val="28"/>
          <w:rtl w:val="true"/>
          <w:lang w:bidi="fa-IR"/>
        </w:rPr>
        <w:t>عمر بن حنظلة الّتی علیها مدار العلماء فی الفتوی والحکم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محقّق خوانساری رحمه الله نیز در مشارق الشموس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هذه الروایة معمول علیها بین الأصحاب عملاً ظاهراً و قبول الخبر بین الأصحاب مع عدم الرادّ له یخرجه إلی کونه حجة فلا یعتدّ إذن بمخالف فیه</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مرحوم میرزای قمی نیز در مسأله وجوب اخذ جزیه در زمان غیبت به همین مقبوله تمسّک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أمّا الفقیه العادل النائب عنه بالأدلّة مثل مقبولة عمر بن حنظله</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بزرگان از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مرحوم محقّق خوئی در برخی از کتب در این‌که اصحاب این روایت را تلقّی به قبول کرده باشند، تردید دارد؛ ولی همان‌طور که ذکر شد، متقدمین و متأخرین بر طبق این روایت عمل کرده‌اند و حتّی در کتاب فقه الرضا از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همه این جهات، مضمون روایت، موجب وثوق به صدور آن می‌شود</w:t>
      </w:r>
      <w:r>
        <w:rPr>
          <w:rFonts w:eastAsia="IRNazanin" w:cs="IRNazanin"/>
          <w:color w:val="111111"/>
          <w:sz w:val="28"/>
          <w:szCs w:val="28"/>
          <w:rtl w:val="true"/>
          <w:lang w:bidi="fa-IR"/>
        </w:rPr>
        <w:t>.</w:t>
      </w:r>
    </w:p>
    <w:p>
      <w:pPr>
        <w:pStyle w:val="Heading4"/>
        <w:numPr>
          <w:ilvl w:val="3"/>
          <w:numId w:val="1"/>
        </w:numPr>
        <w:rPr/>
      </w:pPr>
      <w:bookmarkStart w:id="82" w:name="__RefHeading___Toc3793771_581953129"/>
      <w:bookmarkStart w:id="83" w:name="_Toc30"/>
      <w:bookmarkEnd w:id="82"/>
      <w:r>
        <w:rPr>
          <w:rtl w:val="true"/>
        </w:rPr>
        <w:t>بیان استدلال به روایت</w:t>
      </w:r>
      <w:bookmarkEnd w:id="8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شریف برخی منصب و مشروعیت قضا در هنگام ترافع و منازعه و پذیرفتن شخصی به عنوان حَکَم را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مشروعیت حکم و قضا در هنگام مرافعه به حاکم را استفاده</w:t>
      </w:r>
    </w:p>
    <w:p>
      <w:pPr>
        <w:pStyle w:val="BookText"/>
        <w:rPr/>
      </w:pPr>
      <w:r>
        <w:rPr>
          <w:rFonts w:ascii="IRNazanin" w:hAnsi="IRNazanin" w:eastAsia="IRNazanin"/>
          <w:color w:val="111111"/>
          <w:sz w:val="28"/>
          <w:sz w:val="28"/>
          <w:szCs w:val="28"/>
          <w:rtl w:val="true"/>
          <w:lang w:bidi="fa-IR"/>
        </w:rPr>
        <w:t>کرده‌اند؛ و گروه دوم، مشروعیت قضا و افتا را به نحو کلی اعم از این‌که ترافع باشد یا نباشد،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سومی هم علاوه بر جعل منصب قضا و افتا، از این روایت جعل ولایت عام برای فقها در زمان غیبت را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نخست می‌توان به مرحوم محقّق خوئی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المستند فی شرح العروة الوثقی در کتاب الصوم فرموده‌اند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 خفی أن المقبولة وإن کانت واضحة الدلالة علی نصب القاضی ابتداء ولزوم اتباعه فی قضائه حیث 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فلیرضوا به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ینظران من کان منکم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کالصریح فی أنهم ملزمون بالرضا به حکماً باعتبار أنّه علیه السلام قد جعله حاکماً علیهم بمقتضی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جعلته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بمثابة التعلیل للإلزام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أنّ النصب المزبور خاص بمورد التنازع والترافع المذکور فی صدر الحدیث، بلا فرق بین الهلال وغیره کما لو استأجر داراً، أو تمتع بامرأة إلی شهر فاختلفا فی انقضاء الشهر برؤیة الهلال وعدمه، فترافعا عند الحاکم وقضی بالهلال، فإن حکمه حینئذٍ نافذ بلاإشکال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نفوذ حکمه حتّی فی غیر مورد الترافع کما لو شککنا أنّ هذه اللیلة أوّل رمضان لیجب الصوم أو أوّل شوال لیحرم من غیر أی تنازع وتخاصم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تدلّ المقبولة علی نفوذ حکم الحاکم حینئذٍ إلّابعد ضم مقدمة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إنّ وظیفة القضاة لم تکن مقصورة علی ختم المنازعات فحسب، بل کان المتعارف والمتداول لدی قضاة العامة التدخّل فی جمیع الشؤون التی تبتلی علی طبق قضائهم فی جمیع البلدان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کانوا یتدخّلون فیه بلا ریب، وکان الناس یعملون علی طبق قضائهم فی جمیع البلدان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هذا من شؤون القضاء عند العامة، وثبت أنّ الإمام علیه السلام نصب شخصاً قاضیاً فجمیع تلک المناصب تثبت له بطبیعة الحال فلهذا القاضی ما لقضاة العامة، ومنه الحکم فی الهلال، کما هو المتعارف فی زماننا هذا تبعاً للأزمنة السابقة لما بین الأمرین من الملازمة الخارجیة حسبما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ولکنّک خبیر بأن هذه المقدّمة أیضاً غیر بینة ولا مبیّنة لعدم کونها من الواضحات الوجدانیات، فإن مجرّد تصدّی قضاة العامة لأمر الهلال خارجاً لا یکشف عن کونه من وظائف القضاء فی الشریعة المقدسة، حتّی یدلّ نصب أحد قاضیاً علی کون حکمه فی الهلال ماضیاً بالدلالة الالتزامیة، ولعلّهم ابتدعوا هذا المنصب لأنفسهم کسائر بدعهم، فلا یصحّ الاحتجاج بعملهم بوجه بعد أن کانت الملازمة المزبورة خارجیة محضة ولم یثبت کونها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مقبوله دلالت واضحی بر نصب قاضی و لزوم تبعیّت او در مورد تنازع و ترافع دارد؛ و از آن، نفوذ حکم حاکم در مرافعه استفاده می‌شود؛ مثلاً اگر کسی خانه خودش را تا یک ماه اجاره دهد و سپس بین موجر و مستأجر در تمام شدن مدت اجاره اختلاف شود، و حاکم شرع حکم به رویت هلال و انقضای ماه قبل کند، در این صورت، این حکم نافذ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غیر مورد ترافع، از روایت نفوذ حکم حاکم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بپذیریم وظیفه قضات منحصر به مورد مرافعه نیست، بلکه متعارف و متداول نزد قضات عامّه تدخّل در جمیع شوؤنی است که امور</w:t>
      </w:r>
    </w:p>
    <w:p>
      <w:pPr>
        <w:pStyle w:val="BookText"/>
        <w:rPr/>
      </w:pPr>
      <w:r>
        <w:rPr>
          <w:rFonts w:ascii="IRNazanin" w:hAnsi="IRNazanin" w:eastAsia="IRNazanin"/>
          <w:color w:val="111111"/>
          <w:sz w:val="28"/>
          <w:sz w:val="28"/>
          <w:szCs w:val="28"/>
          <w:rtl w:val="true"/>
          <w:lang w:bidi="fa-IR"/>
        </w:rPr>
        <w:t>مردم بر آن مبتنی است و از این جهت قضات عامه در امر هلال دخالت می‌نمودند و مردم هم بر طبق قضاوت آنان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باطل است؛ و اگر قضات عامه متصدی امر هلال بوده‌اند، این کشف نمی‌کند که این امر از وظایف قضا در شریعت اسلام است و شاید آن‌ها بدعتی در این امر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آخر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ملخّص الکلام فی المقام أنّ إعطاء الإمام علیه السلام منصب القضاء للعلماء أو لغیرهم لم یثبت بأیّ دلیل لفظی معتبر لیتمسّک بإطلاقه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ادامه مسأله قضاوت را به عنوان واجب کفائی و از اموری داشته‌اند که حفظ نظام متوقّف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قدر متیقّن را فقیه و مجتهد قرار داده‌اند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ایراد در این نظریه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خوئی قدس سره گرچه از مقبوله عمر بن حنظله ولایت در قضا به نحو مطلق، و ولایت عام را استفاده نمی‌کنند، لکن هر دو عنوان را از جهت امور حسبیه پذیرفته‌اند؛ ولی با قطع نظر از این مطلب، این نظریه قابل اشکال و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واضحات نزد فقها آن است که مورد نمی‌تواند مخصّص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گرچه مورد سؤال مسأله تنازع و مرافعه است، ولی در جواب، جعل منصب حکم و قضاوت به نحو عام ذکر شده است و مورد سؤال نمی‌تواند کلیت و عموم جواب را تخصیص و یا تقیید بزند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جواب امام علیه السلام مورد انکار شدید قرار گرفته، آن است</w:t>
      </w:r>
    </w:p>
    <w:p>
      <w:pPr>
        <w:pStyle w:val="BookText"/>
        <w:rPr/>
      </w:pPr>
      <w:r>
        <w:rPr>
          <w:rFonts w:ascii="IRNazanin" w:hAnsi="IRNazanin" w:eastAsia="IRNazanin"/>
          <w:color w:val="111111"/>
          <w:sz w:val="28"/>
          <w:sz w:val="28"/>
          <w:szCs w:val="28"/>
          <w:rtl w:val="true"/>
          <w:lang w:bidi="fa-IR"/>
        </w:rPr>
        <w:t>که حکمی که از طرف طاغوت صادر شود، باطل و غیر قابل اخذ است و حکم باید از ناحیه کسانی باشد که متّصف به صفاتی هستند که در این روایت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امر، مرافعه و تنازع هیچ خصوصیتی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امام علیه السلام استفاده می‌شود که مورد سؤال از مصادیق لزوم رجوع به کسانی است که آگاهی کامل به حلال و حرام داشته و فقاهت و اجتهاد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صفاتی که در روایت ذکر شده همگی شرایط یک مجتهد 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رحمه الله در کتاب ذکری</w:t>
      </w:r>
      <w:r>
        <w:rPr>
          <w:rStyle w:val="FootnoteAnchor"/>
          <w:rtl w:val="true"/>
        </w:rPr>
        <w:footnoteReference w:id="78"/>
      </w:r>
      <w:r>
        <w:rPr>
          <w:rFonts w:ascii="IRNazanin" w:hAnsi="IRNazanin" w:eastAsia="IRNazanin"/>
          <w:color w:val="111111"/>
          <w:sz w:val="28"/>
          <w:sz w:val="28"/>
          <w:szCs w:val="28"/>
          <w:rtl w:val="true"/>
          <w:lang w:bidi="fa-IR"/>
        </w:rPr>
        <w:t>سیزده شرط را برای فقیه از این روایت استفاده نموده است، که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مربوط به شیعه دوازده امامی است؛ و حتی زیدیه یا اسماعیلیه و سایر فرق هم نمی‌توانند متصدی قضاوت شوند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کتاب الهی، یعنی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سنّت پیامبر صلی الله علیه و آله و ائمه معصومین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اجماع</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علم کلام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علم اصول فقه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لغت و نحو، صرف و منطق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ناسخ، منسوخ، محکم، متشابه، ظاهر و مؤوّل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جرح و تعدیل، و در این امر شهادت اولین و قدما کافی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مقتضای لفظ از حیث لغت و عرف و شرع</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معنی، هنگامی که لفظ مجرّد از قرینه است و هنگامی که لفظ همراه با قرینه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 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او غالب بر نسیان و فراموشی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می‌تواند مصدر قضاوت و حکم باشد؛ و هیچ خصوصیتی برای مرافعه و تنازع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استخفاف به حکم خدا فرقی نمی‌کند که تنازع وجود داشته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می‌شود مراجعه به حاکم طاغوت در همۀ زمان‌ها مورد نهی و تحریم قرار گرفته است، همان‌طور که از آیۀ شریفه همین مطلب استفاده می‌شود، و چنان‌چه مراجعه به طاغوت در همۀ زمان‌ها مورد تحریم قرار گیرد، لازم است نسبت به همۀ زمان‌ها جایگزین مناسبی اندیشه شود که عنوان طاغوت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تردیدی نیست که از تعابیر وارد در این روایت و از مجموع جواب، یک عنوان عام استفاده می‌شود که در آن تنازع و مرافعه هیچ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شیخ مرتضی حائری قدس سره در شرح عروه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الإرجاع إلی العارفین بالأحکام وإن کان فی مورد المخاصمة إلّاأنّ الظاهر أنّ المورد من باب الاحتیاج إلی رأی العالم ولیس موجباً للإختصاص ولیس الحکم المفروض فی هذه الروایات منحصراً بالاختلاف فی الموضوعات حتّی یقال بالاختصاص من تلک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إطلاق التعلیل الوارد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مقتضاه جعل العارف بالأحکام قاضیاً وحاکماً مطلقاً من غیر فرق بین صورة المخاصمة و غیرها</w:t>
      </w:r>
      <w:r>
        <w:rPr>
          <w:rFonts w:eastAsia="IRNazanin" w:cs="IRNazanin"/>
          <w:color w:val="111111"/>
          <w:sz w:val="28"/>
          <w:szCs w:val="28"/>
          <w:rtl w:val="true"/>
          <w:lang w:bidi="fa-IR"/>
        </w:rPr>
        <w:t>».</w:t>
      </w:r>
      <w:r>
        <w:rPr>
          <w:rStyle w:val="FootnoteAnchor"/>
          <w:rtl w:val="true"/>
        </w:rPr>
        <w:footnoteReference w:id="7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 خلاف محقّق خوئی رحمه الله از این روایت چنین استفاده کرده‌اند</w:t>
      </w:r>
    </w:p>
    <w:p>
      <w:pPr>
        <w:pStyle w:val="BookText"/>
        <w:rPr/>
      </w:pPr>
      <w:r>
        <w:rPr>
          <w:rFonts w:ascii="IRNazanin" w:hAnsi="IRNazanin" w:eastAsia="IRNazanin"/>
          <w:color w:val="111111"/>
          <w:sz w:val="28"/>
          <w:sz w:val="28"/>
          <w:szCs w:val="28"/>
          <w:rtl w:val="true"/>
          <w:lang w:bidi="fa-IR"/>
        </w:rPr>
        <w:t>که شخص عارف به احکام عنوان قاضی و حاکم را دارد و فرقی بین تنازع و مرافعه به او و غیر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گروه دوم نیز می‌توان از صاحب العناوین الفقهیه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عمر بن حنظلة ومشهورة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لا تقتضی الولایة إلّافی الفتوی والقضاء ولا تدلّ علی کونه ولیاً مطلقاً له التصرّف کیف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تدلّان علی اعتبار حکمهم وفتواهم کما استدلّ بهما الأصحاب مع ما فیهما من البحث والإشکال</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ایشان از روایت عمر بن حنظله فقط حجیّت فتوا و قضاوت، اعم از این‌که مرافعه‌ای باشد یا نباشد، را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کاشف الغطاء این مطلب را ردّ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تسلیم منصب القضاء والافتاء ممّا یؤذن بتبعیة المناصب بطریق أولی وما ورد فی نصب الأئمّة علیهم السلام بعض أصحابهم قیماً علی أموال الأیتام دلیل علی جواز الولایة فی غیرها لأنّ ولیّ المال یتولّی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مقبولة عمر عامّة للترافع وغیره لقوله علیه السلام فاجعلوه حاکماً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کاشف الغطاء رحمه الله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مقدّس برای فقیه منصب افتا و قضاوت را جعل کرده باشد باید به طریق اولی ولایت بر امور دیگر را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طریق اولی باید بتواند در امور دیگر هم تصرف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اولویتی وجود ندارد؛ بلکه باید دید آیا از تعلیل و</w:t>
      </w:r>
    </w:p>
    <w:p>
      <w:pPr>
        <w:pStyle w:val="BookText"/>
        <w:rPr/>
      </w:pPr>
      <w:r>
        <w:rPr>
          <w:rFonts w:ascii="IRNazanin" w:hAnsi="IRNazanin" w:eastAsia="IRNazanin"/>
          <w:color w:val="111111"/>
          <w:sz w:val="28"/>
          <w:sz w:val="28"/>
          <w:szCs w:val="28"/>
          <w:rtl w:val="true"/>
          <w:lang w:bidi="fa-IR"/>
        </w:rPr>
        <w:t>تعابیر وارد در مقبوله عمر بن حنظله علاوه بر جعل منصب قضاوت، یک ولایت کلی و مطلق که فقیه بتواند در همه امور مردم تصرف کند، استفاده می‌شود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آیت‌اللّه آقای شیخ مرتضی حائری قدس سره، در مباحث خمس، این مطلب که از روایت عمر بن حنظله، سلطنت و ولایت بر جمیع امور مسلمین، اعم از امور قضائی و غیر آن، استفاده می‌شود را مورد اشکال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یستفاد قطعاً من تلک الروایة الشریفة الولایة المطلقة لهم کولایة الناس علی أموالهم وأنفسهم فیکشف بتلک الولایة أنّ اللّه تعالی والإمام راضیان بتصرّفاتهم علی وفق ما یظنّون من المصلحة فی الأموال کولایة الأب والجدّ علی أموال الصغار وهذا 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فحرمة الردّ متوقّفة علی أن یکون حکمه علی طبق حکم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جعل الحکومة هو معرفة حلالهم وحرامهم، لا عدالتهم و کفایتهم حتّی یصلح لجعل الحکومة</w:t>
      </w:r>
      <w:r>
        <w:rPr>
          <w:rFonts w:eastAsia="IRNazanin" w:cs="IRNazanin"/>
          <w:color w:val="111111"/>
          <w:sz w:val="28"/>
          <w:szCs w:val="28"/>
          <w:rtl w:val="true"/>
          <w:lang w:bidi="fa-IR"/>
        </w:rPr>
        <w:t>».</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معتقدند از این روایت ولایت عام استفاده نمی‌شود و دو قرینه و شاهد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بر این‌که او ولایت کلی به هر صورتی که بخواهد تصرف کند، ندارد؛ بلکه اگر بر طبق حکم ما حکم کند، ردّ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مواردی که بر طبق حکم ما حکم نکند، ردّ او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موضوع جعل حکومت، معرفت حلال و حرام است؛ و عدالت و کفایت آنان نقشی در</w:t>
      </w:r>
    </w:p>
    <w:p>
      <w:pPr>
        <w:pStyle w:val="BookText"/>
        <w:rPr/>
      </w:pPr>
      <w:r>
        <w:rPr>
          <w:rFonts w:ascii="IRNazanin" w:hAnsi="IRNazanin" w:eastAsia="IRNazanin"/>
          <w:color w:val="111111"/>
          <w:sz w:val="28"/>
          <w:sz w:val="28"/>
          <w:szCs w:val="28"/>
          <w:rtl w:val="true"/>
          <w:lang w:bidi="fa-IR"/>
        </w:rPr>
        <w:t>این امر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اشکال فرمایش مرحوم حائری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ایشان با آن‌چه در شرح عروه آورده‌اند مخالف است؛ و مطلب صحیح، همان است که در شرح عروه آورده‌اند مبنی بر این‌که از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 دو شاهد نمی‌تواند مدعای ایشان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کسانی که معتقدند ولایت عام برای فقیه وجود دارد و اختصاص به قضاوت ندارد، معتقدند حکم فقیه در هر موردی حکم امام علیه السلام است؛ به این معنی که لزوم تبعیت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تعبیرات موجود در این روایت دلالت دارد بر این‌که اگر فقیه و حاکم بر حسب ظاهر برطبق موازین ما حکم کند باید از او تبعیّت شود؛ هرچند نتیجه مطابق با نظر ائمّه معصومین علیهم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مقدار که در چارچوب و بر طبق معیارهای ائمّه معصومین علیهم السلام حکم کند، باید از آن حکم تبعیّت شود؛ و به عبارت سوم، امام علیه السلام در این روایت صحت واقعی حکم و قضاوت فقیه را مورد نظر قرار نداده‌اند؛ بلکه صحت ظاهری و لزوم تبعیت را مورد توجه قرار داده‌اند؛ و قائلین به ولایت عامه هیچ‌گاه ادعای صحّت واقعی ندارند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گروه سوم می‌توان از مرحوم کاشف الغطاء و امام خمینی رحمهما الله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خمینی در کتاب الاجتهاد والتقلید در استدلال به مقبوله عمر بن حنظله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یدلّ علی أنّ القضاء، بل مطلق</w:t>
      </w:r>
    </w:p>
    <w:p>
      <w:pPr>
        <w:pStyle w:val="BookText"/>
        <w:rPr/>
      </w:pPr>
      <w:r>
        <w:rPr>
          <w:rFonts w:ascii="IRNazanin" w:hAnsi="IRNazanin" w:eastAsia="IRNazanin"/>
          <w:color w:val="111111"/>
          <w:sz w:val="28"/>
          <w:sz w:val="28"/>
          <w:szCs w:val="28"/>
          <w:rtl w:val="true"/>
          <w:lang w:bidi="fa-IR"/>
        </w:rPr>
        <w:t>الحکومة للفقیه، مقبولة عمر بن حنظلة وهی مع اشتهارها بین الأصحاب والتعویل علیها فی مباحث القضاء مجبورة من حیث السند ولا إشکال فی دلالتها</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در ادامه، از سه تعبیر وارد در این روایت شرط فقاهت و اجتهاد را برای حاکم و ولیّ استفاده نموده‌اند، و به آیه‌ای که در این روایت به آن اشاره شده است، توجّه جدی کرده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امانات در آیۀ إِنَّ اللّهَ یَأْمُرُکُمْ أَنْ تُؤَدُّوا الْأَماناتِ إِلی أَهْلِها</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امانت خلقی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امانت خالقی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احکام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از ردّ امانت آن است که احکام الهی را آن‌طور که هست اجرا کنند؛ و نیز نسبت به آیۀ شریفه وَ إِذا حَکَمْتُمْ بَیْنَ النّاسِ أَنْ تَحْکُمُوا بِالْعَدْلِ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در این آیه، قضاوت نیست؛ بلکه مراد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خطاب به کسانی است که زمام امور مردم را به دست می‌گیرند و خطاب به قضات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یکی از رشته‌ها و فروعات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شریفه باید هر امری از امور حکومت بر موازین عدالت باشد؛ همه شؤون حکومت اعمّ از قضاوت و جعل قوانین و اجرای آن‌ها باید بر اساس عدالت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است که از مقبوله عمر بن حنظله، اطلاق و عمومیت استفاده می‌شود و اختصاص به مسأله قضاوت ندارد؛ و این عمومیت، مسأله اجرای احکام را هم در بر می‌گیرد</w:t>
      </w:r>
      <w:r>
        <w:rPr>
          <w:rFonts w:eastAsia="IRNazanin" w:cs="IRNazanin"/>
          <w:color w:val="111111"/>
          <w:sz w:val="28"/>
          <w:szCs w:val="28"/>
          <w:rtl w:val="true"/>
          <w:lang w:bidi="fa-IR"/>
        </w:rPr>
        <w:t>.</w:t>
      </w:r>
      <w:bookmarkStart w:id="84" w:name="pg5701_52772"/>
    </w:p>
    <w:p>
      <w:pPr>
        <w:pStyle w:val="Heading4"/>
        <w:numPr>
          <w:ilvl w:val="3"/>
          <w:numId w:val="1"/>
        </w:numPr>
        <w:rPr/>
      </w:pPr>
      <w:bookmarkStart w:id="85" w:name="__RefHeading___Toc3793773_581953129"/>
      <w:bookmarkStart w:id="86" w:name="_Toc31"/>
      <w:bookmarkEnd w:id="84"/>
      <w:bookmarkEnd w:id="85"/>
      <w:r>
        <w:rPr>
          <w:rtl w:val="true"/>
        </w:rPr>
        <w:t>تنبیه</w:t>
      </w:r>
      <w:bookmarkEnd w:id="86"/>
    </w:p>
    <w:p>
      <w:pPr>
        <w:pStyle w:val="BookText"/>
        <w:rPr/>
      </w:pPr>
      <w:r>
        <w:rPr>
          <w:rFonts w:ascii="IRNazanin" w:hAnsi="IRNazanin" w:eastAsia="IRNazanin"/>
          <w:color w:val="111111"/>
          <w:sz w:val="28"/>
          <w:sz w:val="28"/>
          <w:szCs w:val="28"/>
          <w:rtl w:val="true"/>
          <w:lang w:bidi="fa-IR"/>
        </w:rPr>
        <w:t>توجه به این نکته ضروری است که اگر فرض کنیم مقبوله درباره قضاوت است و از آن ولایت عامه استفاده نمی‌شود، باز می‌گوییم این روایت می‌تواند دلیل برای قائلین به جواز اجرای حدود در زمان غیبت باشد؛ زیرا، اگر قاضی حکم کند، ولی نتواند حدود را اجرا کند، سبب استخفاف قضاوت و حکم است، در حالی که در این روایت، مسأله استخفاف مورد نهی شدید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کسی بر فرض، مسألۀ ملازمه بین مشروعیت قضا و مشروعیت اجرای حدود را هم نپذیرد، می‌تواند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در این روایت استناد کند؛ و جواز، و بلکه لزوم، اجرای حدود را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واضح‌تر،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قضاوتی که ضمانت اجرایی نداشته باشد، امری موهون و بی‌فایده است</w:t>
      </w:r>
      <w:r>
        <w:rPr>
          <w:rFonts w:eastAsia="IRNazanin" w:cs="IRNazanin"/>
          <w:color w:val="111111"/>
          <w:sz w:val="28"/>
          <w:szCs w:val="28"/>
          <w:rtl w:val="true"/>
          <w:lang w:bidi="fa-IR"/>
        </w:rPr>
        <w:t>.</w:t>
      </w:r>
    </w:p>
    <w:p>
      <w:pPr>
        <w:pStyle w:val="Heading4"/>
        <w:numPr>
          <w:ilvl w:val="3"/>
          <w:numId w:val="1"/>
        </w:numPr>
        <w:rPr/>
      </w:pPr>
      <w:bookmarkStart w:id="87" w:name="__RefHeading___Toc3793775_581953129"/>
      <w:bookmarkStart w:id="88" w:name="_Toc32"/>
      <w:bookmarkEnd w:id="87"/>
      <w:r>
        <w:rPr>
          <w:rtl w:val="true"/>
        </w:rPr>
        <w:t>اشکال</w:t>
      </w:r>
      <w:bookmarkEnd w:id="88"/>
    </w:p>
    <w:p>
      <w:pPr>
        <w:pStyle w:val="BookText"/>
        <w:rPr/>
      </w:pPr>
      <w:r>
        <w:rPr>
          <w:rFonts w:ascii="IRNazanin" w:hAnsi="IRNazanin" w:eastAsia="IRNazanin"/>
          <w:color w:val="111111"/>
          <w:sz w:val="28"/>
          <w:sz w:val="28"/>
          <w:szCs w:val="28"/>
          <w:rtl w:val="true"/>
          <w:lang w:bidi="fa-IR"/>
        </w:rPr>
        <w:t>ممکن است کسی</w:t>
      </w:r>
      <w:r>
        <w:rPr>
          <w:rStyle w:val="FootnoteAnchor"/>
          <w:rtl w:val="true"/>
        </w:rPr>
        <w:footnoteReference w:id="84"/>
      </w:r>
      <w:r>
        <w:rPr>
          <w:rFonts w:ascii="IRNazanin" w:hAnsi="IRNazanin" w:eastAsia="IRNazanin"/>
          <w:color w:val="111111"/>
          <w:sz w:val="28"/>
          <w:sz w:val="28"/>
          <w:szCs w:val="28"/>
          <w:rtl w:val="true"/>
          <w:lang w:bidi="fa-IR"/>
        </w:rPr>
        <w:t>توهّم کند که مقبوله عمر بن حنظله بر جعل منصب قضاوت در زمان حضور معصوم علیهم السلام دلالت دارد؛ یعنی دلالت دارد که امام صادق علیه السلام افرادی را که متّصف به این شرایط هستند، نسبت به زمان خودشان نصب کرده‌اند</w:t>
      </w:r>
      <w:r>
        <w:rPr>
          <w:rFonts w:eastAsia="IRNazanin" w:cs="IRNazanin"/>
          <w:color w:val="111111"/>
          <w:sz w:val="28"/>
          <w:szCs w:val="28"/>
          <w:rtl w:val="true"/>
          <w:lang w:bidi="fa-IR"/>
        </w:rPr>
        <w:t>.</w:t>
      </w:r>
    </w:p>
    <w:p>
      <w:pPr>
        <w:pStyle w:val="Heading4"/>
        <w:numPr>
          <w:ilvl w:val="3"/>
          <w:numId w:val="1"/>
        </w:numPr>
        <w:rPr/>
      </w:pPr>
      <w:bookmarkStart w:id="89" w:name="__RefHeading___Toc3793777_581953129"/>
      <w:bookmarkStart w:id="90" w:name="_Toc33"/>
      <w:bookmarkEnd w:id="89"/>
      <w:r>
        <w:rPr>
          <w:rtl w:val="true"/>
        </w:rPr>
        <w:t>پاسخ</w:t>
      </w:r>
      <w:bookmarkEnd w:id="9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اشکال آن است که این جعل، مختص زمان امام</w:t>
      </w:r>
    </w:p>
    <w:p>
      <w:pPr>
        <w:pStyle w:val="BookText"/>
        <w:rPr/>
      </w:pPr>
      <w:r>
        <w:rPr>
          <w:rFonts w:ascii="IRNazanin" w:hAnsi="IRNazanin" w:eastAsia="IRNazanin"/>
          <w:color w:val="111111"/>
          <w:sz w:val="28"/>
          <w:sz w:val="28"/>
          <w:szCs w:val="28"/>
          <w:rtl w:val="true"/>
          <w:lang w:bidi="fa-IR"/>
        </w:rPr>
        <w:t>صادق علیه السلام باشد و شامل زمان ائمّه دیگر علیهم السلام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این اشکال آن است که حرمت تحاکم و مراجعه به طاغوت نیز منحصر به زمان حضور معصوم علیه السلام باشد و شامل زمان‌های دیگر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علیه السلام به ویژه با تعلیلی که در آن آمده و نیز با توجه به خصوصیات جواب و شرایط مهمی که ذکر شده به عنوان یک قضیه حقیقیه مطرح است که شامل تمام زمان‌ها تا روز قیامت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مقبوله به صورت روشن و واضح، مسأله جواز اجرای حدود در زمان غیبت توسط فقیه جامع الشرایط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ثانی اقامه حدود را نوع و مصداقی از حکم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إقامة الحدود ضرب من الحکم</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بنابراین، آن‌چه محقّق خوانساری رحمه الله در جامع المدارک آورده‌اند که مقبوله ظهوری در مسأله اجرای حدود ندارد، مطلب قابل قبولی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رحمه الله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جعلته علیکم حاکماً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 را استفاده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منصوب خاص ولایت عامه دارد و نسبت به همه اطراف نزاع ولایت دارد، فقیه و مجتهد نیز به همین صورت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ایشان مانند شهید ثانی رحمه الله اجرای حدّ را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بحکمنا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حکم، مجرد حکم بدون انفاذ و اجرا نیست؛ بلکه مراد انفاذی است که در آن اقامه حدود نیز وجود داشته باشد</w:t>
      </w:r>
      <w:r>
        <w:rPr>
          <w:rFonts w:eastAsia="IRNazanin" w:cs="IRNazanin"/>
          <w:color w:val="111111"/>
          <w:sz w:val="28"/>
          <w:szCs w:val="28"/>
          <w:rtl w:val="true"/>
          <w:lang w:bidi="fa-IR"/>
        </w:rPr>
        <w:t>.</w:t>
      </w:r>
      <w:bookmarkStart w:id="91" w:name="pg5701_52774"/>
    </w:p>
    <w:p>
      <w:pPr>
        <w:pStyle w:val="Heading3"/>
        <w:numPr>
          <w:ilvl w:val="2"/>
          <w:numId w:val="1"/>
        </w:numPr>
        <w:rPr/>
      </w:pPr>
      <w:bookmarkStart w:id="92" w:name="__RefHeading___Toc3793779_581953129"/>
      <w:bookmarkStart w:id="93" w:name="_Toc34"/>
      <w:bookmarkEnd w:id="91"/>
      <w:bookmarkEnd w:id="92"/>
      <w:r>
        <w:rPr>
          <w:rtl w:val="true"/>
        </w:rPr>
        <w:t>دلیل سوم</w:t>
      </w:r>
      <w:r>
        <w:rPr>
          <w:rtl w:val="true"/>
        </w:rPr>
        <w:t xml:space="preserve">: </w:t>
      </w:r>
      <w:r>
        <w:rPr>
          <w:rtl w:val="true"/>
        </w:rPr>
        <w:t>مقبولۀ ابی خدیجه</w:t>
      </w:r>
      <w:bookmarkEnd w:id="93"/>
    </w:p>
    <w:p>
      <w:pPr>
        <w:pStyle w:val="BookText"/>
        <w:rPr/>
      </w:pPr>
      <w:r>
        <w:rPr>
          <w:rFonts w:ascii="IRNazanin" w:hAnsi="IRNazanin" w:eastAsia="IRNazanin"/>
          <w:color w:val="111111"/>
          <w:sz w:val="28"/>
          <w:sz w:val="28"/>
          <w:szCs w:val="28"/>
          <w:rtl w:val="true"/>
          <w:lang w:bidi="fa-IR"/>
        </w:rPr>
        <w:t>دلیل سوم قائلین به جواز اجرای حدود در زمان غیبت، مشهوره و یا مقبوله ابی خدیجه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ابوخدیجه دو روایت نقل شده است که در این‌جا آن‌چه را که مرحوم صدوق در من لا یحضره الفقیه نقل کرده است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صدوق بإسناده عن أحمد بن عائذ بن حبیب الأحمسی البجلّی الثقة عن أبی خدیجة سالم بن مکرم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أَن یُحَاکِمَ بَعضُکُم بَعضاً إِلَی أَهلِ الجَورِ وَلَکِن انظُرُوا إِلَی رَجُلٍ مِنکُم یَعلَمُ شَیئاً مِن قَضایَانَا فَاجعَلُوهُ بَینَکُم فَإِنِّی قَد جَعَلتُهُ قَاضِیاً فَتَحاکَمُوا إِلَیهِ</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این روایت از حیث سند صحیح است و سند مرحوم صدوق به احمد بن عائذ نیز صحیح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از این روایت، جواز و مشروعیت اجرای حدود در زمان غیبت را استفاده کرده است،</w:t>
      </w:r>
      <w:r>
        <w:rPr>
          <w:rStyle w:val="FootnoteAnchor"/>
          <w:rtl w:val="true"/>
        </w:rPr>
        <w:footnoteReference w:id="87"/>
      </w:r>
      <w:r>
        <w:rPr>
          <w:rFonts w:ascii="IRNazanin" w:hAnsi="IRNazanin" w:eastAsia="IRNazanin"/>
          <w:color w:val="111111"/>
          <w:sz w:val="28"/>
          <w:sz w:val="28"/>
          <w:szCs w:val="28"/>
          <w:rtl w:val="true"/>
          <w:lang w:bidi="fa-IR"/>
        </w:rPr>
        <w:t>لیکن مرحوم آیت‌اللّه سیّد احمد خوانساری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مورد تنازع و تخاصم است و ربطی به اجرای حدود ندارد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ولی همان‌طور که در استدلال به مقبوله عمر بن حنظله گفتیم، اگر از این روایت اصل مشروعیت قضاوت را استفاده نمائیم، به ناچار باید مشروعیت اجرای حدود را نیز استفاده کنیم؛ به لحاظ این‌که اجرای حدود از شؤون و فروع قضاوت است</w:t>
      </w:r>
      <w:r>
        <w:rPr>
          <w:rFonts w:eastAsia="IRNazanin" w:cs="IRNazanin"/>
          <w:color w:val="111111"/>
          <w:sz w:val="28"/>
          <w:szCs w:val="28"/>
          <w:rtl w:val="true"/>
          <w:lang w:bidi="fa-IR"/>
        </w:rPr>
        <w:t>.</w:t>
      </w:r>
      <w:bookmarkStart w:id="94" w:name="pg5701_52775"/>
    </w:p>
    <w:p>
      <w:pPr>
        <w:pStyle w:val="Heading3"/>
        <w:numPr>
          <w:ilvl w:val="2"/>
          <w:numId w:val="1"/>
        </w:numPr>
        <w:rPr/>
      </w:pPr>
      <w:bookmarkStart w:id="95" w:name="__RefHeading___Toc3793781_581953129"/>
      <w:bookmarkStart w:id="96" w:name="_Toc35"/>
      <w:bookmarkEnd w:id="94"/>
      <w:bookmarkEnd w:id="95"/>
      <w:r>
        <w:rPr>
          <w:rtl w:val="true"/>
        </w:rPr>
        <w:t>دلیل چهارم</w:t>
      </w:r>
      <w:r>
        <w:rPr>
          <w:rtl w:val="true"/>
        </w:rPr>
        <w:t xml:space="preserve">: </w:t>
      </w:r>
      <w:r>
        <w:rPr>
          <w:rtl w:val="true"/>
        </w:rPr>
        <w:t>توقیع شریف</w:t>
      </w:r>
      <w:bookmarkEnd w:id="96"/>
    </w:p>
    <w:p>
      <w:pPr>
        <w:pStyle w:val="BookText"/>
        <w:rPr/>
      </w:pPr>
      <w:r>
        <w:rPr>
          <w:rFonts w:ascii="Amiri" w:hAnsi="Amiri" w:eastAsia="Amiri" w:cs="Amiri"/>
          <w:color w:val="111111"/>
          <w:sz w:val="28"/>
          <w:sz w:val="28"/>
          <w:szCs w:val="28"/>
          <w:rtl w:val="true"/>
          <w:lang w:bidi="ar-SA"/>
        </w:rPr>
        <w:t>در روایت توقیع شریف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الحَوَادِثُ الوَاقِعَةُ فَارجِعُوا فِیهَا إِلَی رُوَاةِ أَحَادِیثَنَا فَإِنَّهُم حُجَّتِی عَلَیکُم وَأَنَا حُجَّةُ اللّهِ عَلَیکُم</w:t>
      </w:r>
      <w:r>
        <w:rPr>
          <w:rFonts w:eastAsia="Amiri" w:cs="Amiri" w:ascii="Amiri" w:hAnsi="Amiri"/>
          <w:color w:val="111111"/>
          <w:sz w:val="28"/>
          <w:szCs w:val="28"/>
          <w:rtl w:val="true"/>
          <w:lang w:bidi="ar-SA"/>
        </w:rPr>
        <w:t>».</w:t>
      </w:r>
      <w:r>
        <w:rPr>
          <w:rStyle w:val="FootnoteAnchor"/>
          <w:rtl w:val="true"/>
        </w:rPr>
        <w:footnoteReference w:id="89"/>
      </w:r>
      <w:r>
        <w:rPr>
          <w:rFonts w:ascii="IRNazanin" w:hAnsi="IRNazanin" w:eastAsia="IRNazanin"/>
          <w:color w:val="111111"/>
          <w:sz w:val="28"/>
          <w:sz w:val="28"/>
          <w:szCs w:val="28"/>
          <w:rtl w:val="true"/>
          <w:lang w:bidi="fa-IR"/>
        </w:rPr>
        <w:t>صاحب جواهر رحمه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شدید در این معنا دارد که آن‌چه را امام معصوم علیه السلام در آن حجت است، فقیه نیز به همان صورت حجت است و از اموری که معصوم علیه السلام در آن حجّت است، اجرای حدود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در برخی از نقل‌ها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مرحوم صاحب جواهر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ظهور شدیدتری در عموم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خوانساری در مورد استدلال به این روایت چنین اشکال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معلومیّة المراد من الحوادث لاحتمال کون اللام للعهد فی کلام السائل واستفادة الولایة العامة من جهة التعبیر بأنّهم خلیفتی علیکم، مشکلة لاضطراب المتن فی الروایة</w:t>
      </w:r>
      <w:r>
        <w:rPr>
          <w:rFonts w:eastAsia="IRNazanin" w:cs="IRNazanin"/>
          <w:color w:val="111111"/>
          <w:sz w:val="28"/>
          <w:szCs w:val="28"/>
          <w:rtl w:val="true"/>
          <w:lang w:bidi="fa-IR"/>
        </w:rPr>
        <w:t>».</w:t>
      </w:r>
      <w:r>
        <w:rPr>
          <w:rStyle w:val="FootnoteAnchor"/>
          <w:rtl w:val="true"/>
        </w:rPr>
        <w:footnoteReference w:id="9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ایشان قابل مناقشه است؛ زیرا، چنان‌چه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 وأنا حجّة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شود، نمی‌توان گفت امام معصوم علیه السلام در بخشی از حوادث عنوان حجّت را دارند و همین عمومیت در تعلیل، احتمال عهد بودن الف و لام را منتفی می‌کند؛ چرا که در عهد بودن نیاز به تمسک به این دلیل به نحو عام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ظاهر این تعبیر آن است</w:t>
      </w:r>
      <w:bookmarkStart w:id="97" w:name="pg5701_52776"/>
    </w:p>
    <w:p>
      <w:pPr>
        <w:pStyle w:val="BookText"/>
        <w:rPr/>
      </w:pPr>
      <w:bookmarkEnd w:id="97"/>
      <w:r>
        <w:rPr>
          <w:rFonts w:ascii="IRNazanin" w:hAnsi="IRNazanin" w:eastAsia="IRNazanin"/>
          <w:color w:val="111111"/>
          <w:sz w:val="28"/>
          <w:sz w:val="28"/>
          <w:szCs w:val="28"/>
          <w:rtl w:val="true"/>
          <w:lang w:bidi="fa-IR"/>
        </w:rPr>
        <w:t>که هرچه را که امام معصوم علیه السلام در آن حجت است، فقیه نیز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تعبیرات ذکر شده در جواب می‌توان استفاده کرد که عهد بودن الف 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صحیح نیست و نباید به این احتمال توجه نمود</w:t>
      </w:r>
      <w:r>
        <w:rPr>
          <w:rFonts w:eastAsia="IRNazanin" w:cs="IRNazanin"/>
          <w:color w:val="111111"/>
          <w:sz w:val="28"/>
          <w:szCs w:val="28"/>
          <w:rtl w:val="true"/>
          <w:lang w:bidi="fa-IR"/>
        </w:rPr>
        <w:t>.</w:t>
      </w:r>
    </w:p>
    <w:p>
      <w:pPr>
        <w:pStyle w:val="Heading3"/>
        <w:numPr>
          <w:ilvl w:val="2"/>
          <w:numId w:val="1"/>
        </w:numPr>
        <w:rPr/>
      </w:pPr>
      <w:bookmarkStart w:id="98" w:name="__RefHeading___Toc3793783_581953129"/>
      <w:bookmarkStart w:id="99" w:name="_Toc36"/>
      <w:bookmarkEnd w:id="98"/>
      <w:r>
        <w:rPr>
          <w:rtl w:val="true"/>
        </w:rPr>
        <w:t>دلیل پنجم</w:t>
      </w:r>
      <w:r>
        <w:rPr>
          <w:rtl w:val="true"/>
        </w:rPr>
        <w:t xml:space="preserve">: </w:t>
      </w:r>
      <w:r>
        <w:rPr>
          <w:rtl w:val="true"/>
        </w:rPr>
        <w:t>روایت سلیمان</w:t>
      </w:r>
      <w:bookmarkEnd w:id="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مَن یُقِیمُ الحُدُودِ، السُّلطَانُ أَوِ القَاضِی؟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الحُدُودِ إِلَی مَن إِلَیهِ الحُکمُ</w:t>
      </w:r>
      <w:r>
        <w:rPr>
          <w:rFonts w:eastAsia="Amiri" w:cs="Amiri" w:ascii="Amiri" w:hAnsi="Amiri"/>
          <w:color w:val="111111"/>
          <w:sz w:val="28"/>
          <w:szCs w:val="28"/>
          <w:rtl w:val="true"/>
          <w:lang w:bidi="ar-SA"/>
        </w:rPr>
        <w:t>».</w:t>
      </w:r>
      <w:r>
        <w:rPr>
          <w:rStyle w:val="FootnoteAnchor"/>
          <w:rtl w:val="true"/>
        </w:rPr>
        <w:footnoteReference w:id="92"/>
      </w:r>
      <w:r>
        <w:rPr>
          <w:rFonts w:ascii="IRNazanin" w:hAnsi="IRNazanin" w:eastAsia="IRNazanin"/>
          <w:color w:val="111111"/>
          <w:sz w:val="28"/>
          <w:sz w:val="28"/>
          <w:szCs w:val="28"/>
          <w:rtl w:val="true"/>
          <w:lang w:bidi="fa-IR"/>
        </w:rPr>
        <w:t>شیخ طوسی رحمه الله نیز در دو موضع از کتاب تهذیب این روایت را نقل کرده است</w:t>
      </w:r>
      <w:r>
        <w:rPr>
          <w:rFonts w:eastAsia="IRNazanin" w:cs="IRNazanin"/>
          <w:color w:val="111111"/>
          <w:sz w:val="28"/>
          <w:szCs w:val="28"/>
          <w:rtl w:val="true"/>
          <w:lang w:bidi="fa-IR"/>
        </w:rPr>
        <w:t>.</w:t>
      </w:r>
      <w:r>
        <w:rPr>
          <w:rStyle w:val="FootnoteAnchor"/>
          <w:rtl w:val="true"/>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در مشیخه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فیه عن سلیمان بن داود المنقری فقد رویته عن أبی عن سعد بن عبداللّه عن القاسم بن محمّد الاصفهانی عن سلیمان بن داود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در جلالت پدر مرحوم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بحثی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قاسم بن محمّد القمی یعرف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بالمرضی له کتاب النوادر</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علّامه رحمه الله در خلاصه از ابن غضائری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حدیثه یعرف تارة وینکر اخری ویجوز أن یخرج شاهداً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از این تعابیر، در مجموع، عدم اعتماد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گرچه نمی‌توان عدم عدالت او را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مرحوم علّامه و ابن داود این شخص را در قسم دوم کتاب رجالی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 حال مجروحین یا کسانی که نسبت به آن‌ها توقف نموده‌اند،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غضائری نیز نقل نموده‌اند که وی این شخص را تضعیف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خلاصه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ضعیف جدّاً لا یلتفت إلیه یوضع کثیراً علی المهمات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البته مرحوم نجاشی او راتوثیق نموده است و از ظاهر عبارت شیخ طوسی رحمه الله در الفهرست نیز عدم ضعف، و بلکه اعتماد بر کتاب او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علمای رجال، عامّ المذهب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کشّی در رجال</w:t>
      </w:r>
      <w:r>
        <w:rPr>
          <w:rStyle w:val="FootnoteAnchor"/>
          <w:rtl w:val="true"/>
        </w:rPr>
        <w:footnoteReference w:id="98"/>
      </w:r>
      <w:r>
        <w:rPr>
          <w:rFonts w:ascii="IRNazanin" w:hAnsi="IRNazanin" w:eastAsia="IRNazanin"/>
          <w:color w:val="111111"/>
          <w:sz w:val="28"/>
          <w:sz w:val="28"/>
          <w:szCs w:val="28"/>
          <w:rtl w:val="true"/>
          <w:lang w:bidi="fa-IR"/>
        </w:rPr>
        <w:t>و مرحوم شیخ طوسی در رجال و الفهرست به عامی بودن او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برخی روایات در کافی در اصول و روضه وارد شده است خلاف این مطلب استظهار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شیخ طوسی رحمه الله ادّعا نموده است طائفه امامیه بر عمل به روایات او اجماع دارند و کتاب او را مورد اعتماد می‌دانند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 این روایت اگرچه از جهت برخی روات مورد اشکال و ضعف است، ولی چون اصحاب برطبق آن عمل کرده و آن را تلقّی به قبول نموده‌اند، می‌توان آن را معتبر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چگونگی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معصوم علیه السلام در زمان حضور، و فقیه جامع‌الشرائط در زمان غیبت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به خوبی دلالت بر جواز و مشروعیت اقامه حدود در زمان غیبت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جواب امام علیه السلام استفاده می‌شود اجرای حدود در زمانی که سلطان جائر یا سلطان غیر مشروع حکومت می‌کند، نه با سلطان است و نه با قاضی منصوب از طرف او؛ بلکه با کسی است که امر حکم و قضا در اختیار او است؛ که همان امام معصوم علیه السلام در زمان حضور و فقیه در زمان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خوئی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فقها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مرحوم محقّق خوانساری در جامع المدارک، ضمن آن‌که سند این حدیث را مخدوش می‌داند،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خبر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فیشکل التمسّک به لأنّ القاضی له الحکم من طرف المعصوم ولا یقال إلیه الحکم</w:t>
      </w:r>
      <w:r>
        <w:rPr>
          <w:rFonts w:eastAsia="IRNazanin" w:cs="IRNazanin"/>
          <w:color w:val="111111"/>
          <w:sz w:val="28"/>
          <w:szCs w:val="28"/>
          <w:rtl w:val="true"/>
          <w:lang w:bidi="fa-IR"/>
        </w:rPr>
        <w:t>».</w:t>
      </w:r>
      <w:r>
        <w:rPr>
          <w:rStyle w:val="FootnoteAnchor"/>
          <w:rtl w:val="true"/>
        </w:rPr>
        <w:footnoteReference w:id="9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مورد مناقشه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ایشان استدلال را مبنی بر آن قرار داده‌اند که جواب امام علیه السلام منطبق بر عنوان قاضی موجود در روایت باشد و سپس بگوییم عنوان قاضی در فقیه هم وجود دارد؛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در حقیقت،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نه مربوط به سلطان است و نه مربوط به قاضی منصوب از طرف او؛ بلکه مربوط به کسی است که</w:t>
      </w:r>
      <w:bookmarkStart w:id="100" w:name="pg5701_52779"/>
    </w:p>
    <w:p>
      <w:pPr>
        <w:pStyle w:val="BookText"/>
        <w:rPr/>
      </w:pPr>
      <w:bookmarkEnd w:id="100"/>
      <w:r>
        <w:rPr>
          <w:rFonts w:ascii="IRNazanin" w:hAnsi="IRNazanin" w:eastAsia="IRNazanin"/>
          <w:color w:val="111111"/>
          <w:sz w:val="28"/>
          <w:sz w:val="28"/>
          <w:szCs w:val="28"/>
          <w:rtl w:val="true"/>
          <w:lang w:bidi="fa-IR"/>
        </w:rPr>
        <w:t>مشروعیت حکومت مربوط به او است، و کسانی که صلاحیت حکومت ندارند، نه خود آنان و نه منصوبین از طرف آنان، صلاحیّت اجرای حدود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بپذیریم عنوان حکم در جواب امام علیه السلام همان قضاوت است، ولی این سخن که بین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فاقد دلیل بوده، و فرقی است بدون 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شرع،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 هم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قاضی شرع کسی است که به یک اعتبار صلاحیت صدور حکم دارد،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اعتبار دیگر، به او برای صدور حکم مراجعه می‌شود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إلیه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به این روایت کاملاً صحیح و تام است؛ و از نظر دلالت، تردیدی در ظهور آن در مقصود نیست</w:t>
      </w:r>
      <w:r>
        <w:rPr>
          <w:rFonts w:eastAsia="IRNazanin" w:cs="IRNazanin"/>
          <w:color w:val="111111"/>
          <w:sz w:val="28"/>
          <w:szCs w:val="28"/>
          <w:rtl w:val="true"/>
          <w:lang w:bidi="fa-IR"/>
        </w:rPr>
        <w:t>.</w:t>
      </w:r>
    </w:p>
    <w:p>
      <w:pPr>
        <w:pStyle w:val="Heading3"/>
        <w:numPr>
          <w:ilvl w:val="2"/>
          <w:numId w:val="1"/>
        </w:numPr>
        <w:rPr/>
      </w:pPr>
      <w:bookmarkStart w:id="101" w:name="__RefHeading___Toc3793785_581953129"/>
      <w:bookmarkStart w:id="102" w:name="_Toc37"/>
      <w:bookmarkEnd w:id="101"/>
      <w:r>
        <w:rPr>
          <w:rtl w:val="true"/>
        </w:rPr>
        <w:t>دلیل ششم</w:t>
      </w:r>
      <w:r>
        <w:rPr>
          <w:rtl w:val="true"/>
        </w:rPr>
        <w:t xml:space="preserve">: </w:t>
      </w:r>
      <w:r>
        <w:rPr>
          <w:rtl w:val="true"/>
        </w:rPr>
        <w:t>عدم جواز تعطیلی حدود</w:t>
      </w:r>
      <w:bookmarkEnd w:id="102"/>
    </w:p>
    <w:p>
      <w:pPr>
        <w:pStyle w:val="BookText"/>
        <w:rPr/>
      </w:pPr>
      <w:r>
        <w:rPr>
          <w:rFonts w:ascii="IRNazanin" w:hAnsi="IRNazanin" w:eastAsia="IRNazanin"/>
          <w:color w:val="111111"/>
          <w:sz w:val="28"/>
          <w:sz w:val="28"/>
          <w:szCs w:val="28"/>
          <w:rtl w:val="true"/>
          <w:lang w:bidi="fa-IR"/>
        </w:rPr>
        <w:t>از روایات فراوانی استفاده می‌شود که تعطیل شدن حدود مطلقاً جایز نیست؛ و فرقی بین زمان معصوم علیه السلام و غیر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زیر از جمله این روایات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مستدرک الوسائل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إقامتها بشروطها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نَهَی صلی الله علیه و آله عَن تَعطِیلِ الحُدُودِ وَقَالَ إِنَّمَا هَلَکَ بَنُو اسرائیِل لاَِنَّهُم کَانُوا یُقِیمُونَ الحُدُودَ عَلَی الوَضِیعِ دُونَ الشَّرِیفِ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این روایت به صورت مطلق از تعطیلی حدود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این امر در هیچ زمانی نباید ترک شود، به ویژه آن‌که در ذیل آن به قوم بنی‌اسرائیل اشاره شده که آن‌ها چون حدود را بر مردمان ضعیف از نظر مالی و اعتباری جاری می‌نمودند، ولی بر قشر شریف جاری نمی‌کردند،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مطلب معلوم می‌شود اجرای حدود نسبت به هر شخص مجرمی، در هر زمانی، هرچند قبل از اسلام، مطلوب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عَلِیّ علیه السلام إِنَّهُ کَتَبَ إِلَی رُفَاعَةَ أَقِم الحُدُودَ فِی القَرِیبِ یَجتَنِبُهَا البَعِیدُ لا تَطُلَّ الدِّمَاءُ وَلَا تُعَطَّلُ الحُدُودُ</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این روایت، حضرت امیر علیه السلام به یکی از واجباتی که باید در هر زمان انجام شود، امر فرموده‌اند؛ و چنین نیست که بگوییم حضرت با این کلام به صورت خصوصی اجازۀ اقامۀ حدود را برای رفاعه صادر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علیه السلام قَالَ مَن وَجَبَ عَلَیهِ الحَدُّ أُقِیمَ، لَیسَ فِی الحُدُودِ نَظَرَةٌ</w:t>
      </w:r>
      <w:r>
        <w:rPr>
          <w:rFonts w:eastAsia="Amiri" w:cs="Amiri" w:ascii="Amiri" w:hAnsi="Amiri"/>
          <w:color w:val="111111"/>
          <w:sz w:val="28"/>
          <w:szCs w:val="28"/>
          <w:rtl w:val="true"/>
          <w:lang w:bidi="ar-SA"/>
        </w:rPr>
        <w:t>».</w:t>
      </w:r>
      <w:r>
        <w:rPr>
          <w:rStyle w:val="FootnoteAnchor"/>
          <w:rtl w:val="true"/>
        </w:rPr>
        <w:footnoteReference w:id="101"/>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به صورت مطلق و کلی آمده است کسی که لازم است بر او حد جاری شود، حتماً باید حدّ بر او اقامه شود و در آن هیچ قیدی نسبت به اجازۀ معصوم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چنان‌چه لزوم حدّ نزد قاضی و حاکم ثابت شود، او نیز حق تعطیل کردن آن و یا تأخیر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مستفاد از این روایت آن است که تنها شرط مهم برای</w:t>
      </w:r>
    </w:p>
    <w:p>
      <w:pPr>
        <w:pStyle w:val="BookText"/>
        <w:rPr/>
      </w:pPr>
      <w:r>
        <w:rPr>
          <w:rFonts w:ascii="IRNazanin" w:hAnsi="IRNazanin" w:eastAsia="IRNazanin"/>
          <w:color w:val="111111"/>
          <w:sz w:val="28"/>
          <w:sz w:val="28"/>
          <w:szCs w:val="28"/>
          <w:rtl w:val="true"/>
          <w:lang w:bidi="fa-IR"/>
        </w:rPr>
        <w:t>اجرای حدود، اثبات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رَسُولِ اللّه صلی الله علیه و آله إِنَّهُ نَهَی عَن الشَّفَاعَةِ فِی الحُدُودِ وَقَالَ مَن شَفَعَ فِی حَدٍّ مِن حُدُودِ اللّهِ لِیُبطِلَهُ وَسَعَی فِی إِبطَالِ حُدُودِ اللّهِ تَعَالَی عَذَّبَهُ اللّهُ یَومَ القِیَامَةِ</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روایات استفاده می‌شود که حدود الهی چنان‌چه ثابت شود، باید اجرا شود و حتی امام معصوم علیه السلام نیز نمی‌تواند آن را به تأخیر اندازد و یا باطل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امیرالمؤمنین علیه السلام دست مردی از بنی اسد را که استحقاق حد داشت گرفته بودند تا حدّ را بر او جاری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آشنایان او خدمت حسین بن علی علیهما السلام رسیدند تا او را شفیع قرار دهند و ایشان امتناع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امیرالمؤمنین علیه السلام رسیدند و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هر چه را که من مالک باشم، شما همان را از من مطالبه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بود که چیزی را که از اختیار من خارج است از من مطالبه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کردند که حضرت او را بخشیده است و دیگر حدّ را جاری نمی‌کنند و با خوشحالی خدمت امام حسین علیه السلام رسیدند و به ایشان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رفیقتان کاری دارید زود بروید سراغ او، وگرنه به زودی حدّ بر او جاری می‌شود و کار او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آمدند سراغ او و دیدند امیرالمؤمنین علیه السلام بر او حدّ را جاری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وعده ندادی که این حدّ را جاری نمی‌کنید؟ در جواب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وَعَدْتُکُم</w:t>
      </w:r>
    </w:p>
    <w:p>
      <w:pPr>
        <w:pStyle w:val="BookText"/>
        <w:rPr/>
      </w:pPr>
      <w:r>
        <w:rPr>
          <w:rFonts w:ascii="IRNazanin" w:hAnsi="IRNazanin" w:eastAsia="IRNazanin"/>
          <w:color w:val="111111"/>
          <w:sz w:val="28"/>
          <w:sz w:val="28"/>
          <w:szCs w:val="28"/>
          <w:rtl w:val="true"/>
          <w:lang w:bidi="fa-IR"/>
        </w:rPr>
        <w:t>بِمَا أَملِکُهُ وَهَذَا شَیءٌ للّهِِ لَستُ أَملِکُهُ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شما نسبت به آنچه که مالک هستم وعده دادم و حدود الهی امری است که من مالک آن نیستم</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کلینی در کتاب شریف کافی روایت صحیحی را بدین‌گونه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ابن محبوب عن علی بن حمزة عن أبی بصیر عن عمران بن میثم او صالح بن میثم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 امرَأَةٌ مُجَحٌّ أَمِیرَ المُؤمِنِین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زَنَیتُ فَطَهِّرنِی طَهَّرَکَ اللّهُ فَإِنَّ عَذَابَ الدُّنیَا أَیسَرُ مِن عَذَابِ الآخِرَةِ الَّذِی لَایَنقَطِعُ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زنی خدمت امیرالمؤمنین علیه السلام رسید و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زنا نموده‌ام؛ مرا پاک کنید که تحمّل عذاب دنیا آسان‌تر از عذاب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دارای شوهر هستی یا خیر؟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شوهر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زنا، شوهر تو حاضر بود یا این‌که غائب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بود و من به او دسترسی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وضع حمل کن و سپس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بعد از وضع حمل آمد، لیکن حضرت تجاهل فرمودند و زن عرض کرد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تطهیر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سؤال‌های قبلی را بار دیگرمطرح کردند؛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را دو سال شیر بده و سپس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حضرت به پیشگاه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إِنَّهَا 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دو مرتبه اقرار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بعد از دو سال به امیرالمؤمنین علیه السلام مراجعه</w:t>
      </w:r>
    </w:p>
    <w:p>
      <w:pPr>
        <w:pStyle w:val="BookText"/>
        <w:rPr/>
      </w:pPr>
      <w:r>
        <w:rPr>
          <w:rFonts w:ascii="IRNazanin" w:hAnsi="IRNazanin" w:eastAsia="IRNazanin"/>
          <w:color w:val="111111"/>
          <w:sz w:val="28"/>
          <w:sz w:val="28"/>
          <w:szCs w:val="28"/>
          <w:rtl w:val="true"/>
          <w:lang w:bidi="fa-IR"/>
        </w:rPr>
        <w:t>کرد و همان خواسته را تکرار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تطهیر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بار دیگر تجاهل کردند و همان سؤال‌های قبل را تکرار نمودند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هنگامی که فرزند تو به حدّ عقل و رشد رسید و توانست خودْ بخورد و بیاشامد و خود را در هنگام سقوط نگه دارد،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رفت و امیرالمؤمنین علیه السلام به خدا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اقرار سوم این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بعد از این جلسه گریه می‌کرد و از محضر امیرالمومنین علیه السلام خارج شد و شخصی به نام عمرو بن حریث مخزومی او را دید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 و آن زن ماجرا را بیان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مرگ به سراغ من بیاید و من پاک نشده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کفالت فرزند تو را می‌پذیرم و تو خدمت امیرالمؤمنین علیه السلام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مرتبه چهارم مراجعه نمود و وعده آن شخص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تجاهل نمودند و همان سؤال‌های قبلی را تکرار کردند و بعد از جواب آن زن، سر مبارک خویش را به سوی آسمان بلند نمودند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إِنَّهُ قَد ثَبَتَ لَکَ عَلَیهَا أَربَعُ شَهَادَاتٍ وَإِنَّکَ قَد قُلتَ لِنَبِیِّکَ فِیمَا أَخبَرتَهُ مِن دِینِکَ یَا مُحَمَّدُ مَن عَطَّلَ حَدّاً مِن حُدُودِی فَقدَ عَانَدَنِی وَطَلَبَ بِذَلِکَ مُضَادَّتِی اللَّهُمَّ فَإِنِّی غَیرُ مُعَطِّلٍ حُدُودَکَ وَلَا طَالِبِ مُضَادَّتَکَ وَلَا مَضَیِّعٍ لِأَحکَامِکَ</w:t>
      </w:r>
      <w:r>
        <w:rPr>
          <w:rFonts w:eastAsia="IRNazanin" w:cs="IRNazanin"/>
          <w:color w:val="111111"/>
          <w:sz w:val="28"/>
          <w:szCs w:val="28"/>
          <w:rtl w:val="true"/>
          <w:lang w:bidi="fa-IR"/>
        </w:rPr>
        <w:t>».</w:t>
      </w:r>
      <w:r>
        <w:rPr>
          <w:rStyle w:val="FootnoteAnchor"/>
          <w:rtl w:val="true"/>
        </w:rPr>
        <w:footnoteReference w:id="10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 پیامبر خودت فرمودی کسی که حدّی از حدود مرا تعطیل کند با من دشمنی نموده و به این وسیله ضدّیت و مخالفت با من را طلب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مقام تعطیلی حدود تو</w:t>
      </w:r>
    </w:p>
    <w:p>
      <w:pPr>
        <w:pStyle w:val="BookText"/>
        <w:rPr/>
      </w:pPr>
      <w:r>
        <w:rPr>
          <w:rFonts w:ascii="IRNazanin" w:hAnsi="IRNazanin" w:eastAsia="IRNazanin"/>
          <w:color w:val="111111"/>
          <w:sz w:val="28"/>
          <w:sz w:val="28"/>
          <w:szCs w:val="28"/>
          <w:rtl w:val="true"/>
          <w:lang w:bidi="fa-IR"/>
        </w:rPr>
        <w:t>نیستم و طالب دشمنی و ضدّیت با تو نیستم و نمی‌خواهم تو را ضایع کنم، بلکه مطیع تو و سنت نبی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تعطیل کردن حدود الهی علاوه بر این‌که از محرمات الهی و بلکه از محرمات شدید است، موجب مخالفت و ضدیت با خداوند متعال نیز می‌شود؛ نظیر تعبیری که در مورد حرمت ربا وارد شده است که مرتکب آن با خداوند اعلام جنگ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دنبال تعطیلی حدود الهی باشند ضدیت و معاندت با خداوند را اعلام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ویژه با تشدیدی که در ترک اجرای حدود آمده است،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حدود اختصاص به زمان حضور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نیز این روایت را به عنوان مؤیّد و شاهد بر مدعای خود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عموم نسبت به همه زمان‌ها ظهور دارد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برخی از روایات نهی از باطل شدن حدود الهی در میان خلق و مردم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 یزید کناسی از امام باقر علیه السلام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 حُدُودَ اللّهِ فِی خَلقِهِ وَلا تُبطِل حُقُوقَ المُسلِمِینَ بَینَهُم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به طور مطلق و به صورت کلی فرموده که حدود الهی در میان بشر نباید تعطیل و باطل شود، همان‌طوری که حقوق مسلمین در میان آنها نباید نادیده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خلق خدا منحصر به مردم خصوص زمان معصوم علیه السلام نیست</w:t>
      </w:r>
      <w:r>
        <w:rPr>
          <w:rFonts w:eastAsia="IRNazanin" w:cs="IRNazanin"/>
          <w:color w:val="111111"/>
          <w:sz w:val="28"/>
          <w:szCs w:val="28"/>
          <w:rtl w:val="true"/>
          <w:lang w:bidi="fa-IR"/>
        </w:rPr>
        <w:t>.</w:t>
      </w:r>
      <w:bookmarkStart w:id="103" w:name="pg5701_52785"/>
    </w:p>
    <w:p>
      <w:pPr>
        <w:pStyle w:val="Heading3"/>
        <w:numPr>
          <w:ilvl w:val="2"/>
          <w:numId w:val="1"/>
        </w:numPr>
        <w:rPr/>
      </w:pPr>
      <w:bookmarkStart w:id="104" w:name="__RefHeading___Toc3793787_581953129"/>
      <w:bookmarkStart w:id="105" w:name="_Toc38"/>
      <w:bookmarkEnd w:id="103"/>
      <w:bookmarkEnd w:id="104"/>
      <w:r>
        <w:rPr>
          <w:rtl w:val="true"/>
        </w:rPr>
        <w:t>دلیل هفتم</w:t>
      </w:r>
      <w:r>
        <w:rPr>
          <w:rtl w:val="true"/>
        </w:rPr>
        <w:t xml:space="preserve">: </w:t>
      </w:r>
      <w:r>
        <w:rPr>
          <w:rtl w:val="true"/>
        </w:rPr>
        <w:t>حکمت اجرای حدود</w:t>
      </w:r>
      <w:bookmarkEnd w:id="105"/>
    </w:p>
    <w:p>
      <w:pPr>
        <w:pStyle w:val="BookText"/>
        <w:rPr/>
      </w:pPr>
      <w:r>
        <w:rPr>
          <w:rFonts w:ascii="IRNazanin" w:hAnsi="IRNazanin" w:eastAsia="IRNazanin"/>
          <w:color w:val="111111"/>
          <w:sz w:val="28"/>
          <w:sz w:val="28"/>
          <w:szCs w:val="28"/>
          <w:rtl w:val="true"/>
          <w:lang w:bidi="fa-IR"/>
        </w:rPr>
        <w:t>صاحب جواهر قدس سره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المقتضی لإقامة الحدود قائم فی صورتی حضور الإمام وغیبته ولیست الحکمة عائدة إلی مقیمه قطعاً فیکون عائدة إلی مستحقّة أو إلی نوع من المکلّفین وعلی التقدیرین لابدّ من إقامته قطعاً بثبوت النیابة لهم فی کثیر من المواضع علی وجه یظهر منه عدم الفرق بین مناصب الإمام أجمع بل یمکن دعوی المفروغیة فیه بین الأصحاب فإنّ کتبهم مملوة بالرجوع إلی الحاکم المراد به نائب الغیبة فی سائر المواضع</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ایشان در این عبارت چند نکتۀ مهمّ را مطرح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 ملاک در اقامه حدود، هم در زمان حضور معصوم علیه السلام وجود دارد و هم در زمان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اجرای حدود مربوط به اقامه‌کننده آن نیست، بلکه یا مربوط به کسی است که حدّ در مورد او اجرا می‌شود، و یا مربوط به عموم مردم و مکلفین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کلمات فقها در موارد زیادی استفاده می‌شود که بین مناصب امام علیه السلام فرقی وجود ندارد؛ و این امر در میان اصحاب مفروغ عنه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ایشان فراوان دیده می‌شود که باید به حاکم مراجعه شود؛ و مراد از حاکم، نائب امام علیه السلام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حقیقت، از طریق بیان حکمت در اجرای حدود، عمومیت آن را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نیز نظیر این مطلب را به عنوان</w:t>
      </w:r>
    </w:p>
    <w:p>
      <w:pPr>
        <w:pStyle w:val="BookText"/>
        <w:rPr/>
      </w:pPr>
      <w:r>
        <w:rPr>
          <w:rFonts w:ascii="IRNazanin" w:hAnsi="IRNazanin" w:eastAsia="IRNazanin"/>
          <w:color w:val="111111"/>
          <w:sz w:val="28"/>
          <w:sz w:val="28"/>
          <w:szCs w:val="28"/>
          <w:rtl w:val="true"/>
          <w:lang w:bidi="fa-IR"/>
        </w:rPr>
        <w:t>دلیل ذکر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اجرای حدود را مختصّ زمان حضور امام علیه السلام بدانیم با این هدف منافات دارد؛ و حضور امام علیه السلام دخالتی در این غایت و حکمت ندارد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اشکال محقق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خوانساری به این دلیل اشکال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دلیل آن است که اقامه حدود شرعیه در تمام زمان‌ها مطلقاً واجب باشد، بدون این‌که به نصب معصوم علیه السلام نیاز باشد؛ و حتی نیازی به فقیه جامع الشرایط هم ندارد</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به عبارت دیگر، اقامه حدود باید یک واجب مستقل و غیر مشروط باشد و حتی در فرض عدم دسترسی به مجتهدین واجد شرایط و عدول مؤمنین، فسّاق هم باید بتوانند متصدی اقامه حدود شرعیه شوند،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غائبین و محجورین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فرمایش ایشان چند اشکال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 در محل نزاع آن است که اجرای حدود شرعیه بعد از تشخیص صحیح آن است؛ و این مربوط به کسانی است که عارف به احکام شرعیه و حدود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قدرت بر استنباط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هیچ‌گاه این دلیل اقتضا ندارد کسانی که عارف به این امر نیستند، بتوانند آن را اجرا کنند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اجرای حدود با مسأله حفظ اموال غائبین و یا سرپرستی محجورین صحیح نیست؛ چرا که حفظ اموال یا سرپرستی محجورین</w:t>
      </w:r>
      <w:bookmarkStart w:id="106" w:name="pg5701_52787"/>
    </w:p>
    <w:p>
      <w:pPr>
        <w:pStyle w:val="BookText"/>
        <w:rPr/>
      </w:pPr>
      <w:bookmarkEnd w:id="106"/>
      <w:r>
        <w:rPr>
          <w:rFonts w:ascii="IRNazanin" w:hAnsi="IRNazanin" w:eastAsia="IRNazanin"/>
          <w:color w:val="111111"/>
          <w:sz w:val="28"/>
          <w:sz w:val="28"/>
          <w:szCs w:val="28"/>
          <w:rtl w:val="true"/>
          <w:lang w:bidi="fa-IR"/>
        </w:rPr>
        <w:t>محتاج به این نیست که شخص، آگاه به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اگر این امور به نحو صحیح انجام نشود، مفسده مهمی ندارد؛ بر خلاف حدود الهی که اگر ناآشنای به آن‌ها مجری آن شود، مفسده بسیار مهمی خواهد داشت که می‌توان گفت در این فرض، نقض غرض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تحقق غرض از اجرای حدود به ناچار باید کسی آن را اقامه کند که با حلال و حرام و احکام الاهی آشنا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دلیل هفتم آمده این است که در تحقق غرضِ اقامه حدود، حضور معصوم علیه السلام دخالتی ندارد؛ ولی این بدان معنی نیست که هر کسی بتواند متصدی آن باشد؛ مانند این‌که بگوییم در اقامه نماز جماعت امام معصوم علیه السلام شرطیت ندارد، لکن این‌گونه نیست که هر کسی بتواند امامت جماعت را عهده‌دار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اجرای حدود باید در اختیار گروه خاصی باشد؛ چرا که در غیر این صورت، هرج و مرج، و نقض غرض لازم می‌آید؛ و از وجود آن، عدم،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همه بحث در این است که این گروه خاص آیا خصوص امام معصوم علیه السلام و منصوبین از طرف ایشان است یا این‌که علاوه بر این‌ها شامل منصوبین به نصب عام نیز می‌شود؟</w:t>
      </w:r>
    </w:p>
    <w:p>
      <w:pPr>
        <w:pStyle w:val="Heading3"/>
        <w:numPr>
          <w:ilvl w:val="2"/>
          <w:numId w:val="1"/>
        </w:numPr>
        <w:rPr/>
      </w:pPr>
      <w:bookmarkStart w:id="107" w:name="__RefHeading___Toc3793789_581953129"/>
      <w:bookmarkStart w:id="108" w:name="_Toc39"/>
      <w:bookmarkEnd w:id="107"/>
      <w:r>
        <w:rPr>
          <w:rtl w:val="true"/>
        </w:rPr>
        <w:t>دلیل هشتم</w:t>
      </w:r>
      <w:r>
        <w:rPr>
          <w:rtl w:val="true"/>
        </w:rPr>
        <w:t xml:space="preserve">: </w:t>
      </w:r>
      <w:r>
        <w:rPr>
          <w:rtl w:val="true"/>
        </w:rPr>
        <w:t>گسترش مفاسد در صورت تعطیلی حدود</w:t>
      </w:r>
      <w:bookmarkEnd w:id="1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تعطیل شدن حدود به ارتکاب محرمات الاهی و گسترش مفاسد منجر می‌گردد؛ و ترک چنین امری مطلوب شارع، و گسترش آن، مبغوض</w:t>
      </w:r>
      <w:bookmarkStart w:id="109" w:name="pg5701_52788"/>
    </w:p>
    <w:p>
      <w:pPr>
        <w:pStyle w:val="BookText"/>
        <w:rPr/>
      </w:pPr>
      <w:bookmarkEnd w:id="1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این مطلب را به عنوان مؤیّدی مستقل ذکر نموده است؛ ولی می‌توان آن را به عنوان تکمیل دلیل قبل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برای تحقق غرض از حدود و یا جلوگیری از انتشار فساد و گسترش جرم، راه‌های عقلایی دیگری نیز وجود دارد و در هر زمانی ممکن است مجازات خاصی را برای آن در نظر گرفت؛ و بنابراین، تحقق چنین غرض مهمی متوقف بر اجرای حدود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باید به چند نکته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اموری که در شریعت موضوع برای حدود الاهی قرار گرفته است، ممکن است در نظر عقلا، در برخی از زمان‌ها، جرم تلقی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مشاهده می‌شود که در برخی کشورها برخی از فسادهای بسیار مهم، مانند زنا و لواط، جنبۀ قانونی و رسمی دارد و به هیچ وجه جرم تلقی نمی‌شود، مگر در برخی از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مهم ما آن است که لازم است بر همین حدود شرع تکیه شود و در مواردی که شارع مجازاتی را جعل نموده است، همان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شارع متعال غرضی دارد که بدون تحقق حدود الهی، محقق نمی‌شود</w:t>
      </w:r>
      <w:r>
        <w:rPr>
          <w:rFonts w:eastAsia="IRNazanin" w:cs="IRNazanin"/>
          <w:color w:val="111111"/>
          <w:sz w:val="28"/>
          <w:szCs w:val="28"/>
          <w:rtl w:val="true"/>
          <w:lang w:bidi="fa-IR"/>
        </w:rPr>
        <w:t>.</w:t>
      </w:r>
    </w:p>
    <w:p>
      <w:pPr>
        <w:pStyle w:val="Heading3"/>
        <w:numPr>
          <w:ilvl w:val="2"/>
          <w:numId w:val="1"/>
        </w:numPr>
        <w:rPr/>
      </w:pPr>
      <w:bookmarkStart w:id="110" w:name="__RefHeading___Toc3793791_581953129"/>
      <w:bookmarkStart w:id="111" w:name="_Toc40"/>
      <w:bookmarkEnd w:id="110"/>
      <w:r>
        <w:rPr>
          <w:rtl w:val="true"/>
        </w:rPr>
        <w:t>دلیل نهم</w:t>
      </w:r>
      <w:r>
        <w:rPr>
          <w:rtl w:val="true"/>
        </w:rPr>
        <w:t xml:space="preserve">: </w:t>
      </w:r>
      <w:r>
        <w:rPr>
          <w:rtl w:val="true"/>
        </w:rPr>
        <w:t>روایات دالّ بر ترغیب اجرای حدود</w:t>
      </w:r>
      <w:bookmarkEnd w:id="11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احادیث، روایاتی وجود دارد که بر اصل اجرای حدود ترغیب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دو نمونه از آن‌ها اشاره می‌کنیم</w:t>
      </w:r>
      <w:r>
        <w:rPr>
          <w:rFonts w:eastAsia="IRNazanin" w:cs="IRNazanin"/>
          <w:color w:val="111111"/>
          <w:sz w:val="28"/>
          <w:szCs w:val="28"/>
          <w:rtl w:val="true"/>
          <w:lang w:bidi="fa-IR"/>
        </w:rPr>
        <w:t>.</w:t>
      </w:r>
      <w:bookmarkStart w:id="112" w:name="pg5701_52789"/>
    </w:p>
    <w:p>
      <w:pPr>
        <w:pStyle w:val="BookText"/>
        <w:rPr/>
      </w:pPr>
      <w:bookmarkEnd w:id="11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موثّق، حنان بن سدیر از پدر خود نقل می‌کند که 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یُقَامُ فِی الأَرضِ أَزکی فِیهَا مِن مَطَرِ أَربَعِینَ لَیلَةً وَأَیَّامِهَا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سکونی از امام صادق علیه السلام نقل می‌کند که آن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حَدٍّ خَیرٌ مِن مَطَرِ أَربَعِینَ صَبَاحاً</w:t>
      </w:r>
      <w:r>
        <w:rPr>
          <w:rFonts w:eastAsia="Amiri" w:cs="Amiri" w:ascii="Amiri" w:hAnsi="Amiri"/>
          <w:color w:val="111111"/>
          <w:sz w:val="28"/>
          <w:szCs w:val="28"/>
          <w:rtl w:val="true"/>
          <w:lang w:bidi="ar-SA"/>
        </w:rPr>
        <w:t>».</w:t>
      </w:r>
      <w:r>
        <w:rPr>
          <w:rStyle w:val="FootnoteAnchor"/>
          <w:rtl w:val="true"/>
        </w:rPr>
        <w:footnoteReference w:id="110"/>
      </w:r>
      <w:r>
        <w:rPr>
          <w:rFonts w:ascii="IRNazanin" w:hAnsi="IRNazanin" w:eastAsia="IRNazanin"/>
          <w:color w:val="111111"/>
          <w:sz w:val="28"/>
          <w:sz w:val="28"/>
          <w:szCs w:val="28"/>
          <w:rtl w:val="true"/>
          <w:lang w:bidi="fa-IR"/>
        </w:rPr>
        <w:t xml:space="preserve">نظیر این تعابیر در برخی روایات دیگر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لَإِقَامَةُ الحَدِّ للّهِِ أَنفَعُ فِی الأَرضِ مِنَ القِطَرِ أَربَعِینَ صَبَاحاً</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از مجموع این روایات استفاده می‌شود اجرای حدّ آثار وضعی و مهمی برای مردم و جامعه دارد که از باریدن چهل شبانه‌روز باران هم فائده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امری را که این همه فائده برای مجموعه جامعه دارد بگوییم مختصّ به زمان حضور معصوم علیه السلام است؟</w:t>
      </w:r>
      <w:r>
        <w:rPr>
          <w:rFonts w:eastAsia="IRNazanin" w:cs="IRNazanin"/>
          <w:color w:val="111111"/>
          <w:sz w:val="28"/>
          <w:szCs w:val="28"/>
          <w:rtl w:val="true"/>
          <w:lang w:bidi="fa-IR"/>
        </w:rPr>
        <w:t>!</w:t>
      </w:r>
    </w:p>
    <w:p>
      <w:pPr>
        <w:pStyle w:val="Heading3"/>
        <w:numPr>
          <w:ilvl w:val="2"/>
          <w:numId w:val="1"/>
        </w:numPr>
        <w:rPr/>
      </w:pPr>
      <w:bookmarkStart w:id="113" w:name="__RefHeading___Toc3793793_581953129"/>
      <w:bookmarkStart w:id="114" w:name="_Toc41"/>
      <w:bookmarkEnd w:id="113"/>
      <w:r>
        <w:rPr>
          <w:rtl w:val="true"/>
        </w:rPr>
        <w:t>دلیل دهم</w:t>
      </w:r>
      <w:r>
        <w:rPr>
          <w:rtl w:val="true"/>
        </w:rPr>
        <w:t xml:space="preserve">: </w:t>
      </w:r>
      <w:r>
        <w:rPr>
          <w:rtl w:val="true"/>
        </w:rPr>
        <w:t>برخی مؤیدات</w:t>
      </w:r>
      <w:bookmarkEnd w:id="11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ادله‌ای که ذکر شد، می‌توانیم این مطلب را به عنوان شاهد و مؤیدی ذکر کنیم که برحسب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برطبق آن نیز فتوا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مردی، فردی بیگانه را در بستر زوجه خویش در حال زنا ببیند، خود شخصاً می‌تواند هر دو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مؤید عدم اشتراط معصوم علیه السلام است و نمی‌توان آن را به عنوان استثنای از</w:t>
      </w:r>
      <w:bookmarkStart w:id="115" w:name="pg5701_52790"/>
    </w:p>
    <w:p>
      <w:pPr>
        <w:pStyle w:val="BookText"/>
        <w:rPr/>
      </w:pPr>
      <w:bookmarkEnd w:id="115"/>
      <w:r>
        <w:rPr>
          <w:rFonts w:ascii="IRNazanin" w:hAnsi="IRNazanin" w:eastAsia="IRNazanin"/>
          <w:color w:val="111111"/>
          <w:sz w:val="28"/>
          <w:sz w:val="28"/>
          <w:szCs w:val="28"/>
          <w:rtl w:val="true"/>
          <w:lang w:bidi="fa-IR"/>
        </w:rPr>
        <w:t>شرطیت حضور معصوم علیه السلام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ادلّه که بگذریم، روشن است چنان‌چه در اقامه حدود الاهی، معصوم علیه السلام شرطیت داشت، لازم بود در این امر عظیم به این شرطیت تصریح می‌شد؛ و نیاز به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بعد از آن‌که ادله اطلاق واضحی نسبت به اجرای حدود دارد، چنان‌چه این قید از ابتدا مطرح بود، لازم بود که به آن تصریح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 ادلّه به خوبی اطمینان حاصل می‌شود که اجرای حدود، اختصاص به حضور معصوم علیه السلام ندارد، و مربوط به همه زمان‌ها است؛ گرچه مُجری آن باید عارف به احکام و حلال و حرام، یعنی مجتهد جامع الشرایط باشد</w:t>
      </w:r>
      <w:r>
        <w:rPr>
          <w:rFonts w:eastAsia="IRNazanin" w:cs="IRNazanin"/>
          <w:color w:val="111111"/>
          <w:sz w:val="28"/>
          <w:szCs w:val="28"/>
          <w:rtl w:val="true"/>
          <w:lang w:bidi="fa-IR"/>
        </w:rPr>
        <w:t>.</w:t>
      </w:r>
    </w:p>
    <w:p>
      <w:pPr>
        <w:pStyle w:val="Heading2"/>
        <w:numPr>
          <w:ilvl w:val="1"/>
          <w:numId w:val="1"/>
        </w:numPr>
        <w:rPr/>
      </w:pPr>
      <w:bookmarkStart w:id="116" w:name="__RefHeading___Toc3793795_581953129"/>
      <w:bookmarkStart w:id="117" w:name="_Toc42"/>
      <w:bookmarkEnd w:id="116"/>
      <w:r>
        <w:rPr>
          <w:rtl w:val="true"/>
        </w:rPr>
        <w:t xml:space="preserve">نقد مقالۀ </w:t>
      </w:r>
      <w:r>
        <w:rPr>
          <w:rtl w:val="true"/>
        </w:rPr>
        <w:t>«</w:t>
      </w:r>
      <w:r>
        <w:rPr>
          <w:rtl w:val="true"/>
        </w:rPr>
        <w:t>نظریۀ اقامۀ حدود</w:t>
      </w:r>
      <w:r>
        <w:rPr>
          <w:rtl w:val="true"/>
        </w:rPr>
        <w:t>»</w:t>
      </w:r>
      <w:bookmarkEnd w:id="117"/>
    </w:p>
    <w:p>
      <w:pPr>
        <w:pStyle w:val="Heading3"/>
        <w:numPr>
          <w:ilvl w:val="2"/>
          <w:numId w:val="1"/>
        </w:numPr>
        <w:rPr/>
      </w:pPr>
      <w:bookmarkStart w:id="118" w:name="__RefHeading___Toc3793797_581953129"/>
      <w:bookmarkStart w:id="119" w:name="_Toc43"/>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در خاتمه، مناسب است برخی ازنکات و مناقشاتی که مربوط به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نظریۀ اقامه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قواعد فقه، بخش جزایی، توسط محقّق محترم جناب مستطاب آقای دکتر مصطفی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تحریر درآمده است را ذکر کنیم</w:t>
      </w:r>
      <w:r>
        <w:rPr>
          <w:rFonts w:eastAsia="IRNazanin" w:cs="IRNazanin"/>
          <w:color w:val="111111"/>
          <w:sz w:val="28"/>
          <w:szCs w:val="28"/>
          <w:rtl w:val="true"/>
          <w:lang w:bidi="fa-IR"/>
        </w:rPr>
        <w:t>.</w:t>
      </w:r>
    </w:p>
    <w:p>
      <w:pPr>
        <w:pStyle w:val="Heading3"/>
        <w:numPr>
          <w:ilvl w:val="2"/>
          <w:numId w:val="1"/>
        </w:numPr>
        <w:rPr/>
      </w:pPr>
      <w:bookmarkStart w:id="120" w:name="__RefHeading___Toc3793799_581953129"/>
      <w:bookmarkStart w:id="121" w:name="_Toc44"/>
      <w:bookmarkEnd w:id="120"/>
      <w:r>
        <w:rPr>
          <w:rtl w:val="true"/>
        </w:rPr>
        <w:t>توضیح دیدگاه نویسنده</w:t>
      </w:r>
      <w:bookmarkEnd w:id="12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محترم در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بند سوم مطالبی را ذکر ذکره که خلاصه آن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مجموعه‌ای است دارای ابعاد مختلف تربیتی، اخلاقی، اجتماعی، مدیریتی و بالاتر از همه، دارای نظامی شرعی و حقوقی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این ابعاد، انسجام و پیوستگی کامل است؛ و برای تربیت انسان‌ها و رشد آنان راه‌های گوناگونی وجود دارد، و در کنار آن برای متخلّفین و سرپیچی کنندگانی که برای تربیت آن‌ها اتمام حجت شده، مجازات و عقوبت‌هایی در نظر گرفته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اجرای همه ابعاد آن باید جمیع شرایط محقق شود؛ و مهم‌ترین آن‌ها بر حسب اعتقادات حقه شیعه دوازده امامی، وجود انسان کامل در رأس مدیریت نظام و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این سه امر آن است که بدون وجود شرط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شرعیه با تردید جدی مواجه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مجازات‌ها در شرایطی معنا دارد که مرتکبین جرائم با کمال رضایت قلبی و بدون اندک تردیدی در رأی صادره رنج مجازات را قبول نمایند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این مطلب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طَهِّرنِی طَهَّرَکَ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برخی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مرتکب یک عمل شنیع شده است، می‌تواند خویشتن را راضی کند که برای برودت عذاب الاهی نزد کسی که او را نمی‌شناسد و نمی‌داند چکاره است و شب را چگونه به صبح رسانده است، اقرار نماید؟ و این احتمال وجود دارد که مرجع قضایی که بر اریکه قضا نشسته است علی‌رغم تخصص علمی و آگاهی فنی، خود مبتلا به</w:t>
      </w:r>
    </w:p>
    <w:p>
      <w:pPr>
        <w:pStyle w:val="BookText"/>
        <w:rPr/>
      </w:pPr>
      <w:r>
        <w:rPr>
          <w:rFonts w:ascii="IRNazanin" w:hAnsi="IRNazanin" w:eastAsia="IRNazanin"/>
          <w:color w:val="111111"/>
          <w:sz w:val="28"/>
          <w:sz w:val="28"/>
          <w:szCs w:val="28"/>
          <w:rtl w:val="true"/>
          <w:lang w:bidi="fa-IR"/>
        </w:rPr>
        <w:t>فساد اعمال باشد و چند صباحی دیگر به همین جرم یا نظائر آن محکوم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مطلب، حدیث مفصّل امیرالمؤمنین علیه السلام، که به آن اشاره شد، را ذکر کرده و دو نکته را استفاده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معصوم علیه السلام است که می‌تواند شرایط خاص زمان را تشخیص دهد و فقیهان عادی نمی‌توانند چنین چیزی را تشخیص دهند، مثلاً آیا در زمان ما با اجرای حدّ شرعی بر زنی که برای سیر کردن شکم فرزندانش به علت زندانی بودن همسرش تن به عصیان داده، خانواده‌ای را به آغوش فساد و تباهی نمی‌کشیم؟ آیا در این موقع دفع فاسد به افسد نمی‌کنیم؟ امام علی علیه السلام در این خصوص تصمیم گرفت و برای حفظ یک بچه شیرخوار اجرای حدّ ننمود، آیا فقهای عادی مجازند در این موارد تصمیم خاص بگیرند؟</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 به گردن دارد، حدّ را بر دیگران جاری نسازد که به موجب این اصل شرعی، همه صحنه را ترک کردند؛ آیا شرایط زمان ما بهتر است یا شرایط زمان علی علیه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 خاتمه به این پرسش جواب داده‌اند که چنان‌چه اجرای حدود تعطیل گردد با مرتکبین جرائم چه باید کرد و آیا باید آن را رها نمود؟ در پاسخ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باید مجازات حدّ را به مجازات تعزیری تبدیل نمود؛ یعنی حکومت اسلامی با رعایت مصالح زمان، مکان، شخصِ مرتکبِ معصیت و سایر جوانب اجتماعی، او را تعزیر کند</w:t>
      </w:r>
      <w:r>
        <w:rPr>
          <w:rFonts w:eastAsia="IRNazanin" w:cs="IRNazanin"/>
          <w:color w:val="111111"/>
          <w:sz w:val="28"/>
          <w:szCs w:val="28"/>
          <w:rtl w:val="true"/>
          <w:lang w:bidi="fa-IR"/>
        </w:rPr>
        <w:t>.</w:t>
      </w:r>
      <w:bookmarkStart w:id="122" w:name="pg5701_52793"/>
    </w:p>
    <w:p>
      <w:pPr>
        <w:pStyle w:val="BookText"/>
        <w:rPr/>
      </w:pPr>
      <w:bookmarkEnd w:id="122"/>
      <w:r>
        <w:rPr>
          <w:rFonts w:ascii="IRNazanin" w:hAnsi="IRNazanin" w:eastAsia="IRNazanin"/>
          <w:color w:val="111111"/>
          <w:sz w:val="28"/>
          <w:sz w:val="28"/>
          <w:szCs w:val="28"/>
          <w:rtl w:val="true"/>
          <w:lang w:bidi="fa-IR"/>
        </w:rPr>
        <w:t>و روشن است مجازات‌های تعزیری اوّلاً بر حسب زمان و مکان و اوضاع و احوال اجتماعی تغییر می‌یابند؛ و ثانیاً مجازات‌های حدّی مانند اعدام، رجم، قطع ید و امثال آن‌ها تاوان سنگین دارد، به خلاف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خلاصه‌ای بود از کلام ایشان در نظریه‌ی اقامه حدود</w:t>
      </w:r>
      <w:r>
        <w:rPr>
          <w:rFonts w:eastAsia="IRNazanin" w:cs="IRNazanin"/>
          <w:color w:val="111111"/>
          <w:sz w:val="28"/>
          <w:szCs w:val="28"/>
          <w:rtl w:val="true"/>
          <w:lang w:bidi="fa-IR"/>
        </w:rPr>
        <w:t>.</w:t>
      </w:r>
    </w:p>
    <w:p>
      <w:pPr>
        <w:pStyle w:val="Heading3"/>
        <w:numPr>
          <w:ilvl w:val="2"/>
          <w:numId w:val="1"/>
        </w:numPr>
        <w:rPr/>
      </w:pPr>
      <w:bookmarkStart w:id="123" w:name="__RefHeading___Toc3793801_581953129"/>
      <w:bookmarkStart w:id="124" w:name="_Toc45"/>
      <w:bookmarkEnd w:id="123"/>
      <w:r>
        <w:rPr>
          <w:rtl w:val="true"/>
        </w:rPr>
        <w:t>نقد و بررسی</w:t>
      </w:r>
      <w:bookmarkEnd w:id="124"/>
    </w:p>
    <w:p>
      <w:pPr>
        <w:pStyle w:val="BookText"/>
        <w:rPr/>
      </w:pPr>
      <w:r>
        <w:rPr>
          <w:rFonts w:ascii="IRNazanin" w:hAnsi="IRNazanin" w:eastAsia="IRNazanin"/>
          <w:color w:val="111111"/>
          <w:sz w:val="28"/>
          <w:sz w:val="28"/>
          <w:szCs w:val="28"/>
          <w:rtl w:val="true"/>
          <w:lang w:bidi="fa-IR"/>
        </w:rPr>
        <w:t>در نقد دیدگاهی که مطرح شد، چند نکته را باید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کلمات نویسنده محترم روشن می‌شود که ایشان از ابتدا در صدد این بوده‌اند که راهی را طی نمایند که سفره حدود الاهی را کاملاً برچینند و شیوه دیگری که مطابق با حقوق بشر رایج است، بگسترانند؛ در حالی که در استنباط فقهی و اجتهاد صحیح مطابق با موازین استدلال، فقیه هیچ‌گاه نباید قبل از پرداختن به ادله، نتیجه‌ای را در ذهن خود مفروض و مسلّم بدارد، و به دنبال به دست آوردن آن نظریه از ادله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متد اجتهاد جواهری و فقاهت فقیهان اصیل و بزرگی هم‌چون شیخ انصاری و آخوند خراسانی و سید یزدی و امثال این‌ها رحمهم الله کاملاً مشهود و واضح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ابتدای کلام، ایشان تصریح می‌کنند که این نکته جنبه فقاهتی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چرا از یک نکته غیر فقاهتی می‌خواهید به نتیجه فقهی برسید؟ و آیا چنین امری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مطلب تردیدی نیست که ابعاد مختلف دین اسلام دارای</w:t>
      </w:r>
    </w:p>
    <w:p>
      <w:pPr>
        <w:pStyle w:val="BookText"/>
        <w:rPr/>
      </w:pPr>
      <w:r>
        <w:rPr>
          <w:rFonts w:ascii="IRNazanin" w:hAnsi="IRNazanin" w:eastAsia="IRNazanin"/>
          <w:color w:val="111111"/>
          <w:sz w:val="28"/>
          <w:sz w:val="28"/>
          <w:szCs w:val="28"/>
          <w:rtl w:val="true"/>
          <w:lang w:bidi="fa-IR"/>
        </w:rPr>
        <w:t>نظامی منسجم و به هم پیوسته است؛ و در این امر نیز تردیدی نیست که حضور انسان کامل در رأس این هرم موجب تحقق صحیح جمیع این ابعاد است، ولی این مطلب چگونه اثبات می‌کند که اگر انسان کامل حضور نداشت، در اجرای احکام اسلام باید توقف یا تردید حاصل شود؟ اگر بخواهیم این راه را طی کنیم، لازمه‌اش تعطیلی بسیاری از شؤون و احکام اسلامی است؛ از جمله، باید منصب مهم قضا و نیز امر به معروف و نهی از منکر و همین‌طور تشکیل حکومت اسلامی را نیز با تردید جدی مواجه سازیم و به یک باره تمام احکام اجتماعی و سیاسی اسلام را کنار بگذاریم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عبارت ذکر شده، نویسنده محترم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شونده با کمال رضایت قلبی و بدون اندک تردیدی در رأی صادره قبول رنج مجازات 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به هیچ وجه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دلیل و شاهدی بر این معنی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زمان ائمّه معصومین علیهم السلام هیچ قرینه و شاهدی بر این مدعا یافت نمی‌شود و این‌طور نبوده است که همه کسانی که حدود الهی در مورد آنان جاری شده است با کمال رضایت این حدود را تحمل کرده باشند؛ و تعجب آن است که گویا ایشان خیال نموده‌اند اگر در برخی موارد زنی یا شخصی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است، در همه موارد این‌چنین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جای این سؤال است که چگونه اعتقاد مجازات‌شونده در صحت و مشروعیت اجرای حدّ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 شاهدی از شرع دارد و نه مؤیّدی از عقل و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سخن که می‌گویند چگونه شخص مرتکب عمل شنیع می‌تواند خویشتن را راضی سازد که برای برودت عذاب الاهی نزد کسی که او را نمی‌شناسد و نمی‌داند شب را چگونه به صبح رسانده است، اقرار نماید، جای بسیار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شرایطی که برای قاضی از قبیل عدالت و اجتهاد قرار داده شده، کفایت ظاهری نمی‌کند؟ و اساساً در تعزیراتی که ایشان بالاخره قبول نموده‌اند، چگونه این اشکال را حل می‌کنند؟ همین اشکال در مورد تعزیرات هم جریان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ضمن مطالب خود به کلامی از امیرالمؤمنین علیه السلام اشاره و استشهاد کرده‌اند که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یُقِیمُ الحَدَّ مَن للّهِِ عَلَیهِ حَدٌّ فَمَن کَانَ للّهِِ حَدٌّ عَلَیهِ مِثلُ مَا لَهُ عَلَیهَا فَلَا یُقِیمُ عَلَیهَا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این مطلب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 ایشان آغاز این روایت را مد نظر قرار می‌دادند که امیر المؤمنین علیه السلام مسأله حرمت تعطیلی حدود را مطرح فرموده‌اند؛ و خود را از کسانی قرار می‌دهند که غیر معطّل نسبت به حدود الهی هستند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آیا کسی که بر او حد است، می‌تواند حد جاری کند یا خیر،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عدم جواز را مرحوم محقق در شرائع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نموده است؛ و قول دوم، که کراهت است، را مرحوم صاحب ریاض به ظاهر اکثر و بلکه مشهور نسبت داده‌اند و در اثنای کلام، ادعای اتفاق بر آن نموده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مرحوم فاضل هندی نیز در کشف اللثام</w:t>
      </w:r>
    </w:p>
    <w:p>
      <w:pPr>
        <w:pStyle w:val="BookText"/>
        <w:rPr/>
      </w:pPr>
      <w:r>
        <w:rPr>
          <w:rFonts w:ascii="IRNazanin" w:hAnsi="IRNazanin" w:eastAsia="IRNazanin"/>
          <w:color w:val="111111"/>
          <w:sz w:val="28"/>
          <w:sz w:val="28"/>
          <w:szCs w:val="28"/>
          <w:rtl w:val="true"/>
          <w:lang w:bidi="fa-IR"/>
        </w:rPr>
        <w:t>آن را به ظاهر همه فقها نسبت داده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علاوه آن‌که در مسأله، روایات مختلفی وجود دارد و نمی‌توان به این روایت امیرالمؤمنین علیه السلام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برخی از فقها و بزرگان به صورت فتوا و یا احتیاط، به چنین دیدگاهی معتقد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والد محقّق آیت‌اللّه حاج شیخ محمّد فاضل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روایات،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فالأحوط بملاحظة ما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یکن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إقامة الحدّ ممّن کان علیه حدّ مطلقاً أو خصوص الحدّ المماثل</w:t>
      </w:r>
      <w:r>
        <w:rPr>
          <w:rFonts w:eastAsia="IRNazanin" w:cs="IRNazanin"/>
          <w:color w:val="111111"/>
          <w:sz w:val="28"/>
          <w:szCs w:val="28"/>
          <w:rtl w:val="true"/>
          <w:lang w:bidi="fa-IR"/>
        </w:rPr>
        <w:t>».</w:t>
      </w:r>
      <w:r>
        <w:rPr>
          <w:rStyle w:val="FootnoteAnchor"/>
          <w:rtl w:val="true"/>
        </w:rPr>
        <w:footnoteReference w:id="11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شرطی هم مفروض و مسلّم باشد، نبودِ آن موجب عدم مشروعیت اصل اجرای حد در زمان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نویسنده محترم باید دلیلی اقامه نمایند که در زمان غیبت، اجرای حد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مطلبی که ذکر کرده‌اند، اثبات‌کننده این مدعا نیست، مانند این‌که اگر فرض کنیم در زمانی مجتهد مطلق نباشد و شرط قضاوت را اجتهاد مطلق قرار دهیم، این امر به معنای عدم مشروعیت قضاوت در زمان غیبت نیست؛ و به عبارت صناعی‌تر، چنان‌چه این شرط را هم بپذیریم، این شرطِ مشروعیت نیست، بلکه شرط تحقق عمل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فرقی که میان شرط وجوب و واجب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 این می‌شود که در زمان غیبت، اجرای حدود الاهی مشروع است و اختصاص به امام معصوم علیه السلام ندارد؛ ولی مجری حد باید خود متصف به این امر باشد که مستحق حدّ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محترم به دنبال ذکر حدیث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جز معصومین علیهم السلام می‌توانند مصالح شخصی و شرایط خاص زمان را این‌گونه تشخیص دهند و تصمیم بگیرند؟ سپس اشاره کرده‌اند به این‌که امام علی علیه السلام در این خصوص تصمیم گرفت و برای حفظ یک بچّه شیرخوار اجرای حدّ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مطلب باید عرض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حضرت امیر علیه السلام، فقط به جهت حفظ بچه شیرخوار نبود، بلکه علاوه بر آن، حضرت در صدد این بود که اصل این جُرم شرعاً اثبات نشود و چهار اقرار محقق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گرچه در روایت شیرخوار بودن بچه بهانه‌ای برای تأخیر شد و اکنون هم ممکن است فقها همین فتوا را بدهند، ولی این بدان معنی نیست که از ابتدا حضرت به جهت این امر، از اجرای حدّ خودداری فرمودند؛ بلکه چون جهات اثبات‌کننده جُرم شرعاً محقق نبود، این‌گونه عمل کردند، و آن‌گاه که شهادات و اقرارهای چهارگانه موجود شد، دیگر درنگی در اجرای حدّ نفرمودند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زعم و گمان نویسنده محترم صحیح باشد، در این روایت، عمرو بن حُریث متکفّل سرپرستی آن بچه شد، در حالی که هیچ عاقلی تردید ندارد که مادر در جهت حفظ و نگهداری و تربیت فرزند اولی از دیگران است؛ و اگر حضرت به دنبال رعایت مصالح و شرایط خاص زمان و مکان بودند، باید این جهت را نیز رعایت می‌کردند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اجرای حدود با توجه به شرایط زمان و مکان و رعایت</w:t>
      </w:r>
    </w:p>
    <w:p>
      <w:pPr>
        <w:pStyle w:val="BookText"/>
        <w:rPr/>
      </w:pPr>
      <w:r>
        <w:rPr>
          <w:rFonts w:ascii="IRNazanin" w:hAnsi="IRNazanin" w:eastAsia="IRNazanin"/>
          <w:color w:val="111111"/>
          <w:sz w:val="28"/>
          <w:sz w:val="28"/>
          <w:szCs w:val="28"/>
          <w:rtl w:val="true"/>
          <w:lang w:bidi="fa-IR"/>
        </w:rPr>
        <w:t>مصالح اشخاص مطرح باشد، باید ملتزم شوید که در زمان حضور معصوم علیه السلام، آن‌ها نیز با توجه به این اصل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ملتزم می‌شوید که در زمان معصوم علیه السلام، اگر یک حدی و استحقاق آن ثابت می‌شد، ائمه علیهم السلام می‌توانستند آن را تعطیل و یا تغییر دهند؟ از نظر فقهی و روایات، جواب کاملاً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نوشتار، در دلیل ششم جواز اجرای حدود در زمان غیبت آوردیم که امیر المؤمنین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وَعَدتُکُم بِمَا أَملِکُهُ وَهَذَا شَیءٌ للّهِِ لَستُ أَملِکُهُ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یعنی حدود الاهی مربوط به خداوند متعال است و من نمی‌توانم آن را تعطیل کنم و یا تغییر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خلاصه مطلب آورده‌اند که هر دو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موافقین و مخالفین اجرای حدود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استدلال‌های فقهی مستند است؛ و روشن نیست کدام در اکثریت و کدام در اقلیت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ما در این نوشتار اثبات نمودیم اندیشه بسیاری از متقدمین و متأخرین بر لزوم اجرای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مرحوم صاحب جواهر تصریح کرده که این مسأله اجماعی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تعطیل، واجد توجیه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باید گفت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ملزم به توجیه اجتماعی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احکامی وجود دارد که برحسب ظاهر توجیه روشن اجتماعی ندارد؛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کافر و 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تشخیص دادید تعطیل شدن حدود در تمام زمان‌ها و مکان‌ها واجد توجیه صحیح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فرض عدم اجرای حدود، تعزیرات شرعیه جایگزین آن خواهد شد که کم و کیف آن به تصمیم حاکم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بسیاری از اشکالاتی که در ذهن نویسنده محترم در مورد حدود مطرح است، نسبت به تعزیرات هم مطرح است؛ و گویا اهتمام نویسنده به این بوده است که حدودی از قبیل اعدام و رجم را منتفی سازد؛ در حالی که امروزه در برخی از مراکز غربی به این نتیجه رسیده‌اند که در برخی موارد، اعدام امری ضروری برای جامعه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اشکالاتی که ذکر شد، نمی‌توان مطالب ایشان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باید این نکته را مورد توجه قرار داد که بعد از این‌که اصل مشروعیت اجرای حدود در زمان غیبت ثابت شد، چنان‌چه برخی از آن‌ها با مشکلاتی مواجه شود و شرایط به گونه‌ای شود که بر اجرای آن مفاسد مهم‌تری جاری شود، در این صورت لازم است که فقیه بر طبق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الأهمّ فالأهمّ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دفع افسد به فاسد عمل نماید؛ همان‌طور که در سایر موارد تزاحم به این قواعد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به معنای عدم مشروعیت اجرای حدود در زمان غیبت به نحو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مسأله مشروعیت اجرای حدود در زمان غیبت به عنوان یک حکم اولی مطرح است، ولی با توجّه به عناوین ثانویه می‌توان و بلکه لازم است آن را تغییر داد و بر طبق آن‌ها عمل کرد</w:t>
      </w:r>
      <w:r>
        <w:rPr>
          <w:rFonts w:eastAsia="IRNazanin" w:cs="IRNazanin"/>
          <w:color w:val="111111"/>
          <w:sz w:val="28"/>
          <w:szCs w:val="28"/>
          <w:rtl w:val="true"/>
          <w:lang w:bidi="fa-IR"/>
        </w:rPr>
        <w:t>.</w:t>
      </w:r>
      <w:bookmarkStart w:id="125" w:name="pg5701_52800"/>
    </w:p>
    <w:p>
      <w:pPr>
        <w:pStyle w:val="Heading2"/>
        <w:numPr>
          <w:ilvl w:val="1"/>
          <w:numId w:val="1"/>
        </w:numPr>
        <w:rPr/>
      </w:pPr>
      <w:bookmarkStart w:id="126" w:name="__RefHeading___Toc3793803_581953129"/>
      <w:bookmarkStart w:id="127" w:name="_Toc46"/>
      <w:bookmarkEnd w:id="125"/>
      <w:bookmarkEnd w:id="126"/>
      <w:r>
        <w:rPr>
          <w:rtl w:val="true"/>
        </w:rPr>
        <w:t>فهرست منابع و مناخذ</w:t>
      </w:r>
      <w:bookmarkEnd w:id="127"/>
    </w:p>
    <w:p>
      <w:pPr>
        <w:pStyle w:val="BookText"/>
        <w:rPr/>
      </w:pPr>
      <w:r>
        <w:rPr>
          <w:rFonts w:ascii="IRNazanin" w:hAnsi="IRNazanin" w:eastAsia="IRNazanin"/>
          <w:color w:val="111111"/>
          <w:sz w:val="28"/>
          <w:sz w:val="28"/>
          <w:szCs w:val="28"/>
          <w:rtl w:val="true"/>
          <w:lang w:bidi="fa-IR"/>
        </w:rPr>
        <w:t>تصویر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422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5"/>
                        <a:stretch/>
                      </pic:blipFill>
                      <pic:spPr>
                        <a:xfrm>
                          <a:off x="0" y="0"/>
                          <a:ext cx="5334120" cy="5423040"/>
                        </a:xfrm>
                        <a:prstGeom prst="rect">
                          <a:avLst/>
                        </a:prstGeom>
                        <a:ln w="0">
                          <a:noFill/>
                        </a:ln>
                      </pic:spPr>
                    </pic:pic>
                  </a:graphicData>
                </a:graphic>
              </wp:inline>
            </w:drawing>
          </mc:Choice>
          <mc:Fallback>
            <w:pict>
              <v:shape id="shape_0" stroked="f" o:allowincell="f" style="position:absolute;margin-left:0pt;margin-top:-427.05pt;width:419.95pt;height:426.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98"/>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00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01"/>
                        <a:stretch/>
                      </pic:blipFill>
                      <pic:spPr>
                        <a:xfrm>
                          <a:off x="0" y="0"/>
                          <a:ext cx="4800600" cy="6985080"/>
                        </a:xfrm>
                        <a:prstGeom prst="rect">
                          <a:avLst/>
                        </a:prstGeom>
                        <a:ln w="0">
                          <a:noFill/>
                        </a:ln>
                      </pic:spPr>
                    </pic:pic>
                  </a:graphicData>
                </a:graphic>
              </wp:inline>
            </w:drawing>
          </mc:Choice>
          <mc:Fallback>
            <w:pict>
              <v:shape id="shape_0" stroked="f" o:allowincell="f" style="position:absolute;margin-left:0pt;margin-top:-550.05pt;width:377.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70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04"/>
                        <a:stretch/>
                      </pic:blipFill>
                      <pic:spPr>
                        <a:xfrm>
                          <a:off x="0" y="0"/>
                          <a:ext cx="4470480" cy="6985080"/>
                        </a:xfrm>
                        <a:prstGeom prst="rect">
                          <a:avLst/>
                        </a:prstGeom>
                        <a:ln w="0">
                          <a:noFill/>
                        </a:ln>
                      </pic:spPr>
                    </pic:pic>
                  </a:graphicData>
                </a:graphic>
              </wp:inline>
            </w:drawing>
          </mc:Choice>
          <mc:Fallback>
            <w:pict>
              <v:shape id="shape_0" stroked="f" o:allowincell="f" style="position:absolute;margin-left:0pt;margin-top:-550.05pt;width:351.95pt;height:549.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46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7"/>
                        <a:stretch/>
                      </pic:blipFill>
                      <pic:spPr>
                        <a:xfrm>
                          <a:off x="0" y="0"/>
                          <a:ext cx="4546440" cy="6985080"/>
                        </a:xfrm>
                        <a:prstGeom prst="rect">
                          <a:avLst/>
                        </a:prstGeom>
                        <a:ln w="0">
                          <a:noFill/>
                        </a:ln>
                      </pic:spPr>
                    </pic:pic>
                  </a:graphicData>
                </a:graphic>
              </wp:inline>
            </w:drawing>
          </mc:Choice>
          <mc:Fallback>
            <w:pict>
              <v:shape id="shape_0" stroked="f" o:allowincell="f" style="position:absolute;margin-left:0pt;margin-top:-550.05pt;width:357.95pt;height:549.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29100" cy="6718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10"/>
                        <a:stretch/>
                      </pic:blipFill>
                      <pic:spPr>
                        <a:xfrm>
                          <a:off x="0" y="0"/>
                          <a:ext cx="4229280" cy="6718320"/>
                        </a:xfrm>
                        <a:prstGeom prst="rect">
                          <a:avLst/>
                        </a:prstGeom>
                        <a:ln w="0">
                          <a:noFill/>
                        </a:ln>
                      </pic:spPr>
                    </pic:pic>
                  </a:graphicData>
                </a:graphic>
              </wp:inline>
            </w:drawing>
          </mc:Choice>
          <mc:Fallback>
            <w:pict>
              <v:shape id="shape_0" stroked="f" o:allowincell="f" style="position:absolute;margin-left:0pt;margin-top:-529.05pt;width:332.95pt;height:528.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57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3"/>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11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الاشباه والنظائر،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به نقل از سنن ترمذی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مصطفی محقّق داماد، قواعد فقه، بخش جزایی،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البهیّة فی شرح اللمعة الدمشقیة،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العلویة والأحکام النبویة،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فی الفقه،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فی أحکام الشریعة،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قول را مرحوم ابن ادریس در بحث امر به معروف و نهی از منکر در صفحۀ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دوم کتاب سرائر پذیرفته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را شیخ طوسی در بحث امر به معروف از کتاب نهایه پذیرفته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قول به بسیاری از فقها نسبت داده شده است؛ و علاوه بر مشروعیت و ولایت در اقامۀ حدود، در برخی از کلمات فقها، مسأله لزوم مساعدت مردم هم مطرح گردیده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العلویّة،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غنیة النزوع،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النهایة، صص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إقامة الحدود فی هذه الأعصار،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الخلاف،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إقامة الحدود فی زمن الغیبة،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تذکرة الفقهاء،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تبصرة المتعلمین،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مختلف الشیعة،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وآثاره،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تنقیح شرائع الإسلام،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التنقیح الرائع لمختصر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غایة المرام فی شرح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المهذّب البارع فی شرح المختصر النافع،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فی مسائل الحلال والحرام،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النافع فی فقه الإمامیة،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شرائع الاسلام فی مسائل الحلال والحرام،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فی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نور، ذیل آیۀ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شفتی، مقالة فی تحقیق إقامة الحدود فی هذه الأعصار،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جهت تحقیق در بحث خطابات قانونیه و عامه که از مهم‌ترین ابتکارات اصولی امام خمینی قدس سره است و در تمام مباحث فقه از ابتدا تا انتها مؤثر است، مراجعه شود به بحث‌های خارج فقه نویسنده، سال تحصیلی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شمارۀ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پایگاه اطلاع‌رسانی نگارنده نیز موجود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رابطه با وثاقت و عدم وثاقت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عیسی بن عبید یقطینی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مفصلی از سوی‌نویسنده در جلسۀ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خارج فقه در تاریخ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ارائه شده است که علاقمندان می‌توانند به پایگاه اطلاع‌رسانی </w:t>
      </w:r>
      <w:r>
        <w:rPr>
          <w:rFonts w:eastAsia="IRNazanin" w:cs="IRNazanin"/>
          <w:b w:val="false"/>
          <w:bCs w:val="false"/>
          <w:i w:val="false"/>
          <w:iCs w:val="false"/>
          <w:color w:val="333333"/>
          <w:sz w:val="20"/>
          <w:szCs w:val="20"/>
        </w:rPr>
        <w:t>www.FazelLankarani.ir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کرده و مطالب فوق را دریافت کنند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منتقی الجمان،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البیع،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الفوائد المدنیة والشواهد المکیة،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روضة المتّقین فی شرح 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مشارق الشموس،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رسائل المیرزا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فی شرح العروة الوثقی، کتاب الصوم،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ذکری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العروة 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الفقهیة،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الفقاهة، کتاب النکاح،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الرسائل، الاجتهاد والتقلید،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 الجنان فی شرح إرشاد الأذهان،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شرح شرائع الاسلام،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الخلاصة،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رجال ابن داود،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المدارک،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المسائل،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اللثام،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کتاب الحدود،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image" Target="media/image5.jpeg"/><Relationship Id="rId96" Type="http://schemas.openxmlformats.org/officeDocument/2006/relationships/image" Target="media/image5.jpeg"/><Relationship Id="rId97" Type="http://schemas.openxmlformats.org/officeDocument/2006/relationships/footer" Target="footer86.xml"/><Relationship Id="rId98" Type="http://schemas.openxmlformats.org/officeDocument/2006/relationships/image" Target="media/image6.jpeg"/><Relationship Id="rId99" Type="http://schemas.openxmlformats.org/officeDocument/2006/relationships/image" Target="media/image6.jpeg"/><Relationship Id="rId100" Type="http://schemas.openxmlformats.org/officeDocument/2006/relationships/footer" Target="footer87.xml"/><Relationship Id="rId101" Type="http://schemas.openxmlformats.org/officeDocument/2006/relationships/image" Target="media/image7.jpeg"/><Relationship Id="rId102" Type="http://schemas.openxmlformats.org/officeDocument/2006/relationships/image" Target="media/image7.jpeg"/><Relationship Id="rId103" Type="http://schemas.openxmlformats.org/officeDocument/2006/relationships/footer" Target="footer88.xml"/><Relationship Id="rId104" Type="http://schemas.openxmlformats.org/officeDocument/2006/relationships/image" Target="media/image8.jpeg"/><Relationship Id="rId105" Type="http://schemas.openxmlformats.org/officeDocument/2006/relationships/image" Target="media/image8.jpeg"/><Relationship Id="rId106" Type="http://schemas.openxmlformats.org/officeDocument/2006/relationships/footer" Target="footer89.xml"/><Relationship Id="rId107" Type="http://schemas.openxmlformats.org/officeDocument/2006/relationships/image" Target="media/image9.jpeg"/><Relationship Id="rId108" Type="http://schemas.openxmlformats.org/officeDocument/2006/relationships/image" Target="media/image9.jpeg"/><Relationship Id="rId109" Type="http://schemas.openxmlformats.org/officeDocument/2006/relationships/footer" Target="footer90.xml"/><Relationship Id="rId110" Type="http://schemas.openxmlformats.org/officeDocument/2006/relationships/image" Target="media/image10.jpeg"/><Relationship Id="rId111" Type="http://schemas.openxmlformats.org/officeDocument/2006/relationships/image" Target="media/image10.jpeg"/><Relationship Id="rId112" Type="http://schemas.openxmlformats.org/officeDocument/2006/relationships/footer" Target="footer91.xml"/><Relationship Id="rId113" Type="http://schemas.openxmlformats.org/officeDocument/2006/relationships/image" Target="media/image11.jpeg"/><Relationship Id="rId114" Type="http://schemas.openxmlformats.org/officeDocument/2006/relationships/image" Target="media/image11.jpeg"/><Relationship Id="rId115" Type="http://schemas.openxmlformats.org/officeDocument/2006/relationships/footer" Target="footer92.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93.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18981</Words>
  <Characters>74453</Characters>
  <CharactersWithSpaces>92869</CharactersWithSpaces>
  <Paragraphs>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2026-08-19T03:54:36Z</dcterms:created>
  <dc:creator>ghaemiyeh.com</dc:creator>
  <dc:description/>
  <dc:language>en-US</dc:language>
  <cp:lastModifiedBy/>
  <dcterms:modified xsi:type="dcterms:W3CDTF">2026-08-19T07:24:39Z</dcterms:modified>
  <cp:revision>1</cp:revision>
  <dc:subject/>
  <dc:title>مشروعیت و ضرورت اجرای حدود اسلامی در زمان غیبت</dc:title>
</cp:coreProperties>
</file>

<file path=docProps/custom.xml><?xml version="1.0" encoding="utf-8"?>
<Properties xmlns="http://schemas.openxmlformats.org/officeDocument/2006/custom-properties" xmlns:vt="http://schemas.openxmlformats.org/officeDocument/2006/docPropsVTypes"/>
</file>