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حقوقی پیش گیری از جرم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644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645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36452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336454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336456_581953129">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2336458_581953129">
            <w:r>
              <w:rPr>
                <w:webHidden/>
                <w:rStyle w:val="IndexLink"/>
                <w:rtl w:val="true"/>
              </w:rPr>
              <w:t xml:space="preserve">بخش اول </w:t>
            </w:r>
            <w:r>
              <w:rPr>
                <w:rStyle w:val="IndexLink"/>
                <w:rtl w:val="true"/>
              </w:rPr>
              <w:t xml:space="preserve">: </w:t>
            </w:r>
            <w:r>
              <w:rPr>
                <w:rStyle w:val="IndexLink"/>
                <w:rtl w:val="true"/>
              </w:rPr>
              <w:t>کلیات و مفاهیم</w:t>
            </w:r>
            <w:r>
              <w:rPr>
                <w:rStyle w:val="IndexLink"/>
                <w:rtl w:val="true"/>
              </w:rPr>
              <w:tab/>
            </w:r>
            <w:r>
              <w:rPr>
                <w:rStyle w:val="IndexLink"/>
              </w:rPr>
              <w:t>19</w:t>
            </w:r>
          </w:hyperlink>
        </w:p>
        <w:p>
          <w:pPr>
            <w:pStyle w:val="Contents3"/>
            <w:tabs>
              <w:tab w:val="clear" w:pos="8459"/>
              <w:tab w:val="right" w:pos="9026" w:leader="dot"/>
            </w:tabs>
            <w:rPr/>
          </w:pPr>
          <w:hyperlink w:anchor="__RefHeading___Toc2336460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336462_581953129">
            <w:r>
              <w:rPr>
                <w:webHidden/>
                <w:rStyle w:val="IndexLink"/>
                <w:rtl w:val="true"/>
              </w:rPr>
              <w:t>تعریف و ماهیت پیش‌گیری از وقوع جرم</w:t>
            </w:r>
            <w:r>
              <w:rPr>
                <w:rStyle w:val="IndexLink"/>
                <w:rtl w:val="true"/>
              </w:rPr>
              <w:tab/>
            </w:r>
            <w:r>
              <w:rPr>
                <w:rStyle w:val="IndexLink"/>
              </w:rPr>
              <w:t>21</w:t>
            </w:r>
          </w:hyperlink>
        </w:p>
        <w:p>
          <w:pPr>
            <w:pStyle w:val="Contents3"/>
            <w:tabs>
              <w:tab w:val="clear" w:pos="8459"/>
              <w:tab w:val="right" w:pos="9026" w:leader="dot"/>
            </w:tabs>
            <w:rPr/>
          </w:pPr>
          <w:hyperlink w:anchor="__RefHeading___Toc2336464_581953129">
            <w:r>
              <w:rPr>
                <w:webHidden/>
                <w:rStyle w:val="IndexLink"/>
                <w:rtl w:val="true"/>
              </w:rPr>
              <w:t>انواع پیش‌گیری</w:t>
            </w:r>
            <w:r>
              <w:rPr>
                <w:rStyle w:val="IndexLink"/>
                <w:rtl w:val="true"/>
              </w:rPr>
              <w:tab/>
            </w:r>
            <w:r>
              <w:rPr>
                <w:rStyle w:val="IndexLink"/>
              </w:rPr>
              <w:t>22</w:t>
            </w:r>
          </w:hyperlink>
        </w:p>
        <w:p>
          <w:pPr>
            <w:pStyle w:val="Contents4"/>
            <w:tabs>
              <w:tab w:val="clear" w:pos="8176"/>
              <w:tab w:val="right" w:pos="9026" w:leader="dot"/>
            </w:tabs>
            <w:rPr/>
          </w:pPr>
          <w:hyperlink w:anchor="__RefHeading___Toc2336466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36468_581953129">
            <w:r>
              <w:rPr>
                <w:webHidden/>
                <w:rStyle w:val="IndexLink"/>
                <w:rtl w:val="true"/>
              </w:rPr>
              <w:t>گفتار اول</w:t>
            </w:r>
            <w:r>
              <w:rPr>
                <w:rStyle w:val="IndexLink"/>
                <w:rtl w:val="true"/>
              </w:rPr>
              <w:t xml:space="preserve">: </w:t>
            </w:r>
            <w:r>
              <w:rPr>
                <w:rStyle w:val="IndexLink"/>
                <w:rtl w:val="true"/>
              </w:rPr>
              <w:t>پیش‌گیری اجتماعی و وضعی</w:t>
            </w:r>
            <w:r>
              <w:rPr>
                <w:rStyle w:val="IndexLink"/>
                <w:rtl w:val="true"/>
              </w:rPr>
              <w:tab/>
            </w:r>
            <w:r>
              <w:rPr>
                <w:rStyle w:val="IndexLink"/>
              </w:rPr>
              <w:t>23</w:t>
            </w:r>
          </w:hyperlink>
        </w:p>
        <w:p>
          <w:pPr>
            <w:pStyle w:val="Contents5"/>
            <w:tabs>
              <w:tab w:val="clear" w:pos="7892"/>
              <w:tab w:val="right" w:pos="9026" w:leader="dot"/>
            </w:tabs>
            <w:rPr/>
          </w:pPr>
          <w:hyperlink w:anchor="__RefHeading___Toc2336470_581953129">
            <w:r>
              <w:rPr>
                <w:webHidden/>
                <w:rStyle w:val="IndexLink"/>
                <w:rtl w:val="true"/>
              </w:rPr>
              <w:t xml:space="preserve">الف </w:t>
            </w:r>
            <w:r>
              <w:rPr>
                <w:rStyle w:val="IndexLink"/>
                <w:rtl w:val="true"/>
              </w:rPr>
              <w:t xml:space="preserve">- </w:t>
            </w:r>
            <w:r>
              <w:rPr>
                <w:rStyle w:val="IndexLink"/>
                <w:rtl w:val="true"/>
              </w:rPr>
              <w:t>پیش‌گیری اجتماعی</w:t>
            </w:r>
            <w:r>
              <w:rPr>
                <w:rStyle w:val="IndexLink"/>
                <w:rtl w:val="true"/>
              </w:rPr>
              <w:tab/>
            </w:r>
            <w:r>
              <w:rPr>
                <w:rStyle w:val="IndexLink"/>
              </w:rPr>
              <w:t>23</w:t>
            </w:r>
          </w:hyperlink>
        </w:p>
        <w:p>
          <w:pPr>
            <w:pStyle w:val="Contents6"/>
            <w:tabs>
              <w:tab w:val="clear" w:pos="7609"/>
              <w:tab w:val="right" w:pos="9026" w:leader="dot"/>
            </w:tabs>
            <w:rPr/>
          </w:pPr>
          <w:hyperlink w:anchor="__RefHeading___Toc2336472_581953129">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2336474_581953129">
            <w:r>
              <w:rPr>
                <w:webHidden/>
                <w:rStyle w:val="IndexLink"/>
                <w:rtl w:val="true"/>
              </w:rPr>
              <w:t>افزایش آگاهی افراد</w:t>
            </w:r>
            <w:r>
              <w:rPr>
                <w:rStyle w:val="IndexLink"/>
                <w:rtl w:val="true"/>
              </w:rPr>
              <w:t>:</w:t>
              <w:tab/>
            </w:r>
            <w:r>
              <w:rPr>
                <w:rStyle w:val="IndexLink"/>
              </w:rPr>
              <w:t>23</w:t>
            </w:r>
          </w:hyperlink>
        </w:p>
        <w:p>
          <w:pPr>
            <w:pStyle w:val="Contents6"/>
            <w:tabs>
              <w:tab w:val="clear" w:pos="7609"/>
              <w:tab w:val="right" w:pos="9026" w:leader="dot"/>
            </w:tabs>
            <w:rPr/>
          </w:pPr>
          <w:hyperlink w:anchor="__RefHeading___Toc2336476_581953129">
            <w:r>
              <w:rPr>
                <w:webHidden/>
                <w:rStyle w:val="IndexLink"/>
                <w:rtl w:val="true"/>
              </w:rPr>
              <w:t>تربیت صحیح افراد</w:t>
            </w:r>
            <w:r>
              <w:rPr>
                <w:rStyle w:val="IndexLink"/>
                <w:rtl w:val="true"/>
              </w:rPr>
              <w:t>:</w:t>
              <w:tab/>
            </w:r>
            <w:r>
              <w:rPr>
                <w:rStyle w:val="IndexLink"/>
              </w:rPr>
              <w:t>23</w:t>
            </w:r>
          </w:hyperlink>
        </w:p>
        <w:p>
          <w:pPr>
            <w:pStyle w:val="Contents6"/>
            <w:tabs>
              <w:tab w:val="clear" w:pos="7609"/>
              <w:tab w:val="right" w:pos="9026" w:leader="dot"/>
            </w:tabs>
            <w:rPr/>
          </w:pPr>
          <w:hyperlink w:anchor="__RefHeading___Toc2336478_581953129">
            <w:r>
              <w:rPr>
                <w:webHidden/>
                <w:rStyle w:val="IndexLink"/>
                <w:rtl w:val="true"/>
              </w:rPr>
              <w:t>از بین بردن زمینه های اجتماعی وقوع جرم</w:t>
            </w:r>
            <w:r>
              <w:rPr>
                <w:rStyle w:val="IndexLink"/>
                <w:rtl w:val="true"/>
              </w:rPr>
              <w:t>:</w:t>
              <w:tab/>
            </w:r>
            <w:r>
              <w:rPr>
                <w:rStyle w:val="IndexLink"/>
              </w:rPr>
              <w:t>24</w:t>
            </w:r>
          </w:hyperlink>
        </w:p>
        <w:p>
          <w:pPr>
            <w:pStyle w:val="Contents5"/>
            <w:tabs>
              <w:tab w:val="clear" w:pos="7892"/>
              <w:tab w:val="right" w:pos="9026" w:leader="dot"/>
            </w:tabs>
            <w:rPr/>
          </w:pPr>
          <w:hyperlink w:anchor="__RefHeading___Toc2336480_581953129">
            <w:r>
              <w:rPr>
                <w:webHidden/>
                <w:rStyle w:val="IndexLink"/>
                <w:rtl w:val="true"/>
              </w:rPr>
              <w:t>ب</w:t>
            </w:r>
            <w:r>
              <w:rPr>
                <w:rStyle w:val="IndexLink"/>
                <w:rtl w:val="true"/>
              </w:rPr>
              <w:t xml:space="preserve">- </w:t>
            </w:r>
            <w:r>
              <w:rPr>
                <w:rStyle w:val="IndexLink"/>
                <w:rtl w:val="true"/>
              </w:rPr>
              <w:t>پیش‌گیری وضعی</w:t>
            </w:r>
            <w:r>
              <w:rPr>
                <w:rStyle w:val="IndexLink"/>
                <w:rtl w:val="true"/>
              </w:rPr>
              <w:t>:</w:t>
              <w:tab/>
            </w:r>
            <w:r>
              <w:rPr>
                <w:rStyle w:val="IndexLink"/>
              </w:rPr>
              <w:t>24</w:t>
            </w:r>
          </w:hyperlink>
        </w:p>
        <w:p>
          <w:pPr>
            <w:pStyle w:val="Contents4"/>
            <w:tabs>
              <w:tab w:val="clear" w:pos="8176"/>
              <w:tab w:val="right" w:pos="9026" w:leader="dot"/>
            </w:tabs>
            <w:rPr/>
          </w:pPr>
          <w:hyperlink w:anchor="__RefHeading___Toc2336482_581953129">
            <w:r>
              <w:rPr>
                <w:webHidden/>
                <w:rStyle w:val="IndexLink"/>
                <w:rtl w:val="true"/>
              </w:rPr>
              <w:t>گفتار دوم</w:t>
            </w:r>
            <w:r>
              <w:rPr>
                <w:rStyle w:val="IndexLink"/>
                <w:rtl w:val="true"/>
              </w:rPr>
              <w:t xml:space="preserve">: </w:t>
            </w:r>
            <w:r>
              <w:rPr>
                <w:rStyle w:val="IndexLink"/>
                <w:rtl w:val="true"/>
              </w:rPr>
              <w:t>پیش‌گیری اولیه، ثانویه و ثالث</w:t>
            </w:r>
            <w:r>
              <w:rPr>
                <w:rStyle w:val="IndexLink"/>
                <w:rtl w:val="true"/>
              </w:rPr>
              <w:tab/>
            </w:r>
            <w:r>
              <w:rPr>
                <w:rStyle w:val="IndexLink"/>
              </w:rPr>
              <w:t>29</w:t>
            </w:r>
          </w:hyperlink>
        </w:p>
        <w:p>
          <w:pPr>
            <w:pStyle w:val="Contents5"/>
            <w:tabs>
              <w:tab w:val="clear" w:pos="7892"/>
              <w:tab w:val="right" w:pos="9026" w:leader="dot"/>
            </w:tabs>
            <w:rPr/>
          </w:pPr>
          <w:hyperlink w:anchor="__RefHeading___Toc2336484_58195312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336486_581953129">
            <w:r>
              <w:rPr>
                <w:webHidden/>
                <w:rStyle w:val="IndexLink"/>
                <w:rtl w:val="true"/>
              </w:rPr>
              <w:t>پیش‌گیری قبل از وقوع جرم</w:t>
            </w:r>
            <w:r>
              <w:rPr>
                <w:rStyle w:val="IndexLink"/>
                <w:rtl w:val="true"/>
              </w:rPr>
              <w:tab/>
            </w:r>
            <w:r>
              <w:rPr>
                <w:rStyle w:val="IndexLink"/>
              </w:rPr>
              <w:t>30</w:t>
            </w:r>
          </w:hyperlink>
        </w:p>
        <w:p>
          <w:pPr>
            <w:pStyle w:val="Contents5"/>
            <w:tabs>
              <w:tab w:val="clear" w:pos="7892"/>
              <w:tab w:val="right" w:pos="9026" w:leader="dot"/>
            </w:tabs>
            <w:rPr/>
          </w:pPr>
          <w:hyperlink w:anchor="__RefHeading___Toc2336488_581953129">
            <w:r>
              <w:rPr>
                <w:webHidden/>
                <w:rStyle w:val="IndexLink"/>
                <w:rtl w:val="true"/>
              </w:rPr>
              <w:t>پیش‌گیری هنگام وقوع جرم</w:t>
            </w:r>
            <w:r>
              <w:rPr>
                <w:rStyle w:val="IndexLink"/>
                <w:rtl w:val="true"/>
              </w:rPr>
              <w:tab/>
            </w:r>
            <w:r>
              <w:rPr>
                <w:rStyle w:val="IndexLink"/>
              </w:rPr>
              <w:t>31</w:t>
            </w:r>
          </w:hyperlink>
        </w:p>
        <w:p>
          <w:pPr>
            <w:pStyle w:val="Contents5"/>
            <w:tabs>
              <w:tab w:val="clear" w:pos="7892"/>
              <w:tab w:val="right" w:pos="9026" w:leader="dot"/>
            </w:tabs>
            <w:rPr/>
          </w:pPr>
          <w:hyperlink w:anchor="__RefHeading___Toc2336490_581953129">
            <w:r>
              <w:rPr>
                <w:webHidden/>
                <w:rStyle w:val="IndexLink"/>
                <w:rtl w:val="true"/>
              </w:rPr>
              <w:t>پیش‌گیری پس از وقوع جرم</w:t>
            </w:r>
            <w:r>
              <w:rPr>
                <w:rStyle w:val="IndexLink"/>
                <w:rtl w:val="true"/>
              </w:rPr>
              <w:tab/>
            </w:r>
            <w:r>
              <w:rPr>
                <w:rStyle w:val="IndexLink"/>
              </w:rPr>
              <w:t>31</w:t>
            </w:r>
          </w:hyperlink>
        </w:p>
        <w:p>
          <w:pPr>
            <w:pStyle w:val="Contents4"/>
            <w:tabs>
              <w:tab w:val="clear" w:pos="8176"/>
              <w:tab w:val="right" w:pos="9026" w:leader="dot"/>
            </w:tabs>
            <w:rPr/>
          </w:pPr>
          <w:hyperlink w:anchor="__RefHeading___Toc2336492_581953129">
            <w:r>
              <w:rPr>
                <w:webHidden/>
                <w:rStyle w:val="IndexLink"/>
                <w:rtl w:val="true"/>
              </w:rPr>
              <w:t>گفتار سوم</w:t>
            </w:r>
            <w:r>
              <w:rPr>
                <w:rStyle w:val="IndexLink"/>
                <w:rtl w:val="true"/>
              </w:rPr>
              <w:t xml:space="preserve">: </w:t>
            </w:r>
            <w:r>
              <w:rPr>
                <w:rStyle w:val="IndexLink"/>
                <w:rtl w:val="true"/>
              </w:rPr>
              <w:t>پیش‌گیری کوتاه مدت و بلند مدت</w:t>
            </w:r>
            <w:r>
              <w:rPr>
                <w:rStyle w:val="IndexLink"/>
                <w:rtl w:val="true"/>
              </w:rPr>
              <w:tab/>
            </w:r>
            <w:r>
              <w:rPr>
                <w:rStyle w:val="IndexLink"/>
              </w:rPr>
              <w:t>33</w:t>
            </w:r>
          </w:hyperlink>
        </w:p>
        <w:p>
          <w:pPr>
            <w:pStyle w:val="Contents5"/>
            <w:tabs>
              <w:tab w:val="clear" w:pos="7892"/>
              <w:tab w:val="right" w:pos="9026" w:leader="dot"/>
            </w:tabs>
            <w:rPr/>
          </w:pPr>
          <w:hyperlink w:anchor="__RefHeading___Toc2336494_58195312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336496_581953129">
            <w:r>
              <w:rPr>
                <w:webHidden/>
                <w:rStyle w:val="IndexLink"/>
              </w:rPr>
              <w:t>1</w:t>
            </w:r>
            <w:r>
              <w:rPr>
                <w:rStyle w:val="IndexLink"/>
                <w:rtl w:val="true"/>
              </w:rPr>
              <w:t xml:space="preserve">- </w:t>
            </w:r>
            <w:r>
              <w:rPr>
                <w:rStyle w:val="IndexLink"/>
                <w:rtl w:val="true"/>
              </w:rPr>
              <w:t>مرحله کوتاه مدت</w:t>
            </w:r>
            <w:r>
              <w:rPr>
                <w:rStyle w:val="IndexLink"/>
                <w:rtl w:val="true"/>
              </w:rPr>
              <w:tab/>
            </w:r>
            <w:r>
              <w:rPr>
                <w:rStyle w:val="IndexLink"/>
              </w:rPr>
              <w:t>33</w:t>
            </w:r>
          </w:hyperlink>
        </w:p>
        <w:p>
          <w:pPr>
            <w:pStyle w:val="Contents5"/>
            <w:tabs>
              <w:tab w:val="clear" w:pos="7892"/>
              <w:tab w:val="right" w:pos="9026" w:leader="dot"/>
            </w:tabs>
            <w:rPr/>
          </w:pPr>
          <w:hyperlink w:anchor="__RefHeading___Toc2336498_581953129">
            <w:r>
              <w:rPr>
                <w:webHidden/>
                <w:rStyle w:val="IndexLink"/>
              </w:rPr>
              <w:t>2</w:t>
            </w:r>
            <w:r>
              <w:rPr>
                <w:rStyle w:val="IndexLink"/>
                <w:rtl w:val="true"/>
              </w:rPr>
              <w:t xml:space="preserve">- </w:t>
            </w:r>
            <w:r>
              <w:rPr>
                <w:rStyle w:val="IndexLink"/>
                <w:rtl w:val="true"/>
              </w:rPr>
              <w:t>مرحله بلند مدت</w:t>
            </w:r>
            <w:r>
              <w:rPr>
                <w:rStyle w:val="IndexLink"/>
                <w:rtl w:val="true"/>
              </w:rPr>
              <w:tab/>
            </w:r>
            <w:r>
              <w:rPr>
                <w:rStyle w:val="IndexLink"/>
              </w:rPr>
              <w:t>33</w:t>
            </w:r>
          </w:hyperlink>
        </w:p>
        <w:p>
          <w:pPr>
            <w:pStyle w:val="Contents2"/>
            <w:tabs>
              <w:tab w:val="clear" w:pos="8743"/>
              <w:tab w:val="right" w:pos="9026" w:leader="dot"/>
            </w:tabs>
            <w:rPr/>
          </w:pPr>
          <w:hyperlink w:anchor="__RefHeading___Toc2336500_581953129">
            <w:r>
              <w:rPr>
                <w:webHidden/>
                <w:rStyle w:val="IndexLink"/>
                <w:rtl w:val="true"/>
              </w:rPr>
              <w:t>بخش دوم</w:t>
            </w:r>
            <w:r>
              <w:rPr>
                <w:rStyle w:val="IndexLink"/>
                <w:rtl w:val="true"/>
              </w:rPr>
              <w:t>:</w:t>
            </w:r>
            <w:r>
              <w:rPr>
                <w:rStyle w:val="IndexLink"/>
                <w:rtl w:val="true"/>
              </w:rPr>
              <w:t>پیش‌گیری در نظام سیاسی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2336502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336504_581953129">
            <w:r>
              <w:rPr>
                <w:webHidden/>
                <w:rStyle w:val="IndexLink"/>
                <w:rtl w:val="true"/>
              </w:rPr>
              <w:t>فصل اول</w:t>
            </w:r>
            <w:r>
              <w:rPr>
                <w:rStyle w:val="IndexLink"/>
                <w:rtl w:val="true"/>
              </w:rPr>
              <w:t xml:space="preserve">: </w:t>
            </w:r>
            <w:r>
              <w:rPr>
                <w:rStyle w:val="IndexLink"/>
                <w:rtl w:val="true"/>
              </w:rPr>
              <w:t>اهمیت پیش‌گیری از جرم در نظام سیاسی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2336506_581953129">
            <w:r>
              <w:rPr>
                <w:webHidden/>
                <w:rStyle w:val="IndexLink"/>
                <w:rtl w:val="true"/>
              </w:rPr>
              <w:t>گفتار اول</w:t>
            </w:r>
            <w:r>
              <w:rPr>
                <w:rStyle w:val="IndexLink"/>
                <w:rtl w:val="true"/>
              </w:rPr>
              <w:t xml:space="preserve">- </w:t>
            </w:r>
            <w:r>
              <w:rPr>
                <w:rStyle w:val="IndexLink"/>
                <w:rtl w:val="true"/>
              </w:rPr>
              <w:t>رابطه نهی از منکر و پیش گیری از جرم</w:t>
            </w:r>
            <w:r>
              <w:rPr>
                <w:rStyle w:val="IndexLink"/>
                <w:rtl w:val="true"/>
              </w:rPr>
              <w:tab/>
            </w:r>
            <w:r>
              <w:rPr>
                <w:rStyle w:val="IndexLink"/>
              </w:rPr>
              <w:t>36</w:t>
            </w:r>
          </w:hyperlink>
        </w:p>
        <w:p>
          <w:pPr>
            <w:pStyle w:val="Contents4"/>
            <w:tabs>
              <w:tab w:val="clear" w:pos="8176"/>
              <w:tab w:val="right" w:pos="9026" w:leader="dot"/>
            </w:tabs>
            <w:rPr/>
          </w:pPr>
          <w:hyperlink w:anchor="__RefHeading___Toc2336508_581953129">
            <w:r>
              <w:rPr>
                <w:webHidden/>
                <w:rStyle w:val="IndexLink"/>
                <w:rtl w:val="true"/>
              </w:rPr>
              <w:t>گفتار دوم</w:t>
            </w:r>
            <w:r>
              <w:rPr>
                <w:rStyle w:val="IndexLink"/>
                <w:rtl w:val="true"/>
              </w:rPr>
              <w:t xml:space="preserve">- </w:t>
            </w:r>
            <w:r>
              <w:rPr>
                <w:rStyle w:val="IndexLink"/>
                <w:rtl w:val="true"/>
              </w:rPr>
              <w:t>پیش‌گیری از وقوع جرم در آیات</w:t>
            </w:r>
            <w:r>
              <w:rPr>
                <w:rStyle w:val="IndexLink"/>
                <w:rtl w:val="true"/>
              </w:rPr>
              <w:tab/>
            </w:r>
            <w:r>
              <w:rPr>
                <w:rStyle w:val="IndexLink"/>
              </w:rPr>
              <w:t>39</w:t>
            </w:r>
          </w:hyperlink>
        </w:p>
        <w:p>
          <w:pPr>
            <w:pStyle w:val="Contents4"/>
            <w:tabs>
              <w:tab w:val="clear" w:pos="8176"/>
              <w:tab w:val="right" w:pos="9026" w:leader="dot"/>
            </w:tabs>
            <w:rPr/>
          </w:pPr>
          <w:hyperlink w:anchor="__RefHeading___Toc2336510_581953129">
            <w:r>
              <w:rPr>
                <w:webHidden/>
                <w:rStyle w:val="IndexLink"/>
                <w:rtl w:val="true"/>
              </w:rPr>
              <w:t>گفتار سوم</w:t>
            </w:r>
            <w:r>
              <w:rPr>
                <w:rStyle w:val="IndexLink"/>
                <w:rtl w:val="true"/>
              </w:rPr>
              <w:t xml:space="preserve">- </w:t>
            </w:r>
            <w:r>
              <w:rPr>
                <w:rStyle w:val="IndexLink"/>
                <w:rtl w:val="true"/>
              </w:rPr>
              <w:t>پیش‌گیری از وقوع جرم در روایات</w:t>
            </w:r>
            <w:r>
              <w:rPr>
                <w:rStyle w:val="IndexLink"/>
                <w:rtl w:val="true"/>
              </w:rPr>
              <w:tab/>
            </w:r>
            <w:r>
              <w:rPr>
                <w:rStyle w:val="IndexLink"/>
              </w:rPr>
              <w:t>41</w:t>
            </w:r>
          </w:hyperlink>
        </w:p>
        <w:p>
          <w:pPr>
            <w:pStyle w:val="Contents3"/>
            <w:tabs>
              <w:tab w:val="clear" w:pos="8459"/>
              <w:tab w:val="right" w:pos="9026" w:leader="dot"/>
            </w:tabs>
            <w:rPr/>
          </w:pPr>
          <w:hyperlink w:anchor="__RefHeading___Toc2336512_581953129">
            <w:r>
              <w:rPr>
                <w:webHidden/>
                <w:rStyle w:val="IndexLink"/>
                <w:rtl w:val="true"/>
              </w:rPr>
              <w:t>فصل دوم</w:t>
            </w:r>
            <w:r>
              <w:rPr>
                <w:rStyle w:val="IndexLink"/>
                <w:rtl w:val="true"/>
              </w:rPr>
              <w:t xml:space="preserve">: </w:t>
            </w:r>
            <w:r>
              <w:rPr>
                <w:rStyle w:val="IndexLink"/>
                <w:rtl w:val="true"/>
              </w:rPr>
              <w:t>راه های پیش‌گیری از جرم در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2336514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336516_581953129">
            <w:r>
              <w:rPr>
                <w:webHidden/>
                <w:rStyle w:val="IndexLink"/>
                <w:rtl w:val="true"/>
              </w:rPr>
              <w:t>گفتار اول</w:t>
            </w:r>
            <w:r>
              <w:rPr>
                <w:rStyle w:val="IndexLink"/>
                <w:rtl w:val="true"/>
              </w:rPr>
              <w:t xml:space="preserve">- </w:t>
            </w:r>
            <w:r>
              <w:rPr>
                <w:rStyle w:val="IndexLink"/>
                <w:rtl w:val="true"/>
              </w:rPr>
              <w:t>عدالت</w:t>
            </w:r>
            <w:r>
              <w:rPr>
                <w:rStyle w:val="IndexLink"/>
                <w:rtl w:val="true"/>
              </w:rPr>
              <w:tab/>
            </w:r>
            <w:r>
              <w:rPr>
                <w:rStyle w:val="IndexLink"/>
              </w:rPr>
              <w:t>43</w:t>
            </w:r>
          </w:hyperlink>
        </w:p>
        <w:p>
          <w:pPr>
            <w:pStyle w:val="Contents4"/>
            <w:tabs>
              <w:tab w:val="clear" w:pos="8176"/>
              <w:tab w:val="right" w:pos="9026" w:leader="dot"/>
            </w:tabs>
            <w:rPr/>
          </w:pPr>
          <w:hyperlink w:anchor="__RefHeading___Toc2336518_581953129">
            <w:r>
              <w:rPr>
                <w:webHidden/>
                <w:rStyle w:val="IndexLink"/>
                <w:rtl w:val="true"/>
              </w:rPr>
              <w:t xml:space="preserve">گفتار دوم </w:t>
            </w:r>
            <w:r>
              <w:rPr>
                <w:rStyle w:val="IndexLink"/>
                <w:rtl w:val="true"/>
              </w:rPr>
              <w:t xml:space="preserve">- </w:t>
            </w:r>
            <w:r>
              <w:rPr>
                <w:rStyle w:val="IndexLink"/>
                <w:rtl w:val="true"/>
              </w:rPr>
              <w:t>یاد خدا</w:t>
            </w:r>
            <w:r>
              <w:rPr>
                <w:rStyle w:val="IndexLink"/>
                <w:rtl w:val="true"/>
              </w:rPr>
              <w:tab/>
            </w:r>
            <w:r>
              <w:rPr>
                <w:rStyle w:val="IndexLink"/>
              </w:rPr>
              <w:t>45</w:t>
            </w:r>
          </w:hyperlink>
        </w:p>
        <w:p>
          <w:pPr>
            <w:pStyle w:val="Contents4"/>
            <w:tabs>
              <w:tab w:val="clear" w:pos="8176"/>
              <w:tab w:val="right" w:pos="9026" w:leader="dot"/>
            </w:tabs>
            <w:rPr/>
          </w:pPr>
          <w:hyperlink w:anchor="__RefHeading___Toc2336520_581953129">
            <w:r>
              <w:rPr>
                <w:webHidden/>
                <w:rStyle w:val="IndexLink"/>
                <w:rtl w:val="true"/>
              </w:rPr>
              <w:t>گفتار سوم</w:t>
            </w:r>
            <w:r>
              <w:rPr>
                <w:rStyle w:val="IndexLink"/>
                <w:rtl w:val="true"/>
              </w:rPr>
              <w:t xml:space="preserve">- </w:t>
            </w:r>
            <w:r>
              <w:rPr>
                <w:rStyle w:val="IndexLink"/>
                <w:rtl w:val="true"/>
              </w:rPr>
              <w:t>عفت</w:t>
            </w:r>
            <w:r>
              <w:rPr>
                <w:rStyle w:val="IndexLink"/>
                <w:rtl w:val="true"/>
              </w:rPr>
              <w:tab/>
            </w:r>
            <w:r>
              <w:rPr>
                <w:rStyle w:val="IndexLink"/>
              </w:rPr>
              <w:t>47</w:t>
            </w:r>
          </w:hyperlink>
        </w:p>
        <w:p>
          <w:pPr>
            <w:pStyle w:val="Contents2"/>
            <w:tabs>
              <w:tab w:val="clear" w:pos="8743"/>
              <w:tab w:val="right" w:pos="9026" w:leader="dot"/>
            </w:tabs>
            <w:rPr/>
          </w:pPr>
          <w:hyperlink w:anchor="__RefHeading___Toc2336522_581953129">
            <w:r>
              <w:rPr>
                <w:webHidden/>
                <w:rStyle w:val="IndexLink"/>
                <w:rtl w:val="true"/>
              </w:rPr>
              <w:t xml:space="preserve">بخش سوم </w:t>
            </w:r>
            <w:r>
              <w:rPr>
                <w:rStyle w:val="IndexLink"/>
                <w:rtl w:val="true"/>
              </w:rPr>
              <w:t xml:space="preserve">: </w:t>
            </w:r>
            <w:r>
              <w:rPr>
                <w:rStyle w:val="IndexLink"/>
                <w:rtl w:val="true"/>
              </w:rPr>
              <w:t>پیش‌گیری ازجرم در نظام سیاسی ایران</w:t>
            </w:r>
            <w:r>
              <w:rPr>
                <w:rStyle w:val="IndexLink"/>
                <w:rtl w:val="true"/>
              </w:rPr>
              <w:tab/>
            </w:r>
            <w:r>
              <w:rPr>
                <w:rStyle w:val="IndexLink"/>
              </w:rPr>
              <w:t>51</w:t>
            </w:r>
          </w:hyperlink>
        </w:p>
        <w:p>
          <w:pPr>
            <w:pStyle w:val="Contents3"/>
            <w:tabs>
              <w:tab w:val="clear" w:pos="8459"/>
              <w:tab w:val="right" w:pos="9026" w:leader="dot"/>
            </w:tabs>
            <w:rPr/>
          </w:pPr>
          <w:hyperlink w:anchor="__RefHeading___Toc2336524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336526_581953129">
            <w:r>
              <w:rPr>
                <w:webHidden/>
                <w:rStyle w:val="IndexLink"/>
                <w:rtl w:val="true"/>
              </w:rPr>
              <w:t>فصل اول</w:t>
            </w:r>
            <w:r>
              <w:rPr>
                <w:rStyle w:val="IndexLink"/>
                <w:rtl w:val="true"/>
              </w:rPr>
              <w:t xml:space="preserve">: </w:t>
            </w:r>
            <w:r>
              <w:rPr>
                <w:rStyle w:val="IndexLink"/>
                <w:rtl w:val="true"/>
              </w:rPr>
              <w:t>تبیین نظام سیاسی ایران</w:t>
            </w:r>
            <w:r>
              <w:rPr>
                <w:rStyle w:val="IndexLink"/>
                <w:rtl w:val="true"/>
              </w:rPr>
              <w:tab/>
            </w:r>
            <w:r>
              <w:rPr>
                <w:rStyle w:val="IndexLink"/>
              </w:rPr>
              <w:t>53</w:t>
            </w:r>
          </w:hyperlink>
        </w:p>
        <w:p>
          <w:pPr>
            <w:pStyle w:val="Contents3"/>
            <w:tabs>
              <w:tab w:val="clear" w:pos="8459"/>
              <w:tab w:val="right" w:pos="9026" w:leader="dot"/>
            </w:tabs>
            <w:rPr/>
          </w:pPr>
          <w:hyperlink w:anchor="__RefHeading___Toc2336528_581953129">
            <w:r>
              <w:rPr>
                <w:webHidden/>
                <w:rStyle w:val="IndexLink"/>
                <w:rtl w:val="true"/>
              </w:rPr>
              <w:t xml:space="preserve">فصل دوم </w:t>
            </w:r>
            <w:r>
              <w:rPr>
                <w:rStyle w:val="IndexLink"/>
                <w:rtl w:val="true"/>
              </w:rPr>
              <w:t xml:space="preserve">: </w:t>
            </w:r>
            <w:r>
              <w:rPr>
                <w:rStyle w:val="IndexLink"/>
                <w:rtl w:val="true"/>
              </w:rPr>
              <w:t>پیش‌گیری از جرم در قانون اساسی</w:t>
            </w:r>
            <w:r>
              <w:rPr>
                <w:rStyle w:val="IndexLink"/>
                <w:rtl w:val="true"/>
              </w:rPr>
              <w:tab/>
            </w:r>
            <w:r>
              <w:rPr>
                <w:rStyle w:val="IndexLink"/>
              </w:rPr>
              <w:t>55</w:t>
            </w:r>
          </w:hyperlink>
        </w:p>
        <w:p>
          <w:pPr>
            <w:pStyle w:val="Contents4"/>
            <w:tabs>
              <w:tab w:val="clear" w:pos="8176"/>
              <w:tab w:val="right" w:pos="9026" w:leader="dot"/>
            </w:tabs>
            <w:rPr/>
          </w:pPr>
          <w:hyperlink w:anchor="__RefHeading___Toc2336530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336532_581953129">
            <w:r>
              <w:rPr>
                <w:webHidden/>
                <w:rStyle w:val="IndexLink"/>
                <w:rtl w:val="true"/>
              </w:rPr>
              <w:t>گفتار اول</w:t>
            </w:r>
            <w:r>
              <w:rPr>
                <w:rStyle w:val="IndexLink"/>
                <w:rtl w:val="true"/>
              </w:rPr>
              <w:t xml:space="preserve">: </w:t>
            </w:r>
            <w:r>
              <w:rPr>
                <w:rStyle w:val="IndexLink"/>
                <w:rtl w:val="true"/>
              </w:rPr>
              <w:t xml:space="preserve">پیش‌گیری از جرم حق یا وظیفه همگانی </w:t>
            </w:r>
            <w:r>
              <w:rPr>
                <w:rStyle w:val="IndexLink"/>
                <w:rtl w:val="true"/>
              </w:rPr>
              <w:t>(</w:t>
            </w:r>
            <w:r>
              <w:rPr>
                <w:rStyle w:val="IndexLink"/>
                <w:rtl w:val="true"/>
              </w:rPr>
              <w:t xml:space="preserve">بررسی اصل </w:t>
            </w:r>
            <w:r>
              <w:rPr>
                <w:rStyle w:val="IndexLink"/>
              </w:rPr>
              <w:t>8</w:t>
            </w:r>
            <w:r>
              <w:rPr>
                <w:rStyle w:val="IndexLink"/>
                <w:rtl w:val="true"/>
              </w:rPr>
              <w:t xml:space="preserve"> </w:t>
            </w:r>
            <w:r>
              <w:rPr>
                <w:rStyle w:val="IndexLink"/>
                <w:rtl w:val="true"/>
              </w:rPr>
              <w:t>قانون اساسی</w:t>
            </w:r>
            <w:r>
              <w:rPr>
                <w:rStyle w:val="IndexLink"/>
                <w:rtl w:val="true"/>
              </w:rPr>
              <w:t>)</w:t>
              <w:tab/>
            </w:r>
            <w:r>
              <w:rPr>
                <w:rStyle w:val="IndexLink"/>
              </w:rPr>
              <w:t>57</w:t>
            </w:r>
          </w:hyperlink>
        </w:p>
        <w:p>
          <w:pPr>
            <w:pStyle w:val="Contents4"/>
            <w:tabs>
              <w:tab w:val="clear" w:pos="8176"/>
              <w:tab w:val="right" w:pos="9026" w:leader="dot"/>
            </w:tabs>
            <w:rPr/>
          </w:pPr>
          <w:hyperlink w:anchor="__RefHeading___Toc2336534_581953129">
            <w:r>
              <w:rPr>
                <w:webHidden/>
                <w:rStyle w:val="IndexLink"/>
                <w:rtl w:val="true"/>
              </w:rPr>
              <w:t>گفتار دوم</w:t>
            </w:r>
            <w:r>
              <w:rPr>
                <w:rStyle w:val="IndexLink"/>
                <w:rtl w:val="true"/>
              </w:rPr>
              <w:t xml:space="preserve">: </w:t>
            </w:r>
            <w:r>
              <w:rPr>
                <w:rStyle w:val="IndexLink"/>
                <w:rtl w:val="true"/>
              </w:rPr>
              <w:t xml:space="preserve">بررسی اصل </w:t>
            </w:r>
            <w:r>
              <w:rPr>
                <w:rStyle w:val="IndexLink"/>
              </w:rPr>
              <w:t>156</w:t>
            </w:r>
            <w:r>
              <w:rPr>
                <w:rStyle w:val="IndexLink"/>
                <w:rtl w:val="true"/>
              </w:rPr>
              <w:t xml:space="preserve"> </w:t>
            </w:r>
            <w:r>
              <w:rPr>
                <w:rStyle w:val="IndexLink"/>
                <w:rtl w:val="true"/>
              </w:rPr>
              <w:t>قانون اساسی</w:t>
            </w:r>
            <w:r>
              <w:rPr>
                <w:rStyle w:val="IndexLink"/>
                <w:rtl w:val="true"/>
              </w:rPr>
              <w:tab/>
            </w:r>
            <w:r>
              <w:rPr>
                <w:rStyle w:val="IndexLink"/>
              </w:rPr>
              <w:t>73</w:t>
            </w:r>
          </w:hyperlink>
        </w:p>
        <w:p>
          <w:pPr>
            <w:pStyle w:val="Contents5"/>
            <w:tabs>
              <w:tab w:val="clear" w:pos="7892"/>
              <w:tab w:val="right" w:pos="9026" w:leader="dot"/>
            </w:tabs>
            <w:rPr/>
          </w:pPr>
          <w:hyperlink w:anchor="__RefHeading___Toc2336536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36538_581953129">
            <w:r>
              <w:rPr>
                <w:webHidden/>
                <w:rStyle w:val="IndexLink"/>
                <w:rtl w:val="true"/>
              </w:rPr>
              <w:t>مطلب اول</w:t>
            </w:r>
            <w:r>
              <w:rPr>
                <w:rStyle w:val="IndexLink"/>
                <w:rtl w:val="true"/>
              </w:rPr>
              <w:t xml:space="preserve">- </w:t>
            </w:r>
            <w:r>
              <w:rPr>
                <w:rStyle w:val="IndexLink"/>
                <w:rtl w:val="true"/>
              </w:rPr>
              <w:t>پیش‌گیری از وقوع جرم وظیفه مردم یا وظیفه قوه قضاییه؟</w:t>
            </w:r>
            <w:r>
              <w:rPr>
                <w:rStyle w:val="IndexLink"/>
                <w:rtl w:val="true"/>
              </w:rPr>
              <w:tab/>
            </w:r>
            <w:r>
              <w:rPr>
                <w:rStyle w:val="IndexLink"/>
              </w:rPr>
              <w:t>73</w:t>
            </w:r>
          </w:hyperlink>
        </w:p>
        <w:p>
          <w:pPr>
            <w:pStyle w:val="Contents5"/>
            <w:tabs>
              <w:tab w:val="clear" w:pos="7892"/>
              <w:tab w:val="right" w:pos="9026" w:leader="dot"/>
            </w:tabs>
            <w:rPr/>
          </w:pPr>
          <w:hyperlink w:anchor="__RefHeading___Toc2336540_581953129">
            <w:r>
              <w:rPr>
                <w:webHidden/>
                <w:rStyle w:val="IndexLink"/>
                <w:rtl w:val="true"/>
              </w:rPr>
              <w:t>مطلب دوم</w:t>
            </w:r>
            <w:r>
              <w:rPr>
                <w:rStyle w:val="IndexLink"/>
                <w:rtl w:val="true"/>
              </w:rPr>
              <w:t xml:space="preserve">: </w:t>
            </w:r>
            <w:r>
              <w:rPr>
                <w:rStyle w:val="IndexLink"/>
                <w:rtl w:val="true"/>
              </w:rPr>
              <w:t>پیش‌گیری از وقوع جرم وظیفه قوه مجریه یا قوه قضاییه؟</w:t>
            </w:r>
            <w:r>
              <w:rPr>
                <w:rStyle w:val="IndexLink"/>
                <w:rtl w:val="true"/>
              </w:rPr>
              <w:tab/>
            </w:r>
            <w:r>
              <w:rPr>
                <w:rStyle w:val="IndexLink"/>
              </w:rPr>
              <w:t>89</w:t>
            </w:r>
          </w:hyperlink>
        </w:p>
        <w:p>
          <w:pPr>
            <w:pStyle w:val="Contents4"/>
            <w:tabs>
              <w:tab w:val="clear" w:pos="8176"/>
              <w:tab w:val="right" w:pos="9026" w:leader="dot"/>
            </w:tabs>
            <w:rPr/>
          </w:pPr>
          <w:hyperlink w:anchor="__RefHeading___Toc2336542_581953129">
            <w:r>
              <w:rPr>
                <w:webHidden/>
                <w:rStyle w:val="IndexLink"/>
                <w:rtl w:val="true"/>
              </w:rPr>
              <w:t>گفتار سوم</w:t>
            </w:r>
            <w:r>
              <w:rPr>
                <w:rStyle w:val="IndexLink"/>
                <w:rtl w:val="true"/>
              </w:rPr>
              <w:t xml:space="preserve">: </w:t>
            </w:r>
            <w:r>
              <w:rPr>
                <w:rStyle w:val="IndexLink"/>
                <w:rtl w:val="true"/>
              </w:rPr>
              <w:t>بررسی اصل پنجاهم قانون اساسی</w:t>
            </w:r>
            <w:r>
              <w:rPr>
                <w:rStyle w:val="IndexLink"/>
                <w:rtl w:val="true"/>
              </w:rPr>
              <w:tab/>
            </w:r>
            <w:r>
              <w:rPr>
                <w:rStyle w:val="IndexLink"/>
              </w:rPr>
              <w:t>94</w:t>
            </w:r>
          </w:hyperlink>
        </w:p>
        <w:p>
          <w:pPr>
            <w:pStyle w:val="Contents4"/>
            <w:tabs>
              <w:tab w:val="clear" w:pos="8176"/>
              <w:tab w:val="right" w:pos="9026" w:leader="dot"/>
            </w:tabs>
            <w:rPr/>
          </w:pPr>
          <w:hyperlink w:anchor="__RefHeading___Toc2336544_581953129">
            <w:r>
              <w:rPr>
                <w:webHidden/>
                <w:rStyle w:val="IndexLink"/>
                <w:rtl w:val="true"/>
              </w:rPr>
              <w:t>گفتار چهارم</w:t>
            </w:r>
            <w:r>
              <w:rPr>
                <w:rStyle w:val="IndexLink"/>
                <w:rtl w:val="true"/>
              </w:rPr>
              <w:t xml:space="preserve">: </w:t>
            </w:r>
            <w:r>
              <w:rPr>
                <w:rStyle w:val="IndexLink"/>
                <w:rtl w:val="true"/>
              </w:rPr>
              <w:t xml:space="preserve">بررسی اصل </w:t>
            </w:r>
            <w:r>
              <w:rPr>
                <w:rStyle w:val="IndexLink"/>
              </w:rPr>
              <w:t>142</w:t>
            </w:r>
            <w:r>
              <w:rPr>
                <w:rStyle w:val="IndexLink"/>
                <w:rtl w:val="true"/>
              </w:rPr>
              <w:t xml:space="preserve"> </w:t>
            </w:r>
            <w:r>
              <w:rPr>
                <w:rStyle w:val="IndexLink"/>
                <w:rtl w:val="true"/>
              </w:rPr>
              <w:t>قانون اساسی</w:t>
            </w:r>
            <w:r>
              <w:rPr>
                <w:rStyle w:val="IndexLink"/>
                <w:rtl w:val="true"/>
              </w:rPr>
              <w:tab/>
            </w:r>
            <w:r>
              <w:rPr>
                <w:rStyle w:val="IndexLink"/>
              </w:rPr>
              <w:t>96</w:t>
            </w:r>
          </w:hyperlink>
        </w:p>
        <w:p>
          <w:pPr>
            <w:pStyle w:val="Contents3"/>
            <w:tabs>
              <w:tab w:val="clear" w:pos="8459"/>
              <w:tab w:val="right" w:pos="9026" w:leader="dot"/>
            </w:tabs>
            <w:rPr/>
          </w:pPr>
          <w:hyperlink w:anchor="__RefHeading___Toc2336546_581953129">
            <w:r>
              <w:rPr>
                <w:webHidden/>
                <w:rStyle w:val="IndexLink"/>
                <w:rtl w:val="true"/>
              </w:rPr>
              <w:t xml:space="preserve">فصل سوم </w:t>
            </w:r>
            <w:r>
              <w:rPr>
                <w:rStyle w:val="IndexLink"/>
                <w:rtl w:val="true"/>
              </w:rPr>
              <w:t>:</w:t>
            </w:r>
            <w:r>
              <w:rPr>
                <w:rStyle w:val="IndexLink"/>
                <w:rtl w:val="true"/>
              </w:rPr>
              <w:t>پیش‌گیری از جرم در قوانین عادی</w:t>
            </w:r>
            <w:r>
              <w:rPr>
                <w:rStyle w:val="IndexLink"/>
                <w:rtl w:val="true"/>
              </w:rPr>
              <w:tab/>
            </w:r>
            <w:r>
              <w:rPr>
                <w:rStyle w:val="IndexLink"/>
              </w:rPr>
              <w:t>99</w:t>
            </w:r>
          </w:hyperlink>
        </w:p>
        <w:p>
          <w:pPr>
            <w:pStyle w:val="Contents4"/>
            <w:tabs>
              <w:tab w:val="clear" w:pos="8176"/>
              <w:tab w:val="right" w:pos="9026" w:leader="dot"/>
            </w:tabs>
            <w:rPr/>
          </w:pPr>
          <w:hyperlink w:anchor="__RefHeading___Toc2336548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336550_581953129">
            <w:r>
              <w:rPr>
                <w:webHidden/>
                <w:rStyle w:val="IndexLink"/>
                <w:rtl w:val="true"/>
              </w:rPr>
              <w:t>گفتار اول</w:t>
            </w:r>
            <w:r>
              <w:rPr>
                <w:rStyle w:val="IndexLink"/>
                <w:rtl w:val="true"/>
              </w:rPr>
              <w:t xml:space="preserve">: </w:t>
            </w:r>
            <w:r>
              <w:rPr>
                <w:rStyle w:val="IndexLink"/>
                <w:rtl w:val="true"/>
              </w:rPr>
              <w:t>قانون اقدامات تأمینی</w:t>
            </w:r>
            <w:r>
              <w:rPr>
                <w:rStyle w:val="IndexLink"/>
                <w:rtl w:val="true"/>
              </w:rPr>
              <w:tab/>
            </w:r>
            <w:r>
              <w:rPr>
                <w:rStyle w:val="IndexLink"/>
              </w:rPr>
              <w:t>99</w:t>
            </w:r>
          </w:hyperlink>
        </w:p>
        <w:p>
          <w:pPr>
            <w:pStyle w:val="Contents4"/>
            <w:tabs>
              <w:tab w:val="clear" w:pos="8176"/>
              <w:tab w:val="right" w:pos="9026" w:leader="dot"/>
            </w:tabs>
            <w:rPr/>
          </w:pPr>
          <w:hyperlink w:anchor="__RefHeading___Toc2336552_581953129">
            <w:r>
              <w:rPr>
                <w:webHidden/>
                <w:rStyle w:val="IndexLink"/>
                <w:rtl w:val="true"/>
              </w:rPr>
              <w:t>گفتاردوم</w:t>
            </w:r>
            <w:r>
              <w:rPr>
                <w:rStyle w:val="IndexLink"/>
                <w:rtl w:val="true"/>
              </w:rPr>
              <w:t xml:space="preserve">: </w:t>
            </w:r>
            <w:r>
              <w:rPr>
                <w:rStyle w:val="IndexLink"/>
                <w:rtl w:val="true"/>
              </w:rPr>
              <w:t>برخی مواد قانون مجازات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2336554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336556_581953129">
            <w:r>
              <w:rPr>
                <w:webHidden/>
                <w:rStyle w:val="IndexLink"/>
              </w:rPr>
              <w:t>1</w:t>
            </w:r>
            <w:r>
              <w:rPr>
                <w:rStyle w:val="IndexLink"/>
                <w:rtl w:val="true"/>
              </w:rPr>
              <w:t xml:space="preserve">. </w:t>
            </w:r>
            <w:r>
              <w:rPr>
                <w:rStyle w:val="IndexLink"/>
                <w:rtl w:val="true"/>
              </w:rPr>
              <w:t>مجازات های بازدارنده</w:t>
            </w:r>
            <w:r>
              <w:rPr>
                <w:rStyle w:val="IndexLink"/>
                <w:rtl w:val="true"/>
              </w:rPr>
              <w:tab/>
            </w:r>
            <w:r>
              <w:rPr>
                <w:rStyle w:val="IndexLink"/>
              </w:rPr>
              <w:t>110</w:t>
            </w:r>
          </w:hyperlink>
        </w:p>
        <w:p>
          <w:pPr>
            <w:pStyle w:val="Contents5"/>
            <w:tabs>
              <w:tab w:val="clear" w:pos="7892"/>
              <w:tab w:val="right" w:pos="9026" w:leader="dot"/>
            </w:tabs>
            <w:rPr/>
          </w:pPr>
          <w:hyperlink w:anchor="__RefHeading___Toc2336558_581953129">
            <w:r>
              <w:rPr>
                <w:webHidden/>
                <w:rStyle w:val="IndexLink"/>
              </w:rPr>
              <w:t>2</w:t>
            </w:r>
            <w:r>
              <w:rPr>
                <w:rStyle w:val="IndexLink"/>
                <w:rtl w:val="true"/>
              </w:rPr>
              <w:t xml:space="preserve">. </w:t>
            </w:r>
            <w:r>
              <w:rPr>
                <w:rStyle w:val="IndexLink"/>
                <w:rtl w:val="true"/>
              </w:rPr>
              <w:t>پیش گیری از جرم در مقام دفاع</w:t>
            </w:r>
            <w:r>
              <w:rPr>
                <w:rStyle w:val="IndexLink"/>
                <w:rtl w:val="true"/>
              </w:rPr>
              <w:tab/>
            </w:r>
            <w:r>
              <w:rPr>
                <w:rStyle w:val="IndexLink"/>
              </w:rPr>
              <w:t>111</w:t>
            </w:r>
          </w:hyperlink>
        </w:p>
        <w:p>
          <w:pPr>
            <w:pStyle w:val="Contents5"/>
            <w:tabs>
              <w:tab w:val="clear" w:pos="7892"/>
              <w:tab w:val="right" w:pos="9026" w:leader="dot"/>
            </w:tabs>
            <w:rPr/>
          </w:pPr>
          <w:hyperlink w:anchor="__RefHeading___Toc2336560_581953129">
            <w:r>
              <w:rPr>
                <w:webHidden/>
                <w:rStyle w:val="IndexLink"/>
              </w:rPr>
              <w:t>3</w:t>
            </w:r>
            <w:r>
              <w:rPr>
                <w:rStyle w:val="IndexLink"/>
                <w:rtl w:val="true"/>
              </w:rPr>
              <w:t xml:space="preserve">- </w:t>
            </w:r>
            <w:r>
              <w:rPr>
                <w:rStyle w:val="IndexLink"/>
                <w:rtl w:val="true"/>
              </w:rPr>
              <w:t>پیش گیری از جرم محاربه</w:t>
            </w:r>
            <w:r>
              <w:rPr>
                <w:rStyle w:val="IndexLink"/>
                <w:rtl w:val="true"/>
              </w:rPr>
              <w:tab/>
            </w:r>
            <w:r>
              <w:rPr>
                <w:rStyle w:val="IndexLink"/>
              </w:rPr>
              <w:t>114</w:t>
            </w:r>
          </w:hyperlink>
        </w:p>
        <w:p>
          <w:pPr>
            <w:pStyle w:val="Contents4"/>
            <w:tabs>
              <w:tab w:val="clear" w:pos="8176"/>
              <w:tab w:val="right" w:pos="9026" w:leader="dot"/>
            </w:tabs>
            <w:rPr/>
          </w:pPr>
          <w:hyperlink w:anchor="__RefHeading___Toc2336562_581953129">
            <w:r>
              <w:rPr>
                <w:webHidden/>
                <w:rStyle w:val="IndexLink"/>
                <w:rtl w:val="true"/>
              </w:rPr>
              <w:t>گفتار سوم</w:t>
            </w:r>
            <w:r>
              <w:rPr>
                <w:rStyle w:val="IndexLink"/>
                <w:rtl w:val="true"/>
              </w:rPr>
              <w:t xml:space="preserve">: </w:t>
            </w:r>
            <w:r>
              <w:rPr>
                <w:rStyle w:val="IndexLink"/>
                <w:rtl w:val="true"/>
              </w:rPr>
              <w:t>قانون جلوگیری از تصرف عدوانی</w:t>
            </w:r>
            <w:r>
              <w:rPr>
                <w:rStyle w:val="IndexLink"/>
                <w:rtl w:val="true"/>
              </w:rPr>
              <w:tab/>
            </w:r>
            <w:r>
              <w:rPr>
                <w:rStyle w:val="IndexLink"/>
              </w:rPr>
              <w:t>115</w:t>
            </w:r>
          </w:hyperlink>
        </w:p>
        <w:p>
          <w:pPr>
            <w:pStyle w:val="Contents4"/>
            <w:tabs>
              <w:tab w:val="clear" w:pos="8176"/>
              <w:tab w:val="right" w:pos="9026" w:leader="dot"/>
            </w:tabs>
            <w:rPr/>
          </w:pPr>
          <w:hyperlink w:anchor="__RefHeading___Toc2336564_581953129">
            <w:r>
              <w:rPr>
                <w:webHidden/>
                <w:rStyle w:val="IndexLink"/>
                <w:rtl w:val="true"/>
              </w:rPr>
              <w:t>گفتار چهارم</w:t>
            </w:r>
            <w:r>
              <w:rPr>
                <w:rStyle w:val="IndexLink"/>
                <w:rtl w:val="true"/>
              </w:rPr>
              <w:t xml:space="preserve">: </w:t>
            </w:r>
            <w:r>
              <w:rPr>
                <w:rStyle w:val="IndexLink"/>
                <w:rtl w:val="true"/>
              </w:rPr>
              <w:t>قانون نیروی انتظامی جمهوری اسلامی ایران</w:t>
            </w:r>
            <w:r>
              <w:rPr>
                <w:rStyle w:val="IndexLink"/>
                <w:rtl w:val="true"/>
              </w:rPr>
              <w:tab/>
            </w:r>
            <w:r>
              <w:rPr>
                <w:rStyle w:val="IndexLink"/>
              </w:rPr>
              <w:t>117</w:t>
            </w:r>
          </w:hyperlink>
        </w:p>
        <w:p>
          <w:pPr>
            <w:pStyle w:val="Contents4"/>
            <w:tabs>
              <w:tab w:val="clear" w:pos="8176"/>
              <w:tab w:val="right" w:pos="9026" w:leader="dot"/>
            </w:tabs>
            <w:rPr/>
          </w:pPr>
          <w:hyperlink w:anchor="__RefHeading___Toc2336566_581953129">
            <w:r>
              <w:rPr>
                <w:webHidden/>
                <w:rStyle w:val="IndexLink"/>
                <w:rtl w:val="true"/>
              </w:rPr>
              <w:t>گفتار پنجم</w:t>
            </w:r>
            <w:r>
              <w:rPr>
                <w:rStyle w:val="IndexLink"/>
                <w:rtl w:val="true"/>
              </w:rPr>
              <w:t xml:space="preserve">: </w:t>
            </w:r>
            <w:r>
              <w:rPr>
                <w:rStyle w:val="IndexLink"/>
                <w:rtl w:val="true"/>
              </w:rPr>
              <w:t>پیش‌گیری از جرم توسط نیروی مقاومت بسیج؟</w:t>
            </w:r>
            <w:r>
              <w:rPr>
                <w:rStyle w:val="IndexLink"/>
                <w:rtl w:val="true"/>
              </w:rPr>
              <w:tab/>
            </w:r>
            <w:r>
              <w:rPr>
                <w:rStyle w:val="IndexLink"/>
              </w:rPr>
              <w:t>122</w:t>
            </w:r>
          </w:hyperlink>
        </w:p>
        <w:p>
          <w:pPr>
            <w:pStyle w:val="Contents4"/>
            <w:tabs>
              <w:tab w:val="clear" w:pos="8176"/>
              <w:tab w:val="right" w:pos="9026" w:leader="dot"/>
            </w:tabs>
            <w:rPr/>
          </w:pPr>
          <w:hyperlink w:anchor="__RefHeading___Toc2336568_581953129">
            <w:r>
              <w:rPr>
                <w:webHidden/>
                <w:rStyle w:val="IndexLink"/>
                <w:rtl w:val="true"/>
              </w:rPr>
              <w:t>گفتار ششم</w:t>
            </w:r>
            <w:r>
              <w:rPr>
                <w:rStyle w:val="IndexLink"/>
                <w:rtl w:val="true"/>
              </w:rPr>
              <w:t xml:space="preserve">: </w:t>
            </w:r>
            <w:r>
              <w:rPr>
                <w:rStyle w:val="IndexLink"/>
                <w:rtl w:val="true"/>
              </w:rPr>
              <w:t>نگاهی به لایحه پیش‌گیری از جرم</w:t>
            </w:r>
            <w:r>
              <w:rPr>
                <w:rStyle w:val="IndexLink"/>
                <w:rtl w:val="true"/>
              </w:rPr>
              <w:tab/>
            </w:r>
            <w:r>
              <w:rPr>
                <w:rStyle w:val="IndexLink"/>
              </w:rPr>
              <w:t>124</w:t>
            </w:r>
          </w:hyperlink>
        </w:p>
        <w:p>
          <w:pPr>
            <w:pStyle w:val="Contents4"/>
            <w:tabs>
              <w:tab w:val="clear" w:pos="8176"/>
              <w:tab w:val="right" w:pos="9026" w:leader="dot"/>
            </w:tabs>
            <w:rPr/>
          </w:pPr>
          <w:hyperlink w:anchor="__RefHeading___Toc2336570_581953129">
            <w:r>
              <w:rPr>
                <w:webHidden/>
                <w:rStyle w:val="IndexLink"/>
                <w:rtl w:val="true"/>
              </w:rPr>
              <w:t>گفتار هفتم</w:t>
            </w:r>
            <w:r>
              <w:rPr>
                <w:rStyle w:val="IndexLink"/>
                <w:rtl w:val="true"/>
              </w:rPr>
              <w:t xml:space="preserve">: </w:t>
            </w:r>
            <w:r>
              <w:rPr>
                <w:rStyle w:val="IndexLink"/>
                <w:rtl w:val="true"/>
              </w:rPr>
              <w:t>قانون از کجا آورده ای؟</w:t>
            </w:r>
            <w:r>
              <w:rPr>
                <w:rStyle w:val="IndexLink"/>
                <w:rtl w:val="true"/>
              </w:rPr>
              <w:tab/>
            </w:r>
            <w:r>
              <w:rPr>
                <w:rStyle w:val="IndexLink"/>
              </w:rPr>
              <w:t>131</w:t>
            </w:r>
          </w:hyperlink>
        </w:p>
        <w:p>
          <w:pPr>
            <w:pStyle w:val="Contents3"/>
            <w:tabs>
              <w:tab w:val="clear" w:pos="8459"/>
              <w:tab w:val="right" w:pos="9026" w:leader="dot"/>
            </w:tabs>
            <w:rPr/>
          </w:pPr>
          <w:hyperlink w:anchor="__RefHeading___Toc2336572_581953129">
            <w:r>
              <w:rPr>
                <w:webHidden/>
                <w:rStyle w:val="IndexLink"/>
                <w:rtl w:val="true"/>
              </w:rPr>
              <w:t>فصل چهارم</w:t>
            </w:r>
            <w:r>
              <w:rPr>
                <w:rStyle w:val="IndexLink"/>
                <w:rtl w:val="true"/>
              </w:rPr>
              <w:t>:</w:t>
            </w:r>
            <w:r>
              <w:rPr>
                <w:rStyle w:val="IndexLink"/>
                <w:rtl w:val="true"/>
              </w:rPr>
              <w:t>راه های نادرست پیش‌گیری از وقوع جرم</w:t>
            </w:r>
            <w:r>
              <w:rPr>
                <w:rStyle w:val="IndexLink"/>
                <w:rtl w:val="true"/>
              </w:rPr>
              <w:tab/>
            </w:r>
            <w:r>
              <w:rPr>
                <w:rStyle w:val="IndexLink"/>
              </w:rPr>
              <w:t>134</w:t>
            </w:r>
          </w:hyperlink>
        </w:p>
        <w:p>
          <w:pPr>
            <w:pStyle w:val="Contents4"/>
            <w:tabs>
              <w:tab w:val="clear" w:pos="8176"/>
              <w:tab w:val="right" w:pos="9026" w:leader="dot"/>
            </w:tabs>
            <w:rPr/>
          </w:pPr>
          <w:hyperlink w:anchor="__RefHeading___Toc2336574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336576_581953129">
            <w:r>
              <w:rPr>
                <w:webHidden/>
                <w:rStyle w:val="IndexLink"/>
                <w:rtl w:val="true"/>
              </w:rPr>
              <w:t>گفتار اول</w:t>
            </w:r>
            <w:r>
              <w:rPr>
                <w:rStyle w:val="IndexLink"/>
                <w:rtl w:val="true"/>
              </w:rPr>
              <w:t xml:space="preserve">- </w:t>
            </w:r>
            <w:r>
              <w:rPr>
                <w:rStyle w:val="IndexLink"/>
                <w:rtl w:val="true"/>
              </w:rPr>
              <w:t>جرم انگاری تهیه وسایل جرم</w:t>
            </w:r>
            <w:r>
              <w:rPr>
                <w:rStyle w:val="IndexLink"/>
                <w:rtl w:val="true"/>
              </w:rPr>
              <w:t>:</w:t>
              <w:tab/>
            </w:r>
            <w:r>
              <w:rPr>
                <w:rStyle w:val="IndexLink"/>
              </w:rPr>
              <w:t>134</w:t>
            </w:r>
          </w:hyperlink>
        </w:p>
        <w:p>
          <w:pPr>
            <w:pStyle w:val="Contents4"/>
            <w:tabs>
              <w:tab w:val="clear" w:pos="8176"/>
              <w:tab w:val="right" w:pos="9026" w:leader="dot"/>
            </w:tabs>
            <w:rPr/>
          </w:pPr>
          <w:hyperlink w:anchor="__RefHeading___Toc2336578_581953129">
            <w:r>
              <w:rPr>
                <w:webHidden/>
                <w:rStyle w:val="IndexLink"/>
                <w:rtl w:val="true"/>
              </w:rPr>
              <w:t>گفتار دوم</w:t>
            </w:r>
            <w:r>
              <w:rPr>
                <w:rStyle w:val="IndexLink"/>
                <w:rtl w:val="true"/>
              </w:rPr>
              <w:t xml:space="preserve">- </w:t>
            </w:r>
            <w:r>
              <w:rPr>
                <w:rStyle w:val="IndexLink"/>
                <w:rtl w:val="true"/>
              </w:rPr>
              <w:t>اعمال مجازات به عنوان پیش‌گیری از وقوع جرم</w:t>
            </w:r>
            <w:r>
              <w:rPr>
                <w:rStyle w:val="IndexLink"/>
                <w:rtl w:val="true"/>
              </w:rPr>
              <w:tab/>
            </w:r>
            <w:r>
              <w:rPr>
                <w:rStyle w:val="IndexLink"/>
              </w:rPr>
              <w:t>138</w:t>
            </w:r>
          </w:hyperlink>
        </w:p>
        <w:p>
          <w:pPr>
            <w:pStyle w:val="Contents4"/>
            <w:tabs>
              <w:tab w:val="clear" w:pos="8176"/>
              <w:tab w:val="right" w:pos="9026" w:leader="dot"/>
            </w:tabs>
            <w:rPr/>
          </w:pPr>
          <w:hyperlink w:anchor="__RefHeading___Toc2336580_581953129">
            <w:r>
              <w:rPr>
                <w:webHidden/>
                <w:rStyle w:val="IndexLink"/>
                <w:rtl w:val="true"/>
              </w:rPr>
              <w:t>گفتار سوم</w:t>
            </w:r>
            <w:r>
              <w:rPr>
                <w:rStyle w:val="IndexLink"/>
                <w:rtl w:val="true"/>
              </w:rPr>
              <w:t xml:space="preserve">- </w:t>
            </w:r>
            <w:r>
              <w:rPr>
                <w:rStyle w:val="IndexLink"/>
                <w:rtl w:val="true"/>
              </w:rPr>
              <w:t>مجازات علنی</w:t>
            </w:r>
            <w:r>
              <w:rPr>
                <w:rStyle w:val="IndexLink"/>
                <w:rtl w:val="true"/>
              </w:rPr>
              <w:tab/>
            </w:r>
            <w:r>
              <w:rPr>
                <w:rStyle w:val="IndexLink"/>
              </w:rPr>
              <w:t>143</w:t>
            </w:r>
          </w:hyperlink>
        </w:p>
        <w:p>
          <w:pPr>
            <w:pStyle w:val="Contents4"/>
            <w:tabs>
              <w:tab w:val="clear" w:pos="8176"/>
              <w:tab w:val="right" w:pos="9026" w:leader="dot"/>
            </w:tabs>
            <w:rPr/>
          </w:pPr>
          <w:hyperlink w:anchor="__RefHeading___Toc2336582_581953129">
            <w:r>
              <w:rPr>
                <w:webHidden/>
                <w:rStyle w:val="IndexLink"/>
                <w:rtl w:val="true"/>
              </w:rPr>
              <w:t>گفتار چهارم</w:t>
            </w:r>
            <w:r>
              <w:rPr>
                <w:rStyle w:val="IndexLink"/>
                <w:rtl w:val="true"/>
              </w:rPr>
              <w:t xml:space="preserve">- </w:t>
            </w:r>
            <w:r>
              <w:rPr>
                <w:rStyle w:val="IndexLink"/>
                <w:rtl w:val="true"/>
              </w:rPr>
              <w:t>پیش‌گیری عملی از جرم توسط مردم عادی</w:t>
            </w:r>
            <w:r>
              <w:rPr>
                <w:rStyle w:val="IndexLink"/>
                <w:rtl w:val="true"/>
              </w:rPr>
              <w:tab/>
            </w:r>
            <w:r>
              <w:rPr>
                <w:rStyle w:val="IndexLink"/>
              </w:rPr>
              <w:t>148</w:t>
            </w:r>
          </w:hyperlink>
        </w:p>
        <w:p>
          <w:pPr>
            <w:pStyle w:val="Contents4"/>
            <w:tabs>
              <w:tab w:val="clear" w:pos="8176"/>
              <w:tab w:val="right" w:pos="9026" w:leader="dot"/>
            </w:tabs>
            <w:rPr/>
          </w:pPr>
          <w:hyperlink w:anchor="__RefHeading___Toc2336584_581953129">
            <w:r>
              <w:rPr>
                <w:webHidden/>
                <w:rStyle w:val="IndexLink"/>
                <w:rtl w:val="true"/>
              </w:rPr>
              <w:t>گفتار پنجم</w:t>
            </w:r>
            <w:r>
              <w:rPr>
                <w:rStyle w:val="IndexLink"/>
                <w:rtl w:val="true"/>
              </w:rPr>
              <w:t xml:space="preserve">- </w:t>
            </w:r>
            <w:r>
              <w:rPr>
                <w:rStyle w:val="IndexLink"/>
                <w:rtl w:val="true"/>
              </w:rPr>
              <w:t>افراط در پیش‌گیری از جرم</w:t>
            </w:r>
            <w:r>
              <w:rPr>
                <w:rStyle w:val="IndexLink"/>
                <w:rtl w:val="true"/>
              </w:rPr>
              <w:tab/>
            </w:r>
            <w:r>
              <w:rPr>
                <w:rStyle w:val="IndexLink"/>
              </w:rPr>
              <w:t>150</w:t>
            </w:r>
          </w:hyperlink>
        </w:p>
        <w:p>
          <w:pPr>
            <w:pStyle w:val="Contents3"/>
            <w:tabs>
              <w:tab w:val="clear" w:pos="8459"/>
              <w:tab w:val="right" w:pos="9026" w:leader="dot"/>
            </w:tabs>
            <w:rPr/>
          </w:pPr>
          <w:hyperlink w:anchor="__RefHeading___Toc2336586_581953129">
            <w:r>
              <w:rPr>
                <w:webHidden/>
                <w:rStyle w:val="IndexLink"/>
                <w:rtl w:val="true"/>
              </w:rPr>
              <w:t>فصل پنجم</w:t>
            </w:r>
            <w:r>
              <w:rPr>
                <w:rStyle w:val="IndexLink"/>
                <w:rtl w:val="true"/>
              </w:rPr>
              <w:t>:</w:t>
            </w:r>
            <w:r>
              <w:rPr>
                <w:rStyle w:val="IndexLink"/>
                <w:rtl w:val="true"/>
              </w:rPr>
              <w:t>استفاده از تجربیات فراملی در پیش‌گیری از جرم</w:t>
            </w:r>
            <w:r>
              <w:rPr>
                <w:rStyle w:val="IndexLink"/>
                <w:rtl w:val="true"/>
              </w:rPr>
              <w:tab/>
            </w:r>
            <w:r>
              <w:rPr>
                <w:rStyle w:val="IndexLink"/>
              </w:rPr>
              <w:t>152</w:t>
            </w:r>
          </w:hyperlink>
        </w:p>
        <w:p>
          <w:pPr>
            <w:pStyle w:val="Contents4"/>
            <w:tabs>
              <w:tab w:val="clear" w:pos="8176"/>
              <w:tab w:val="right" w:pos="9026" w:leader="dot"/>
            </w:tabs>
            <w:rPr/>
          </w:pPr>
          <w:hyperlink w:anchor="__RefHeading___Toc2336588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336590_581953129">
            <w:r>
              <w:rPr>
                <w:webHidden/>
                <w:rStyle w:val="IndexLink"/>
              </w:rPr>
              <w:t>1</w:t>
            </w:r>
            <w:r>
              <w:rPr>
                <w:rStyle w:val="IndexLink"/>
                <w:rtl w:val="true"/>
              </w:rPr>
              <w:t xml:space="preserve"> - </w:t>
            </w:r>
            <w:r>
              <w:rPr>
                <w:rStyle w:val="IndexLink"/>
                <w:rtl w:val="true"/>
              </w:rPr>
              <w:t>سازمان ملل متحد</w:t>
            </w:r>
            <w:r>
              <w:rPr>
                <w:rStyle w:val="IndexLink"/>
                <w:rtl w:val="true"/>
              </w:rPr>
              <w:t>:</w:t>
              <w:tab/>
            </w:r>
            <w:r>
              <w:rPr>
                <w:rStyle w:val="IndexLink"/>
              </w:rPr>
              <w:t>153</w:t>
            </w:r>
          </w:hyperlink>
        </w:p>
        <w:p>
          <w:pPr>
            <w:pStyle w:val="Contents5"/>
            <w:tabs>
              <w:tab w:val="clear" w:pos="7892"/>
              <w:tab w:val="right" w:pos="9026" w:leader="dot"/>
            </w:tabs>
            <w:rPr/>
          </w:pPr>
          <w:hyperlink w:anchor="__RefHeading___Toc2336592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336594_581953129">
            <w:r>
              <w:rPr>
                <w:webHidden/>
                <w:rStyle w:val="IndexLink"/>
                <w:rtl w:val="true"/>
              </w:rPr>
              <w:t>الف</w:t>
            </w:r>
            <w:r>
              <w:rPr>
                <w:rStyle w:val="IndexLink"/>
                <w:rtl w:val="true"/>
              </w:rPr>
              <w:t xml:space="preserve">. </w:t>
            </w:r>
            <w:r>
              <w:rPr>
                <w:rStyle w:val="IndexLink"/>
                <w:rtl w:val="true"/>
              </w:rPr>
              <w:t>توسعه نهادی</w:t>
            </w:r>
            <w:r>
              <w:rPr>
                <w:rStyle w:val="IndexLink"/>
                <w:rtl w:val="true"/>
              </w:rPr>
              <w:t>:</w:t>
              <w:tab/>
            </w:r>
            <w:r>
              <w:rPr>
                <w:rStyle w:val="IndexLink"/>
              </w:rPr>
              <w:t>153</w:t>
            </w:r>
          </w:hyperlink>
        </w:p>
        <w:p>
          <w:pPr>
            <w:pStyle w:val="Contents5"/>
            <w:tabs>
              <w:tab w:val="clear" w:pos="7892"/>
              <w:tab w:val="right" w:pos="9026" w:leader="dot"/>
            </w:tabs>
            <w:rPr/>
          </w:pPr>
          <w:hyperlink w:anchor="__RefHeading___Toc2336596_581953129">
            <w:r>
              <w:rPr>
                <w:webHidden/>
                <w:rStyle w:val="IndexLink"/>
                <w:rtl w:val="true"/>
              </w:rPr>
              <w:t>ب</w:t>
            </w:r>
            <w:r>
              <w:rPr>
                <w:rStyle w:val="IndexLink"/>
                <w:rtl w:val="true"/>
              </w:rPr>
              <w:t xml:space="preserve">. </w:t>
            </w:r>
            <w:r>
              <w:rPr>
                <w:rStyle w:val="IndexLink"/>
                <w:rtl w:val="true"/>
              </w:rPr>
              <w:t>کاهش فرصت ها</w:t>
            </w:r>
            <w:r>
              <w:rPr>
                <w:rStyle w:val="IndexLink"/>
                <w:rtl w:val="true"/>
              </w:rPr>
              <w:t>:</w:t>
              <w:tab/>
            </w:r>
            <w:r>
              <w:rPr>
                <w:rStyle w:val="IndexLink"/>
              </w:rPr>
              <w:t>154</w:t>
            </w:r>
          </w:hyperlink>
        </w:p>
        <w:p>
          <w:pPr>
            <w:pStyle w:val="Contents6"/>
            <w:tabs>
              <w:tab w:val="clear" w:pos="7609"/>
              <w:tab w:val="right" w:pos="9026" w:leader="dot"/>
            </w:tabs>
            <w:rPr/>
          </w:pPr>
          <w:hyperlink w:anchor="__RefHeading___Toc2336598_58195312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336600_581953129">
            <w:r>
              <w:rPr>
                <w:webHidden/>
                <w:rStyle w:val="IndexLink"/>
                <w:rtl w:val="true"/>
              </w:rPr>
              <w:t>الف</w:t>
            </w:r>
            <w:r>
              <w:rPr>
                <w:rStyle w:val="IndexLink"/>
                <w:rtl w:val="true"/>
              </w:rPr>
              <w:t xml:space="preserve">: </w:t>
            </w:r>
            <w:r>
              <w:rPr>
                <w:rStyle w:val="IndexLink"/>
                <w:rtl w:val="true"/>
              </w:rPr>
              <w:t>توسعه نهادی</w:t>
            </w:r>
            <w:r>
              <w:rPr>
                <w:rStyle w:val="IndexLink"/>
                <w:rtl w:val="true"/>
              </w:rPr>
              <w:t>:</w:t>
              <w:tab/>
            </w:r>
            <w:r>
              <w:rPr>
                <w:rStyle w:val="IndexLink"/>
              </w:rPr>
              <w:t>154</w:t>
            </w:r>
          </w:hyperlink>
        </w:p>
        <w:p>
          <w:pPr>
            <w:pStyle w:val="Contents6"/>
            <w:tabs>
              <w:tab w:val="clear" w:pos="7609"/>
              <w:tab w:val="right" w:pos="9026" w:leader="dot"/>
            </w:tabs>
            <w:rPr/>
          </w:pPr>
          <w:hyperlink w:anchor="__RefHeading___Toc2336602_581953129">
            <w:r>
              <w:rPr>
                <w:webHidden/>
                <w:rStyle w:val="IndexLink"/>
                <w:rtl w:val="true"/>
              </w:rPr>
              <w:t>ب</w:t>
            </w:r>
            <w:r>
              <w:rPr>
                <w:rStyle w:val="IndexLink"/>
                <w:rtl w:val="true"/>
              </w:rPr>
              <w:t xml:space="preserve">: </w:t>
            </w:r>
            <w:r>
              <w:rPr>
                <w:rStyle w:val="IndexLink"/>
                <w:rtl w:val="true"/>
              </w:rPr>
              <w:t>کاهش فرصت ها</w:t>
            </w:r>
            <w:r>
              <w:rPr>
                <w:rStyle w:val="IndexLink"/>
                <w:rtl w:val="true"/>
              </w:rPr>
              <w:t>:</w:t>
              <w:tab/>
            </w:r>
            <w:r>
              <w:rPr>
                <w:rStyle w:val="IndexLink"/>
              </w:rPr>
              <w:t>155</w:t>
            </w:r>
          </w:hyperlink>
        </w:p>
        <w:p>
          <w:pPr>
            <w:pStyle w:val="Contents5"/>
            <w:tabs>
              <w:tab w:val="clear" w:pos="7892"/>
              <w:tab w:val="right" w:pos="9026" w:leader="dot"/>
            </w:tabs>
            <w:rPr/>
          </w:pPr>
          <w:hyperlink w:anchor="__RefHeading___Toc2336604_581953129">
            <w:r>
              <w:rPr>
                <w:webHidden/>
                <w:rStyle w:val="IndexLink"/>
                <w:rtl w:val="true"/>
              </w:rPr>
              <w:t>ج</w:t>
            </w:r>
            <w:r>
              <w:rPr>
                <w:rStyle w:val="IndexLink"/>
                <w:rtl w:val="true"/>
              </w:rPr>
              <w:t xml:space="preserve">: </w:t>
            </w:r>
            <w:r>
              <w:rPr>
                <w:rStyle w:val="IndexLink"/>
                <w:rtl w:val="true"/>
              </w:rPr>
              <w:t>تغییر در ارزش های اجتماعی</w:t>
            </w:r>
            <w:r>
              <w:rPr>
                <w:rStyle w:val="IndexLink"/>
                <w:rtl w:val="true"/>
              </w:rPr>
              <w:t>:</w:t>
              <w:tab/>
            </w:r>
            <w:r>
              <w:rPr>
                <w:rStyle w:val="IndexLink"/>
              </w:rPr>
              <w:t>155</w:t>
            </w:r>
          </w:hyperlink>
        </w:p>
        <w:p>
          <w:pPr>
            <w:pStyle w:val="Contents6"/>
            <w:tabs>
              <w:tab w:val="clear" w:pos="7609"/>
              <w:tab w:val="right" w:pos="9026" w:leader="dot"/>
            </w:tabs>
            <w:rPr/>
          </w:pPr>
          <w:hyperlink w:anchor="__RefHeading___Toc2336606_58195312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336608_581953129">
            <w:r>
              <w:rPr>
                <w:webHidden/>
                <w:rStyle w:val="IndexLink"/>
                <w:rtl w:val="true"/>
              </w:rPr>
              <w:t>الف</w:t>
            </w:r>
            <w:r>
              <w:rPr>
                <w:rStyle w:val="IndexLink"/>
                <w:rtl w:val="true"/>
              </w:rPr>
              <w:t xml:space="preserve">: </w:t>
            </w:r>
            <w:r>
              <w:rPr>
                <w:rStyle w:val="IndexLink"/>
                <w:rtl w:val="true"/>
              </w:rPr>
              <w:t>توسعه نهادی</w:t>
            </w:r>
            <w:r>
              <w:rPr>
                <w:rStyle w:val="IndexLink"/>
                <w:rtl w:val="true"/>
              </w:rPr>
              <w:t>:</w:t>
              <w:tab/>
            </w:r>
            <w:r>
              <w:rPr>
                <w:rStyle w:val="IndexLink"/>
              </w:rPr>
              <w:t>155</w:t>
            </w:r>
          </w:hyperlink>
        </w:p>
        <w:p>
          <w:pPr>
            <w:pStyle w:val="Contents6"/>
            <w:tabs>
              <w:tab w:val="clear" w:pos="7609"/>
              <w:tab w:val="right" w:pos="9026" w:leader="dot"/>
            </w:tabs>
            <w:rPr/>
          </w:pPr>
          <w:hyperlink w:anchor="__RefHeading___Toc2336610_581953129">
            <w:r>
              <w:rPr>
                <w:webHidden/>
                <w:rStyle w:val="IndexLink"/>
                <w:rtl w:val="true"/>
              </w:rPr>
              <w:t>ب</w:t>
            </w:r>
            <w:r>
              <w:rPr>
                <w:rStyle w:val="IndexLink"/>
                <w:rtl w:val="true"/>
              </w:rPr>
              <w:t xml:space="preserve">: </w:t>
            </w:r>
            <w:r>
              <w:rPr>
                <w:rStyle w:val="IndexLink"/>
                <w:rtl w:val="true"/>
              </w:rPr>
              <w:t>کاهش فرصت ها</w:t>
            </w:r>
            <w:r>
              <w:rPr>
                <w:rStyle w:val="IndexLink"/>
                <w:rtl w:val="true"/>
              </w:rPr>
              <w:t>:</w:t>
              <w:tab/>
            </w:r>
            <w:r>
              <w:rPr>
                <w:rStyle w:val="IndexLink"/>
              </w:rPr>
              <w:t>155</w:t>
            </w:r>
          </w:hyperlink>
        </w:p>
        <w:p>
          <w:pPr>
            <w:pStyle w:val="Contents6"/>
            <w:tabs>
              <w:tab w:val="clear" w:pos="7609"/>
              <w:tab w:val="right" w:pos="9026" w:leader="dot"/>
            </w:tabs>
            <w:rPr/>
          </w:pPr>
          <w:hyperlink w:anchor="__RefHeading___Toc2336612_581953129">
            <w:r>
              <w:rPr>
                <w:webHidden/>
                <w:rStyle w:val="IndexLink"/>
                <w:rtl w:val="true"/>
              </w:rPr>
              <w:t>ج</w:t>
            </w:r>
            <w:r>
              <w:rPr>
                <w:rStyle w:val="IndexLink"/>
                <w:rtl w:val="true"/>
              </w:rPr>
              <w:t xml:space="preserve">: </w:t>
            </w:r>
            <w:r>
              <w:rPr>
                <w:rStyle w:val="IndexLink"/>
                <w:rtl w:val="true"/>
              </w:rPr>
              <w:t>تغییر در ارزش های اجتماعی</w:t>
            </w:r>
            <w:r>
              <w:rPr>
                <w:rStyle w:val="IndexLink"/>
                <w:rtl w:val="true"/>
              </w:rPr>
              <w:t>:</w:t>
              <w:tab/>
            </w:r>
            <w:r>
              <w:rPr>
                <w:rStyle w:val="IndexLink"/>
              </w:rPr>
              <w:t>156</w:t>
            </w:r>
          </w:hyperlink>
        </w:p>
        <w:p>
          <w:pPr>
            <w:pStyle w:val="Contents4"/>
            <w:tabs>
              <w:tab w:val="clear" w:pos="8176"/>
              <w:tab w:val="right" w:pos="9026" w:leader="dot"/>
            </w:tabs>
            <w:rPr/>
          </w:pPr>
          <w:hyperlink w:anchor="__RefHeading___Toc2336614_581953129">
            <w:r>
              <w:rPr>
                <w:webHidden/>
                <w:rStyle w:val="IndexLink"/>
              </w:rPr>
              <w:t>2</w:t>
            </w:r>
            <w:r>
              <w:rPr>
                <w:rStyle w:val="IndexLink"/>
                <w:rtl w:val="true"/>
              </w:rPr>
              <w:t xml:space="preserve">- </w:t>
            </w:r>
            <w:r>
              <w:rPr>
                <w:rStyle w:val="IndexLink"/>
                <w:rtl w:val="true"/>
              </w:rPr>
              <w:t>انجمن بین‌المللی دفاع اجتماعی</w:t>
            </w:r>
            <w:r>
              <w:rPr>
                <w:rStyle w:val="IndexLink"/>
                <w:rtl w:val="true"/>
              </w:rPr>
              <w:t>:</w:t>
              <w:tab/>
            </w:r>
            <w:r>
              <w:rPr>
                <w:rStyle w:val="IndexLink"/>
              </w:rPr>
              <w:t>156</w:t>
            </w:r>
          </w:hyperlink>
        </w:p>
        <w:p>
          <w:pPr>
            <w:pStyle w:val="Contents4"/>
            <w:tabs>
              <w:tab w:val="clear" w:pos="8176"/>
              <w:tab w:val="right" w:pos="9026" w:leader="dot"/>
            </w:tabs>
            <w:rPr/>
          </w:pPr>
          <w:hyperlink w:anchor="__RefHeading___Toc2336616_581953129">
            <w:r>
              <w:rPr>
                <w:webHidden/>
                <w:rStyle w:val="IndexLink"/>
              </w:rPr>
              <w:t>3</w:t>
            </w:r>
            <w:r>
              <w:rPr>
                <w:rStyle w:val="IndexLink"/>
                <w:rtl w:val="true"/>
              </w:rPr>
              <w:t xml:space="preserve">- </w:t>
            </w:r>
            <w:r>
              <w:rPr>
                <w:rStyle w:val="IndexLink"/>
                <w:rtl w:val="true"/>
              </w:rPr>
              <w:t>کمیته سازمان ملل متحد برای پیش‌گیری از جرم و درمان و اصلاح مجرمین</w:t>
            </w:r>
            <w:r>
              <w:rPr>
                <w:rStyle w:val="IndexLink"/>
                <w:rtl w:val="true"/>
              </w:rPr>
              <w:t>:</w:t>
              <w:tab/>
            </w:r>
            <w:r>
              <w:rPr>
                <w:rStyle w:val="IndexLink"/>
              </w:rPr>
              <w:t>156</w:t>
            </w:r>
          </w:hyperlink>
        </w:p>
        <w:p>
          <w:pPr>
            <w:pStyle w:val="Contents4"/>
            <w:tabs>
              <w:tab w:val="clear" w:pos="8176"/>
              <w:tab w:val="right" w:pos="9026" w:leader="dot"/>
            </w:tabs>
            <w:rPr/>
          </w:pPr>
          <w:hyperlink w:anchor="__RefHeading___Toc2336618_581953129">
            <w:r>
              <w:rPr>
                <w:webHidden/>
                <w:rStyle w:val="IndexLink"/>
              </w:rPr>
              <w:t>4</w:t>
            </w:r>
            <w:r>
              <w:rPr>
                <w:rStyle w:val="IndexLink"/>
                <w:rtl w:val="true"/>
              </w:rPr>
              <w:t xml:space="preserve">- </w:t>
            </w:r>
            <w:r>
              <w:rPr>
                <w:rStyle w:val="IndexLink"/>
                <w:rtl w:val="true"/>
              </w:rPr>
              <w:t>مؤسسه آسیایی و خاور دور برای پیش‌گیری از جرم و اصلاح مجرمین</w:t>
            </w:r>
            <w:r>
              <w:rPr>
                <w:rStyle w:val="IndexLink"/>
                <w:rtl w:val="true"/>
              </w:rPr>
              <w:tab/>
            </w:r>
            <w:r>
              <w:rPr>
                <w:rStyle w:val="IndexLink"/>
              </w:rPr>
              <w:t>157</w:t>
            </w:r>
          </w:hyperlink>
        </w:p>
        <w:p>
          <w:pPr>
            <w:pStyle w:val="Contents4"/>
            <w:tabs>
              <w:tab w:val="clear" w:pos="8176"/>
              <w:tab w:val="right" w:pos="9026" w:leader="dot"/>
            </w:tabs>
            <w:rPr/>
          </w:pPr>
          <w:hyperlink w:anchor="__RefHeading___Toc2336620_581953129">
            <w:r>
              <w:rPr>
                <w:webHidden/>
                <w:rStyle w:val="IndexLink"/>
              </w:rPr>
              <w:t>5</w:t>
            </w:r>
            <w:r>
              <w:rPr>
                <w:rStyle w:val="IndexLink"/>
                <w:rtl w:val="true"/>
              </w:rPr>
              <w:t xml:space="preserve">- </w:t>
            </w:r>
            <w:r>
              <w:rPr>
                <w:rStyle w:val="IndexLink"/>
                <w:rtl w:val="true"/>
              </w:rPr>
              <w:t>کمیسیون مشاوره ملی در مورد عدالت کیفری، معیارها و اهداف عدالت کیفری امریکا</w:t>
            </w:r>
            <w:r>
              <w:rPr>
                <w:rStyle w:val="IndexLink"/>
                <w:rtl w:val="true"/>
              </w:rPr>
              <w:tab/>
            </w:r>
            <w:r>
              <w:rPr>
                <w:rStyle w:val="IndexLink"/>
              </w:rPr>
              <w:t>157</w:t>
            </w:r>
          </w:hyperlink>
        </w:p>
        <w:p>
          <w:pPr>
            <w:pStyle w:val="Contents2"/>
            <w:tabs>
              <w:tab w:val="clear" w:pos="8743"/>
              <w:tab w:val="right" w:pos="9026" w:leader="dot"/>
            </w:tabs>
            <w:rPr/>
          </w:pPr>
          <w:hyperlink w:anchor="__RefHeading___Toc2336622_581953129">
            <w:r>
              <w:rPr>
                <w:webHidden/>
                <w:rStyle w:val="IndexLink"/>
                <w:rtl w:val="true"/>
              </w:rPr>
              <w:t>نتیجه گیری و پیشنهادها</w:t>
            </w:r>
            <w:r>
              <w:rPr>
                <w:rStyle w:val="IndexLink"/>
                <w:rtl w:val="true"/>
              </w:rPr>
              <w:tab/>
            </w:r>
            <w:r>
              <w:rPr>
                <w:rStyle w:val="IndexLink"/>
              </w:rPr>
              <w:t>159</w:t>
            </w:r>
          </w:hyperlink>
        </w:p>
        <w:p>
          <w:pPr>
            <w:pStyle w:val="Contents2"/>
            <w:tabs>
              <w:tab w:val="clear" w:pos="8743"/>
              <w:tab w:val="right" w:pos="9026" w:leader="dot"/>
            </w:tabs>
            <w:rPr/>
          </w:pPr>
          <w:hyperlink w:anchor="__RefHeading___Toc2336624_581953129">
            <w:r>
              <w:rPr>
                <w:webHidden/>
                <w:rStyle w:val="IndexLink"/>
                <w:rtl w:val="true"/>
              </w:rPr>
              <w:t>منابع</w:t>
            </w:r>
            <w:r>
              <w:rPr>
                <w:rStyle w:val="IndexLink"/>
                <w:rtl w:val="true"/>
              </w:rPr>
              <w:tab/>
            </w:r>
            <w:r>
              <w:rPr>
                <w:rStyle w:val="IndexLink"/>
              </w:rPr>
              <w:t>165</w:t>
            </w:r>
          </w:hyperlink>
        </w:p>
        <w:p>
          <w:pPr>
            <w:pStyle w:val="Contents3"/>
            <w:tabs>
              <w:tab w:val="clear" w:pos="8459"/>
              <w:tab w:val="right" w:pos="9026" w:leader="dot"/>
            </w:tabs>
            <w:rPr/>
          </w:pPr>
          <w:hyperlink w:anchor="__RefHeading___Toc2336626_581953129">
            <w:r>
              <w:rPr>
                <w:webHidden/>
                <w:rStyle w:val="IndexLink"/>
                <w:rtl w:val="true"/>
              </w:rPr>
              <w:t>منابع فارسی</w:t>
            </w:r>
            <w:r>
              <w:rPr>
                <w:rStyle w:val="IndexLink"/>
                <w:rtl w:val="true"/>
              </w:rPr>
              <w:tab/>
            </w:r>
            <w:r>
              <w:rPr>
                <w:rStyle w:val="IndexLink"/>
              </w:rPr>
              <w:t>165</w:t>
            </w:r>
          </w:hyperlink>
        </w:p>
        <w:p>
          <w:pPr>
            <w:pStyle w:val="Contents3"/>
            <w:tabs>
              <w:tab w:val="clear" w:pos="8459"/>
              <w:tab w:val="right" w:pos="9026" w:leader="dot"/>
            </w:tabs>
            <w:rPr/>
          </w:pPr>
          <w:hyperlink w:anchor="__RefHeading___Toc2336628_581953129">
            <w:r>
              <w:rPr>
                <w:webHidden/>
                <w:rStyle w:val="IndexLink"/>
                <w:rtl w:val="true"/>
              </w:rPr>
              <w:t>منابع عربی</w:t>
            </w:r>
            <w:r>
              <w:rPr>
                <w:rStyle w:val="IndexLink"/>
                <w:rtl w:val="true"/>
              </w:rPr>
              <w:tab/>
            </w:r>
            <w:r>
              <w:rPr>
                <w:rStyle w:val="IndexLink"/>
              </w:rPr>
              <w:t>166</w:t>
            </w:r>
          </w:hyperlink>
        </w:p>
        <w:p>
          <w:pPr>
            <w:pStyle w:val="Contents2"/>
            <w:tabs>
              <w:tab w:val="clear" w:pos="8743"/>
              <w:tab w:val="right" w:pos="9026" w:leader="dot"/>
            </w:tabs>
            <w:rPr/>
          </w:pPr>
          <w:hyperlink w:anchor="__RefHeading___Toc2336630_581953129">
            <w:r>
              <w:rPr>
                <w:webHidden/>
                <w:rStyle w:val="IndexLink"/>
                <w:rtl w:val="true"/>
              </w:rPr>
              <w:t>مجموعه کتب عدالت و سلامت</w:t>
            </w:r>
            <w:r>
              <w:rPr>
                <w:rStyle w:val="IndexLink"/>
                <w:rtl w:val="true"/>
              </w:rPr>
              <w:tab/>
            </w:r>
            <w:r>
              <w:rPr>
                <w:rStyle w:val="IndexLink"/>
              </w:rPr>
              <w:t>170</w:t>
            </w:r>
          </w:hyperlink>
        </w:p>
        <w:p>
          <w:pPr>
            <w:pStyle w:val="Contents2"/>
            <w:tabs>
              <w:tab w:val="clear" w:pos="8743"/>
              <w:tab w:val="right" w:pos="9026" w:leader="dot"/>
            </w:tabs>
            <w:rPr/>
          </w:pPr>
          <w:hyperlink w:anchor="__RefHeading___Toc2336632_581953129">
            <w:r>
              <w:rPr>
                <w:webHidden/>
                <w:rStyle w:val="IndexLink"/>
                <w:rtl w:val="true"/>
              </w:rPr>
              <w:t>مجموعه کتب فقه زندگی</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5_36729"/>
      <w:bookmarkStart w:id="1" w:name="pg5505_36729"/>
      <w:bookmarkEnd w:id="1"/>
    </w:p>
    <w:p>
      <w:pPr>
        <w:pStyle w:val="Heading2"/>
        <w:numPr>
          <w:ilvl w:val="1"/>
          <w:numId w:val="1"/>
        </w:numPr>
        <w:rPr/>
      </w:pPr>
      <w:bookmarkStart w:id="2" w:name="pg5505_36729"/>
      <w:bookmarkStart w:id="3" w:name="__RefHeading___Toc233644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حقوقی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خلفی؛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تامینی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تامینی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۷۴۳۱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۱۸۵۷۶۵۴</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645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05_36733"/>
      <w:bookmarkStart w:id="8" w:name="pg5505_36733"/>
      <w:bookmarkEnd w:id="8"/>
    </w:p>
    <w:p>
      <w:pPr>
        <w:pStyle w:val="Heading2"/>
        <w:numPr>
          <w:ilvl w:val="1"/>
          <w:numId w:val="1"/>
        </w:numPr>
        <w:rPr/>
      </w:pPr>
      <w:bookmarkStart w:id="9" w:name="pg5505_36733"/>
      <w:bookmarkStart w:id="10" w:name="__RefHeading___Toc2336452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 xml:space="preserve">تعریف و ماهیت پیش‌گیری از وقوع جرم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انواع پیش‌گیری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اجتماعی و وضعی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اجتماعی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افزایش آگاهی افراد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تربیت صحیح افراد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از بین بردن زمینه های اجتماعی وقوع جرم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وضعی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اولیه، ثانویه و ثالث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پیش‌گیری قبل از وقوع جرم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پیش‌گیری هنگام وقوع جرم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پیش‌گیری پس از وقوع جرم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کوتاه مدت و بلند مدت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کوتاه مدت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بلندمدت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در نظام سیاسی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پیش‌گیری از جرم در نظام سیاسی اسلام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نهی از منکر و پیش گیری از جرم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در آیات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در روایات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پیش‌گیری از جرم در اسلام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ازجرم در نظام سیاسی ایران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نظام سیاسی ایران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در قانون اساسی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حق یا وظیفه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وظیفه مردم یا وظیفه قوه قضاییه؟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وظیفه قوه مجریه یا قوه قضاییه؟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اصل پنجاهم قانون اساسی </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در قوانین عادی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اقدامات تأمینی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مواد قانون مجازات اسلامی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مجازاتهای بازدارنده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گیری از جرم در مقام دفاع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گیری از جرم محاربه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جلوگیری از تصرف عدوانی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نیروی انتظامی جمهوری اسلامی ایران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توسط نیروی مقاومت بسیج؟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لایحه پیش‌گیری از جرم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 کجا آورده ای؟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نادرست پیش‌گیری از جرم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انگاری تهیه وسایل جرم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مجازات به عنوان پیش‌گیری از وقوع جرم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علنی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عملی از جرم توسط مردم عادی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پیش‌گیری از جرم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تجربیات فراملی در پیش‌گیری از جرم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بین‌المللی دفاع اجتماعی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سازمان ملل متحد برای پیش‌گیری از جرم و درمان و اصلاح مجرمین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آسیایی و خاور دور برای پیش‌گیری از جرم و اصلاح مجرمین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مشاوره ملی در مورد عدالت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نتیجه‌گیری و پیشنهادها </w:t>
      </w:r>
      <w:r>
        <w:rPr>
          <w:rFonts w:eastAsia="IRNazanin" w:cs="IRNazanin"/>
          <w:color w:val="111111"/>
          <w:sz w:val="28"/>
          <w:szCs w:val="28"/>
          <w:lang w:bidi="fa-IR"/>
        </w:rPr>
        <w:t>155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05_36737"/>
      <w:bookmarkStart w:id="13" w:name="pg5505_36737"/>
      <w:bookmarkEnd w:id="13"/>
    </w:p>
    <w:p>
      <w:pPr>
        <w:pStyle w:val="Heading2"/>
        <w:numPr>
          <w:ilvl w:val="1"/>
          <w:numId w:val="1"/>
        </w:numPr>
        <w:rPr/>
      </w:pPr>
      <w:bookmarkStart w:id="14" w:name="pg5505_36737"/>
      <w:bookmarkStart w:id="15" w:name="__RefHeading___Toc2336454_581953129"/>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گناه وقتی در منظر و مرئی و در فضای مشترک و عمومی انجام گیرد، محیط اخلاقی و ایمانی جامعه را </w:t>
      </w:r>
    </w:p>
    <w:p>
      <w:pPr>
        <w:pStyle w:val="BookText"/>
        <w:rPr/>
      </w:pPr>
      <w:r>
        <w:rPr>
          <w:rFonts w:ascii="IRNazanin" w:hAnsi="IRNazanin" w:eastAsia="IRNazanin"/>
          <w:color w:val="111111"/>
          <w:sz w:val="28"/>
          <w:sz w:val="28"/>
          <w:szCs w:val="28"/>
          <w:rtl w:val="true"/>
          <w:lang w:bidi="fa-IR"/>
        </w:rPr>
        <w:t>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 ویژه گناهان مشهودی که جرم و بزه و جنایت و خلاف شناخته می شود، وظیفه‌ای اجتماعی است که بر عهده افراد جامعه و دولت و ملت مسلمان و هر اندیشمند دلسوز سعادت و سلامت جامعه 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سال است که با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p>
    <w:p>
      <w:pPr>
        <w:pStyle w:val="BookText"/>
        <w:rPr/>
      </w:pPr>
      <w:r>
        <w:rPr>
          <w:rFonts w:ascii="IRNazanin" w:hAnsi="IRNazanin" w:eastAsia="IRNazanin"/>
          <w:color w:val="111111"/>
          <w:sz w:val="28"/>
          <w:sz w:val="28"/>
          <w:szCs w:val="28"/>
          <w:rtl w:val="true"/>
          <w:lang w:bidi="fa-IR"/>
        </w:rPr>
        <w:t>مردمی پیش 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 و عوامل پیدایش و گسترش آن یک وظیفه‌ی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 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حاضر،پژوهشی اجتماعی و حقوقی است که به قلم برادر گرامی مسلم خلفی تحقیق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p>
    <w:p>
      <w:pPr>
        <w:pStyle w:val="BookText"/>
        <w:rPr/>
      </w:pPr>
      <w:r>
        <w:rPr>
          <w:rFonts w:ascii="IRNazanin" w:hAnsi="IRNazanin" w:eastAsia="IRNazanin"/>
          <w:color w:val="111111"/>
          <w:sz w:val="28"/>
          <w:sz w:val="28"/>
          <w:szCs w:val="28"/>
          <w:rtl w:val="true"/>
          <w:lang w:bidi="fa-IR"/>
        </w:rPr>
        <w:t>است این تلاش علمی هم چون دیگر خدمات برادران و خواهران مؤمن و فداکار در زمینه ی پیشگیری از جرم مقبول آستان قدس ربوبی قرار گیرد و یاران همراه در اقامه این وظیفه‌ی اجتماعی از الطاف حضرت حق جلّ و علا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ی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آیةالله هاشمی شاهرودی و همکاران ستاد مردمی و برادر گرامی حجةالاسلام محمود مهدی‌پور، به دلیل هدایت و نظارت بر تحقیق و تولید این مجموعه، و از ناشر محترم جناب آقای جلالوند سپاس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دبیر ستاد مردمی پیشگیری و حفاظت اجتماعی کشور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505_36741"/>
      <w:bookmarkStart w:id="18" w:name="pg5505_36741"/>
      <w:bookmarkEnd w:id="18"/>
    </w:p>
    <w:p>
      <w:pPr>
        <w:pStyle w:val="Heading2"/>
        <w:numPr>
          <w:ilvl w:val="1"/>
          <w:numId w:val="1"/>
        </w:numPr>
        <w:rPr/>
      </w:pPr>
      <w:bookmarkStart w:id="19" w:name="pg5505_36741"/>
      <w:bookmarkStart w:id="20" w:name="__RefHeading___Toc2336456_581953129"/>
      <w:bookmarkStart w:id="21" w:name="_Toc5"/>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حفظ نظم عمومی و داشتن جامعه ای سالم از جمله اهداف هر ماده قانون و تبصره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 قاضی و مجری در پی اقدامات تلافی جویانه علیه فرد نقض کننده مقررات و تعهدات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سه قوه و کارگزاران وابسته به آن ها چیزی جز حفظ نظم عمومی و رفاه همگانی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سه گروه خوش تر آن است که، اولاً جرمی واقع نشود تا مجرم را مجازات کنند و ثانیاً پیش‌گیری از وقوع جرم خوشایندتر از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جای سیاست تأکید بر خروجی بیشتر قوه قضائیه باید سیاست کاهش ورودی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ای موفق است که پرونده های کمتری را رسیدگی کند و البته این جز با همکاری قوّه مقنّنه در وضع قوانین، و قوه مجریه در ایجاد نظم و انضباط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نگاهی گذرا و مقایسه جزیی ایران با برخی کشورهای دیگر حکایت از این دارد که کشور ما از این حیث در وضعیت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کشوری مانند هندوستان با بیش از یک میلیارد جمعیت، سالانه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پرونده وارد سیستم قضایی آن می شود، باید به صورت جدی کنکاش گردد که چرا در ایران 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سالانه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قضایی وارد می شود؟ این آمار وقتی قابل تأمل تر خواهد بود که یک پارچگی دینی ایران در برابر تعدد و تکثر بیش از حد ادیان الهی و بشری و گاه سخیف هندوستان مورد توجه واقع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پیش‌گیری از جرم راهکاری جدی برای کاهش ورودی سیستم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به عنوان راه کاری برای پیش‌گیری از جرم یا به عنوان مصداقی از پیش‌گیری از جرم می تواند در این زمینه به طور جدی اثرگذار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معروف و نهی از منکر را دو خلق الهی می داند که یاریشان عزّت و رهاییشان ذلت را در پی دارد، در این راستا قابل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مناسبات اجتماعی همان کنترل اجتماعی است که در نوشته های حقوقدانان و جرم شناسان امروز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اجتماعی به عنوان یک سیاست جنایی مورد ارزیابی قرار می گیرد و به طور جدی مورد استقبال جوامع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کنترل اجتماعی، کنترل از طریق مردم، ارگان ها و نهادهایی است که در راه مبارزه با جرم، کنترل و پیش‌گیری از آن می‌توانند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بحث جدی اثرگذاری مجازات در پیش‌گیری از جرم یا عدم تأثیر آن، که با پذیرش این دیدگاه می توان تمام قوانین را زیر مجموعه قوانین مربوط به پیش‌گیری از وقوع جرم دانست؛ اما برخی قوانین و مقررات مستقیماً به پیش‌گیری از وقوع جرم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درصدد تحلیل و بررسی این دست از مقررات در مجموعه قوانین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به کلیاتی درباره پیش‌گیری از وقوع جرم مانند تعریف و انواع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پیش‌گیری از وقوع جرم در نظام سیاسی اسلام و در پایان هم پیش‌گیری از وقوع جرم در نظام سیاسی ایران مورد تحلیل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خلفی </w:t>
      </w:r>
      <w:bookmarkStart w:id="22" w:name="pg5505_36743"/>
    </w:p>
    <w:p>
      <w:pPr>
        <w:pStyle w:val="Heading2"/>
        <w:numPr>
          <w:ilvl w:val="1"/>
          <w:numId w:val="1"/>
        </w:numPr>
        <w:rPr/>
      </w:pPr>
      <w:bookmarkStart w:id="23" w:name="__RefHeading___Toc2336458_581953129"/>
      <w:bookmarkStart w:id="24" w:name="_Toc6"/>
      <w:bookmarkEnd w:id="22"/>
      <w:bookmarkEnd w:id="23"/>
      <w:r>
        <w:rPr>
          <w:rtl w:val="true"/>
        </w:rPr>
        <w:t xml:space="preserve">بخش اول </w:t>
      </w:r>
      <w:r>
        <w:rPr>
          <w:rtl w:val="true"/>
        </w:rPr>
        <w:t xml:space="preserve">: </w:t>
      </w:r>
      <w:r>
        <w:rPr>
          <w:rtl w:val="true"/>
        </w:rPr>
        <w:t>کلیات و مفاهیم</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336460_581953129"/>
      <w:bookmarkStart w:id="26" w:name="_Toc7"/>
      <w:bookmarkEnd w:id="25"/>
      <w:r>
        <w:rPr>
          <w:rtl w:val="true"/>
        </w:rPr>
        <w:t>اشاره</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505_36745"/>
      <w:bookmarkStart w:id="28" w:name="pg5505_36745"/>
      <w:bookmarkEnd w:id="28"/>
    </w:p>
    <w:p>
      <w:pPr>
        <w:pStyle w:val="Heading3"/>
        <w:numPr>
          <w:ilvl w:val="2"/>
          <w:numId w:val="1"/>
        </w:numPr>
        <w:rPr/>
      </w:pPr>
      <w:bookmarkStart w:id="29" w:name="pg5505_36745"/>
      <w:bookmarkStart w:id="30" w:name="__RefHeading___Toc2336462_581953129"/>
      <w:bookmarkStart w:id="31" w:name="_Toc8"/>
      <w:bookmarkEnd w:id="29"/>
      <w:bookmarkEnd w:id="30"/>
      <w:r>
        <w:rPr>
          <w:rtl w:val="true"/>
        </w:rPr>
        <w:t>تعریف و ماهیت پیش‌گیری از وقوع جرم</w:t>
      </w:r>
      <w:bookmarkEnd w:id="3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تعریف جرم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یا ترک فعلی که در قانون برای آن مجازات تعیین شده باشد، جرم محسوب می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قانونی و رسمی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legal formal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 رسمی و قانونی از جرم، عملی جرم به حساب می آید که در قوانین جزایی به آن اشاره شده و کیفر آن از سوی دولت تضمین شده و به عبارتی واجد ضمانت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لایحه پیش‌گیری از جرم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از جرم عبارت است از پیش بینی، شناسایی و ارزیابی خطر وقوع جرم و اتخاذ تدابیر و اقدامات لازم برای از بین بردن یا کاهش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بینی و ارزیابی و کاهش وقوع جرم نیاز به مطالعات و سیاست های اجتماعی، اقتصادی، جامعه شناسی، حقوقی، روانشناسی و مانند آن است تا از اتخاذ سیاست های یک سویه و تک بعدی اجتناب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مطالعات نگاه محض به فرد بریده از اجتماع یا جامعه سوای فرد نگاهی ناقص است و باید فرد و جامعه را با هم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مجموعه ای از اقدامات سازنده، کاهنده و بازدارنده فرهنگی، اجتماعی، سیاسی و اقتصادی است که مانع تحقق جرم و بزه در عرصه های فردی و اجتماعی می شود</w:t>
      </w:r>
      <w:r>
        <w:rPr>
          <w:rFonts w:eastAsia="IRNazanin" w:cs="IRNazanin"/>
          <w:color w:val="111111"/>
          <w:sz w:val="28"/>
          <w:szCs w:val="28"/>
          <w:rtl w:val="true"/>
          <w:lang w:bidi="fa-IR"/>
        </w:rPr>
        <w:t xml:space="preserve">. </w:t>
      </w:r>
      <w:bookmarkStart w:id="32" w:name="pg5505_36746"/>
    </w:p>
    <w:p>
      <w:pPr>
        <w:pStyle w:val="BookText"/>
        <w:rPr/>
      </w:pPr>
      <w:bookmarkEnd w:id="32"/>
      <w:r>
        <w:rPr>
          <w:rFonts w:ascii="IRNazanin" w:hAnsi="IRNazanin" w:eastAsia="IRNazanin"/>
          <w:color w:val="111111"/>
          <w:sz w:val="28"/>
          <w:sz w:val="28"/>
          <w:szCs w:val="28"/>
          <w:rtl w:val="true"/>
          <w:lang w:bidi="fa-IR"/>
        </w:rPr>
        <w:t>پیش‌گیری از وقوع جرم علم است یا عمل است؟ دانش است یا هنر؟ ماهیتش چیست؟ مارک آنسل معتقد است که سیاست جنایی هم علم است و هم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سیاست جنایی دو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هنر و به عبارتی نظر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سیاست علم است و به مشاهده و بررسی پدیده مجرمانه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اعمال این سیاست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جنایی دراین مرحله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آنسل طرفدار سیاست جنایی دفاع اجتماعی است و در این رهگذر مسایلی را مطرح و ابراز می‌دارد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اعمال نظام کیفری بطور خودکار؛ یعنی نباید به محض وقوع جرم متوسل به مجازات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نظام پیش‌گیری از جرم که به ابزارهای متنوع تکیه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یک سیاست اجتماعی سنجیده که جنبه حمایتی از جامعه داشته و ارتباط بین افراد را تشویق و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وقوع جرم اگر فاقد پشتوانه علمی و نظریه پردازی باشد و صرفا بر عمل گرایی محض مبتنی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عدم توجه به عمل و تکیه محض بر جنبه های تئوری آن نیز کارساز نیست بلکه این دو باید تکمیل کننده یک دیگر باشند</w:t>
      </w:r>
      <w:r>
        <w:rPr>
          <w:rFonts w:eastAsia="IRNazanin" w:cs="IRNazanin"/>
          <w:color w:val="111111"/>
          <w:sz w:val="28"/>
          <w:szCs w:val="28"/>
          <w:rtl w:val="true"/>
          <w:lang w:bidi="fa-IR"/>
        </w:rPr>
        <w:t>.</w:t>
      </w:r>
    </w:p>
    <w:p>
      <w:pPr>
        <w:pStyle w:val="Heading3"/>
        <w:numPr>
          <w:ilvl w:val="2"/>
          <w:numId w:val="1"/>
        </w:numPr>
        <w:rPr/>
      </w:pPr>
      <w:bookmarkStart w:id="33" w:name="__RefHeading___Toc2336464_581953129"/>
      <w:bookmarkStart w:id="34" w:name="_Toc9"/>
      <w:bookmarkEnd w:id="33"/>
      <w:r>
        <w:rPr>
          <w:rtl w:val="true"/>
        </w:rPr>
        <w:t>انواع پیش‌گیری</w:t>
      </w:r>
      <w:bookmarkEnd w:id="34"/>
    </w:p>
    <w:p>
      <w:pPr>
        <w:pStyle w:val="Heading4"/>
        <w:numPr>
          <w:ilvl w:val="3"/>
          <w:numId w:val="1"/>
        </w:numPr>
        <w:rPr/>
      </w:pPr>
      <w:bookmarkStart w:id="35" w:name="__RefHeading___Toc2336466_581953129"/>
      <w:bookmarkStart w:id="36" w:name="_Toc10"/>
      <w:bookmarkEnd w:id="35"/>
      <w:r>
        <w:rPr>
          <w:rtl w:val="true"/>
        </w:rPr>
        <w:t>اشاره</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حقوقی پیش‌گیری از جرم را از ابعاد مختلف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پیش‌گیری از وقوع جرم به پیش‌گیری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Prevention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پیش‌گیری وضعی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Situational Prevention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w:t>
      </w:r>
      <w:bookmarkStart w:id="37" w:name="pg5505_36747"/>
    </w:p>
    <w:p>
      <w:pPr>
        <w:pStyle w:val="BookText"/>
        <w:rPr/>
      </w:pPr>
      <w:bookmarkEnd w:id="3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دیگر به پیش‌گیری اولیه، ثانویه و ثالث تقسیم شده و بالاخره در تقسیم بندی دیگر به پیش‌گیری کوتاه مدت و بلند مدت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اختصار انواع تقسیم بندی مزبور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38" w:name="__RefHeading___Toc2336468_581953129"/>
      <w:bookmarkStart w:id="39" w:name="_Toc11"/>
      <w:bookmarkEnd w:id="38"/>
      <w:r>
        <w:rPr>
          <w:rtl w:val="true"/>
        </w:rPr>
        <w:t>گفتار اول</w:t>
      </w:r>
      <w:r>
        <w:rPr>
          <w:rtl w:val="true"/>
        </w:rPr>
        <w:t xml:space="preserve">: </w:t>
      </w:r>
      <w:r>
        <w:rPr>
          <w:rtl w:val="true"/>
        </w:rPr>
        <w:t>پیش‌گیری اجتماعی و وضعی</w:t>
      </w:r>
      <w:bookmarkEnd w:id="39"/>
    </w:p>
    <w:p>
      <w:pPr>
        <w:pStyle w:val="Heading5"/>
        <w:numPr>
          <w:ilvl w:val="4"/>
          <w:numId w:val="1"/>
        </w:numPr>
        <w:rPr/>
      </w:pPr>
      <w:bookmarkStart w:id="40" w:name="__RefHeading___Toc2336470_581953129"/>
      <w:bookmarkStart w:id="41" w:name="_Toc12"/>
      <w:bookmarkEnd w:id="40"/>
      <w:r>
        <w:rPr>
          <w:rtl w:val="true"/>
        </w:rPr>
        <w:t xml:space="preserve">الف </w:t>
      </w:r>
      <w:r>
        <w:rPr>
          <w:rtl w:val="true"/>
        </w:rPr>
        <w:t xml:space="preserve">- </w:t>
      </w:r>
      <w:r>
        <w:rPr>
          <w:rtl w:val="true"/>
        </w:rPr>
        <w:t>پیش‌گیری اجتماعی</w:t>
      </w:r>
      <w:bookmarkEnd w:id="41"/>
    </w:p>
    <w:p>
      <w:pPr>
        <w:pStyle w:val="Heading6"/>
        <w:numPr>
          <w:ilvl w:val="5"/>
          <w:numId w:val="1"/>
        </w:numPr>
        <w:rPr/>
      </w:pPr>
      <w:bookmarkStart w:id="42" w:name="__RefHeading___Toc2336472_581953129"/>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پیش‌گیری اجتماعی چند نکته مورد تأکید واقع می شود</w:t>
      </w:r>
      <w:r>
        <w:rPr>
          <w:rFonts w:eastAsia="IRNazanin" w:cs="IRNazanin"/>
          <w:color w:val="111111"/>
          <w:sz w:val="28"/>
          <w:szCs w:val="28"/>
          <w:rtl w:val="true"/>
          <w:lang w:bidi="fa-IR"/>
        </w:rPr>
        <w:t>:</w:t>
      </w:r>
    </w:p>
    <w:p>
      <w:pPr>
        <w:pStyle w:val="Heading6"/>
        <w:numPr>
          <w:ilvl w:val="5"/>
          <w:numId w:val="1"/>
        </w:numPr>
        <w:rPr/>
      </w:pPr>
      <w:bookmarkStart w:id="44" w:name="__RefHeading___Toc2336474_581953129"/>
      <w:bookmarkStart w:id="45" w:name="_Toc14"/>
      <w:bookmarkEnd w:id="44"/>
      <w:r>
        <w:rPr>
          <w:rtl w:val="true"/>
        </w:rPr>
        <w:t>افزایش آگاهی افراد</w:t>
      </w:r>
      <w:r>
        <w:rPr>
          <w:rtl w:val="true"/>
        </w:rPr>
        <w:t>:</w:t>
      </w:r>
      <w:bookmarkEnd w:id="45"/>
    </w:p>
    <w:p>
      <w:pPr>
        <w:pStyle w:val="BookText"/>
        <w:rPr/>
      </w:pPr>
      <w:r>
        <w:rPr>
          <w:rFonts w:ascii="IRNazanin" w:hAnsi="IRNazanin" w:eastAsia="IRNazanin"/>
          <w:color w:val="111111"/>
          <w:sz w:val="28"/>
          <w:sz w:val="28"/>
          <w:szCs w:val="28"/>
          <w:rtl w:val="true"/>
          <w:lang w:bidi="fa-IR"/>
        </w:rPr>
        <w:t>سعی بر این است که با افزایش آگاهی افراد، به</w:t>
      </w:r>
    </w:p>
    <w:p>
      <w:pPr>
        <w:pStyle w:val="BookText"/>
        <w:rPr/>
      </w:pPr>
      <w:r>
        <w:rPr>
          <w:rFonts w:ascii="IRNazanin" w:hAnsi="IRNazanin" w:eastAsia="IRNazanin"/>
          <w:color w:val="111111"/>
          <w:sz w:val="28"/>
          <w:sz w:val="28"/>
          <w:szCs w:val="28"/>
          <w:rtl w:val="true"/>
          <w:lang w:bidi="fa-IR"/>
        </w:rPr>
        <w:t>پیش‌گیری از جرم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افراد انسانی تنها با آگاهی از حقوق خویش و حقوق دیگران می تواند در صدد احیای آن بر آمده و مانع تحقق بزه و جرم از رهگذر نقض حقوق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تعریف و شناخت صحیحی از جرم وجود نداشته باشد، پیش‌گیری از آن فاقد مفهوم صحیح خواهد بود</w:t>
      </w:r>
      <w:r>
        <w:rPr>
          <w:rFonts w:eastAsia="IRNazanin" w:cs="IRNazanin"/>
          <w:color w:val="111111"/>
          <w:sz w:val="28"/>
          <w:szCs w:val="28"/>
          <w:rtl w:val="true"/>
          <w:lang w:bidi="fa-IR"/>
        </w:rPr>
        <w:t>.</w:t>
      </w:r>
    </w:p>
    <w:p>
      <w:pPr>
        <w:pStyle w:val="Heading6"/>
        <w:numPr>
          <w:ilvl w:val="5"/>
          <w:numId w:val="1"/>
        </w:numPr>
        <w:rPr/>
      </w:pPr>
      <w:bookmarkStart w:id="46" w:name="__RefHeading___Toc2336476_581953129"/>
      <w:bookmarkStart w:id="47" w:name="_Toc15"/>
      <w:bookmarkEnd w:id="46"/>
      <w:r>
        <w:rPr>
          <w:rtl w:val="true"/>
        </w:rPr>
        <w:t>تربیت صحیح افراد</w:t>
      </w:r>
      <w:r>
        <w:rPr>
          <w:rtl w:val="true"/>
        </w:rPr>
        <w:t>:</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ورود به بحث تفصیلی تأثیر تربیت در پیش‌گیری از جرم، تنها یادآوری می شود که تربیت صحیح، به ویژه قشر جوان و نوجوان جامعه، از جمله عرصه های مورد توجه در پیش‌گیری از وقوع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می تواند در محیط های خانواده، مدرسه، دانشگاه و نهادها و اماکن مذهبی صورت گیرد</w:t>
      </w:r>
      <w:r>
        <w:rPr>
          <w:rFonts w:eastAsia="IRNazanin" w:cs="IRNazanin"/>
          <w:color w:val="111111"/>
          <w:sz w:val="28"/>
          <w:szCs w:val="28"/>
          <w:rtl w:val="true"/>
          <w:lang w:bidi="fa-IR"/>
        </w:rPr>
        <w:t xml:space="preserve">. </w:t>
      </w:r>
      <w:bookmarkStart w:id="48" w:name="pg5505_36748"/>
    </w:p>
    <w:p>
      <w:pPr>
        <w:pStyle w:val="Heading6"/>
        <w:numPr>
          <w:ilvl w:val="5"/>
          <w:numId w:val="1"/>
        </w:numPr>
        <w:rPr/>
      </w:pPr>
      <w:bookmarkStart w:id="49" w:name="__RefHeading___Toc2336478_581953129"/>
      <w:bookmarkStart w:id="50" w:name="_Toc16"/>
      <w:bookmarkEnd w:id="48"/>
      <w:bookmarkEnd w:id="49"/>
      <w:r>
        <w:rPr>
          <w:rtl w:val="true"/>
        </w:rPr>
        <w:t>از بین بردن زمینه های اجتماعی وقوع جرم</w:t>
      </w:r>
      <w:r>
        <w:rPr>
          <w:rtl w:val="true"/>
        </w:rPr>
        <w:t>:</w:t>
      </w:r>
      <w:bookmarkEnd w:id="50"/>
    </w:p>
    <w:p>
      <w:pPr>
        <w:pStyle w:val="BookText"/>
        <w:rPr/>
      </w:pPr>
      <w:r>
        <w:rPr>
          <w:rFonts w:ascii="IRNazanin" w:hAnsi="IRNazanin" w:eastAsia="IRNazanin"/>
          <w:color w:val="111111"/>
          <w:sz w:val="28"/>
          <w:sz w:val="28"/>
          <w:szCs w:val="28"/>
          <w:rtl w:val="true"/>
          <w:lang w:bidi="fa-IR"/>
        </w:rPr>
        <w:t>بین وضعیت اجتماعی و وقوع جرم رابطه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فقر اقتصادی و فرهنگی، بیکاری، تبعیض های ناروا و بی عدالتی رفتاری، نارضایتی اجتماعی و سیاسی و مانند آن به صورت مستقیم در وقوع جرم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بردن این عوامل در واقع انگیزه های مجرمانه از مجرم سلب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اجتماعی خود به دو شاخه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رشدمدار</w:t>
      </w:r>
    </w:p>
    <w:p>
      <w:pPr>
        <w:pStyle w:val="BookText"/>
        <w:rPr/>
      </w:pPr>
      <w:r>
        <w:rPr>
          <w:rFonts w:ascii="IRNazanin" w:hAnsi="IRNazanin" w:eastAsia="IRNazanin"/>
          <w:color w:val="111111"/>
          <w:sz w:val="28"/>
          <w:sz w:val="28"/>
          <w:szCs w:val="28"/>
          <w:rtl w:val="true"/>
          <w:lang w:bidi="fa-IR"/>
        </w:rPr>
        <w:t>پیش‌گیری محیط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رشدمدار، یعنی شناسایی الزامات سنین مختلف رشد، در ارتباط با بزهکاری و وقوع جرم و شناسایی راه های پیش‌گیری از جرم در آینده و انجام اقدامات پیش گیرانه متناسب با هر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پیش‌گیری، پیش‌گیری زودرس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پیش‌گیری محیط مدار رویکرد سیاست و اجرا به سوی محیط اجتماعی عمومی و شخصی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تا مدرسه و سایر محیط های آموزشی و پرورشی و زیستی درگستره این چشم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پیش‌گیری، اجتماعی بودن انسان است که در جرم‌شناسی پیش گیرانه مورد توجه قرار می‌گیرد</w:t>
      </w:r>
      <w:r>
        <w:rPr>
          <w:rFonts w:eastAsia="IRNazanin" w:cs="IRNazanin"/>
          <w:color w:val="111111"/>
          <w:sz w:val="28"/>
          <w:szCs w:val="28"/>
          <w:rtl w:val="true"/>
          <w:lang w:bidi="fa-IR"/>
        </w:rPr>
        <w:t>.</w:t>
      </w:r>
    </w:p>
    <w:p>
      <w:pPr>
        <w:pStyle w:val="Heading5"/>
        <w:numPr>
          <w:ilvl w:val="4"/>
          <w:numId w:val="1"/>
        </w:numPr>
        <w:rPr/>
      </w:pPr>
      <w:bookmarkStart w:id="51" w:name="__RefHeading___Toc2336480_581953129"/>
      <w:bookmarkStart w:id="52" w:name="_Toc17"/>
      <w:bookmarkEnd w:id="51"/>
      <w:r>
        <w:rPr>
          <w:rtl w:val="true"/>
        </w:rPr>
        <w:t>ب</w:t>
      </w:r>
      <w:r>
        <w:rPr>
          <w:rtl w:val="true"/>
        </w:rPr>
        <w:t xml:space="preserve">- </w:t>
      </w:r>
      <w:r>
        <w:rPr>
          <w:rtl w:val="true"/>
        </w:rPr>
        <w:t>پیش‌گیری وضعی</w:t>
      </w:r>
      <w:r>
        <w:rPr>
          <w:rtl w:val="true"/>
        </w:rPr>
        <w:t>:</w:t>
      </w:r>
      <w:bookmarkEnd w:id="5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بسیار ساده می توان گفت پیش‌گیری وضعی به این معناست که قبل از جرم باید کاری کرد که مجرم از ارتکاب جرم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گاهی فرصت از مجرم گرفته می شود؛ مثلا اگر برای منازل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دزدگیر نصب شود، سارق فرصت دزدی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گاهی جلوی دسترسی مجرم به وسایل ارتکاب جرم گرفته می شود؛ مثلا سلاح غیر مجاز از دسترس عموم و سطح جامعه جمع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اینکه در ذهن فرد زمینه و انگیزه ارتکاب جرم هست، اما فرصت و ابزار از وی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فنی‌و حقوقی،پیش‌گیری‌وضعی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Situationalprevention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جرم از مجرم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برای ارتکاب جرم، اجتماع سه عامل لازم است که به آن ها مثلث جرم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مجرمانه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فرصت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Opportunity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ابزار جرم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آن ها که قاعده مثلث جرم را تشکیل می دهد، انگیزه مجرمانه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باعث بیدار شدن میل درونی در افراد و به تبع آن قصد مجرمانه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این عامل، ضروری است تدابیر پیش گیرانه اجتماعی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هر دلیل مجرمان واجد انگیزه شدند، باید از اجتماع دو ضلع دیگر این مثلث،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جرم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دو، سلب فرصت از مجرمان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متصدیان امر هر چه بکوشند تا ابزارهای ارتکاب جرم را از سطح جامعه جمع آوری کنند، باز هم مجرمان باانگیزه خواهند توانست به آن 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عین حال نباید اهمیت جمعآوری این ابزارها را در کاهش جرایم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پیش‌گیری وضعی از جرایم اولویت دارد، حفظ آماج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Targets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بزه‌دیدگان از تعرض مجرمان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شیوه های مختلفی از سوی جرمشناسان ارایه شده است که از مهمترین آن ها می توان به شیوه های دوازده گانه کلارک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جرم شناس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آن ها را در سه گروه چهارتایی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 ساختن ارتکاب جرم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آماج ها و قربانیان جرم؛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ایجاد محدودیت در دسترسی به موقعیت های جرم زا؛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کردن مجرمان؛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ابزار ارتکاب 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خطرپذیری مجرمان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ورودی ها و خروجی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رسمی؛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غیر رسمی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جاذبه از آماج ها و قربانیان جرم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آماج های جرم؛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اموال؛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فرصت های وسوسه انگیز؛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قواعد خاص</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دیگر نیز می توان به پیش‌گیری وضعی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چشم انداز به جای مجرم به فرد بزه دیده توجه می شود و قبل از هر چیز </w:t>
      </w:r>
    </w:p>
    <w:p>
      <w:pPr>
        <w:pStyle w:val="BookText"/>
        <w:rPr/>
      </w:pPr>
      <w:r>
        <w:rPr>
          <w:rFonts w:ascii="IRNazanin" w:hAnsi="IRNazanin" w:eastAsia="IRNazanin"/>
          <w:color w:val="111111"/>
          <w:sz w:val="28"/>
          <w:sz w:val="28"/>
          <w:szCs w:val="28"/>
          <w:rtl w:val="true"/>
          <w:lang w:bidi="fa-IR"/>
        </w:rPr>
        <w:t>موضوع بزه دیده شناسی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نجفی ابرندآبادی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بزه‌دیده‌شناسی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بزه‌دیده‌شناسی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شاخه‌ای از جرم‌شناسی علت‌شناسی است و در آن رابطه بزه‌دیده با بزهکار در آستانه ارتکاب جرم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قربانی‌شناسی یا بزه‌دیده‌شناسی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آن حمایت ازبزه‌دیده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حمایتی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نظر بر این است که قربانی جرم صرف‌نظر از نقشش در جرم، خسارت‌دیده و مظلوم است و باید از او حمایت شود و نقش او در وقوع جرم نقشی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مسئله در سیاست جنایی بحثی به نام عدالت ترمیمی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Restorative justice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عدالت ترمیمی احیاگر بزه‌دیده‌مداری بوده و اصلاح مجرم در گرو تضمین حقوق و ترمیم خسارت بزه‌دیده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بزه‌دیده‌شناسی علمی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نحوه و فرایند بزه‌دیدگی یک فرد از نظر فردی و اجتماعی به منظور پیش‌گیری از بزه‌دیدگی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غایت بزه‌دیده‌شناسی علمی نیز پیش‌گیری از جرم است ولی از طریق مجنی‌علیه و اقدام حول زندگی از جرم پیش‌گیری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آورده‌های بزه‌دیده‌شناسی علمی پیش‌گیری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وضعی، یعنی اتخاذ و اعمال تدابیری در باره اوضاع و احوال ماقبل بزهکاری و بر هم زدن معادله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کنید در یک خیابان تعدادی خودرو پارک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خیابان تاریک باشد، احتمال سرقت در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خیابان و پارک بودن ماشین‌ها شرایطی را به وجود می‌آورد که بزه‌دیده‌زا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سرقت خودرو تا اندازه‌ای به خاطر قصور مالک ماشین است که ماشین را در خیابانی تاریک پارک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بزه‌دیده باید در ایمن کردن مال خود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پیش‌گیری وضعی یک پیش‌گیری بزه‌دیده‌مدار است حال آن که پیش‌گیری اجتماعی بیش‌تر مجرم‌مدار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بزه‌دیده‌شناسی علمی لااقل دو دسته عوامل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عوامل خاص و دیگری عوامل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خاص بزه‌دیده‌زا یکی سن و دیگری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 یا کهولت فرد را در برابر جرم آسیب‌پذیرتر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قوانین کیفری برای حمایت از صغار چندین جرم وضع شده است؛ از جمله ترک طفل در منطقه عاری از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افراد مسن تسهیلاتی دولتی در نظرمی‌گیرند؛ زیرا این افراد بیش‌تر در معرض تعرضات مالی‌اند؛ مثلاً برای پرداخت حقوق به آن‌ها به جای پول، کارت اعتباری می‌دهند و این نوعی حمایت از آن‌ها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مؤنث معمولاً در مقابل جرم آسیب‌پذیرتر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فصل بزرگی را در جرم‌شناسی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جنسیت می‌تواند عنصری برای بزه‌دیده واقع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جرایم خاصی وجود دارد که بزه‌دیده آن‌ها مؤنث </w:t>
      </w:r>
      <w:bookmarkStart w:id="53" w:name="pg5505_36753"/>
    </w:p>
    <w:p>
      <w:pPr>
        <w:pStyle w:val="BookText"/>
        <w:rPr/>
      </w:pPr>
      <w:bookmarkEnd w:id="53"/>
      <w:r>
        <w:rPr>
          <w:rFonts w:ascii="IRNazanin" w:hAnsi="IRNazanin" w:eastAsia="IRNazanin"/>
          <w:color w:val="111111"/>
          <w:sz w:val="28"/>
          <w:sz w:val="28"/>
          <w:szCs w:val="28"/>
          <w:rtl w:val="true"/>
          <w:lang w:bidi="fa-IR"/>
        </w:rPr>
        <w:t>هستند؛ مثل انجام اعمال توهین‌آمیز علیه زنان در معابر عمومی، یا جرم ترک انفاق که حمایت از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عوامل خاص بزه‌دیدگی باید گفت که برخی از مشاغل، صاحبان آن مشاغل را بیش‌تر در معرض بزه‌دیدگی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رانندگان تاکسی به لحاظ تماس مکرر با اشخاص مختلف احتمال بزه‌دیدگی‌شان بیش‌تر است یا روان‌پزشکان به خاطر تماس با افراد</w:t>
      </w:r>
    </w:p>
    <w:p>
      <w:pPr>
        <w:pStyle w:val="BookText"/>
        <w:rPr/>
      </w:pPr>
      <w:r>
        <w:rPr>
          <w:rFonts w:ascii="IRNazanin" w:hAnsi="IRNazanin" w:eastAsia="IRNazanin"/>
          <w:color w:val="111111"/>
          <w:sz w:val="28"/>
          <w:sz w:val="28"/>
          <w:szCs w:val="28"/>
          <w:rtl w:val="true"/>
          <w:lang w:bidi="fa-IR"/>
        </w:rPr>
        <w:t>خاص بیش‌تر در معرض بزه‌دیدگی‌اند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بزه‌دیده‌شناسی علمی فرضیه ما این است که خود بزه‌دیده عامل جرم است و برای پیش‌گیری از جرم باید دست به پیش‌گیری وضعی زد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54" w:name="__RefHeading___Toc2336482_581953129"/>
      <w:bookmarkStart w:id="55" w:name="_Toc18"/>
      <w:bookmarkEnd w:id="54"/>
      <w:r>
        <w:rPr>
          <w:rtl w:val="true"/>
        </w:rPr>
        <w:t>گفتار دوم</w:t>
      </w:r>
      <w:r>
        <w:rPr>
          <w:rtl w:val="true"/>
        </w:rPr>
        <w:t xml:space="preserve">: </w:t>
      </w:r>
      <w:r>
        <w:rPr>
          <w:rtl w:val="true"/>
        </w:rPr>
        <w:t>پیش‌گیری اولیه، ثانویه و ثالث</w:t>
      </w:r>
      <w:bookmarkEnd w:id="55"/>
    </w:p>
    <w:p>
      <w:pPr>
        <w:pStyle w:val="Heading5"/>
        <w:numPr>
          <w:ilvl w:val="4"/>
          <w:numId w:val="1"/>
        </w:numPr>
        <w:rPr/>
      </w:pPr>
      <w:bookmarkStart w:id="56" w:name="__RefHeading___Toc2336484_581953129"/>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یک تقسیم دیگر پیش‌گیری را به اولیه، ثانویه و ثالث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اولیه عبارت است از سالم‌سازی جامعه به سوی جامعه‌ای عاری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ثانویه شامل اقداماتی است که از فرایند گذر از اندیشه به عمل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پیش‌گیری از مصادیق جرم‌شناسی پیش 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جرمی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ثالث زمانی است که بحران به وجود آمده است و ما با جرم روبرو هستیم؛ در واقع این نوع پیش‌گیری، هدف جلوگیری از تکرار جرایمی است 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ماهیتی کیفری دارند؛ یعنی اصلاح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حقوق دانان با طرح موضوع فوق معتقدند که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bookmarkStart w:id="58" w:name="pg5505_36754"/>
    </w:p>
    <w:p>
      <w:pPr>
        <w:pStyle w:val="BookText"/>
        <w:rPr/>
      </w:pPr>
      <w:bookmarkEnd w:id="58"/>
      <w:r>
        <w:rPr>
          <w:rFonts w:ascii="IRNazanin" w:hAnsi="IRNazanin" w:eastAsia="IRNazanin"/>
          <w:color w:val="111111"/>
          <w:sz w:val="28"/>
          <w:sz w:val="28"/>
          <w:szCs w:val="28"/>
          <w:rtl w:val="true"/>
          <w:lang w:bidi="fa-IR"/>
        </w:rPr>
        <w:t>اساسی صرفا شامل پیش‌گیری نوع ثالث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با این حال باید دانست در اینکه آیا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فوق تنها به پیش‌گیری از تکرار جرم اختصاص دارد یا پیش‌گیری اولیه و ثانویه را نیز در بر می گیرد،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 فصل مربوط به بررسی پیش‌گیری از وقوع جرم در قانون اساسی به تفصیل پیرامون موضوع یاد شده مطالبی 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پیش‌گیری به اولیه، ثانویه و ثالث، مبتنی بر تقسیم زمانی برخورد با پدیده مجرمانه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قالب مراحل پیش‌گیری از وقوع جرم نیز می توان مورد مطالعه و ارزیابی قرار داد که خود مشتمل بر سه مرحله است</w:t>
      </w:r>
      <w:r>
        <w:rPr>
          <w:rFonts w:eastAsia="IRNazanin" w:cs="IRNazanin"/>
          <w:color w:val="111111"/>
          <w:sz w:val="28"/>
          <w:szCs w:val="28"/>
          <w:rtl w:val="true"/>
          <w:lang w:bidi="fa-IR"/>
        </w:rPr>
        <w:t>:</w:t>
      </w:r>
    </w:p>
    <w:p>
      <w:pPr>
        <w:pStyle w:val="Heading5"/>
        <w:numPr>
          <w:ilvl w:val="4"/>
          <w:numId w:val="1"/>
        </w:numPr>
        <w:rPr/>
      </w:pPr>
      <w:bookmarkStart w:id="59" w:name="__RefHeading___Toc2336486_581953129"/>
      <w:bookmarkStart w:id="60" w:name="_Toc20"/>
      <w:bookmarkEnd w:id="59"/>
      <w:r>
        <w:rPr>
          <w:rtl w:val="true"/>
        </w:rPr>
        <w:t>پیش‌گیری قبل از وقوع جرم</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شیوه های تعالی و به سازی مادی و معنوی جامعه مورد توجه قرار می گیرد و پس از طرح راه کارهای اجرایی رسیدن به چنان اهداف متعالی، ضمانت اجرای لازم نیز از سوی دولت ها وضع می شود تا همگان به رعایت و اطاعت از آن ها ملزم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اقتصادی، ایجاد امنیت و نظم عمومی، فرهنگ سازی و ایجاد آگاهی متناسب با هر گروه سنی نسبت به حقوق و تکالیف فردی و اجتماعی خود و مانند آن از جمله اقداماتی است که حاکمیت و سازمان های خصوصی فعال در عرصه حقوق انسان می توانند بدان منظور انجام دهند</w:t>
      </w:r>
      <w:r>
        <w:rPr>
          <w:rFonts w:eastAsia="IRNazanin" w:cs="IRNazanin"/>
          <w:color w:val="111111"/>
          <w:sz w:val="28"/>
          <w:szCs w:val="28"/>
          <w:rtl w:val="true"/>
          <w:lang w:bidi="fa-IR"/>
        </w:rPr>
        <w:t xml:space="preserve">. </w:t>
      </w:r>
      <w:bookmarkStart w:id="61" w:name="pg5505_36755"/>
    </w:p>
    <w:p>
      <w:pPr>
        <w:pStyle w:val="Heading5"/>
        <w:numPr>
          <w:ilvl w:val="4"/>
          <w:numId w:val="1"/>
        </w:numPr>
        <w:rPr/>
      </w:pPr>
      <w:bookmarkStart w:id="62" w:name="__RefHeading___Toc2336488_581953129"/>
      <w:bookmarkStart w:id="63" w:name="_Toc21"/>
      <w:bookmarkEnd w:id="61"/>
      <w:bookmarkEnd w:id="62"/>
      <w:r>
        <w:rPr>
          <w:rtl w:val="true"/>
        </w:rPr>
        <w:t>پیش‌گیری هنگام وقوع جرم</w:t>
      </w:r>
      <w:bookmarkEnd w:id="63"/>
    </w:p>
    <w:p>
      <w:pPr>
        <w:pStyle w:val="BookText"/>
        <w:rPr/>
      </w:pPr>
      <w:r>
        <w:rPr>
          <w:rFonts w:ascii="IRNazanin" w:hAnsi="IRNazanin" w:eastAsia="IRNazanin"/>
          <w:color w:val="111111"/>
          <w:sz w:val="28"/>
          <w:sz w:val="28"/>
          <w:szCs w:val="28"/>
          <w:rtl w:val="true"/>
          <w:lang w:bidi="fa-IR"/>
        </w:rPr>
        <w:t>این همان مرحله گذر از اندیشه به عمل مجرمانه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حساسیت این مرحله به قدری است که اگر پیش‌گیری ثانویه با ظرافت و به صورت فنی و توسط مراکز رسمی و آموزش دیده صورت نگیرد، آثار سوء برجای مانده از آن بدتر از وقوع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پیش‌گیری ثانویه نابخردانه، بیشتر روح جامعه و افکار عمومی را هدف تخریب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از سوی کسی صورت می گیرد که مردم به دیده منفی به عاملش می نگرند ولی پیش گیرنده از جرم را فردی مثبت و مفید برای جامعه می دانند و بدیهی اگر این پیش‌گیری درست انجام نشود، با این باور و اعتقاد عمومی مردم بازی شده است؛ مخصوصا اگر عدم تناسب رفتار در فرایند پیش‌گیری به جرمی دیگر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پیش‌گیری از وقوع جرم بدحجابی، فرد پیش گیرنده دست مجرم را گرفته و با رفتار توهین آمیز وی را به سوی مراکز پلیس سوق داده و در این اثنا از وی نیز تصویر گرفته و از رسانه های عمومی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چنین رفتاری به مراتب بیشتر از نفس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چنین آثاری پیش‌گیری ثانویه باید توسط نهادهای تخصصی و فنی صورت گیرد</w:t>
      </w:r>
      <w:r>
        <w:rPr>
          <w:rFonts w:eastAsia="IRNazanin" w:cs="IRNazanin"/>
          <w:color w:val="111111"/>
          <w:sz w:val="28"/>
          <w:szCs w:val="28"/>
          <w:rtl w:val="true"/>
          <w:lang w:bidi="fa-IR"/>
        </w:rPr>
        <w:t>.</w:t>
      </w:r>
    </w:p>
    <w:p>
      <w:pPr>
        <w:pStyle w:val="Heading5"/>
        <w:numPr>
          <w:ilvl w:val="4"/>
          <w:numId w:val="1"/>
        </w:numPr>
        <w:rPr/>
      </w:pPr>
      <w:bookmarkStart w:id="64" w:name="__RefHeading___Toc2336490_581953129"/>
      <w:bookmarkStart w:id="65" w:name="_Toc22"/>
      <w:bookmarkEnd w:id="64"/>
      <w:r>
        <w:rPr>
          <w:rtl w:val="true"/>
        </w:rPr>
        <w:t>پیش‌گیری پس از وقوع جرم</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وقوع جرم نوبت به مجازات مجرم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 مرحله قبل، این مرحله کاملا جنبه کیفری دارد؛ چون با اعمال مجازات، </w:t>
      </w:r>
    </w:p>
    <w:p>
      <w:pPr>
        <w:pStyle w:val="BookText"/>
        <w:rPr/>
      </w:pPr>
      <w:r>
        <w:rPr>
          <w:rFonts w:ascii="IRNazanin" w:hAnsi="IRNazanin" w:eastAsia="IRNazanin"/>
          <w:color w:val="111111"/>
          <w:sz w:val="28"/>
          <w:sz w:val="28"/>
          <w:szCs w:val="28"/>
          <w:rtl w:val="true"/>
          <w:lang w:bidi="fa-IR"/>
        </w:rPr>
        <w:t>به اصلاح مجرم و جلوگیری از تکرار وقوع جرم توسط وی نیز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اعمال مجازات باید عاری از هرگونه رفتار مجرمانه و به دور از خدشه به کرامت متهمان و مجرمان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بازپروری و اعاده مجرم به جامعه و قرار دادن وی در مسیر درست حیات بشری به گونه ای که وی را از انجام امور مجرمانه بری نماید، از اهداف اصلی پیش‌گیری در مرحله بعد از وقوع جرم یا همان پیش‌گیری ثالث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پیش گیری قبل از وقوع جرم پیش گیری کنشی و پیش گیری حین و بعد از وقوع جرم پیش گیری واکنشی است</w:t>
      </w:r>
      <w:r>
        <w:rPr>
          <w:rFonts w:eastAsia="IRNazanin" w:cs="IRNazanin"/>
          <w:color w:val="111111"/>
          <w:sz w:val="28"/>
          <w:szCs w:val="28"/>
          <w:rtl w:val="true"/>
          <w:lang w:bidi="fa-IR"/>
        </w:rPr>
        <w:t xml:space="preserve">. </w:t>
      </w:r>
      <w:bookmarkStart w:id="66" w:name="pg5505_36757"/>
    </w:p>
    <w:p>
      <w:pPr>
        <w:pStyle w:val="Heading4"/>
        <w:numPr>
          <w:ilvl w:val="3"/>
          <w:numId w:val="1"/>
        </w:numPr>
        <w:rPr/>
      </w:pPr>
      <w:bookmarkStart w:id="67" w:name="__RefHeading___Toc2336492_581953129"/>
      <w:bookmarkStart w:id="68" w:name="_Toc23"/>
      <w:bookmarkEnd w:id="66"/>
      <w:bookmarkEnd w:id="67"/>
      <w:r>
        <w:rPr>
          <w:rtl w:val="true"/>
        </w:rPr>
        <w:t>گفتار سوم</w:t>
      </w:r>
      <w:r>
        <w:rPr>
          <w:rtl w:val="true"/>
        </w:rPr>
        <w:t xml:space="preserve">: </w:t>
      </w:r>
      <w:r>
        <w:rPr>
          <w:rtl w:val="true"/>
        </w:rPr>
        <w:t>پیش‌گیری کوتاه مدت و بلند مدت</w:t>
      </w:r>
      <w:bookmarkEnd w:id="68"/>
    </w:p>
    <w:p>
      <w:pPr>
        <w:pStyle w:val="Heading5"/>
        <w:numPr>
          <w:ilvl w:val="4"/>
          <w:numId w:val="1"/>
        </w:numPr>
        <w:rPr/>
      </w:pPr>
      <w:bookmarkStart w:id="69" w:name="__RefHeading___Toc2336494_581953129"/>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می توان مراحل پیش‌گیری را در دو مرحله کوتاه مدت و بلند مدت نیز خلاصه کرد؛ کاری که حقوق دانانی مانند آنسل انجام داده اند</w:t>
      </w:r>
      <w:r>
        <w:rPr>
          <w:rFonts w:eastAsia="IRNazanin" w:cs="IRNazanin"/>
          <w:color w:val="111111"/>
          <w:sz w:val="28"/>
          <w:szCs w:val="28"/>
          <w:rtl w:val="true"/>
          <w:lang w:bidi="fa-IR"/>
        </w:rPr>
        <w:t>.</w:t>
      </w:r>
    </w:p>
    <w:p>
      <w:pPr>
        <w:pStyle w:val="Heading5"/>
        <w:numPr>
          <w:ilvl w:val="4"/>
          <w:numId w:val="1"/>
        </w:numPr>
        <w:rPr/>
      </w:pPr>
      <w:bookmarkStart w:id="71" w:name="__RefHeading___Toc2336496_581953129"/>
      <w:bookmarkStart w:id="72" w:name="_Toc25"/>
      <w:bookmarkEnd w:id="71"/>
      <w:r>
        <w:rPr/>
        <w:t>1</w:t>
      </w:r>
      <w:r>
        <w:rPr>
          <w:rtl w:val="true"/>
        </w:rPr>
        <w:t xml:space="preserve">- </w:t>
      </w:r>
      <w:r>
        <w:rPr>
          <w:rtl w:val="true"/>
        </w:rPr>
        <w:t>مرحله کوتاه مدت</w:t>
      </w:r>
      <w:bookmarkEnd w:id="72"/>
    </w:p>
    <w:p>
      <w:pPr>
        <w:pStyle w:val="BookText"/>
        <w:rPr/>
      </w:pPr>
      <w:r>
        <w:rPr>
          <w:rFonts w:ascii="IRNazanin" w:hAnsi="IRNazanin" w:eastAsia="IRNazanin"/>
          <w:color w:val="111111"/>
          <w:sz w:val="28"/>
          <w:sz w:val="28"/>
          <w:szCs w:val="28"/>
          <w:rtl w:val="true"/>
          <w:lang w:bidi="fa-IR"/>
        </w:rPr>
        <w:t>پیش‌گیری کوتاه مدت اقداماتی است که مهم ترین خصیصه آن ها فوریت و عدم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اقدامات منع فوری و پیش‌گیری از جرایم در کوتاه ترین زمان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منع کننده جرم و در غیر این صورت مشکل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پلیس برای پیش‌گیری از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اصلاح مجرم با مطالعه وضعیت جسمانی و روانی وی برای جلوگیری از ارتکاب مجدد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معتادین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وضعیت مسکن، حمل و نقل شهری، حاشیه نشینی، نوشیدنی های الکلی، حمل سلاح و</w:t>
      </w:r>
      <w:r>
        <w:rPr>
          <w:rFonts w:eastAsia="IRNazanin" w:cs="IRNazanin"/>
          <w:color w:val="111111"/>
          <w:sz w:val="28"/>
          <w:szCs w:val="28"/>
          <w:rtl w:val="true"/>
          <w:lang w:bidi="fa-IR"/>
        </w:rPr>
        <w:t>...</w:t>
      </w:r>
    </w:p>
    <w:p>
      <w:pPr>
        <w:pStyle w:val="Heading5"/>
        <w:numPr>
          <w:ilvl w:val="4"/>
          <w:numId w:val="1"/>
        </w:numPr>
        <w:rPr/>
      </w:pPr>
      <w:bookmarkStart w:id="73" w:name="__RefHeading___Toc2336498_581953129"/>
      <w:bookmarkStart w:id="74" w:name="_Toc26"/>
      <w:bookmarkEnd w:id="73"/>
      <w:r>
        <w:rPr/>
        <w:t>2</w:t>
      </w:r>
      <w:r>
        <w:rPr>
          <w:rtl w:val="true"/>
        </w:rPr>
        <w:t xml:space="preserve">- </w:t>
      </w:r>
      <w:r>
        <w:rPr>
          <w:rtl w:val="true"/>
        </w:rPr>
        <w:t>مرحله بلند مدت</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مشتمل بر اقداماتی است که بیشتر صبغه آموزشی و فرهنگی داشته، کل جامعه را پوشش داده و نتایج آن در بلند مدت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نهادهای خصوصی و غیردولتی در این مرحله می تواند در فرهنگ سازی نقش برجسته 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افراد انسانی از حقوق و تکالیف فردی و اجتماعی خویش می تواند به طور جدی در کاهش </w:t>
      </w:r>
    </w:p>
    <w:p>
      <w:pPr>
        <w:pStyle w:val="BookText"/>
        <w:rPr/>
      </w:pPr>
      <w:r>
        <w:rPr>
          <w:rFonts w:ascii="IRNazanin" w:hAnsi="IRNazanin" w:eastAsia="IRNazanin"/>
          <w:color w:val="111111"/>
          <w:sz w:val="28"/>
          <w:sz w:val="28"/>
          <w:szCs w:val="28"/>
          <w:rtl w:val="true"/>
          <w:lang w:bidi="fa-IR"/>
        </w:rPr>
        <w:t>جرم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توصیه ای که به برنامه ریزان، سیاست گذاران و افراد جامعه در ارتباط با این مرحله می توان ارایه نمود، این است که برای دریافت آثار و نتایج اقدامات بلند مدت صبور بوده و زمان را در دریافت نتیجه به فراموشی بسپارند تا نتایج ابدی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بهتر دو مرحله فوق می توان وضعیت بهداشت جامعه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جامعه ای از بهداشت و سلامت بیشتری برخوردار است که پیش‌گیری های لازم را نسبت به فراگیر شدن امراض انجام داده و پیشاپیش خود را در برابر انواع بیماری ها واکسینه کند؛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امر بهداشت نسبت به درمان توجه بیشتری معطوف دارد؛ از آلوده کردن محیط زیست پرهیز کرده بهداشت محیط و خانواده را در اولویت خاصی قرار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گرچه زمان بر و معمولا مستمر هستند ولی نتایج ماندگار و ابدی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قسمی که گاه منتهی به ریشه کن کردن برخی امراض از جامعه و حتی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انجام چنین اقداماتی به معنای عدم نیاز به اقداماتی عاجل؛ مانند فوریت های پزشکی و درمان های سرپایی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دسته نخست قابل تطبیق با مرحله بلند مدت در پیش‌گیری از وقوع جرم و اقدامات دسته دوم همانند مرحله کوتاه مدت در پیش‌گیری از وقوع جرم است</w:t>
      </w:r>
      <w:r>
        <w:rPr>
          <w:rFonts w:eastAsia="IRNazanin" w:cs="IRNazanin"/>
          <w:color w:val="111111"/>
          <w:sz w:val="28"/>
          <w:szCs w:val="28"/>
          <w:rtl w:val="true"/>
          <w:lang w:bidi="fa-IR"/>
        </w:rPr>
        <w:t xml:space="preserve">. </w:t>
      </w:r>
      <w:bookmarkStart w:id="75" w:name="pg5505_36759"/>
    </w:p>
    <w:p>
      <w:pPr>
        <w:pStyle w:val="Heading2"/>
        <w:numPr>
          <w:ilvl w:val="1"/>
          <w:numId w:val="1"/>
        </w:numPr>
        <w:rPr/>
      </w:pPr>
      <w:bookmarkStart w:id="76" w:name="__RefHeading___Toc2336500_581953129"/>
      <w:bookmarkStart w:id="77" w:name="_Toc27"/>
      <w:bookmarkEnd w:id="75"/>
      <w:bookmarkEnd w:id="76"/>
      <w:r>
        <w:rPr>
          <w:rtl w:val="true"/>
        </w:rPr>
        <w:t>بخش دوم</w:t>
      </w:r>
      <w:r>
        <w:rPr>
          <w:rtl w:val="true"/>
        </w:rPr>
        <w:t>:</w:t>
      </w:r>
      <w:r>
        <w:rPr>
          <w:rtl w:val="true"/>
        </w:rPr>
        <w:t>پیش‌گیری در نظام سیاسی اسلام</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336502_581953129"/>
      <w:bookmarkStart w:id="79" w:name="_Toc28"/>
      <w:bookmarkEnd w:id="78"/>
      <w:r>
        <w:rPr>
          <w:rtl w:val="true"/>
        </w:rPr>
        <w:t>اشاره</w:t>
      </w:r>
      <w:bookmarkStart w:id="80" w:name="pg5505_36760"/>
      <w:bookmarkEnd w:id="79"/>
    </w:p>
    <w:p>
      <w:pPr>
        <w:pStyle w:val="Heading3"/>
        <w:numPr>
          <w:ilvl w:val="2"/>
          <w:numId w:val="1"/>
        </w:numPr>
        <w:rPr/>
      </w:pPr>
      <w:bookmarkStart w:id="81" w:name="__RefHeading___Toc2336504_581953129"/>
      <w:bookmarkStart w:id="82" w:name="_Toc29"/>
      <w:bookmarkEnd w:id="80"/>
      <w:bookmarkEnd w:id="81"/>
      <w:r>
        <w:rPr>
          <w:rtl w:val="true"/>
        </w:rPr>
        <w:t>فصل اول</w:t>
      </w:r>
      <w:r>
        <w:rPr>
          <w:rtl w:val="true"/>
        </w:rPr>
        <w:t xml:space="preserve">: </w:t>
      </w:r>
      <w:r>
        <w:rPr>
          <w:rtl w:val="true"/>
        </w:rPr>
        <w:t>اهمیت پیش‌گیری از جرم در نظام سیاسی اسلام</w:t>
      </w:r>
      <w:bookmarkEnd w:id="82"/>
    </w:p>
    <w:p>
      <w:pPr>
        <w:pStyle w:val="Heading4"/>
        <w:numPr>
          <w:ilvl w:val="3"/>
          <w:numId w:val="1"/>
        </w:numPr>
        <w:rPr/>
      </w:pPr>
      <w:bookmarkStart w:id="83" w:name="__RefHeading___Toc2336506_581953129"/>
      <w:bookmarkStart w:id="84" w:name="_Toc30"/>
      <w:bookmarkEnd w:id="83"/>
      <w:r>
        <w:rPr>
          <w:rtl w:val="true"/>
        </w:rPr>
        <w:t>گفتار اول</w:t>
      </w:r>
      <w:r>
        <w:rPr>
          <w:rtl w:val="true"/>
        </w:rPr>
        <w:t xml:space="preserve">- </w:t>
      </w:r>
      <w:r>
        <w:rPr>
          <w:rtl w:val="true"/>
        </w:rPr>
        <w:t>رابطه نهی از منکر و پیش گیری از جرم</w:t>
      </w:r>
      <w:bookmarkEnd w:id="84"/>
    </w:p>
    <w:p>
      <w:pPr>
        <w:pStyle w:val="BookText"/>
        <w:rPr/>
      </w:pPr>
      <w:r>
        <w:rPr>
          <w:rFonts w:ascii="IRNazanin" w:hAnsi="IRNazanin" w:eastAsia="IRNazanin"/>
          <w:color w:val="111111"/>
          <w:sz w:val="28"/>
          <w:sz w:val="28"/>
          <w:szCs w:val="28"/>
          <w:rtl w:val="true"/>
          <w:lang w:bidi="fa-IR"/>
        </w:rPr>
        <w:t>ساختار نظام سیاسی اسلام به موضوع پیش‌گیری از جرم اهمیت بیشتری داده و حالت سرکوب گرانه در سیاست جنایی اسلام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فراوانی به این موضوع اشاره شده است و پرداختن به آن نوشتاری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اختصار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نهی از منکر و پیش‌گیری از وقوع جرم دو نوع رابطه قابل تصور است؛ رابطه سبب و مسبب و رابطه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رابطه سبب و مسبب آن است که نهی از منکر سبب پیش‌گیری از جرم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از منکر و امر به معروف با هم دیگر و در کنار هم از عوامل پیش‌گیری از جرم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دعوت به خیر و امر به معروف باعث دوری انسان از امور ناهنجار و پیش‌گیری از جرم می گردد، نهی از منکر نیز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نمازی که باعث دوری از جرایم نگردد، نماز مورد نظر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نه از آن جهت که در حین اقامه اش انسان را از ارتکاب جرم باز می دارد، بلکه از آن </w:t>
      </w:r>
    </w:p>
    <w:p>
      <w:pPr>
        <w:pStyle w:val="BookText"/>
        <w:rPr/>
      </w:pPr>
      <w:r>
        <w:rPr>
          <w:rFonts w:ascii="IRNazanin" w:hAnsi="IRNazanin" w:eastAsia="IRNazanin"/>
          <w:color w:val="111111"/>
          <w:sz w:val="28"/>
          <w:sz w:val="28"/>
          <w:szCs w:val="28"/>
          <w:rtl w:val="true"/>
          <w:lang w:bidi="fa-IR"/>
        </w:rPr>
        <w:t>جهت که موجب ایجاد روحیه منکر گریزی در انسان است، مورد توجه شارع مقدس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باعث دوری از بدی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از آن روی که نماز عامل درونی جرم زدایی است، دعوت به نماز در قالب دعوت به خیر می تواند در کاهش جرم و پیش‌گیری از جرم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بلکه بیشتر، نهی از منکر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گرفتن در میدان جاذبه های جنسی عاملی برای وقوع جرایم جنسی خواهد بود، بدیهی است منع و نهی از وقوع در چنین فضایی منجر به پیش‌گیری از وقوع در فضای جرم و جنایت و به طور عام فضای گناه آلود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رابطه عموم و خصوص مطلق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معنای زجر و منع 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گاهی زبانی و گاهی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زبانی نیز گاهی در جملات مثبت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گاهی در جملات منفی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لاتقربا هذه الشجرة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طبق این معنا نهی همان پیش‌گیری است؛ زیرا پیش‌گیری در واقع جلوگیری زبانی یا عملی 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ناشناخته و در اصطلاح کاری است که عقل سلیم آن را ناپسند و قبیح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عقل در باره کار منکر قضاوتی ندارد ولی شرع آن را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راغب این فرض را نیز که امری از دیدگاه عقل پسندیده و از دیدگاه شرع ناپسند باشد، </w:t>
      </w:r>
    </w:p>
    <w:p>
      <w:pPr>
        <w:pStyle w:val="BookText"/>
        <w:rPr/>
      </w:pPr>
      <w:r>
        <w:rPr>
          <w:rFonts w:ascii="IRNazanin" w:hAnsi="IRNazanin" w:eastAsia="IRNazanin"/>
          <w:color w:val="111111"/>
          <w:sz w:val="28"/>
          <w:sz w:val="28"/>
          <w:szCs w:val="28"/>
          <w:rtl w:val="true"/>
          <w:lang w:bidi="fa-IR"/>
        </w:rPr>
        <w:t>متصور دانسته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این تعبیر منکر مفهومی بسیار عام تر از جرم دارد و در واقع بین منکر و جرم رابطه منطقی عام و خاص مطلق برقرار است؛ یعنی هر جرمی منکر است ولی هر منکری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سرقت، قتل، هتک حرمت، رشوه، کلاه‌برداری و سایر عناوین مجرمانه؛ حتی عدم مراعات مقررات و قوانین راهنمایی و رانندگی از آن جهت که تضییع حقوق عامه، عامل بی‌ثباتی و موجب هرج و مرج است، همگی منکر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منکرات جرم نیستند؛ مانند حسادت، کبر، عجب، ریا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دیدگاه منکرانگاری جرم، نهی از منکر به طور قطع پیش‌گیری از وقوع جرم را شامل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صرفاً برخی آیات و روایات ناظر بر امر به معروف و نهی از منکر که متناسب با مبحث مبانی پیش‌گیری از وقوع جرم باشد، آورده خواهد شد</w:t>
      </w:r>
      <w:r>
        <w:rPr>
          <w:rFonts w:eastAsia="IRNazanin" w:cs="IRNazanin"/>
          <w:color w:val="111111"/>
          <w:sz w:val="28"/>
          <w:szCs w:val="28"/>
          <w:rtl w:val="true"/>
          <w:lang w:bidi="fa-IR"/>
        </w:rPr>
        <w:t xml:space="preserve">. </w:t>
      </w:r>
      <w:bookmarkStart w:id="85" w:name="pg5505_36763"/>
    </w:p>
    <w:p>
      <w:pPr>
        <w:pStyle w:val="Heading4"/>
        <w:numPr>
          <w:ilvl w:val="3"/>
          <w:numId w:val="1"/>
        </w:numPr>
        <w:rPr/>
      </w:pPr>
      <w:bookmarkStart w:id="86" w:name="__RefHeading___Toc2336508_581953129"/>
      <w:bookmarkStart w:id="87" w:name="_Toc31"/>
      <w:bookmarkEnd w:id="85"/>
      <w:bookmarkEnd w:id="86"/>
      <w:r>
        <w:rPr>
          <w:rtl w:val="true"/>
        </w:rPr>
        <w:t>گفتار دوم</w:t>
      </w:r>
      <w:r>
        <w:rPr>
          <w:rtl w:val="true"/>
        </w:rPr>
        <w:t xml:space="preserve">- </w:t>
      </w:r>
      <w:r>
        <w:rPr>
          <w:rtl w:val="true"/>
        </w:rPr>
        <w:t>پیش‌گیری از وقوع جرم در آیات</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بازمی‌دارید،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کتاب ایمان آورده بودند قطعاً برایشان بهتر بود برخی از آنان مؤمنند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نافرمانند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 دارند، و آنان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روز قیامت ایمان دارند و به کار پسندیده فرمان می‌دهند و از کار ناپسند بازمی‌دارند و در کارهای نیک شتاب می‌کنند، و آنان از شایستگانند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 می‌دارند، و نماز را بر پا می کنند و زکات می دهند، 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 که خدا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 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الاَرْضِ أَقامُوا الصَّلاةَ وَ آتَوُا الزَّکاةَ وَ أَمَرُوا بِالْمَعْرُوفِ وَ نَهَوْا عَنِ الْمُنْکَرِ وَ لِلَّهِ عاقِبَةُ الامُورِ</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امر می‌کنند، و از کارهای ناپسند باز می‌دارند، و فرجام همه کارها از آنِ خداست</w:t>
      </w:r>
      <w:r>
        <w:rPr>
          <w:rFonts w:eastAsia="IRNazanin" w:cs="IRNazanin"/>
          <w:color w:val="111111"/>
          <w:sz w:val="28"/>
          <w:szCs w:val="28"/>
          <w:rtl w:val="true"/>
          <w:lang w:bidi="fa-IR"/>
        </w:rPr>
        <w:t xml:space="preserve">. </w:t>
      </w:r>
      <w:bookmarkStart w:id="88" w:name="pg5505_36765"/>
    </w:p>
    <w:p>
      <w:pPr>
        <w:pStyle w:val="BookText"/>
        <w:rPr/>
      </w:pPr>
      <w:bookmarkEnd w:id="8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پسرک من، نماز را برپا دار و به کار پسندیده امر کن و از کار ناپسند باز 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pStyle w:val="Heading4"/>
        <w:numPr>
          <w:ilvl w:val="3"/>
          <w:numId w:val="1"/>
        </w:numPr>
        <w:rPr/>
      </w:pPr>
      <w:bookmarkStart w:id="89" w:name="__RefHeading___Toc2336510_581953129"/>
      <w:bookmarkStart w:id="90" w:name="_Toc32"/>
      <w:bookmarkEnd w:id="89"/>
      <w:r>
        <w:rPr>
          <w:rtl w:val="true"/>
        </w:rPr>
        <w:t>گفتار سوم</w:t>
      </w:r>
      <w:r>
        <w:rPr>
          <w:rtl w:val="true"/>
        </w:rPr>
        <w:t xml:space="preserve">- </w:t>
      </w:r>
      <w:r>
        <w:rPr>
          <w:rtl w:val="true"/>
        </w:rPr>
        <w:t>پیش‌گیری از وقوع جرم در روایات</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وَجَدْنَا فِی کِتَابِ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یَأْمُرُوا بِالْمَعْرُوفِ وَ لَمْ یَنْهَوْا عَنِ الْمُنْکَرِ وَ لَمْ یَتَّبِعُوا الاَخْیَارَ مِنْ أَهْلِ بَیْتِی سَلَّطَ اللَّهُ عَلَیْهِمْ شِرَارَهُمْ فَیَدْعُوا خِیَارُهُمْ فَلایُسْتَجَابُ لَهُم؛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کتاب رسول خدا دیدیم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معروف امر و از منکر نهی نکنند و نیکان از خاندان مرا پیروی نکنند، خداوند بدانشان را بر آنان مسلط می کند و دعای نیکانشان را مستجاب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یَعِیبُونَ الاَمْرَ بِالْمَعْرُوفِ وَ النَّهْیَ عَنِ الْمُنْکَر؛</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امر به معروف و نهی از منکر را عیب بشمارد، ملت بدی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یَقُولُ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إِذَا أُمَّتِی تَوَاکَلَتِ الاَمْرَ بِالْمَعْرُوفِ وَ النَّهْیَ عَنِ الْمُنْکَرِ فَلْیَأْذَنُوا بِوِقَاعٍ مِنَ اللَّه؛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 من امر به معروف و نهی از منکر را به یک دیگر واگذار نمایند، منتظر گرفتاری ای از سوی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 النَّهْیُ عَنِ الْمُنْکَرِ خَلْقَانِ مِنْ خَلْقِ اللَّهِ فَمَنْ نَصَرَهُمَا أَعَزَّهُ اللَّهُ وَ مَنْ خَذَلَهُمَا خَذَلَهُ اللَّه؛</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آفریده از آفریدگان الهی است، هر کس آن دو را یاری کند، خداوند او را عزیز می دارد و هر کس آن را سبک شمارد خداوند او را خوار می‌کند</w:t>
      </w:r>
      <w:r>
        <w:rPr>
          <w:rFonts w:eastAsia="IRNazanin" w:cs="IRNazanin"/>
          <w:color w:val="111111"/>
          <w:sz w:val="28"/>
          <w:szCs w:val="28"/>
          <w:rtl w:val="true"/>
          <w:lang w:bidi="fa-IR"/>
        </w:rPr>
        <w:t xml:space="preserve">. </w:t>
      </w:r>
      <w:bookmarkStart w:id="91" w:name="pg5505_36767"/>
    </w:p>
    <w:p>
      <w:pPr>
        <w:pStyle w:val="Heading3"/>
        <w:numPr>
          <w:ilvl w:val="2"/>
          <w:numId w:val="1"/>
        </w:numPr>
        <w:rPr/>
      </w:pPr>
      <w:bookmarkStart w:id="92" w:name="__RefHeading___Toc2336512_581953129"/>
      <w:bookmarkStart w:id="93" w:name="_Toc33"/>
      <w:bookmarkEnd w:id="91"/>
      <w:bookmarkEnd w:id="92"/>
      <w:r>
        <w:rPr>
          <w:rtl w:val="true"/>
        </w:rPr>
        <w:t>فصل دوم</w:t>
      </w:r>
      <w:r>
        <w:rPr>
          <w:rtl w:val="true"/>
        </w:rPr>
        <w:t xml:space="preserve">: </w:t>
      </w:r>
      <w:r>
        <w:rPr>
          <w:rtl w:val="true"/>
        </w:rPr>
        <w:t>راه های پیش‌گیری از جرم در اسلام</w:t>
      </w:r>
      <w:bookmarkEnd w:id="93"/>
    </w:p>
    <w:p>
      <w:pPr>
        <w:pStyle w:val="Heading4"/>
        <w:numPr>
          <w:ilvl w:val="3"/>
          <w:numId w:val="1"/>
        </w:numPr>
        <w:rPr/>
      </w:pPr>
      <w:bookmarkStart w:id="94" w:name="__RefHeading___Toc2336514_581953129"/>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اسلام امر به معروف و نهی از منکر به عنوان یکی از اثر گذارترین راه های پیش گیری از جرم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فصل قبل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امر به معروف و نهی از منکر، برای نیل به هدف جامعه سالم و در مسیر کمک به پیش‌گیری از وقوع جرم در اسلام توصیه ها و راه های دیگری نیز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تقوا، عبادت، عفت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است</w:t>
      </w:r>
      <w:r>
        <w:rPr>
          <w:rFonts w:eastAsia="IRNazanin" w:cs="IRNazanin"/>
          <w:color w:val="111111"/>
          <w:sz w:val="28"/>
          <w:szCs w:val="28"/>
          <w:rtl w:val="true"/>
          <w:lang w:bidi="fa-IR"/>
        </w:rPr>
        <w:t>.</w:t>
      </w:r>
    </w:p>
    <w:p>
      <w:pPr>
        <w:pStyle w:val="Heading4"/>
        <w:numPr>
          <w:ilvl w:val="3"/>
          <w:numId w:val="1"/>
        </w:numPr>
        <w:rPr/>
      </w:pPr>
      <w:bookmarkStart w:id="96" w:name="__RefHeading___Toc2336516_581953129"/>
      <w:bookmarkStart w:id="97" w:name="_Toc35"/>
      <w:bookmarkEnd w:id="96"/>
      <w:r>
        <w:rPr>
          <w:rtl w:val="true"/>
        </w:rPr>
        <w:t>گفتار اول</w:t>
      </w:r>
      <w:r>
        <w:rPr>
          <w:rtl w:val="true"/>
        </w:rPr>
        <w:t xml:space="preserve">- </w:t>
      </w:r>
      <w:r>
        <w:rPr>
          <w:rtl w:val="true"/>
        </w:rPr>
        <w:t>عدالت</w:t>
      </w:r>
      <w:bookmarkEnd w:id="97"/>
    </w:p>
    <w:p>
      <w:pPr>
        <w:pStyle w:val="BookText"/>
        <w:rPr/>
      </w:pPr>
      <w:r>
        <w:rPr>
          <w:rFonts w:ascii="IRNazanin" w:hAnsi="IRNazanin" w:eastAsia="IRNazanin"/>
          <w:color w:val="111111"/>
          <w:sz w:val="28"/>
          <w:sz w:val="28"/>
          <w:szCs w:val="28"/>
          <w:rtl w:val="true"/>
          <w:lang w:bidi="fa-IR"/>
        </w:rPr>
        <w:t>وقتی انسان از پشتوانه معنوی درونی برخوردار باشد؛ به قسمی که او را از اقدام به گناه و جرم باز دارد، چنین انسانی واجد ملکه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درستی این اصل که اصلاح و افساد فردی در اصلاح و افساد جامعه به شدت اثر گذار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برخی به اشتباه برای تأیید این اصل 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استناد می کنند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فرشتگانی است که پی در پی او را به فرمان خدا از پیش رو و </w:t>
      </w:r>
    </w:p>
    <w:p>
      <w:pPr>
        <w:pStyle w:val="BookText"/>
        <w:rPr/>
      </w:pPr>
      <w:r>
        <w:rPr>
          <w:rFonts w:ascii="IRNazanin" w:hAnsi="IRNazanin" w:eastAsia="IRNazanin"/>
          <w:color w:val="111111"/>
          <w:sz w:val="28"/>
          <w:sz w:val="28"/>
          <w:szCs w:val="28"/>
          <w:rtl w:val="true"/>
          <w:lang w:bidi="fa-IR"/>
        </w:rPr>
        <w:t>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دانست این آیه صرفا ناظر به قسمت افساد جامعه است نه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مفسرین به این موضوع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التبیان آمده است که معنای این آیه این است که خداوند نعمتی را از قومی نمی ستاند مگر اینکه آنان معصیتی کنند که مستوجب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خداوند آنان را عقاب نموده و نعمت های خویش را بر آنان تغییر می دهد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شاهد این ادعا نیز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منافقان و کسانی که در دل 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شکست‌ناپذیر حکیم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هر حال این آیه ناظر به افساد جامعه به دلیل فساد فردی است و همخوانی اراده الهی با اراده اجتماعی در مسیر زوال نعمت سلامتی جامعه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اراده افراد در اثر انجام جرایم و </w:t>
      </w:r>
      <w:bookmarkStart w:id="98" w:name="pg5505_36769"/>
    </w:p>
    <w:p>
      <w:pPr>
        <w:pStyle w:val="BookText"/>
        <w:rPr/>
      </w:pPr>
      <w:bookmarkEnd w:id="98"/>
      <w:r>
        <w:rPr>
          <w:rFonts w:ascii="IRNazanin" w:hAnsi="IRNazanin" w:eastAsia="IRNazanin"/>
          <w:color w:val="111111"/>
          <w:sz w:val="28"/>
          <w:sz w:val="28"/>
          <w:szCs w:val="28"/>
          <w:rtl w:val="true"/>
          <w:lang w:bidi="fa-IR"/>
        </w:rPr>
        <w:t>ناهنجاری های اجتماعی بر سوق دادن جامعه به سمت فساد تحقق یابد، اراده خداوند نیز با آن همسانی می یابد و به نوعی چنین اراده الهی را می توان متعاقب اراده فردی و جمعی در افساد درونی و جامعه دانست</w:t>
      </w:r>
      <w:r>
        <w:rPr>
          <w:rFonts w:eastAsia="IRNazanin" w:cs="IRNazanin"/>
          <w:color w:val="111111"/>
          <w:sz w:val="28"/>
          <w:szCs w:val="28"/>
          <w:rtl w:val="true"/>
          <w:lang w:bidi="fa-IR"/>
        </w:rPr>
        <w:t>.</w:t>
      </w:r>
    </w:p>
    <w:p>
      <w:pPr>
        <w:pStyle w:val="Heading4"/>
        <w:numPr>
          <w:ilvl w:val="3"/>
          <w:numId w:val="1"/>
        </w:numPr>
        <w:rPr/>
      </w:pPr>
      <w:bookmarkStart w:id="99" w:name="__RefHeading___Toc2336518_581953129"/>
      <w:bookmarkStart w:id="100" w:name="_Toc36"/>
      <w:bookmarkEnd w:id="99"/>
      <w:r>
        <w:rPr>
          <w:rtl w:val="true"/>
        </w:rPr>
        <w:t xml:space="preserve">گفتار دوم </w:t>
      </w:r>
      <w:r>
        <w:rPr>
          <w:rtl w:val="true"/>
        </w:rPr>
        <w:t xml:space="preserve">- </w:t>
      </w:r>
      <w:r>
        <w:rPr>
          <w:rtl w:val="true"/>
        </w:rPr>
        <w:t>یاد خدا</w:t>
      </w:r>
      <w:bookmarkEnd w:id="100"/>
    </w:p>
    <w:p>
      <w:pPr>
        <w:pStyle w:val="BookText"/>
        <w:rPr/>
      </w:pPr>
      <w:r>
        <w:rPr>
          <w:rFonts w:ascii="IRNazanin" w:hAnsi="IRNazanin" w:eastAsia="IRNazanin"/>
          <w:color w:val="111111"/>
          <w:sz w:val="28"/>
          <w:sz w:val="28"/>
          <w:szCs w:val="28"/>
          <w:rtl w:val="true"/>
          <w:lang w:bidi="fa-IR"/>
        </w:rPr>
        <w:t>همانگونه که وجود ناظر در ابعاد اجتماعی مانع برخی تخلفات یا جرایم می گردد، در عرصه خلاف و گناه فردی نیز چنین ناظری باعث شرم و در نتیجه انزجار درونی فرد از ارتکاب گناه و جرم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خدای را همیشه ناظر بر اعمال خویش بداند، بدیهی است کمتر به سوی ارتکاب گناه راغب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طی سلوک معنوی خویش باید به گونه ای رفتار نماید که گویا همیشه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مرتبه متعالی نایل نشده است که خدا را ببیند، لا اقل همیشه در این اندیشه باشد که خدا او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 خَفِ اللَّهَ کَأَنَّکَ تَرَاهُ وَ إِنْ کُنْتَ لاتَرَاهُ فَإِنَّهُ یَرَاکَ فَإِنْ کُنْتَ تَرَی أَنَّهُ لایَرَاکَ فَقَدْ کَفَرْتَ وَ إِنْ کُنْتَ تَعْلَمُ أَنَّهُ یَرَاکَ ثُمَّ بَرَزْتَ لَهُ بِالْمَعْصِیَةِ فَقَدْ جَعَلْتَهُ مِنْ أَهْوَنِ النَّاظِرِینَ عَلَیْک؛</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بن عمار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به قسمی که گویا او را می بینی و اگر تو او را نمی بینی، او ترا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داشته باشی که او ترا نمی بیند، کفر ورزیده ای و اگر بدانی که او ترا می‌بیند و با این حال گناه را بر او آشکار سازی، او را ناچیزترین ناظر دانسته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یکی از راه های به دست آوردن تقوا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مردم، پروردگارتان را که شما، و کسانی را که پیش از شما بوده‌اند آفریده است، پرستش کنید 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عبادت خدا راه دست یازی به تقوای الهی و تقوای الهی راهی برای پیش‌گیری از جرم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آیاتی که به صراحت به تأثیر عبادت در پیش‌گیری از منکرات و فحشا که جرایم بخشی از آن است، اشاره کرده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نماز از کار زشت و ناپسند بازمی‌دارد، و قطعاً یاد خدا بالاتر است، و خدا می‌داند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دیگر ما امر شده ایم که از نماز کمک بگیرم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bookmarkStart w:id="101" w:name="pg5505_36771"/>
    </w:p>
    <w:p>
      <w:pPr>
        <w:pStyle w:val="BookText"/>
        <w:rPr/>
      </w:pPr>
      <w:bookmarkEnd w:id="101"/>
      <w:r>
        <w:rPr>
          <w:rFonts w:ascii="IRNazanin" w:hAnsi="IRNazanin" w:eastAsia="IRNazanin"/>
          <w:color w:val="111111"/>
          <w:sz w:val="28"/>
          <w:sz w:val="28"/>
          <w:szCs w:val="28"/>
          <w:rtl w:val="true"/>
          <w:lang w:bidi="fa-IR"/>
        </w:rPr>
        <w:t>با نگرش واحد به هر دو آیه می توان این مفهوم را به دست آورد که منظور از استعانت از نماز، یاری جستن از نماز در مسیر دوری از منکرات و جرایم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این دو آیه به درستی مفید این معناست که انسان با یاد خدا می تواند در پیش‌گیری از جرم کمک جوید و به توفیق دست یابد</w:t>
      </w:r>
      <w:r>
        <w:rPr>
          <w:rFonts w:eastAsia="IRNazanin" w:cs="IRNazanin"/>
          <w:color w:val="111111"/>
          <w:sz w:val="28"/>
          <w:szCs w:val="28"/>
          <w:rtl w:val="true"/>
          <w:lang w:bidi="fa-IR"/>
        </w:rPr>
        <w:t>.</w:t>
      </w:r>
    </w:p>
    <w:p>
      <w:pPr>
        <w:pStyle w:val="Heading4"/>
        <w:numPr>
          <w:ilvl w:val="3"/>
          <w:numId w:val="1"/>
        </w:numPr>
        <w:rPr/>
      </w:pPr>
      <w:bookmarkStart w:id="102" w:name="__RefHeading___Toc2336520_581953129"/>
      <w:bookmarkStart w:id="103" w:name="_Toc37"/>
      <w:bookmarkEnd w:id="102"/>
      <w:r>
        <w:rPr>
          <w:rtl w:val="true"/>
        </w:rPr>
        <w:t>گفتار سوم</w:t>
      </w:r>
      <w:r>
        <w:rPr>
          <w:rtl w:val="true"/>
        </w:rPr>
        <w:t xml:space="preserve">- </w:t>
      </w:r>
      <w:r>
        <w:rPr>
          <w:rtl w:val="true"/>
        </w:rPr>
        <w:t>عفت</w:t>
      </w:r>
      <w:bookmarkEnd w:id="103"/>
    </w:p>
    <w:p>
      <w:pPr>
        <w:pStyle w:val="BookText"/>
        <w:rPr/>
      </w:pPr>
      <w:r>
        <w:rPr>
          <w:rFonts w:ascii="IRNazanin" w:hAnsi="IRNazanin" w:eastAsia="IRNazanin"/>
          <w:color w:val="111111"/>
          <w:sz w:val="28"/>
          <w:sz w:val="28"/>
          <w:szCs w:val="28"/>
          <w:rtl w:val="true"/>
          <w:lang w:bidi="fa-IR"/>
        </w:rPr>
        <w:t>بی تردید بخشی جدی از جرایم، متشکل از جرایم جنسی و جریحه دار کردن عفت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بودن افراد بشری اعم از زن یا مرد می تواند در پیش‌گیری از این گونه جرایم به صورت جدی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که به این موضوع اشاره کرده است، مورد بررسی واقع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زنان مومن بگو برخی نگاه‌های خود را فرو بندند و دامن </w:t>
      </w:r>
    </w:p>
    <w:p>
      <w:pPr>
        <w:pStyle w:val="BookText"/>
        <w:rPr/>
      </w:pPr>
      <w:r>
        <w:rPr>
          <w:rFonts w:ascii="IRNazanin" w:hAnsi="IRNazanin" w:eastAsia="IRNazanin"/>
          <w:color w:val="111111"/>
          <w:sz w:val="28"/>
          <w:sz w:val="28"/>
          <w:szCs w:val="28"/>
          <w:rtl w:val="true"/>
          <w:lang w:bidi="fa-IR"/>
        </w:rPr>
        <w:t>خویش را پاک نگه دارند و زینت خود را آشکار نسازند، مگر آنچه که خود ظاهر باشد و باید روسری‌های خود را بر گردن خویش فرو اندازند و زینت خود را آشکار نکنند، مگر برای شوهر، پدر، پدر شوهر، پسر، پسر شوهر، برادر، پسر برادر، پسر خواهرشان، زنان مومن، کنیزان، غلامان، مردان کم خرد فاقد شهوت و اطفالی که از عورت زنان چیزی نمی‌دانند و نباید پای خود را بر زمین بکوبند تا زینت‌های مخفی‌شان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مومنان به سوی خدا برگردید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جنس مخالف مورد نهی آیه فوق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لعلکم تفلحون را ناظر بر کل آیه بدانیم نه فقره اخیر، نتیجه ی حفظ نگاه جنسیتی، رستگاری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فوق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جوانی از انصار در شهر مدینه زنی را دید که از روبرو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در آن زمان زن‌ها عادت داشتند که مقنعه را پشت گوش خود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همچنان بر زن بود تا از کنارش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آنکه نگاهش را از زن بردارد،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استخوان یا شیشه‌ای که بر دیوار بود، صورتش را خراشید و خون بر بدن و لباسش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وقتی پیامبر وی را در این حالت دید، فرمود این چه وضعی است؟ در این زمان آیه فوق نازل 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باری بخشی از سلامت روحی انسان و فلاح و رستگاری وی در گرو پرهیز از نگاه های جنسیتی زن و مرد به هم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 xml:space="preserve">است گذشته از عبارت غض بصر که به معنای فرو کاستن و نه فرو بستن دیده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تبعیض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برخی از نگاه ها اجتناب کنید که همان نگاه خاص جنسیتی به یک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 پیامبر همسرانت و دخترانت و زنان مومن را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مواقع و مواضع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پوشش‌هایشان را بر خود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سریع‌تر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آزادگی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و در نتیجه اذیت نمی‌شوند و خداوند بخشنده و مهربان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حادثه در شان نزول این آیه ذکر شده یکی آنکه در عصر پیامبر هنگامی که زنان برای نماز مغرب و عشا به امامت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می‌شدند، عده ای از جوانان بر سر راه آنان می‌نشستند و آنها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نازل نمود که زنان برای آنکه مورد تعرض واقع نشوند، پوشش خویش را بر خود بگسترانند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دوم کنیزان در صدر اسلام بدون روسری از منزل خارج می‌شدند و فاسقان متعرض آنان می‌شدند و گاه فراتر رفته و با زنان آزاد نیز به همان سبک برخورد می‌کردند و وقتی مورد بازخواست واقع می‌شدند، می‌گفتند گمان می‌کردیم که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تا با پوشش، زنان آزاد </w:t>
      </w:r>
    </w:p>
    <w:p>
      <w:pPr>
        <w:pStyle w:val="BookText"/>
        <w:rPr/>
      </w:pPr>
      <w:r>
        <w:rPr>
          <w:rFonts w:ascii="IRNazanin" w:hAnsi="IRNazanin" w:eastAsia="IRNazanin"/>
          <w:color w:val="111111"/>
          <w:sz w:val="28"/>
          <w:sz w:val="28"/>
          <w:szCs w:val="28"/>
          <w:rtl w:val="true"/>
          <w:lang w:bidi="fa-IR"/>
        </w:rPr>
        <w:t>از کنیزان شناخته شوند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ولی این بدان معنی نیست که ارتباطی با پیش‌گیری از جرایم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هر دو آیه به درستی به</w:t>
      </w:r>
    </w:p>
    <w:p>
      <w:pPr>
        <w:pStyle w:val="BookText"/>
        <w:rPr/>
      </w:pPr>
      <w:r>
        <w:rPr>
          <w:rFonts w:ascii="IRNazanin" w:hAnsi="IRNazanin" w:eastAsia="IRNazanin"/>
          <w:color w:val="111111"/>
          <w:sz w:val="28"/>
          <w:sz w:val="28"/>
          <w:szCs w:val="28"/>
          <w:rtl w:val="true"/>
          <w:lang w:bidi="fa-IR"/>
        </w:rPr>
        <w:t>نقش عفت در پیش‌گیری از وقوع جرم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آیه نخست در چشم پوشی جنسیتی متبلور شده و در آیه دوم در ابراز عدم تمایل به قرار گرفتن در میدان جاذبه های شهوانی مصداق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آیه اخیر برخی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در آن زمان به دلیل عدم پوشش سر در معرض اذیّت بودن، خداوند به پیامبر دستور داد که زنان آزاد را به گستراندن پوشش خود بر خویش ارشاد کند تا باعث مشخص شدن آنان از کنیزان گردد و بدین سان از تعرض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فقره آخر آیه نیز سازگار است؛ زیرا در آنجا عدم اذیت را بر شناخته شدن آنان مترتب کرده است؛ یعنی وقتی آنان با این نوع پوشش از کنیزانی که سر و روی خود را نمی پوشاندند، تمیز داده شوند، در معرض آزار واقع نمی شوند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همسران و دختران خود و زنان مومن را راهنمایی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مظان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بلند بر خود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سریع تر به آزادگی یا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و مورد تعرض واقع نمی شوند</w:t>
      </w:r>
      <w:r>
        <w:rPr>
          <w:rFonts w:eastAsia="IRNazanin" w:cs="IRNazanin"/>
          <w:color w:val="111111"/>
          <w:sz w:val="28"/>
          <w:szCs w:val="28"/>
          <w:rtl w:val="true"/>
          <w:lang w:bidi="fa-IR"/>
        </w:rPr>
        <w:t xml:space="preserve">. </w:t>
      </w:r>
      <w:bookmarkStart w:id="104" w:name="pg5505_36775"/>
    </w:p>
    <w:p>
      <w:pPr>
        <w:pStyle w:val="Heading2"/>
        <w:numPr>
          <w:ilvl w:val="1"/>
          <w:numId w:val="1"/>
        </w:numPr>
        <w:rPr/>
      </w:pPr>
      <w:bookmarkStart w:id="105" w:name="__RefHeading___Toc2336522_581953129"/>
      <w:bookmarkStart w:id="106" w:name="_Toc38"/>
      <w:bookmarkEnd w:id="104"/>
      <w:bookmarkEnd w:id="105"/>
      <w:r>
        <w:rPr>
          <w:rtl w:val="true"/>
        </w:rPr>
        <w:t xml:space="preserve">بخش سوم </w:t>
      </w:r>
      <w:r>
        <w:rPr>
          <w:rtl w:val="true"/>
        </w:rPr>
        <w:t xml:space="preserve">: </w:t>
      </w:r>
      <w:r>
        <w:rPr>
          <w:rtl w:val="true"/>
        </w:rPr>
        <w:t>پیش‌گیری ازجرم در نظام سیاسی ایران</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336524_581953129"/>
      <w:bookmarkStart w:id="108" w:name="_Toc39"/>
      <w:bookmarkEnd w:id="107"/>
      <w:r>
        <w:rPr>
          <w:rtl w:val="true"/>
        </w:rPr>
        <w:t>اشاره</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5505_36777"/>
      <w:bookmarkStart w:id="110" w:name="pg5505_36777"/>
      <w:bookmarkEnd w:id="110"/>
    </w:p>
    <w:p>
      <w:pPr>
        <w:pStyle w:val="Heading3"/>
        <w:numPr>
          <w:ilvl w:val="2"/>
          <w:numId w:val="1"/>
        </w:numPr>
        <w:rPr/>
      </w:pPr>
      <w:bookmarkStart w:id="111" w:name="pg5505_36777"/>
      <w:bookmarkStart w:id="112" w:name="__RefHeading___Toc2336526_581953129"/>
      <w:bookmarkStart w:id="113" w:name="_Toc40"/>
      <w:bookmarkEnd w:id="111"/>
      <w:bookmarkEnd w:id="112"/>
      <w:r>
        <w:rPr>
          <w:rtl w:val="true"/>
        </w:rPr>
        <w:t>فصل اول</w:t>
      </w:r>
      <w:r>
        <w:rPr>
          <w:rtl w:val="true"/>
        </w:rPr>
        <w:t xml:space="preserve">: </w:t>
      </w:r>
      <w:r>
        <w:rPr>
          <w:rtl w:val="true"/>
        </w:rPr>
        <w:t>تبیین نظام سیاسی ایران</w:t>
      </w:r>
      <w:bookmarkEnd w:id="113"/>
    </w:p>
    <w:p>
      <w:pPr>
        <w:pStyle w:val="BookText"/>
        <w:rPr/>
      </w:pPr>
      <w:r>
        <w:rPr>
          <w:rFonts w:ascii="IRNazanin" w:hAnsi="IRNazanin" w:eastAsia="IRNazanin"/>
          <w:color w:val="111111"/>
          <w:sz w:val="28"/>
          <w:sz w:val="28"/>
          <w:szCs w:val="28"/>
          <w:rtl w:val="true"/>
          <w:lang w:bidi="fa-IR"/>
        </w:rPr>
        <w:t xml:space="preserve">مطابق اصل اول قانون اساسی، عنوانی را که برای نظام سیاسی ایران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قانون اساسی نیز جمهوری اسلامی را اینگونه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حاکمیت و تشریع به او و لزوم تسلیم در برابر امر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و نقش بنیادی آن در بیان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نقش سازنده آن در سیر تکاملی انسان به سوی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خدا در خلقت و 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مستمر و نقش اساسی آن در تداوم انقلاب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ارزش والای انسان و آزادی توأم با مسئولیت او در برابر خدا که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مستمر فقهای جامع الشرایط براساس کتاب و سنت معصومین سلام الله علیهم اجمعین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و فنون و تجارب پیش رفته بشری و تلاش در پیش برد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ستم گری و ستم کشی و سلطه گری و سلطه‌پذیری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 استقلال سیاسی و اقتصادی و اجتماعی و فرهنگی و همبستگی ملی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مطلق بر جهان و انسان از آن خداست و هم او انسان را بر سرنوشت خویش حاکم ساخته است</w:t>
      </w:r>
    </w:p>
    <w:p>
      <w:pPr>
        <w:pStyle w:val="BookText"/>
        <w:rPr/>
      </w:pPr>
      <w:r>
        <w:rPr>
          <w:rFonts w:ascii="IRNazanin" w:hAnsi="IRNazanin" w:eastAsia="IRNazanin"/>
          <w:color w:val="111111"/>
          <w:sz w:val="28"/>
          <w:sz w:val="28"/>
          <w:szCs w:val="28"/>
          <w:rtl w:val="true"/>
          <w:lang w:bidi="fa-IR"/>
        </w:rPr>
        <w:t>و هیچ کس نمی تواند این حق الهی را از انسان سلب کند یا در خدمت منافع فرد یا گروهی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این حق خداداد را از طرقی که در اصول بعد می آید، اعمال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اصول مزبور نظام جمهوری اسلامی ترکیبی از نظام حاکمیت الهی،حاکمیت ملی و حاکمیت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منظر می توان آن را یک نظام ویژه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sui generis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نظام سیاسی در پیش‌گیری از جرم نیز باید از هر سه نظام فوق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اندیشه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اندیشه حاکمیت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پیش‌گیری از جرم مورد تحلیل واقع شد، اینک با توجه به جمهوری بودن آن و تقسیم جمهوری به جمهوری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دو نظام و رهیافت آن به نظام جمهوری اسلامی در مورد پیش‌گیری از وقوع جرم مورد تحلیل واقع شود</w:t>
      </w:r>
      <w:r>
        <w:rPr>
          <w:rFonts w:eastAsia="IRNazanin" w:cs="IRNazanin"/>
          <w:color w:val="111111"/>
          <w:sz w:val="28"/>
          <w:szCs w:val="28"/>
          <w:rtl w:val="true"/>
          <w:lang w:bidi="fa-IR"/>
        </w:rPr>
        <w:t xml:space="preserve">. </w:t>
      </w:r>
      <w:bookmarkStart w:id="114" w:name="pg5505_36779"/>
    </w:p>
    <w:p>
      <w:pPr>
        <w:pStyle w:val="Heading3"/>
        <w:numPr>
          <w:ilvl w:val="2"/>
          <w:numId w:val="1"/>
        </w:numPr>
        <w:rPr/>
      </w:pPr>
      <w:bookmarkStart w:id="115" w:name="__RefHeading___Toc2336528_581953129"/>
      <w:bookmarkStart w:id="116" w:name="_Toc41"/>
      <w:bookmarkEnd w:id="114"/>
      <w:bookmarkEnd w:id="115"/>
      <w:r>
        <w:rPr>
          <w:rtl w:val="true"/>
        </w:rPr>
        <w:t xml:space="preserve">فصل دوم </w:t>
      </w:r>
      <w:r>
        <w:rPr>
          <w:rtl w:val="true"/>
        </w:rPr>
        <w:t xml:space="preserve">: </w:t>
      </w:r>
      <w:r>
        <w:rPr>
          <w:rtl w:val="true"/>
        </w:rPr>
        <w:t>پیش‌گیری از جرم در قانون اساسی</w:t>
      </w:r>
      <w:bookmarkEnd w:id="116"/>
    </w:p>
    <w:p>
      <w:pPr>
        <w:pStyle w:val="Heading4"/>
        <w:numPr>
          <w:ilvl w:val="3"/>
          <w:numId w:val="1"/>
        </w:numPr>
        <w:rPr/>
      </w:pPr>
      <w:bookmarkStart w:id="117" w:name="__RefHeading___Toc2336530_581953129"/>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رهیافت به سیاست های نظم بخشی اجتماعی جوامع، قوانین اساسی مهم ترین منبع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تقدم رتبی این قانون بر سایر قوانین، بازیابی اندیشه های کلی مؤسسان و سیاست ها و خط مشی های عام ارایه شده در این مجموعه ها، قوانین اساسی را به عنوان مناسب ترین تکیه گاه برای افکار حقوق دانان و اتخاذ رویه های تقنینی، قضایی و اجرایی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مناسب است برای دست یازی به اصول کلی پیش‌گیری از وقوع جرم در ایران به قانون اساسی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در چند اصل از جمله اصل هشتم، اصل پنجاهم، اصل یکصد و پنجاه و ششم و اصل یکصد و چهل و دوم به مسئله پیش‌گیری از وقوع جرم اشاره و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 قانون اساسی مقرر می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دعوت به خیر، امر به معروف و نهی از منکر وظیفه ای است همگانی و متقابل برعهده مردم نسبت به یک دیگر،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حدود و کیفیت آن را قانون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اولیاء بعض یأمرون بالمعروف و ینهون عن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پنجاهم قانون اساسی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حفاظت از محیط زیست که نسل امروز و نسل‌های بعد باید در آن حیات اجتماعی رو به رشدی داشته باشند، وظیفه عمومی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فعالیت های اقتصادی و غیر آن که با آلودگی محیط زیست یا تخریب غیر قابل جبران آن ملازمه پیدا کند،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یکصد و پنجاه و ششم قانون اساسی نیز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قضاییه قوه ای است مستقل که پشتیبان حقوق فردی و اجتماعی و مسئول تحقق بخشیدن به عدالت و عهده دار وظایف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صدور حکم در مورد تظلمات، تعدیات، شکایات، حل و فصل دعاوی و رفع خصومات و اخذ تصمیم و اقدام لازم در آن قسمت از امور حسبیه، که قانون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حقوق عامه و گسترش عدل و آزادی های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اجرای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جرم و تعقیب و مجازات و تعزیر مجرمین و اجرای حدود و مقررات مدرن جزایی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مناسب برای پیش‌گیری از وقوع جرم و اصلاح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یکصد و چهل و دوم نیز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رهبر، رئیس جمهور، معاونان رئیس جمهور، وزیران و همسر و فرزندان آنان قبل و بعد از خدمت، توسط رئیس قوه قضاییه رسیدگی می شود که برخلاف حق، افزایش نیافته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اصول فوق مورد تحلیل و بررسی قرار گرفته می شود</w:t>
      </w:r>
      <w:r>
        <w:rPr>
          <w:rFonts w:eastAsia="IRNazanin" w:cs="IRNazanin"/>
          <w:color w:val="111111"/>
          <w:sz w:val="28"/>
          <w:szCs w:val="28"/>
          <w:rtl w:val="true"/>
          <w:lang w:bidi="fa-IR"/>
        </w:rPr>
        <w:t xml:space="preserve">. </w:t>
      </w:r>
      <w:bookmarkStart w:id="119" w:name="pg5505_36781"/>
    </w:p>
    <w:p>
      <w:pPr>
        <w:pStyle w:val="Heading4"/>
        <w:numPr>
          <w:ilvl w:val="3"/>
          <w:numId w:val="1"/>
        </w:numPr>
        <w:rPr/>
      </w:pPr>
      <w:bookmarkStart w:id="120" w:name="__RefHeading___Toc2336532_581953129"/>
      <w:bookmarkStart w:id="121" w:name="_Toc43"/>
      <w:bookmarkEnd w:id="119"/>
      <w:bookmarkEnd w:id="120"/>
      <w:r>
        <w:rPr>
          <w:rtl w:val="true"/>
        </w:rPr>
        <w:t>گفتار اول</w:t>
      </w:r>
      <w:r>
        <w:rPr>
          <w:rtl w:val="true"/>
        </w:rPr>
        <w:t xml:space="preserve">: </w:t>
      </w:r>
      <w:r>
        <w:rPr>
          <w:rtl w:val="true"/>
        </w:rPr>
        <w:t xml:space="preserve">پیش‌گیری از جرم حق یا وظیفه همگانی </w:t>
      </w:r>
      <w:r>
        <w:rPr>
          <w:rtl w:val="true"/>
        </w:rPr>
        <w:t>(</w:t>
      </w:r>
      <w:r>
        <w:rPr>
          <w:rtl w:val="true"/>
        </w:rPr>
        <w:t xml:space="preserve">بررسی اصل </w:t>
      </w:r>
      <w:r>
        <w:rPr/>
        <w:t>8</w:t>
      </w:r>
      <w:r>
        <w:rPr>
          <w:rtl w:val="true"/>
        </w:rPr>
        <w:t xml:space="preserve"> </w:t>
      </w:r>
      <w:r>
        <w:rPr>
          <w:rtl w:val="true"/>
        </w:rPr>
        <w:t>قانون اساسی</w:t>
      </w:r>
      <w:r>
        <w:rPr>
          <w:rtl w:val="true"/>
        </w:rPr>
        <w:t>)</w:t>
      </w:r>
      <w:bookmarkEnd w:id="121"/>
    </w:p>
    <w:p>
      <w:pPr>
        <w:pStyle w:val="BookText"/>
        <w:rPr/>
      </w:pPr>
      <w:r>
        <w:rPr>
          <w:rFonts w:ascii="IRNazanin" w:hAnsi="IRNazanin" w:eastAsia="IRNazanin"/>
          <w:color w:val="111111"/>
          <w:sz w:val="28"/>
          <w:sz w:val="28"/>
          <w:szCs w:val="28"/>
          <w:rtl w:val="true"/>
          <w:lang w:bidi="fa-IR"/>
        </w:rPr>
        <w:t xml:space="preserve">در تحلیل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در ارتباط با پیش‌گیری از وقوع جرم موارد زیر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هشتم قانون اساسی را باید در پرتو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تفسیر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مطلق بر جهان و انسان از آن خداست و همو،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این حق الهی را از انسان سلب کند یا در خدمت منافع فرد یا گروهی خاص قرار دهد و ملت این حق خداداد را از طرقی که در اصول بعد می آید،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اصل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انسان را بر سرنوشت اجتماعی خویش حاکم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بر حاکمیت ملت و دموکراسی مستقیم و بخش اخیر آن،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این حق خداداد را از طرقی که در اصول بعد می آید، اعمال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بر حاکمیت ملی و دموکراسی غیرمستقیم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حاکمیت مردم هر یک از افراد حق تعیین سرنوشت فردی و اجتماعی خویش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حاکمیت ملی قدرت یک پارچه و متحد مجموعه افراد از طریق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سرنوشت افراد فعلیت می‌یابد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مردم بر سرنوشت خویش نیازمند ابزار و راه کارهایی اعم از حقوقی، اجتماعی،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هشتم، ابزار حقوقی و </w:t>
      </w:r>
    </w:p>
    <w:p>
      <w:pPr>
        <w:pStyle w:val="BookText"/>
        <w:rPr/>
      </w:pPr>
      <w:r>
        <w:rPr>
          <w:rFonts w:ascii="IRNazanin" w:hAnsi="IRNazanin" w:eastAsia="IRNazanin"/>
          <w:color w:val="111111"/>
          <w:sz w:val="28"/>
          <w:sz w:val="28"/>
          <w:szCs w:val="28"/>
          <w:rtl w:val="true"/>
          <w:lang w:bidi="fa-IR"/>
        </w:rPr>
        <w:t>اجتماعی حاکمیت ملت بر سرنوشت خویش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یک دیگر را به کار خیر دعوت کنند، به معروف امر کنند و از منکر نهی نمایند، یکی از نمادهای حاکمیت مردم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تمرکز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در چنین صورتی پیش‌گیری از وقوع جرم نه وظیفه ارگانی خاص بلکه وظیفه 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راستی نهی از منکر همان پیش‌گیری از جرم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نوشتار حاضر به رابطه بین نهی از منکر و پیش‌گیری از وقوع جرم اشاره شد که بین این دو، دو نوع رابطه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سبب و مسبب و رابطه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رابطه سببیت این امر قطعی است که امر به معروف و نهی از منکر یکی از عوامل کاهش جرم بوده یا می توان آن را راهی برای پیش‌گیری از وقوع 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رابطه عموم و خصوص مطلق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نهی همان پیش‌گیری است؛ زیرا پیش‌گیری، شامل جلوگیری زبانی یا عملی از کار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بیان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عام تر از جرم دارد و در واقع بین منکر و جرم رابطه منطقی عام و خاص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جرمی منکر است ولی هر منکری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از منکر به طور قطع پیش‌گیری از وقوع جرم را شامل می شود ولی پیش گیری از جرم صرفا بخشی از نهی از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گفته فوق این است که اگر مطابق قانون اساسی نهی از منکر وظیفه ای همگانی است در واقع پیش‌گیری از وقوع جرم وظیفه ای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تحلیل دقیق تر به نتیجه ای مناسب تر می توان دست یافت و آن اینکه پیش‌گیری از وقوع جرم علاوه بر وظیفه همگانی، حق همگان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حاکمیت مردم بر سرنوشت خویش حقی الهی است که از سوی خداوند به انسان اعطا شده است، ابزار اعمال این حق نیز در مسیر حقوق مردم باید 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حق انگاری پیش گیری از جرم به معنای نفی بعد تکلیفی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نگرشی دقیق تر می توان دریافت که بازگشت تکالیف و وظایف نیز به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فلسفه وضع تکلیف و انجام وظیفه همان رفاه همگانی و سعادت جاودانی اجتماعی انسان است که این دو حق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انجام خدمت سربازی که وظیفه همگانی است، برای ایجاد امنیت اجتماعی که حقی همگانی است،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مشق شبانه دانش آموز که به عنوان تکلیف شب نمود می یابد، در واقع برای آموزش و سواد آموزی است که حق افراد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حق انگاری پیش گیری از جرم آثار مثبتی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از منظر روان شناسی و جامعه شناسی، حق در مقایسه با وظیفه، انس و الفت بیشتری با روح و فطرت آدمی دارد و به همین دلیل آدمی بیش و پیش از آنکه در پی انجام وظایف خود باشد، در پی دریافت حقوق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وظیفه را تکلیف می داند و تکلیف </w:t>
      </w:r>
    </w:p>
    <w:p>
      <w:pPr>
        <w:pStyle w:val="BookText"/>
        <w:rPr/>
      </w:pPr>
      <w:r>
        <w:rPr>
          <w:rFonts w:ascii="IRNazanin" w:hAnsi="IRNazanin" w:eastAsia="IRNazanin"/>
          <w:color w:val="111111"/>
          <w:sz w:val="28"/>
          <w:sz w:val="28"/>
          <w:szCs w:val="28"/>
          <w:rtl w:val="true"/>
          <w:lang w:bidi="fa-IR"/>
        </w:rPr>
        <w:t>جز سختی، کلفت و صعوبت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باشد که اگر مردم، گزیری از تکلیف داشتند، گریز از آن را ترجیح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حق انگاری پیش‌گیری از وقوع جرم، مساوی با حق انگاری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حق انگاری امر به معروف و نهی از منکر راهی برای احیای مجدد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هیچ فردی نه تنها از اعمال حق خویش بیزار و متنفر نیست بلکه با اشتیاق تلاش می کند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همسو با سخن حکیمانه امامان معصوم در باره امر به معروف و نهی از منکر است؛</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یَعِیبُونَ 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 گروهی اند آنان که امر به معروف و نهی از منکر را ننگ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امر به معروف و نهی از منکر را حق انسان ها بدانیم، هیچ توصیفی جز بدی برازنده گروهی که از اعمال حق خویش عار داشته باشند،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مَصْلَحَهً لِلْعَامَّه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 مصالح عمومی با حقوق بشری و حق آدمی بسیار سهل تر است تا تطبیق آن با وظیفه ای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لاتَتْرُکُنَّ الاَمْرَ بِالْمَعْرُوفِ وَ النَّهْیَ عَنِ الْمُنْکَرِ فَیُوَلِّیَ اللَّهُ الاَمْرَ أَشْرَارَکُم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بدیهی است اگر مردم از حق حاکمیت خویش در تعیین سرنوشت خود استفاده نکنند، نتیجه ای جز حاکمیت اشرار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اخیر وقتی مفهوم روشن تری می یابد که به اقسام سه گانه امر به معروف و نهی از منکر و به عبارت دیگر اقسام سه گانه پیش‌گیری از وقوع جرم که در اصل هشتم قانون اساسی آمده است، دقت بیشتری مبذول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 قانون اساسی دعوت به خیر و امر به معروف و نهی از منکر را به سه قسم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توسط مردم نسبت به همدیگر، امر به معروف و نهی از منکر توسط دولت نسبت به مردم و امر</w:t>
      </w:r>
    </w:p>
    <w:p>
      <w:pPr>
        <w:pStyle w:val="BookText"/>
        <w:rPr/>
      </w:pPr>
      <w:r>
        <w:rPr>
          <w:rFonts w:ascii="IRNazanin" w:hAnsi="IRNazanin" w:eastAsia="IRNazanin"/>
          <w:color w:val="111111"/>
          <w:sz w:val="28"/>
          <w:sz w:val="28"/>
          <w:szCs w:val="28"/>
          <w:rtl w:val="true"/>
          <w:lang w:bidi="fa-IR"/>
        </w:rPr>
        <w:t>به معروف و نهی از منکر توسط مردم نسبت به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توسط مردم نسبت به دولت از اهمیت ویژه ای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پیش‌گیری مردم از جرایم ارتکاب یافته توسط دولت کاری بسیار دشوار و در عین حال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این کار در سخن ماندگار رسول اکرم صلی الله علیه و آله به خوبی انعکاس یافته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الجهاد کلمه حق عند سلطان جائر</w:t>
      </w:r>
      <w:r>
        <w:rPr>
          <w:rFonts w:eastAsia="IRNazanin" w:cs="IRNazanin"/>
          <w:color w:val="111111"/>
          <w:sz w:val="28"/>
          <w:szCs w:val="28"/>
          <w:rtl w:val="true"/>
          <w:lang w:bidi="fa-IR"/>
        </w:rPr>
        <w:t>.</w:t>
      </w:r>
      <w:r>
        <w:rPr>
          <w:rStyle w:val="FootnoteAnchor"/>
          <w:rtl w:val="true"/>
        </w:rPr>
        <w:footnoteReference w:id="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جهاد، سخن حقی است که نزد حاکم ستمگر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نظارت بر کار خویش فراخوانده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تُثْنُوا عَلَیَّ بِجَمِیلِ ثَنَاءٍ لاِخْرَاجِی نَفْسِی إِلَی اللَّهِ وَ إِلَیْکُمْ مِنَ التَّقِیَّه فِی حُقُوقٍ لَمْ أَفْرُغْ مِنْ أَدَائِهَا وَ فَرَائِضَ لا بُدَّ مِنْ إِمْضَائِهَا فَلا تُکَلِّمُونِی بِمَا تُکَلَّمُ بِهِ الْجَبَابِرَه وَ لا تَتَحَفَّظُوا مِنِّی بِمَا یُتَحَفَّظُ بِهِ عِنْدَ أَهْلِ الْبَادِرَه وَ لا تُخَالِطُونِی بِالْمُصَانَعَه وَ لا تَظُنُّوا بِی اسْتِثْقَالاً فِی حَقٍّ قِیلَ لِی وَ لا الْتِمَاسَ إِعْظَامٍ لِنَفْسِی فَإِنَّهُ مَنِ اسْتَثْقَلَ الْحَقَّ أَنْ یُقَالَ لَهُ أَوِ الْعَدْلَ أَنْ یُعْرَضَ عَلَیْهِ کَانَ الْعَمَلُ بِهِمَا أَثْقَلَ عَلَیْهِ فَلا تَکُفُّوا عَنْ مَقَالَه بِحَقٍّ أَوْ مَشْوَرَه بِعَدْلٍ فَإِنِّی لَسْتُ فِی نَفْسِی بِفَوْقِ أَنْ أُخْطِئَ وَ لا آمَنُ ذَلِکَ مِنْ فِعْلِی إِلا أَنْ یَکْفِیَ اللَّهُ مِنْ نَفْسِی مَا هُوَ أَمْلَکُ بِهِ مِنِّی فَإِنَّمَا أَنَا وَ أَنْتُمْ عَبِیدٌ مَمْلُوکُونَ لِرَبٍّ لا رَبَّ غَیْرُهُ یَمْلِکُ مِنَّا مَا لانَمْلِکُ مِنْ أَنْفُسِنَا وَ أَخْرَجَنَا مِمَّا کُنَّا فِیهِ إِلَی مَا صَلَحْنَا عَلَیْهِ فَأَبْدَلَنَا بَعْدَ الضَّلَالَه بِالْهُدَی وَ أَعْطَانَا الْبَصِیرَه بَعْدَ الْعَمَی‌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نائینی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در صفین در جمعی ایراد کرده که تعدادشان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به خاطر حکمرانی من بر شما برای من بر عهده شما حقّی قرار داده، و شما را نیز بر من حقّی است مانند حقّی که مرا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عرصه توصیف، وسیع ترین و در عرصه انصاف تنگ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دیگری حقّی نیست مگر آنکه دیگری را نیز بر او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از دیگری بر عهده کسی نیست مگر آنکه او نیز بر وی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بر دیگران حقّی ثابت دارد و دیگران بر وی حقّی ندارند، خدای سبحان است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احاطه قدرتش بر بندگان، و عدالتش در تمام آنچه که </w:t>
      </w:r>
    </w:p>
    <w:p>
      <w:pPr>
        <w:pStyle w:val="BookText"/>
        <w:rPr/>
      </w:pPr>
      <w:r>
        <w:rPr>
          <w:rFonts w:ascii="IRNazanin" w:hAnsi="IRNazanin" w:eastAsia="IRNazanin"/>
          <w:color w:val="111111"/>
          <w:sz w:val="28"/>
          <w:sz w:val="28"/>
          <w:szCs w:val="28"/>
          <w:rtl w:val="true"/>
          <w:lang w:bidi="fa-IR"/>
        </w:rPr>
        <w:t>فرمانش در آن ها جاری است،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حقّش را بر بندگان چنین مقرّر فرمود که او را بندگی کنند، و به علت فضلی و بخشش شایسته ای که دارد، پاداش عبادت را برای بندگان چند برابر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از حقوق خود حقوقی را بر بعض مردم نسبت به بعض دیگر واجب گرداند، و آن حقوق را در جهات و حالات با هم برابر قرار داد و بعضی را در برابر بعضی دیگر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واجب نگردد مگر به انجام حقّی که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چیزی که از این حقوق واجب نمود، حقّ حاکم بر ملت، و حقّ ملت بر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ای است که خداوند برای هر یک نسبت به دیگری واجب نموده، و این حقوق را سبب ایجاد انس و ارزشمندی دینشان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اصلاح نشود مگر به اصلاح حاکمان، و حاکمان اصلاح نگردند مگر به درستی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ملت حقّ حاکم را ادا کرد، و حاکم هم حقّ ملت را رعایت نمود، حق میان ایشان ارزشمند گردد، راه های دین تسهیل گردد، نشانه های عدالت، اعتدال گیرد، سنّت ها در مسیر خود روان شود، زمان آراسته و شایسته گردد، به دوام دولت امید رود و مطامع دشمنان به یأس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ملت بر حاکم غالب شود، یا حاکم بر ملت ستم کند، اختلاف پیدا می شود، نشانه های ستم آشکار می گردد، افساد و اختلال در دین زیاد می شود، راه های روشن سنّت ها رها می‌گردد، از روی هوای نفس رفتار می شود، اجرای احکام به تعطیلی می گراید و بیماری روان ها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مردم از تعطیل شدن بزرگترین حقوقشان نیز بیمی ندارند و از انجام گرفتن باطل بزرگ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نیکوکاران خوار و بدکاران عزیز می شوند و کیفر خداوند نزد بندگان بزرگ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خیر خواه هم دیگر باشید و بر این کار به یک دیگر به نکویی کمک کنید؛ زیرا هیچ کس نمی تواند حق بندگی خدا را آن چنان که شایسته است به 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برای تحصیل رضای خدا حرصش شدید و تلاشش در بندگی طولانی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جمله حقوق واجب خدا بر بندگان این است که به اندازه توانایی خود به خیرخواهی یک دیگر برخیزند، و در اقامه حق در بین خود به هم کمک</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نزد خدا منزلتی عظیم داشته و در فضیلتش در دین بر دیگران برتری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حقوق الهی بی نیاز از کمک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 او را کوچک و حقیر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نیست که در ادای حق به دیگران کمک کند و مورد کمک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از یاران حضرت برخاست و سخنانی طولانی بیان نمود و ضمن سخنان خود امام را بسیار ستود و اطاعت خود را نسبت به آن حضرت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جلال خدا و جایگاه حق در در دلش باعظمت است، سزاوار است که به خاطر این بزرگی، ماسوای خدا در نظرش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فرد به این معنا کسی است که نعمت و لطف و احسان خدا بر او فراوان است؛ زیرا خداوند نعمت بسیار به کسی عنایت نکرده مگر اینکه حقّ خدا بر او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پست ترین حالات حاکمان نزد ملت شایسته این است که به آنان گمان عشق به خودستایی برده شود، و کارشان قیافه برتری جویی به خود گرفته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تمایل ندارم که فکر کنید که به خودستایی علاقه مندم و عاشق شنیدن مدح و ثنایم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این گونه نیستم و اگر دوستدار این مسئله بودم باز هم به خاطر خضوع در برابر عظمت حق که از همه کس به آن سزاوارتر است، آن را 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که ستایش به وسیله جامعه را پس از رنج و زحمت، شیرین شمارند ولی مرا به خاطر آنکه نفس خود را برای خدا و خدمت به شما به کار </w:t>
      </w:r>
    </w:p>
    <w:p>
      <w:pPr>
        <w:pStyle w:val="BookText"/>
        <w:rPr/>
      </w:pPr>
      <w:r>
        <w:rPr>
          <w:rFonts w:ascii="IRNazanin" w:hAnsi="IRNazanin" w:eastAsia="IRNazanin"/>
          <w:color w:val="111111"/>
          <w:sz w:val="28"/>
          <w:sz w:val="28"/>
          <w:szCs w:val="28"/>
          <w:rtl w:val="true"/>
          <w:lang w:bidi="fa-IR"/>
        </w:rPr>
        <w:t>گرفته ام و هنوز از ادای کامل آن حقوق فارغ نشده ام و واجباتی که چاره ای جز انجام آنها ندارم، ثنا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چنانکه با سرکشان سخن می گویند، سخن نگویید، و آنچه را در برابر خشمگینان پنهان می کنند، از من مخفی نکنید، و با مدارا و چاپلوسی با من معاشرت ننمایید، و گمان نکنید که شنیدن سخن حق بر من سنگین است، و نپندارید که تعظیم نابجای خود را از شما درخواست می دارم، زیرا آن کس که سخن حقی که به او گفته شود، یا عدالتی که به او پیشنهاد گردد، بر او سنگین آید، عمل به حق و عدل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گفتن سخن حق یا مشورت به عدل خودداری نکنید، که من در نظر خود نه بالاتر از آنم که خطا کنم، و نه در کارم از اشتباه ایمنم، مگر اینکه خداوند مرا از نفسم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خداوند از من به آن مالک تر است؛ زیرا من و شما بندگانی در اختیار پروردگاری هستیم که جز او پروردگاری نیست، مالک و صاحب آن چیزی از ماست که ما مالک آن نیستیم، و ما را از آنچه در آن بودیم بیرون آورد و به آنچه صلاح ما بود درآورد هدایت را عوض گمراهی، و بینایی را بعد از کوردلی به ما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در توضیح بخش هایی از این خطبه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سزاوار است ما مدّعیان مقام والای تشیّع، اندکی در سراپای این کلام مبارک تأمّل کنیم و از روی واقع و حقیقت رسی و الغای اغراض نفسیّه، این مطلب را بفهمیم که این درجه اهتمام حضرتش در رفع ابّهت و هیبت مقام خلافت از قلوب امّت و تکمیل اعلی درجات آزادی آنان و ترغیب و تحریصشان بر عرض هر گونه اعتراض و مشورت، و در عداد حقوق والی بر رعیّت و یا حقوق رعیّت بر والی شمردن آن،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فرمودن‌های اشرف کاینات صلی اللّه علیه و آله بر طبق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p>
    <w:p>
      <w:pPr>
        <w:pStyle w:val="BookText"/>
        <w:rPr/>
      </w:pPr>
      <w:r>
        <w:rPr>
          <w:rFonts w:ascii="IRNazanin" w:hAnsi="IRNazanin" w:eastAsia="IRNazanin"/>
          <w:color w:val="111111"/>
          <w:sz w:val="28"/>
          <w:sz w:val="28"/>
          <w:szCs w:val="28"/>
          <w:rtl w:val="true"/>
          <w:lang w:bidi="fa-IR"/>
        </w:rPr>
        <w:t>مطلب بوده؟ اگر با وجود مقام والای عصمت و استغنای از تمام عالم در اصابه واقع، مع هذا به رعایت تحفّظ از خطا و اشتباه چنین اهتمام فرموده‌اند و حاشاهم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لا اقلّ برای منع از تجاوزات عمدیّه، این اساس سعادت را استوار داریم، و اگر از برای تنزیه سلطنت حقّه ولایتیّه از مجرّد تشبّه صوری به سلطنت های استبدادیّه فراعنه و طواغیت امم و حفظ اساس مسئولیّت و شورویّت آن و تحفّظ بر آن دو اصل طیّب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امّت با مقام والای خلافت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بل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لازم است نحوه سلطنت اسلامیّه را، اگر چه متصدّی مغتصب باشد، به قدر قوّه تحفّظ کنیم، و اگر محض تعلیم امّت و از برای سرمشق ولات و قضات و عمّال، و به غرض التزام آنان به رفتار بر این نهج و عدم تخلّف از این دستور</w:t>
      </w:r>
    </w:p>
    <w:p>
      <w:pPr>
        <w:pStyle w:val="BookText"/>
        <w:rPr/>
      </w:pPr>
      <w:r>
        <w:rPr>
          <w:rFonts w:ascii="IRNazanin" w:hAnsi="IRNazanin" w:eastAsia="IRNazanin"/>
          <w:color w:val="111111"/>
          <w:sz w:val="28"/>
          <w:sz w:val="28"/>
          <w:szCs w:val="28"/>
          <w:rtl w:val="true"/>
          <w:lang w:bidi="fa-IR"/>
        </w:rPr>
        <w:t>العمل بوده، پس لازم است تعلّم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الأطائب من ولده القائمین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زهی اسف و حسرت که ما ظالم‌پرستان عصر و حاملان شعبه استبداد دینی، چه قدر از مدالیل کتاب و سنّت و احکام شریعت و سیره پیغمبر و امام خود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آنکه شورای عمومی ملّی را هذِهِ بِضاعَتُنا رُدَّتْ إِلَیْنا بگوییم، با اسلامیّت مخالفش می‌شماریم</w:t>
      </w:r>
      <w:r>
        <w:rPr>
          <w:rFonts w:eastAsia="IRNazanin" w:cs="IRNazanin"/>
          <w:color w:val="111111"/>
          <w:sz w:val="28"/>
          <w:szCs w:val="28"/>
          <w:rtl w:val="true"/>
          <w:lang w:bidi="fa-IR"/>
        </w:rPr>
        <w:t>.</w:t>
      </w:r>
      <w:r>
        <w:rPr>
          <w:rStyle w:val="FootnoteAnchor"/>
          <w:rtl w:val="true"/>
        </w:rPr>
        <w:footnoteReference w:id="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از دیگر نتایج حق انگاری پیش‌گیری از وقوع جرم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 تواند این حق الهی را از انسان سلب کند یا در خدمت منافع فرد یا گروهی خاص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مربوط به حاکمیت مردم و دموکراسی مستقیم مربوط است، حق پیش‌گیری از وقوع جرم را نمی توان از آحاد جامعه گرفت و در اختیار نهاد یا افراد یا گروه های خاصی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این موضوع در </w:t>
      </w:r>
    </w:p>
    <w:p>
      <w:pPr>
        <w:pStyle w:val="BookText"/>
        <w:rPr/>
      </w:pPr>
      <w:r>
        <w:rPr>
          <w:rFonts w:ascii="IRNazanin" w:hAnsi="IRNazanin" w:eastAsia="IRNazanin"/>
          <w:color w:val="111111"/>
          <w:sz w:val="28"/>
          <w:sz w:val="28"/>
          <w:szCs w:val="28"/>
          <w:rtl w:val="true"/>
          <w:lang w:bidi="fa-IR"/>
        </w:rPr>
        <w:t xml:space="preserve">فرایند حاکمیت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دیگری به خود می گیرد و آن اینکه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خدا داد را از طرقی که در اصول بعد می آید،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 نیست که تشکیل گروه برای این منظور مجاز نیست، بلکه مقصود آن است که تشکیل چنین گروه هایی نباید به سلب حق سایرین در باره امر به معروف و نهی از منکر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به بهانه وجود نهادهای خاص نهی از منکر، مانع نهی از منکر لسانی افراد جامعه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باید در تفسیر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مورد نظر داشت این است که پیش‌گیری از وقوع جرم حوزه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بعد اخیر را مربوط به حاکمیت بدانیم، بی تردید بخش اول آن رابطه عمیقی با آحاد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فقها در حکومت اسلامی آنچه وظیفه یا حق مردم است، پیش‌گیری از وقوع جرم به صورت زبانی است و فراتر از آن بر عهده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حاکمیت است که قدرت و وسایل لازم برای ضمانت اجرای پیش‌گیری از وقوع جرم را در ابعاد ساختاری، قضایی، تقنینی و اجرایی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اعمال این حق یا وظیفه خویش ممکن است قدرت لازم را نداشته و در نتیجه با مشکلاتی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به تبع آن فقها در ورطه مشکلات افتادن مردم را به دلیل اجرای امر به معروف و نهی از منکر روا نمی دانند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اموری که باید در تفسیر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داشت، نقش مردم در ایجاد آگاهی از حقوق و وظایف آنان نسبت </w:t>
      </w:r>
    </w:p>
    <w:p>
      <w:pPr>
        <w:pStyle w:val="BookText"/>
        <w:rPr/>
      </w:pPr>
      <w:r>
        <w:rPr>
          <w:rFonts w:ascii="IRNazanin" w:hAnsi="IRNazanin" w:eastAsia="IRNazanin"/>
          <w:color w:val="111111"/>
          <w:sz w:val="28"/>
          <w:sz w:val="28"/>
          <w:szCs w:val="28"/>
          <w:rtl w:val="true"/>
          <w:lang w:bidi="fa-IR"/>
        </w:rPr>
        <w:t>به یگدیگر و نسبت به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دولت ها نمی پسندند که ملت ها نسبت به حقوق خویش آگاهی لازم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سازمان های غیر دولتی در تحقق آگاهی ملت نسبت به حقوق و وظایف خویش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خصوصی مانند استادان دانشگاه، نویسندگان، حقوق دانان، وکیلان دادگستری و ائمه جمعه و جماعات نقش والایی در نیل به این مقصود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مردم در پیش‌گیری از جرم در لایحه پیش‌گیری از جرم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حضور دبیر شورای سیاست گذاری ائمه جمعه در شورای عالی و نیز حضور افرادی مانند رئیس شورای اسلامی مرکز استان و مدیر کل آموزش و پرورش را به گونه ای می توان نشانه هایی از این توجه دانست ولی با این حال به نظر می رسد آنچنان که بایسته و شایسته است به این مهم توجه نشده است و باید از چهره هایی که توسط مردم انتخاب می شوند؛ مانند نمایندگان مجلس در استان یا شهرستان به تناسب در شورای استان و شهرستان و یا امام جمعه مرکز استان برای شورای استان و نیز ائمه جمعه شهرستان و همچنین برخی چهره های دانشگاهی و چهره های معتبر محلی برای شورای شهرستانی پیش‌گیری ازجرم بهره گرفته شود تا نقش مردم در این مورد بیشتر نمود داشته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کنترل اجتماعی تحت عنوان دعوت به خیر و امر به معروف و نهی از منکر تأکید فراوانی شده است ولی باید دانست که نظام کنترل اجتماعی همیشه کارساز نبوده </w:t>
      </w:r>
    </w:p>
    <w:p>
      <w:pPr>
        <w:pStyle w:val="BookText"/>
        <w:rPr/>
      </w:pPr>
      <w:r>
        <w:rPr>
          <w:rFonts w:ascii="IRNazanin" w:hAnsi="IRNazanin" w:eastAsia="IRNazanin"/>
          <w:color w:val="111111"/>
          <w:sz w:val="28"/>
          <w:sz w:val="28"/>
          <w:szCs w:val="28"/>
          <w:rtl w:val="true"/>
          <w:lang w:bidi="fa-IR"/>
        </w:rPr>
        <w:t>و از محدودیت 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اطلاق نظام به این سبک از کنترل اجتماعی چندان صائب نباشد؛ چون این شیوه کنترل اجتماعی فاقد نظام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امروزه از تدابیر جدید کنترل اجتماعی سخن به می آید و ما آن را در قالب تدابیر اصلاحی و تدابیر پیش گیرانه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تدابیری است که هدفش پیش‌گیری از تکرار جرم از طریق اصلاح و درمان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خدمات عمومی به جای حبس، که از قضا تطبیق جدی با سیاست قضایی جدید ایران دارد؛ تأسیس و تکثیر مراکز بازپروری و اصلاح مجرمین خاص مانند مراکز درمان معتادان و درمان مجرمین روانی و مانند آن از جمله تدابیر اصلاحی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پیش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تدابیری است که هدف آن یافتن روش هایی جهت پیش‌گیری از جرم به طور کلی می‌باشد؛ به عبارتی برنامه‌های پیش گیرانه جمعی از ارتکاب 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برنامه‌ها عبارتند 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تفریحی و سرگرمی و شیوه پر کردن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نقش جدی در رویکرد جوانان به سمت بزه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بین مقاطع تحصیلی می تواند در شکل دهی و جهت دهی مقطع تحصیلی بعدی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کردن صحیح اوقات فراغت نیز می تواند آینده نوجوان و جوان را شکل صحیح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است که بخشی از فرهنگ جامعه را در نحوه پوشش اوقات فراغت هر جامعه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سالم کشوری است که تفریحات سالم و سرگرمی های هدف مند برای این ایام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فرانسه برنامه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مبارزه با تابستان ملتهب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منظور اجرا نمود که بر اساس آن جوانانی که ساکن اماکن فقیرنشین بوده و توانایی مالی جهت گذراندن تعطیلات همراه با سرگرمی و تفریحات را نداشته‌اند، به خرج شهرداری محل به گردش می‌بردند و بدین ترتیب از میزان جرایم در این فصل توسط این جوانان تا حدودی کاسته می‌گردید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پیش گیرانه پلیسی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موضوع که اگر انسان جرمی مرتکب شود، قطعا کشف خواهد شد و قطعا مجازات در پی خواهد داشت ولو این مجازات ناچیز باشد، در کاهش جرم بیشتر موثر است تا انسان احتمال کشف جرم و احتمال مجازات سنگین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راننده ای بداند درصورت تخلف رانندگی با کمک دوربین های نصب شده در جاده تخلف وی ثبت شده و جریمه وی نیز قطعی خواهد بود، قطعا تلاش بیشتری خواهد کرد که قوانین راهنمایی و رانندگی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بداند جاده مزبور فاقد دوربین بوده ولی احتمال اینکه پلیس احیانا پلیس به صورت عبوری تخلف وی را کشف و جریمه سنگین نماید، جسارت اقدام به نقض قانون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خلاصه امر قطعی اندک از امر محتمل شدید اثر 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رویکرد پلیس به سوی نظارت دایم با استفاده </w:t>
      </w:r>
    </w:p>
    <w:p>
      <w:pPr>
        <w:pStyle w:val="BookText"/>
        <w:rPr/>
      </w:pPr>
      <w:r>
        <w:rPr>
          <w:rFonts w:ascii="IRNazanin" w:hAnsi="IRNazanin" w:eastAsia="IRNazanin"/>
          <w:color w:val="111111"/>
          <w:sz w:val="28"/>
          <w:sz w:val="28"/>
          <w:szCs w:val="28"/>
          <w:rtl w:val="true"/>
          <w:lang w:bidi="fa-IR"/>
        </w:rPr>
        <w:t>از تکنولوژی مدرن به شدت در کاهش جرم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دوربین های مدار بسته در بانک ها و اطراف مراکز مهم نظامی نشان گر موفقیت چنین اقدامی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این تمام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فیزیکی پلیس متخصص در هر زمینه و نیز ایجاد دفاتری در کلانتری ها برای گفت وگو و ارشاد جوانان می تواند به شدت در پیش‌گیری از وقوع جرم اثر 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زمینه‌های ارتکاب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زمینه ارتکاب جرم از طرق زیر قابل اعمال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دادن آموزش به کسانی که در معرض جرم قرار می‌گیرند، کودکان، سال خوردگان و زنان سه گروهی هستند که به دلیل وضعیت جسمانی خود بیش از سایر افراد جامعه در معرض جرم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افراد آموزش های لازم داده شود تا در مواقع مشکوک چگونه رفتار نمایند، مجرمین کمتر جسارت روی آوردن به سمت آنان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نحوه محافظت از اموال ثابت و سیار می تواند در کاهش جرم سرقت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کارت های اعتباری به جای پول نقد و خرید و فروش از طریق وسایل ارتباطی مانند اینترنت، استفاده از حمل و نقل عمومی به جای خصوصی،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نقل و انتقالات بانکی به جای فردی و مانند آن می تواند در جلوگیری از سرقت تا حدود زیادی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دوربین های </w:t>
      </w:r>
    </w:p>
    <w:p>
      <w:pPr>
        <w:pStyle w:val="BookText"/>
        <w:rPr/>
      </w:pPr>
      <w:r>
        <w:rPr>
          <w:rFonts w:ascii="IRNazanin" w:hAnsi="IRNazanin" w:eastAsia="IRNazanin"/>
          <w:color w:val="111111"/>
          <w:sz w:val="28"/>
          <w:sz w:val="28"/>
          <w:szCs w:val="28"/>
          <w:rtl w:val="true"/>
          <w:lang w:bidi="fa-IR"/>
        </w:rPr>
        <w:t>مدار بسته در آپارتمان ها و نیز استفاده از نگهبان و در موارد فنی بهره گیری از پلیس خصوصی توسط مراکز مهم مورد سرقت نیز می‌توان از جرم سرقت پیش‌گیری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محیط زیست، بهبودی شرایط مادی زندگی و توجه به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شهری، شهرسازی و غیره خود می‌تواند نقش به سزایی در کاستن میزان جرم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روشنایی محله‌ها برای جلوگیری از ارتکاب جرم می‌تواند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اقدامات عمرانی بایستی سعی شود تا اماکنی که خود مولد جرم و محل ارتکاب بزه هستند نیز به نحو صحیحی از میان برود به گونه‌ای که از بین رفتن این مناطق باعث پراکندگی جرم در سطح شهرها و کشور نگردد</w:t>
      </w:r>
      <w:r>
        <w:rPr>
          <w:rFonts w:eastAsia="IRNazanin" w:cs="IRNazanin"/>
          <w:color w:val="111111"/>
          <w:sz w:val="28"/>
          <w:szCs w:val="28"/>
          <w:rtl w:val="true"/>
          <w:lang w:bidi="fa-IR"/>
        </w:rPr>
        <w:t>.</w:t>
      </w:r>
      <w:r>
        <w:rPr>
          <w:rStyle w:val="FootnoteAnchor"/>
          <w:rtl w:val="true"/>
        </w:rPr>
        <w:footnoteReference w:id="39"/>
      </w:r>
      <w:bookmarkStart w:id="122" w:name="pg5505_36797"/>
    </w:p>
    <w:p>
      <w:pPr>
        <w:pStyle w:val="Heading4"/>
        <w:numPr>
          <w:ilvl w:val="3"/>
          <w:numId w:val="1"/>
        </w:numPr>
        <w:rPr/>
      </w:pPr>
      <w:bookmarkStart w:id="123" w:name="__RefHeading___Toc2336534_581953129"/>
      <w:bookmarkStart w:id="124" w:name="_Toc44"/>
      <w:bookmarkEnd w:id="122"/>
      <w:bookmarkEnd w:id="123"/>
      <w:r>
        <w:rPr>
          <w:rtl w:val="true"/>
        </w:rPr>
        <w:t>گفتار دوم</w:t>
      </w:r>
      <w:r>
        <w:rPr>
          <w:rtl w:val="true"/>
        </w:rPr>
        <w:t xml:space="preserve">: </w:t>
      </w:r>
      <w:r>
        <w:rPr>
          <w:rtl w:val="true"/>
        </w:rPr>
        <w:t xml:space="preserve">بررسی اصل </w:t>
      </w:r>
      <w:r>
        <w:rPr/>
        <w:t>156</w:t>
      </w:r>
      <w:r>
        <w:rPr>
          <w:rtl w:val="true"/>
        </w:rPr>
        <w:t xml:space="preserve"> </w:t>
      </w:r>
      <w:r>
        <w:rPr>
          <w:rtl w:val="true"/>
        </w:rPr>
        <w:t>قانون اساسی</w:t>
      </w:r>
      <w:bookmarkEnd w:id="124"/>
    </w:p>
    <w:p>
      <w:pPr>
        <w:pStyle w:val="Heading5"/>
        <w:numPr>
          <w:ilvl w:val="4"/>
          <w:numId w:val="1"/>
        </w:numPr>
        <w:rPr/>
      </w:pPr>
      <w:bookmarkStart w:id="125" w:name="__RefHeading___Toc2336536_581953129"/>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بند پنجم اصل یکصد و پنجاه و ششم قانون اساسی به هنگام شمردن وظایف قوه قضاییه وظیفه پنجم این قوه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مناسب برای پیش‌گیری از وقوع جرم و اصلاح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بند از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متذکر می گردد</w:t>
      </w:r>
      <w:r>
        <w:rPr>
          <w:rFonts w:eastAsia="IRNazanin" w:cs="IRNazanin"/>
          <w:color w:val="111111"/>
          <w:sz w:val="28"/>
          <w:szCs w:val="28"/>
          <w:rtl w:val="true"/>
          <w:lang w:bidi="fa-IR"/>
        </w:rPr>
        <w:t>:</w:t>
      </w:r>
    </w:p>
    <w:p>
      <w:pPr>
        <w:pStyle w:val="Heading5"/>
        <w:numPr>
          <w:ilvl w:val="4"/>
          <w:numId w:val="1"/>
        </w:numPr>
        <w:rPr/>
      </w:pPr>
      <w:bookmarkStart w:id="127" w:name="__RefHeading___Toc2336538_581953129"/>
      <w:bookmarkStart w:id="128" w:name="_Toc46"/>
      <w:bookmarkEnd w:id="127"/>
      <w:r>
        <w:rPr>
          <w:rtl w:val="true"/>
        </w:rPr>
        <w:t>مطلب اول</w:t>
      </w:r>
      <w:r>
        <w:rPr>
          <w:rtl w:val="true"/>
        </w:rPr>
        <w:t xml:space="preserve">- </w:t>
      </w:r>
      <w:r>
        <w:rPr>
          <w:rtl w:val="true"/>
        </w:rPr>
        <w:t>پیش‌گیری از وقوع جرم وظیفه مردم یا وظیفه قوه قضاییه؟</w:t>
      </w:r>
      <w:bookmarkEnd w:id="128"/>
    </w:p>
    <w:p>
      <w:pPr>
        <w:pStyle w:val="BookText"/>
        <w:rPr/>
      </w:pPr>
      <w:r>
        <w:rPr>
          <w:rFonts w:ascii="IRNazanin" w:hAnsi="IRNazanin" w:eastAsia="IRNazanin"/>
          <w:color w:val="111111"/>
          <w:sz w:val="28"/>
          <w:sz w:val="28"/>
          <w:szCs w:val="28"/>
          <w:rtl w:val="true"/>
          <w:lang w:bidi="fa-IR"/>
        </w:rPr>
        <w:t>همانگونه که ملاحظه شد اصل هشتم قانون اساسی دعوت به خیر و امر به معروف و نهی از منکر را وظیفه همگانی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تحلیل اصل هشتم که پیش‌گیری از وقوع جرم را یکی از مصادیق نهی از منکر دانستیم، اکنون این سؤال مطرح است که چگونه بین این دو اصل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مطابق آنچه در تبیین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وظیفه یا به عبارتی حق همگانی مردم است در حالی که در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ذاتی و اصلی قوه قضایی شمرده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فوق در تفکیک میان دموکراسی مستقیم و غیر مستقیم نهفته است که اولی را حاکمیت مردم و دومی را حاکمیت ملی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شارحین قانون اساسی با توسل به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نظام حاکم بر ایران را تلفیقی از حاکمیت الهی، حاکمیت مردم و حاکمیت ملی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اصل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مطلق بر جهان و انسان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نظام حاکمیت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اصل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او انسان را بر سرنوشت خویش حاکم ساخته </w:t>
      </w:r>
    </w:p>
    <w:p>
      <w:pPr>
        <w:pStyle w:val="BookText"/>
        <w:rPr/>
      </w:pPr>
      <w:r>
        <w:rPr>
          <w:rFonts w:ascii="IRNazanin" w:hAnsi="IRNazanin" w:eastAsia="IRNazanin"/>
          <w:color w:val="111111"/>
          <w:sz w:val="28"/>
          <w:sz w:val="28"/>
          <w:szCs w:val="28"/>
          <w:rtl w:val="true"/>
          <w:lang w:bidi="fa-IR"/>
        </w:rPr>
        <w:t>است و هیچ کس نمی تواند این حق الهی را از انسان سلب کند یا در خدمت منافع فرد یا گروهی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نظام حاکمیت مردم و دموکراسی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اخیر اصل مذکور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این حق خداداد را از طرقی که در اصول بعد می آید،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نظام حاکمیت ملی و دموکراسی غیر مستقیم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اکنون در پاسخ به سؤال فوق می توان گفت آنچه در اصل هشتم قانون اساسی آمده و بنابر آن وظیفه نهی از منکر و بالمآل پیش‌گیری از وقوع جرم را وظیفه ای همگانی دانسته است، در چارچوب حاکمیت مردم و دموکراسی مستقیم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تفکر می توان بهره گرفت که نهی از منکر و پیش‌گیری از وقوع جرم حق همگانی است؛ زیرا حاکمیت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ادامه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حق خداداد حاکمیت و ابزار این حق از جمله پیش‌گیری از وقوع جرم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طرقی که در اصول بعد می آید،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 و دموکراسی غیر مستقیم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پیش‌گیری از وقوع جرم را وظیفه قوه قضاییه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پیش‌گیری از وقوع جرم مطابق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سایه حاکمیت </w:t>
      </w:r>
    </w:p>
    <w:p>
      <w:pPr>
        <w:pStyle w:val="BookText"/>
        <w:rPr/>
      </w:pPr>
      <w:r>
        <w:rPr>
          <w:rFonts w:ascii="IRNazanin" w:hAnsi="IRNazanin" w:eastAsia="IRNazanin"/>
          <w:color w:val="111111"/>
          <w:sz w:val="28"/>
          <w:sz w:val="28"/>
          <w:szCs w:val="28"/>
          <w:rtl w:val="true"/>
          <w:lang w:bidi="fa-IR"/>
        </w:rPr>
        <w:t xml:space="preserve">مردم و پیش‌گیری از وقوع جرم مطابق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سایه حاکمیت ملی قابل توجیه است و هیچ گونه تعارضی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حدیثی که مطابق آن ناهی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گیرنده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الهی دانسته حمل بر مفهوم فوق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 بِالْمَعْرُوفِ وَ نَهَی عَنِ الْمُنْکَرِ فَهُوَ خَلِیفَةُ اللَّهِ فِی الاَرْضِ وَ خَلِیفَةُ رَسُولِه؛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 امر به معروف و نهی از منکر نماید، خلیفه خدا و خلیفه رسول خدا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 مردمی چیزی جز خلیفه اللهی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سؤال فوق این است که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عام و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است و هیچ منافاتی با وظایف این دو گروه یعنی مردم به طور عام و قوه قضاییه به طور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انجام وظیفه پیش‌گیری از وقوع جرم یا همان امر به معروف و نهی از منکر توسط مردم نافی مسئولیت قوه قضاییه در این باره نیست و برعکس انجام پیش‌گیری از وقوع جرم توسط قوه قضاییه، سلب مسئولیت مردم در نهی از منکر را در پی نخواهد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بهترین و مناسب ترین پاسخ به ویژه در بعد اجرایی این است که باید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را ناظر بر نهی از منکر ارشادی دانست و اصل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بر نهی از منکر اجرایی و پیش‌گیری از وقوع جرم به صورت عملی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تنها می توانند در نهی از منکر زبانی در پیش‌گیری از وقوع جرم مشارکت نمایند ولی فراتر از آن یعنی نهی از منکر اجرایی بر عهده قوه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وظیفه مردم و اجرا وظیفه قوه قضاییه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فوق با فقه امر به معروف و نهی از منکر نیز سازگاری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أُمَّه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باره باید مورد توجه واقع شود کلمه منکم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امر به معروف و نهی از منکر واجب کفایی است؛ یعنی اگر برخی از مردم این واجب را انجام دادند از عهده سایرین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تبیینیه باشد،واجب عینی است؛ یعنی شما باید همان امتی باشید که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تمام امت واجب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ولی وجوب کفایی از آن مستفاد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کفایی بدین معناست که امر به معروف و نهی از منکر </w:t>
      </w:r>
    </w:p>
    <w:p>
      <w:pPr>
        <w:pStyle w:val="BookText"/>
        <w:rPr/>
      </w:pPr>
      <w:r>
        <w:rPr>
          <w:rFonts w:ascii="IRNazanin" w:hAnsi="IRNazanin" w:eastAsia="IRNazanin"/>
          <w:color w:val="111111"/>
          <w:sz w:val="28"/>
          <w:sz w:val="28"/>
          <w:szCs w:val="28"/>
          <w:rtl w:val="true"/>
          <w:lang w:bidi="fa-IR"/>
        </w:rPr>
        <w:t>از ابتدا بر همگان واجب است ولی اگر برخی آن را انجام دادند، از عهده سایرین ساقط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مستفاد از آیه این است که امر به معروف و نهی از منکر وظیفه همگان نیست بلکه وظیفه برخی از افرادی است که واجد شرایط باشند؛ انسان هایی که از قوت جسمانی و قدرت آگاهی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برداشت امر به معروف و نهی از منکر از ابتدا تنها بر این دسته از افراد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هایی که دچار ضعف جسمی هستند و از آگاهی لازم در باره معروف و منکر برخودار نیستند، امر به معروف و نهی از منکر نه تنها بر آنان واجب نیست بلکه برعکس ضرر اقدام این افراد بیش منفعت آن است و به حکم تبعیت احکام از مفاسد و منافع، امر به معروف و نهی از منکری توسط آنان نارواست و به راحتی می توان به حرمت آن نظر داد؛ زیرا گذشته از احتمال صدمه بدنی به خویش و به خطر افتادن فرد آمر و ناهی، ضرری که از این حیث به دین و نیز آبروی سایر افراد وارد می شود، به هیچ وجه قابل اغماض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جمله می توان گفت امر به معروف و نهی از منکر تنها بر انسان قادر و آگاه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از آیه مزبور مستفاد و مستنبط از کلمات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جعفر صادق علیه السلام نقل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وَ سُئِلَ عَنِ الاَمْرِ بِالْمَعْرُوفِ وَ النَّهْیِ عَنِ الْمُنْکَرِ أَ وَاجِبٌ هُوَ عَلَی الاُمَّة جَمِیعاً فَقَالَ لا فَقِیلَ لَهُ وَ لِمَ قَالَ إِنَّمَا هُوَ عَلَی الْقَوِیِّ الْمُطَاعِ الْعَالِمِ بِالْمَعْرُوفِ مِنَ الْمُنْکَرِ لا عَلَی الضَّعِیفِ الَّذِی لا یَهْتَدِی سَبِیلاً </w:t>
      </w:r>
    </w:p>
    <w:p>
      <w:pPr>
        <w:pStyle w:val="BookText"/>
        <w:rPr/>
      </w:pPr>
      <w:r>
        <w:rPr>
          <w:rFonts w:ascii="Amiri" w:hAnsi="Amiri" w:eastAsia="Amiri" w:cs="Amiri"/>
          <w:color w:val="111111"/>
          <w:sz w:val="28"/>
          <w:sz w:val="28"/>
          <w:szCs w:val="28"/>
          <w:rtl w:val="true"/>
          <w:lang w:bidi="ar-SA"/>
        </w:rPr>
        <w:t>إِلَی أَیٍّ مِنْ أَیٍّ یَقُولُ مِنَ الْحَقِّ إِلَی الْبَاطِلِ وَ الدَّلِیلُ عَلَی ذَلِکَ کِتَابُ اللَّهِ عَزَّ وَ جَلَّ قَوْلُهُ وَ لْتَکُنْ مِنْکُمْ أُمَّةٌ یَدْعُونَ إِلَی الْخَیْرِ وَ یَأْمُرُونَ بِالْمَعْرُوفِ وَ یَنْهَوْنَ عَنِ الْمُنْکَرِ فَهَذَا خَاصٌّ غَیْرُ عَامٍّ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وَ لَمْ یَقُلْ عَلَی أُمَّة مُوسَی وَ لا عَلَی کُلِّ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شود آیا امر به معروف و نهی از منکر بر تمامی امت واجب است؟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انسان قوی که دیگران از او حرف شنوی دارند و قدرت شناخت معروف از منکر را دارد، واجب است؛ نه بر کسی که حق را از باطل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سخن خداوند در قرآن کریم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میان شما گروهی به خیر دعوت کند و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از قوم موسی به وسیله حق هدایت می کنند و به وسیله او عدالت بر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امت موسی این کار را می کنند و نفرمود تمام قوم موسی این کار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بالمعروف و النهی عن المنکر واجبان علی من امکنه ذالک و لم یخف علی نفسه و لا علی اصحابه</w:t>
      </w:r>
      <w:r>
        <w:rPr>
          <w:rStyle w:val="FootnoteAnchor"/>
          <w:rtl w:val="true"/>
        </w:rPr>
        <w:footnoteReference w:id="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ازمنکر بر کسی واجب است که توانایی آن را داشته باشد و بر خویش و یارانش بیم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الأَمْرِ بِالْمَعْرُوفِ یَحْتَاجُ إِلَی أَنْ یَکُونَ عَالِماً بِالْحَلالِ وَ الْحَرَامِ فَارِغاً مِنْ خَاصَّه نَفْسِهِ عَمَّا یَأْمُرُهُمْ بِهِ وَ یَنْهَاهُمْ عَنْهُ نَاصِحاً لِلْخَلْقِ رَحِیماً رَفِیقاً بِهِمْ دَاعِیاً لَهُمْ بِاللُّطْفِ وَ حُسْنِ الْبَیَانِ عَارِفاً بِتَفَاوُتِ أَخْلاقِهِمْ لِیُنَزِّلَ کُلاً مَنْزِلَتَهُ بَصِیراً بِمَکْرِ النَّفْسِ وَ مَکَایِدِ الشَّیْطَانِ صَابِراً عَلَی مَا یَلْحَقُهُ لاَ یُکَافِئُهُمْ بِهَا وَ لا یَشْکُو مِنْهُمْ وَ لا یَسْتَعْمِلُ الْحَمِیَّه وَ لا یَغْتَاظُ لِنَفْسِهِ مُجَرِّداً نِیَّتَهُ لِلَّهِ مُسْتَعِیناً بِهِ وَ مُبْتَغِیاً لِوَجْهِهِ فَإِنْ خَالَفُوهُ وَ جَفَوْهُ صَبَرَ وَ إِنْ وَافَقُوهُ وَ قَبِلُوا مِنْهُ شَکَرَ مُفَوِّضاً أَمْرَهُ إِلَی اللَّهِ نَاظِراً إِلَی عَیْبِه؛</w:t>
      </w:r>
    </w:p>
    <w:p>
      <w:pPr>
        <w:pStyle w:val="BookText"/>
        <w:rPr/>
      </w:pPr>
      <w:r>
        <w:rPr>
          <w:rFonts w:ascii="IRNazanin" w:hAnsi="IRNazanin" w:eastAsia="IRNazanin"/>
          <w:color w:val="111111"/>
          <w:sz w:val="28"/>
          <w:sz w:val="28"/>
          <w:szCs w:val="28"/>
          <w:rtl w:val="true"/>
          <w:lang w:bidi="fa-IR"/>
        </w:rPr>
        <w:t>کسی که امر به معروف و نهی ازمنکر می کند، باید نسبت به حلال و حرام آگاهی کامل داشته باشد و خودش از آنچه به دیگران امر و نهی می کند،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مدارا نصیحت گر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لطف و بیان نیکو به خیر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اخلاق مردم آگاهی داشته باشد تا با هر کس متناسب با شخصیت وی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نیرنگ های نفس و شیطان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وی می رسد، 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وی می رسد با آنان تکافو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خویش را برای خدا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بخواهد و به خاطر رضای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مخالفت کردند و به او جفا نمودند، صبر پیشه کند و اگر با او همراه شدند و سخنش را پذیرفتند، شکر نماید و کارش را به خدایی که ناظر بر عیوب خویش است، واگذار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مشخص می شود پیش‌گیری از وقوع جرم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همه مردم بلکه بر کسانی که توانایی جسمی و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نهی از منکر و </w:t>
      </w:r>
    </w:p>
    <w:p>
      <w:pPr>
        <w:pStyle w:val="BookText"/>
        <w:rPr/>
      </w:pPr>
      <w:r>
        <w:rPr>
          <w:rFonts w:ascii="IRNazanin" w:hAnsi="IRNazanin" w:eastAsia="IRNazanin"/>
          <w:color w:val="111111"/>
          <w:sz w:val="28"/>
          <w:sz w:val="28"/>
          <w:szCs w:val="28"/>
          <w:rtl w:val="true"/>
          <w:lang w:bidi="fa-IR"/>
        </w:rPr>
        <w:t>پیش‌گیری از جرم به صورت زبانی است و فراتر از آن برعهده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 توجه به ضرورت ایجاد نظم و امنیت نیز 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هدف امر به معروف و نهی از منکر آنچنان که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رعایت مصالح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الأمر بالمعروف مصلحة للعوام لأن الأمر بالعدل والإنصاف و ردّ الودائع وأداء الأمانات إلی أهلها وقضاء الدیون والصدق فی القول وإیجاز الوعد وغیر ذلک من محاسن الأخلاق مصلحة للبشر عظیمة لامحالة؛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وجوب امر به معروف به دلیل مصلحت عمومی است؛ زیرا امر به عدالت و انصاف و برگرداندن ودیعه ها و ادای امانات و پرداختن بدهی ها و راست گویی و عمل به وعده و مانند آن از محاسن اخلاق است که قطعا مصالح فراوانی برای بشر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کنترل اجتماعی باید به منظور ایجاد نظم و امنیت بیشتر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کنترل اجتماعی بدون سازمان دهی درست باشد، منتهی به هرج و مرج شده و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ریاست عامه امر به معروف و نهی از منکر باید به دست کسی باشد که معروف و منکر را به خوبی بشناسد و خود از هر نوع گناهی که دیگران را از آن نهی می کند، مبرا و به هر معروفی که دیگران را به آن دعوت و امر می کند متصف باشد و این کسی جز معصوم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آنقدر مهم است که برخی فقها با استناد به آن، لزوم امامت و ریاست معصوم را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لطفی است که هیچ چیز نمی تواند جای آن را بگیرد؛ زیرا واجب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لطف واجبی است که هیچ چیز جای آن را نمی گیرد؛ زیرا اضافه متحقق نمی شود مگر به تحقق مضافین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آمر و مأمور باید از هم متفاوت باشند و یکی معصوم و دیگری غیر معصوم باشد وگرنه اتحاد آمر و مأمور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و نهی باید به معصوم منتهی گردد که به هیچ وجه خطا یا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امر به منکر و نهی از معروف صورت بگیرد و در نتیجه اعتمادی به سخنان او نشود و این با فایده تکلیف به امر به معروف و نهی از منکر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 مامور است دیگری را امر و نهی کند بدون اینکه رئیسی باشد که همگان را امر و نهی کند یا اینکه باید این امر و نهی تحت ریاست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حالت اول را به دلیل وقوع هرج و مرج و نیز به دلیل منتفی شدن امر به معروف و نهی از منکر باطل می داند؛ زیرا غالبا تک تک افراد تمایلی ندارند که دیگران را با امر و نهی خویش ناراحت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حالت دوم باقی می ماند که باید امر به معروف و نهی از منکر زیر نظر رئیسی انجام گیرد و آن رئیس می بایست از جانب خدای متعال انتخاب شده باشد؛ به قسمی که اطاعتش بر همگان واجب باشد و این کسی جز معصوم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به معروف و نهی منکر، آمر اصلی، معصوم است و مأمور غیر </w:t>
      </w:r>
    </w:p>
    <w:p>
      <w:pPr>
        <w:pStyle w:val="BookText"/>
        <w:rPr/>
      </w:pPr>
      <w:r>
        <w:rPr>
          <w:rFonts w:ascii="IRNazanin" w:hAnsi="IRNazanin" w:eastAsia="IRNazanin"/>
          <w:color w:val="111111"/>
          <w:sz w:val="28"/>
          <w:sz w:val="28"/>
          <w:szCs w:val="28"/>
          <w:rtl w:val="true"/>
          <w:lang w:bidi="fa-IR"/>
        </w:rPr>
        <w:t>معصوم است و گرنه اتحاد مضاف و مضاف الیه لازم می آید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نظر این دسته از علما متصدی اصلی پیش‌گیری از جرم باید معصوم باشد و یا اینکه تحت ریاست عامه وی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برخی از فقها اساسا حتی امر به معروف و نهی از منکر زبانی را نیز از وظایف معصوم دانسته یا اینکه تحت اشراف عامه حضرات معصومین علیهم السلام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 ای دیگر از فقها معتقدند امر به معروف و نهی منکر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و فراتر از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در دست حاکم اسلامی باشد، امر به معروف و نهی از منکر فراتر از زبان توسط مردم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برخی از فقهایی که چنین نظری دارند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 پس از نقل اقوال مختلف در باره لزوم یا عدم لزوم اذن ولی در امر به معروف و نهی از منکر عملی،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زدن، مجروح کردن، شکستن و کشتن تحت عنوان امر به معروف و نهی از منکر جایز نیست مگر اینکه امام معصوم اجازه دهد؛ زیرا اگر چنین چیزی بر آحاد مردم جایز باشد، مفاسد زیادی داشته که گاه موجب اخلال در نظام و اضطرار می گردد؛ مخصوصا وقتی در بین این مردم افراد نادانی باشند که بر چیزی وقوف نداشته و جایگاه و حد و اندازه امور را نمی دانند و انسان نادان یا افراد می کند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واگذاری این امور به دست آنان بیش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در حدیث آمده فسادش بیش از اصلاحش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ورود مردم به این عرصه گاه موجب اعمال کینه و دشمنی است و کاملا بر انسان آگاه به این امور واضح است که عنوان امر به معروف و نهی از منکر گاه بهانه ای برای مقاصد سوء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تمام این امور باید از ولی امر اجازه گرفته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 فاضل لنکرانی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 نهی از منکر مستلزم مجروح کردن و کشتن دیگری باشد، اذن حاکم شرع لازم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جواد تبریزی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اجرایی اشکال دارد مگر آنکه با اذن حاکم شرعی باشد یا اینکه فرد مزبور از خانواده خودش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سید علی سیستانی نیز پس از برشمردن مراتب امر به معروف و نهی از منکر به صورت قلبی، زبانی و اجرایی،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مرحله اول و دوم اثر نداشت، نوبت به مرحله سوم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احوط آن است که این مرحله از امر به معروف و نهی از منکر نیازمند تحصیل اذن حاکم شرع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ایشان در جای دیگر بدون ذکر عبارت احوط به صراحت فتوا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مراحل اول و دوم فایده نداشت، پس از اخذ مجوز از حاکم شرع وارد مرحله سوم شو که همان اقدامات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نیز باید از اقداماتی که آزارش کمتر است شروع نموده تا به اقداماتی که آزارش بیشتر و شدیدتر است، برسی ولی این اقدامات اجرایی نباید به حد مجروح کردن، شکستن، فلج کردن یا مانند آن </w:t>
      </w:r>
    </w:p>
    <w:p>
      <w:pPr>
        <w:pStyle w:val="BookText"/>
        <w:rPr/>
      </w:pPr>
      <w:r>
        <w:rPr>
          <w:rFonts w:ascii="IRNazanin" w:hAnsi="IRNazanin" w:eastAsia="IRNazanin"/>
          <w:color w:val="111111"/>
          <w:sz w:val="28"/>
          <w:sz w:val="28"/>
          <w:szCs w:val="28"/>
          <w:rtl w:val="true"/>
          <w:lang w:bidi="fa-IR"/>
        </w:rPr>
        <w:t>برسد چه رسد به قتل</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ولی برخی فقها پس از برشمردن مراحل امر به معروف و نهی از منکر معتقد اند اگر دو مرحله انکار قلبی و لسانی فایده نداشت، می توان وارد مرحله انکار اجرایی شد ولی اقوی آن است که نباید منتهی به جرح و قتل و کسر و فلج کردن و امثال آن شود و اگر چنین اقداماتی انجام دهد، ضامن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خمینی در مورد مرحله انکار اجرایی نیز مراحلی را بیان می کند و آن اینکه ابتدا با ایجاد مانع سپس با گرفتن آلات از دست عامل، سپس تصرف در اموال وی و مانند آن در صورتی که منکر از امور مهم باشد؛ مثلا فاعل قصد کشتن کسی را داشته باشد، همه این موارد به صورت اسهل فالاسهل جایز است ولی اگر نهی از منکر جز با زدن و اذیت کردن طرف امکان پذیر نباشد، در صورتی این کار جایز است که اذن حاکم شرع را داشته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هچمنین 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بسط الید فیه فهو متعلق بالسلطان؛ امر به معروف و نهی از منکر اجرایی و عملی مربوط به سلطان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برخی با استناد به حدیثی از حضرت علی علیه السلام بگویند اگر هر یک از مراحل انکار قلبی، زبانی و اجرایی نباشد، امر به </w:t>
      </w:r>
    </w:p>
    <w:p>
      <w:pPr>
        <w:pStyle w:val="BookText"/>
        <w:rPr/>
      </w:pPr>
      <w:r>
        <w:rPr>
          <w:rFonts w:ascii="IRNazanin" w:hAnsi="IRNazanin" w:eastAsia="IRNazanin"/>
          <w:color w:val="111111"/>
          <w:sz w:val="28"/>
          <w:sz w:val="28"/>
          <w:szCs w:val="28"/>
          <w:rtl w:val="true"/>
          <w:lang w:bidi="fa-IR"/>
        </w:rPr>
        <w:t>معروف و نهی از منکر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علی علیه السلام مطابق این حدیث در دسته بندی نهی کنندگان از منکر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خَصْلَهً وَ مِنْهُمُ الْمُنْکِرُ بِقَلْبِهِ وَ التَّارِکُ بِیَدِهِ وَ لِسَانِهِ فَذَاکَ الَّذِی ضَیَّعَ أَشْرَفَ الْخَصْلَتَیْنِ مِنَ الثَّلاثِ وَ تَمَسَّکَ بِوَاحِدَة وَ مِنْهُمْ تَارِکٌ لإِنْکَارِ الْمُنْکَرِ بِلِسَانِهِ وَ قَلْبِهِ وَ یَدِهِ فَذَلِکَ مَیِّتُ الأَحْیَاء؛</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برخی افراد با دست و زبان و قلب خویش مانع منکر می شوند؛ اینان صفات نیک را به طور کامل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افراد با زبان و قلب خویش نهی می کنند؛ و انکار اجرایی را ترک می کنند؛ اینان دو صفت نیک را دریافته و یک خصلت نیکو را تضییع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افراد تنها با قلب خویش منکر را انکار می کنند و انکار زبانی و اجرایی را ترک می کنند؛ اینان کسانی اند که از سه خصلت نیک بهترین ها را ضایع کرده اند و تنها به یک خصلت 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افراد نه با قلب، نه با زبان و نه با دست خویش نهی از منکر نمی کنند؛ اینان مردگان زندگانند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فقره دوم از این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المنکر بلسانه وقلبه والتارک بیده فذلک متمسک بخصلتین من خصال الخیر ومضیع خصلة، منظور حضرت کسی است که به خاطر مانعی از انکار اجرایی عاجز است؛ زیرا این سخن در مقام مذمت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کسی که با قدرت بر انکار اجرایی و عدم مانع تنها به انکار قلبی و لسانی اکتفا کند و انکار اجرایی ننماید، معذور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این حال باید دانست حدیث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کلماتی است که مذمت را می رساند و این سخن ابن ابی الحدید نمی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کلمه تضییع که ناظر برمذمت است، در فقره آخر آن را که تارک نهی از منکر با قلب و زبان و دست خویش باشد را به مثابه جنازه رونده دانسته است و این خود حاکی از مذمت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باره حدیث فوق می توان گفت این است که این مذمت شامل کسی است که علی رغم فراهم شدن تمام شرایط نهی از منکر، از آن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شرایط نهی از منکر را در سایر کلمات آن حضرت 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شرایطی معصومین و بالتبع فقها بیان نموده اند،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اندازه توانایی و تا جایی که ممکن است، واجب است و عقل نیز شهادت می دهد که تکلیف مالایطاق فاسد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صاحب کتاب متشابه القرآن نیز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خدا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می کند بر اینکه کسی که توانایی انجام کاری را ندارد، تکلیف از وی ساقط می شود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یکی از شرایط آن اجازه حاکم شرع در نهی از منکر اجرایی است که به تفصیل در این باره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یکی دیگر از شرایطی که برای نهی از منکر شمرده شده است این است که در اثر نهی از منکر ضرری متوجه 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منکر با قلب و زبان و دست، در صورتی واجب است که مکلف توانایی آن را داشته باشد و بداند یا گمان نماید که امر به معروف و نهی از منکر در حال یا آینده به وی و دیگر مومنان ضرر نمی رساند و در غیر این صورت هیچ یک از انواع امر به معروف و نهی از منکر بر وی واجب نمی شود مگر اینکه در تمام حالات از ضرر ایمن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ابن ادریس حلی برای نهی از منکر شش شرط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منکر، وجود قرینه بر تکرار، گمان تأثیر، عدم خوف بر نفس، عدم خوف بر مال،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 اگر شرایط چهارم تا ششم را در عدم وجود مفسده خلاصه کنیم، بهتر است؛ زیرا عدم وجود مفسده شامل عدم خوف بر جان و مال نیز می شود، چون این دو نیز مفسده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محقق حلی در کتاب شرایع انجام شده است و شروط نهی از منکر چهار شرط دانسته شده و در شرط چهارم که همان عدم مفسده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برد در اثر نهی از منکر ضرری متوجه وی یا مالش یا یکی از مسلمانان می شود، وجوب ساقط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باری عدم مفسده به طور عام یا عدم خوف ضرر بر جان و مال در کلمات قریب به اتفاق فقهای گذشته و حال به عنوان یکی از شرایط وجوب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از ذکر اقوال مزبور به دلیل پرهیز از اطاله کلام اجتناب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شروط دیگری نیز برای نهی از منکر وجود دارد که می توان گفت به این بخش از مبحث ارتباطی ندارد مانند شرایطی که در حدیثی از امام صادق علیه السلام برشمرده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یَأْمُرُ بِالْمَعْرُوفِ وَ یَنْهَی عَنِ الْمُنْکَرِ مَنْ کَانَتْ فِیهِ ثَلاثُ خِصَالٍ عَالِمٌ بِمَا یَأْمُرُ بِهِ تَارِکٌ لِمَا یَنْهَی عَنْهُ عَادِلٌ فِیمَا یَأْمُرُ عَادِلٌ فِیمَا یَنْهَی رَفِیقٌ فِیمَا یَأْمُرُ رَفِیقٌ فِیمَا یَنْهَی؛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کسی امر به معروف و نهی از منکر می کند که سه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می کند، عمل کند؛ آنچه را که نهی می کند، خود ترک نماید و در آنچه امر و نهی می کند، عدالت روا داشته و با رفق و مدارا رفتار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نتیجه گرفته می شود که بخش هایی از پیش‌گیری از وقوع جرم که مستلزم اقدام عملی است باید از طریق حاکم شرع انجام پذیرد؛ زیرا گذشته از عدم قدرت فرد پیش گیرنده، و احتمال ضرر به وی، این کار خود منجر به هرج و مرج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مبنای فقهی و حقوقی تفکیک بین دو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است که در یکی دعوت به خیر و امر به معروف و نهی از منکر وظیفه تمام افراد جامعه دانسته شده و در دیگری پیش‌گیری از جرم را از وظایف قوه قضاییه </w:t>
      </w:r>
      <w:bookmarkStart w:id="129" w:name="pg5505_36813"/>
    </w:p>
    <w:p>
      <w:pPr>
        <w:pStyle w:val="BookText"/>
        <w:rPr/>
      </w:pPr>
      <w:bookmarkEnd w:id="129"/>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ناظر به مراحل نهی از منکر قلبی و لسانی و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نهی از منکر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ثابت شد اگر پیش‌گیری از جرم نیاز به رفتاری فراتر از انکار قلبی و لسانی داشته باشد، جزو وظایف حاکم شرع است و باید با اذن وی صورت گیرد، این سؤال پیش می آید که پیش‌گیری عملی از وقوع جرم از وظایف قوه قضاییه یا قوه مجریه است</w:t>
      </w:r>
      <w:r>
        <w:rPr>
          <w:rFonts w:eastAsia="IRNazanin" w:cs="IRNazanin"/>
          <w:color w:val="111111"/>
          <w:sz w:val="28"/>
          <w:szCs w:val="28"/>
          <w:rtl w:val="true"/>
          <w:lang w:bidi="fa-IR"/>
        </w:rPr>
        <w:t>.</w:t>
      </w:r>
    </w:p>
    <w:p>
      <w:pPr>
        <w:pStyle w:val="Heading5"/>
        <w:numPr>
          <w:ilvl w:val="4"/>
          <w:numId w:val="1"/>
        </w:numPr>
        <w:rPr/>
      </w:pPr>
      <w:bookmarkStart w:id="130" w:name="__RefHeading___Toc2336540_581953129"/>
      <w:bookmarkStart w:id="131" w:name="_Toc47"/>
      <w:bookmarkEnd w:id="130"/>
      <w:r>
        <w:rPr>
          <w:rtl w:val="true"/>
        </w:rPr>
        <w:t>مطلب دوم</w:t>
      </w:r>
      <w:r>
        <w:rPr>
          <w:rtl w:val="true"/>
        </w:rPr>
        <w:t xml:space="preserve">: </w:t>
      </w:r>
      <w:r>
        <w:rPr>
          <w:rtl w:val="true"/>
        </w:rPr>
        <w:t>پیش‌گیری از وقوع جرم وظیفه قوه مجریه یا قوه قضاییه؟</w:t>
      </w:r>
      <w:bookmarkEnd w:id="131"/>
    </w:p>
    <w:p>
      <w:pPr>
        <w:pStyle w:val="BookText"/>
        <w:rPr/>
      </w:pPr>
      <w:r>
        <w:rPr>
          <w:rFonts w:ascii="IRNazanin" w:hAnsi="IRNazanin" w:eastAsia="IRNazanin"/>
          <w:color w:val="111111"/>
          <w:sz w:val="28"/>
          <w:sz w:val="28"/>
          <w:szCs w:val="28"/>
          <w:rtl w:val="true"/>
          <w:lang w:bidi="fa-IR"/>
        </w:rPr>
        <w:t>در باره اینکه پیش‌گیری اجرایی از وقوع جرم وظیفه قوه مجریه است یا قوه قضاییه،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w:t>
      </w:r>
    </w:p>
    <w:p>
      <w:pPr>
        <w:pStyle w:val="BookText"/>
        <w:rPr/>
      </w:pPr>
      <w:r>
        <w:rPr>
          <w:rFonts w:ascii="IRNazanin" w:hAnsi="IRNazanin" w:eastAsia="IRNazanin"/>
          <w:color w:val="111111"/>
          <w:sz w:val="28"/>
          <w:sz w:val="28"/>
          <w:szCs w:val="28"/>
          <w:rtl w:val="true"/>
          <w:lang w:bidi="fa-IR"/>
        </w:rPr>
        <w:t>از دو قول فوق، دلایل و مستنداتی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وظیفه قوه مجریه می دانند، می توانند به دلایل زیر استناد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ایجاد نظم و امنیت عمومی به عنوان یکی از وظایف اصلی قوه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امری اجرایی است و قاعدتا باید در اختیار قوه مجریه باشد که ابزار اجرا را در اختیار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جرم یک امر کنشی است و تنها آن بخش از پیش‌گیری که واکنشی به جرم است جزو وظایف قوه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قانون اساسی هم پیش‌گیری را بر عهده قوه قضاییه نهاده باشد، صحیح نمی باشد و یا لااقل باید آن را تفسیر مضیق نمود و تنها پیش‌گیری واکنشی را از وظایف قوه قضاییه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نیروی انتظامی جمهوری اسلامی ایران مصوب </w:t>
      </w:r>
      <w:r>
        <w:rPr>
          <w:rFonts w:eastAsia="IRNazanin" w:cs="IRNazanin"/>
          <w:color w:val="111111"/>
          <w:sz w:val="28"/>
          <w:szCs w:val="28"/>
          <w:lang w:bidi="fa-IR"/>
        </w:rPr>
        <w:t>27/4/1369</w:t>
      </w:r>
      <w:r>
        <w:rPr>
          <w:rFonts w:ascii="IRNazanin" w:hAnsi="IRNazanin" w:eastAsia="IRNazanin"/>
          <w:color w:val="111111"/>
          <w:sz w:val="28"/>
          <w:sz w:val="28"/>
          <w:szCs w:val="28"/>
          <w:rtl w:val="true"/>
          <w:lang w:bidi="fa-IR"/>
        </w:rPr>
        <w:t>، نیروی انتظامی جمهوری اسلامی ایران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سازمانی مسلح و در تابعیت فرماندهی کل قوا ولی وابسته به وزارت کشور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p>
    <w:p>
      <w:pPr>
        <w:pStyle w:val="BookText"/>
        <w:rPr/>
      </w:pPr>
      <w:r>
        <w:rPr>
          <w:rFonts w:ascii="IRNazanin" w:hAnsi="IRNazanin" w:eastAsia="IRNazanin"/>
          <w:color w:val="111111"/>
          <w:sz w:val="28"/>
          <w:sz w:val="28"/>
          <w:szCs w:val="28"/>
          <w:rtl w:val="true"/>
          <w:lang w:bidi="fa-IR"/>
        </w:rPr>
        <w:t xml:space="preserve">دیگر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تشکیل نیروی انتظامی جمهوری اسلامی ایران، استقرار نظم و امنیت، تأمین آسایش عمومی و فردی و نگهبانی و پاسداری از دستاوردهای انقلاب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تلفیق این دو ماده مشخص می گردد وظیفه ایجاد نظم و امنیت از وظایف اساسی نیروی انتظامی است که خود زیر مجموعه قوه مجریه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به هنگام شمردن وظایف نیروی انتظامی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نیروی انتظامی را پیش‌گیری از وقوع جرم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نیز وابسته به وزارت کشور از زیر مجموعه های قوه مجریه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کسانی که مدافع ارجاع وظیفه حاکمیتی پیش‌گیری از وقوع جرم به قوه قضاییه هستند، می توانند به دلایل زیر استناد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به صراحت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پیش‌گیری از وقوع جرم را بر عهده قوه قضاییه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تقدم رتبی قانون اساسی بر سایر قوانین بر فرض وجود تعارض بین قانون عادی و قانون اساسی، قانون اخیر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قانون نیروی انتظامی جمهوری اسلامی ایران مصوب </w:t>
      </w:r>
      <w:r>
        <w:rPr>
          <w:rFonts w:eastAsia="IRNazanin" w:cs="IRNazanin"/>
          <w:color w:val="111111"/>
          <w:sz w:val="28"/>
          <w:szCs w:val="28"/>
          <w:lang w:bidi="fa-IR"/>
        </w:rPr>
        <w:t>27/4/1369</w:t>
      </w:r>
      <w:r>
        <w:rPr>
          <w:rFonts w:ascii="IRNazanin" w:hAnsi="IRNazanin" w:eastAsia="IRNazanin"/>
          <w:color w:val="111111"/>
          <w:sz w:val="28"/>
          <w:sz w:val="28"/>
          <w:szCs w:val="28"/>
          <w:rtl w:val="true"/>
          <w:lang w:bidi="fa-IR"/>
        </w:rPr>
        <w:t>، نمی‌تواند در برابر قانون اساسی قابل استناد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اساسا تعارضی بین قانون اساسی و قانون عادی فوق نیست؛ زیرا درست است که ایجاد امنیت اقدامی اجرایی است و قاعدتا باید در اختیار قوه مجریه باشد ولی باید توجه داشت که وظیفه ایجاد امنیت با وصف عمومیتش بر عهده قوه مجریه است و هیچ </w:t>
      </w:r>
    </w:p>
    <w:p>
      <w:pPr>
        <w:pStyle w:val="BookText"/>
        <w:rPr/>
      </w:pPr>
      <w:r>
        <w:rPr>
          <w:rFonts w:ascii="IRNazanin" w:hAnsi="IRNazanin" w:eastAsia="IRNazanin"/>
          <w:color w:val="111111"/>
          <w:sz w:val="28"/>
          <w:sz w:val="28"/>
          <w:szCs w:val="28"/>
          <w:rtl w:val="true"/>
          <w:lang w:bidi="fa-IR"/>
        </w:rPr>
        <w:t>منافاتی ندارد که بخشی از ایجاد امنیت که از طریق پیش‌گیری از وقوع جرم صورت می پذیرد، به قوه قضاییه محول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وظیفه پیش‌گیری از وقوع جرم را مستقلا انجام نمی دهد بلکه به عنوان ضابط قوه قضاییه چنین وظیفه ای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نیروی انتظامی جمهوری اسلامی ایران در بیان هشتمین وظیفه نیروی انتظامی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وظایفی که بر طبق قانون به عنوان ضابط قوه قضاییه به عهده نیروی انتظامی محول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مبارزه با مواد مخدر،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قاچاق؛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منکرات و فساد؛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جرایم؛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تحقیق؛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و دلایل جرم؛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متهمین و مجرمین و جلوگیری از فرار و اختفای آن ها؛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ابلاغ احکام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ماده قانونی نه تنها منافاتی با وظیفه قوه قضاییه در پیش‌گیری از وقوع جرم ندارد، بلکه تأکید می کند که این امر وظیفه اصلی و ذاتی قوه قضاییه است و نیروی انتظامی به عنوان ضابط قوه قضاییه عمل 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بهانه ای برای سلب یا محدود کردن آزادی های اجتماعی افراد است و معمولا این قوای مجریه هستند که از این رهگذر طرفی می بندند و تمایل بیشتری به گسترش اختیارات خویش و محدود کردن آزادی ملت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دولت به 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این قوه قضاییه است که باید بر تکیه بر استقلال قضایی و قضات مستقلش جلوی هر نوع سوء استفاده قوه مجریه را به بهانه پیش‌گیری از وقوع جرم بگیرد و مانع تعدی، تحدید و تهدید آزادی ها و </w:t>
      </w:r>
    </w:p>
    <w:p>
      <w:pPr>
        <w:pStyle w:val="BookText"/>
        <w:rPr/>
      </w:pPr>
      <w:r>
        <w:rPr>
          <w:rFonts w:ascii="IRNazanin" w:hAnsi="IRNazanin" w:eastAsia="IRNazanin"/>
          <w:color w:val="111111"/>
          <w:sz w:val="28"/>
          <w:sz w:val="28"/>
          <w:szCs w:val="28"/>
          <w:rtl w:val="true"/>
          <w:lang w:bidi="fa-IR"/>
        </w:rPr>
        <w:t>حقوق ملت توسط قوه مجریه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اساسی ایران شاید با لحاظ چنین مسئله ای وظیفه پیش‌گیری از وقوع جرم را بر عهده قوه قضاییه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پیش‌گیری از وقوع جرم اقدامی اجرایی محض نیست؛ بلکه نوعی قضاوت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نهفته در آن این است که می بایست روشن شود آیا واقعا مورد متنازع جرم است یا نه و اساسا آیا نیازی به پیش‌گیری از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تنها بر عهده قوه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توقیف مطبوعات و رسانه های همگانی زیر عنوان پیش‌گیری از وقوع جرم و با استناد به این اصل از قانون اساسی و قانون اقدامات تأمینی یک کار قضایی است و سپردن این کار به نهادهای اجرایی از بن اشتباه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قانون اساسی گو اینکه اعتبار اصول قانون اساسی را ندارد ولی در مقام تفسیر قانون اساسی می تواند به عنوان یک منبع جدی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جمهوری اسلامی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قضا در رابطه با پاسداری از حقوق مردم در خط حرکت اسلامی، به منظور پیش‌گیری از انحرافات موضعی در درون امت اسلامی امری است حیاتی، از اینرو ایجاد سیستم قضایی بر پایه عدل اسلامی و متشکل از قضات عادل و آشنا به ضوابط دقیق دینی پیش بینی شده است، این نظام به دلیل حساسیت بنیادی و دقت در مکتبی بودن آن لازم است بدور از هر نوع رابطه و مناسبات ناسالم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پیش‌گیری از انحرافات موضعی در درون امت اسلامی در دیباچه قانون اساسی از اهداف سیستم قضایی شمرده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چهارم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جمهوری اسلامی ایران در بخش توسعه امور قضایی نیز بر تمهید سازوکارهای لازم برای پیش‌گیری از وقوع جرم بر اساس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قوه قضاییه باید سازوکارهای لازم را برای ایفای این نقش خطیر تعبیه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دیگری است بر اینکه پیش‌گیری از وقوع جرم از وظایف قوه قضاییه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در باره پیش‌گیری از جرم ازدیاد ناحق اموال مسئولین است، این وظیفه را بر عهده ریاست قوه قضاییه نهاده است و این خود می تواند تأییدی باشد بر اینکه پیش‌گیری از وقوع جرم از وظایف قوه قضاییه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پیش‌گیری از وقوع جرمی که از وظایف قوه قضاییه به شمار می آید، مفهومی خاص داشته و به معنای مصادره تمامی اقدامات فرهنگی و اجتماعی و اقتصادی لازم برای پیش‌گیری از وقوع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منظور کمترین اثر در آزادی های اجتماعی و فردی مردم تا می توان تفسیر مضیقی از اصل فوق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اجرای اصول قانون اساسی همواره باید تمام اصول آن را با هم در نظر گرفت؛ چون برخی از اصول توسط سایر اصول تفسیر می گردد و حتی برخی اصول نوعی حکومت بر سایر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اجرای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پیش‌گیری از وقوع جرم اصول مربوط به حقوق ملت را حتما باید در نظر داشته و به ویژه دو اصل یعنی اصل نهم و اصل بیست و دوم را همواره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حیثیت، جان، مال، حقوق، مسکن و شغل اشخاص از تعرض مصون است، مگر در مواردی که قانون تجویز می کند</w:t>
      </w:r>
      <w:r>
        <w:rPr>
          <w:rFonts w:eastAsia="IRNazanin" w:cs="IRNazanin"/>
          <w:color w:val="111111"/>
          <w:sz w:val="28"/>
          <w:szCs w:val="28"/>
          <w:rtl w:val="true"/>
          <w:lang w:bidi="fa-IR"/>
        </w:rPr>
        <w:t xml:space="preserve">. </w:t>
      </w:r>
      <w:bookmarkStart w:id="132" w:name="pg5505_36818"/>
    </w:p>
    <w:p>
      <w:pPr>
        <w:pStyle w:val="BookText"/>
        <w:rPr/>
      </w:pPr>
      <w:bookmarkEnd w:id="132"/>
      <w:r>
        <w:rPr>
          <w:rFonts w:ascii="IRNazanin" w:hAnsi="IRNazanin" w:eastAsia="IRNazanin"/>
          <w:color w:val="111111"/>
          <w:sz w:val="28"/>
          <w:sz w:val="28"/>
          <w:szCs w:val="28"/>
          <w:rtl w:val="true"/>
          <w:lang w:bidi="fa-IR"/>
        </w:rPr>
        <w:t xml:space="preserve">جالب آن است که حتی تجویز قانون نیز به صورت رها و مطلق نیست و در اصل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سوء استفاده از تجویز قانون هوشدار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مقامی حق ندارد به نام حفظ استقلال و تمامیت ارضی کشور، آزادی های مشروع را هرچند با وضع قوانین و مقررات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پیش‌گیری از وقوع جرم نباید دست آویزی برای مخدوش کردن آزادی های مشروع و حقوق ملت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پیش‌گیری کنشی وظیفه کل جامعه و دولت به معنای عام و پیش‌گیری واکنشی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قوه قضاییه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فنی تر می توان گفت تنها پیش‌گیری وضعی از وظایف قوه قضاییه است ولی در پیش‌گیری اجتماعی تمام قوای اجرایی، تقنینی و قضایی و حتی سازمان های غیردولتی و آحاد مردم می بایست مشارکت داشته و آن را وظیفه خود بدانند</w:t>
      </w:r>
      <w:r>
        <w:rPr>
          <w:rFonts w:eastAsia="IRNazanin" w:cs="IRNazanin"/>
          <w:color w:val="111111"/>
          <w:sz w:val="28"/>
          <w:szCs w:val="28"/>
          <w:rtl w:val="true"/>
          <w:lang w:bidi="fa-IR"/>
        </w:rPr>
        <w:t>.</w:t>
      </w:r>
    </w:p>
    <w:p>
      <w:pPr>
        <w:pStyle w:val="Heading4"/>
        <w:numPr>
          <w:ilvl w:val="3"/>
          <w:numId w:val="1"/>
        </w:numPr>
        <w:rPr/>
      </w:pPr>
      <w:bookmarkStart w:id="133" w:name="__RefHeading___Toc2336542_581953129"/>
      <w:bookmarkStart w:id="134" w:name="_Toc48"/>
      <w:bookmarkEnd w:id="133"/>
      <w:r>
        <w:rPr>
          <w:rtl w:val="true"/>
        </w:rPr>
        <w:t>گفتار سوم</w:t>
      </w:r>
      <w:r>
        <w:rPr>
          <w:rtl w:val="true"/>
        </w:rPr>
        <w:t xml:space="preserve">: </w:t>
      </w:r>
      <w:r>
        <w:rPr>
          <w:rtl w:val="true"/>
        </w:rPr>
        <w:t>بررسی اصل پنجاهم قانون اساسی</w:t>
      </w:r>
      <w:bookmarkEnd w:id="134"/>
    </w:p>
    <w:p>
      <w:pPr>
        <w:pStyle w:val="BookText"/>
        <w:rPr/>
      </w:pPr>
      <w:r>
        <w:rPr>
          <w:rFonts w:ascii="IRNazanin" w:hAnsi="IRNazanin" w:eastAsia="IRNazanin"/>
          <w:color w:val="111111"/>
          <w:sz w:val="28"/>
          <w:sz w:val="28"/>
          <w:szCs w:val="28"/>
          <w:rtl w:val="true"/>
          <w:lang w:bidi="fa-IR"/>
        </w:rPr>
        <w:t>اصل پنجاهم قانون اساسی در باره حفاظت از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مقرر می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حفاظت از محیط زیست که نسل امروز و نسل های بعد باید در آن حیات اجتماعی رو به رشدی داشته باشند، وظیفه عمومی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فعالیت های اقتصادی و غیر آن که با آلودگی محیط زیست یا تخریب غیر قابل جبران آن ملازمه پیدا کند،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مواجهه با مسایل محیط زیست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اقتصادی و امثال آن، که موجب آلودگی محیط زیست یا تخریب غیرقابل جبران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کند و دیگری آنکه مانع فعالیت مخرب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 اصل به گونه ای تنظیم شده است که وظیفه عمومی مردم در مورد اول را بیان نموده است؛ زیرا جمله دوم را فرع بر جمله اول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برداشت این است که از آنجا که حفظ محیط زیست بر مردم لازم است مردم نباید فعالیت های مخرب محیط زیستی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اصل با این برداشت صرفاً وظیفه خویشتن داری و کف نفس از آلودگی محیط زیست را بیان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 رسد اصل پنجاهم قانون اساسی به مسئله ای فراتر از خویشتن داری از آلودگی محیط زیست تاکید دارد و منع دیگران از آلوده کردن محیط زیست را نیز در بر می گیرد؛ زیرا در این اصل، حفاظت از محیط زیست وظیفه عمومی تلقی شده است و حفاظت مفهومی فراتر از خویشتن داری از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محیط زیست سالم وظیفه همگانی است، در مواقعی که دیگران نیز در صدد آلوده کردن محیط زیست هستند، باید مانع آنان شد وگرنه این وظیفه به خوبی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بی تفاوتی نسبت به آلوده کردن محیط زیست توسط دیگران با وظیفه عمومی درباره حفظ محیط زیست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پیش گیری از آلوده کردن محیط زیست هم به معنای خویشتن داری و هم به معنای منع دیگران از آلوده کردن آن وظیفه ای همگانی است</w:t>
      </w:r>
      <w:r>
        <w:rPr>
          <w:rFonts w:eastAsia="IRNazanin" w:cs="IRNazanin"/>
          <w:color w:val="111111"/>
          <w:sz w:val="28"/>
          <w:szCs w:val="28"/>
          <w:rtl w:val="true"/>
          <w:lang w:bidi="fa-IR"/>
        </w:rPr>
        <w:t xml:space="preserve">. </w:t>
      </w:r>
      <w:bookmarkStart w:id="135" w:name="pg5505_36820"/>
    </w:p>
    <w:p>
      <w:pPr>
        <w:pStyle w:val="Heading4"/>
        <w:numPr>
          <w:ilvl w:val="3"/>
          <w:numId w:val="1"/>
        </w:numPr>
        <w:rPr/>
      </w:pPr>
      <w:bookmarkStart w:id="136" w:name="__RefHeading___Toc2336544_581953129"/>
      <w:bookmarkStart w:id="137" w:name="_Toc49"/>
      <w:bookmarkEnd w:id="135"/>
      <w:bookmarkEnd w:id="136"/>
      <w:r>
        <w:rPr>
          <w:rtl w:val="true"/>
        </w:rPr>
        <w:t>گفتار چهارم</w:t>
      </w:r>
      <w:r>
        <w:rPr>
          <w:rtl w:val="true"/>
        </w:rPr>
        <w:t xml:space="preserve">: </w:t>
      </w:r>
      <w:r>
        <w:rPr>
          <w:rtl w:val="true"/>
        </w:rPr>
        <w:t xml:space="preserve">بررسی اصل </w:t>
      </w:r>
      <w:r>
        <w:rPr/>
        <w:t>142</w:t>
      </w:r>
      <w:r>
        <w:rPr>
          <w:rtl w:val="true"/>
        </w:rPr>
        <w:t xml:space="preserve"> </w:t>
      </w:r>
      <w:r>
        <w:rPr>
          <w:rtl w:val="true"/>
        </w:rPr>
        <w:t>قانون اساسی</w:t>
      </w:r>
      <w:bookmarkEnd w:id="137"/>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رهبر، رئیس جمهور، معاونان رئیس‌جمهور، وزیران و همسر و فرزندان آنان قبل و بعد از خدمت توسط رئیس قوه قضاییه رسیدگی می‌شود که برخلاف حق، افزایش نیافته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اشاره اصل فوق است، افزایش نا حق ثروت است؛ وگرنه نفس داشتن ثروت جرم و حتی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کشور افرادی وجود دارند که از تصمیم گیری های مؤثر در کاهش یا افزایش قیمت کالاها آگاه هستند، این افراد به آسانی می توانند کالای مزبور را قبل از اعمال سیاست کاهنده یا افزاینده قیمت آن خریده یا بفروشند و از این طریق ثروت های هنگفت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مهم ترین افرادی که می توانند در میدان بهره مندی از این اطلاعات قرار گیرند، افراد مورد اشاره در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گذشته از برخورداری از 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می توانند از قدرت خویش هم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های اقتصادی و کلان رهبران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کشورهای دنیا امری است که در بسیاری از کشورها مسبوق به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سوء استفاده های مالی رؤسای کشورها به قسمی است که در صورت کشف آن معمولا در رسانه مهم جهانی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معمولا کشورها حساسیت خاصی برای این جرم و پیش‌گیری از آن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دنیا پیش‌گیری از این جرم بر عهده سیستم قضایی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قانون گذار اساسی، پیش‌گیری از جرم ازدیاد ناحق ثروت مقامات را برعهده قوه قضاییه نهاده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اجرایی پیش‌گیری از این جرم این است که مقامات مزبور و زن و فرزندانشان می بایست صورت اموال خود را قبل از تصدی پست مزبور به اطلاع رئیس قوه قضاییه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قوه قضاییه پس از اتمام حضور فرد مزبور در پستش، اموال و دارایی وی و زن و فرزندش را مجددا مورد بررسی قرار می دهد تا چنانچه به ناحق افزایش یافته باشد، عودت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ثبت صورت اموال افراد فوق در سیستم قضایی و دغدغه نظارت و نیز حسابرسی بعدی عاملی جدی برای پیش‌گیری از وقوع جرم افزایش خلاف قانون ثروت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اصل مزبور هنوز از ضمانت اجرای قوی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میزان دارایی مقامات مزبور به صورت خوداظهاری و پر کردن دفترچه هایی که بدین منظور فراهم شده است، چندان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با وضع قانون عادی راه اجرای این اصل را هموارتر نموده و آن را از ضمانت اجرای قوی تر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یاد شده در قانون گو اینکه از جدی ترین افراد در میدان جاذبه سوء استفاده مالی از مقام خود هستند، ولی بدیهی است به افراد مزبور محصور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قضاییه و معاونان وی، رئیس قوه مقننه و هیات رئیسه و نمایندگان مجلس شورای اسلامی و بسیاری از مسئولین ممکلتی نیز از جمله افرادی هستند که همسانی جدی با افراد احصا شده در اصل فوق از حیث امکان سوء استفاده مالی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به امضای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شورای اسلامی رسید که در صدد اجرایی کردن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نکات قوت این طرح این است که قصد دارد اجرای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اساسی را به کلیه مسئولان نظام، اعضای شورای رهبری، فرد مصوب رهبری که در غیاب رئیس جمهور و معاون وی مسئولیت دارد، سرپرست وزارتخانه، رئیس مجلس شورای اسلامی، رئیس و اعضای مجمع تشخیص مصلحت نظام، رئیس و اعضای مجلس خبرگان، دبیر و اعضای شورای نگهبان، روسای ستاد و فرماندهان عالی نیروهای نظامی و انتظامی منصوب رهبری، رئیس سازمان صدا و سیما، متولیان آستان های مقدس منصوب از طرف رهبر در نهادها، مؤسسات و سازمان های دولتی و غیر دولتی، رئیس و معاونان دفتر رهبری، نمایندگان مجلس، رئیس قوه قضاییه و معاونان وی و رؤسای سازمان های وابسته به قوه قضاییه، رئیس دیوان عالی کشور، دادستان کل کشور، رئیس دیوان دیوان عدالت اداری، اعضای شورای عالی امنیت ملی، رئیس و دبیرکل بانک مرکزی، اعضای شورای شهر، مدیران عامل شرکت های دولتی و مدیران کل ادارات دولتی، قضات و بسیاری از مدیران که به صورت جدی ظرفیت سوء استفاده مالی را دارند، تعمیم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به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گو اینکه موضوعشان یکی نیست ولی می توانند پشتوانه مناسبی برای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موظف است ثروت های ناشی از ربا، غصب، رشوه، اختلاس، سرقت، قمار، سوء استفاده از موقوفات، سوء استفاده از مقاطعه کاری ها و معاملات دولتی، فروش زمین های موات و مباحات اصلی، دایر کردن اماکن فساد و سار موارد غیر مشروع را گرفته و به صاحب حق رد کند و در صورت معلوم نبودن او به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باید با رسیدگی و تحقیق و ثبوت شرعی به وسیله دولت اجرا شود</w:t>
      </w:r>
      <w:r>
        <w:rPr>
          <w:rFonts w:eastAsia="IRNazanin" w:cs="IRNazanin"/>
          <w:color w:val="111111"/>
          <w:sz w:val="28"/>
          <w:szCs w:val="28"/>
          <w:rtl w:val="true"/>
          <w:lang w:bidi="fa-IR"/>
        </w:rPr>
        <w:t xml:space="preserve">. </w:t>
      </w:r>
      <w:bookmarkStart w:id="138" w:name="pg5505_36823"/>
    </w:p>
    <w:p>
      <w:pPr>
        <w:pStyle w:val="Heading3"/>
        <w:numPr>
          <w:ilvl w:val="2"/>
          <w:numId w:val="1"/>
        </w:numPr>
        <w:rPr/>
      </w:pPr>
      <w:bookmarkStart w:id="139" w:name="__RefHeading___Toc2336546_581953129"/>
      <w:bookmarkStart w:id="140" w:name="_Toc50"/>
      <w:bookmarkEnd w:id="138"/>
      <w:bookmarkEnd w:id="139"/>
      <w:r>
        <w:rPr>
          <w:rtl w:val="true"/>
        </w:rPr>
        <w:t xml:space="preserve">فصل سوم </w:t>
      </w:r>
      <w:r>
        <w:rPr>
          <w:rtl w:val="true"/>
        </w:rPr>
        <w:t>:</w:t>
      </w:r>
      <w:r>
        <w:rPr>
          <w:rtl w:val="true"/>
        </w:rPr>
        <w:t>پیش‌گیری از جرم در قوانین عادی</w:t>
      </w:r>
      <w:bookmarkEnd w:id="140"/>
    </w:p>
    <w:p>
      <w:pPr>
        <w:pStyle w:val="Heading4"/>
        <w:numPr>
          <w:ilvl w:val="3"/>
          <w:numId w:val="1"/>
        </w:numPr>
        <w:rPr/>
      </w:pPr>
      <w:bookmarkStart w:id="141" w:name="__RefHeading___Toc2336548_581953129"/>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گذشته از قانون اساسی که به اصولی از آن اشاره شد، برخی قوانین عادی نیز مستقیما به موضوع پیش‌گیری از وقوع جرم پرداخته است که مورد بررسی واقع می شود</w:t>
      </w:r>
      <w:r>
        <w:rPr>
          <w:rFonts w:eastAsia="IRNazanin" w:cs="IRNazanin"/>
          <w:color w:val="111111"/>
          <w:sz w:val="28"/>
          <w:szCs w:val="28"/>
          <w:rtl w:val="true"/>
          <w:lang w:bidi="fa-IR"/>
        </w:rPr>
        <w:t>:</w:t>
      </w:r>
    </w:p>
    <w:p>
      <w:pPr>
        <w:pStyle w:val="Heading4"/>
        <w:numPr>
          <w:ilvl w:val="3"/>
          <w:numId w:val="1"/>
        </w:numPr>
        <w:rPr/>
      </w:pPr>
      <w:bookmarkStart w:id="143" w:name="__RefHeading___Toc2336550_581953129"/>
      <w:bookmarkStart w:id="144" w:name="_Toc52"/>
      <w:bookmarkEnd w:id="143"/>
      <w:r>
        <w:rPr>
          <w:rtl w:val="true"/>
        </w:rPr>
        <w:t>گفتار اول</w:t>
      </w:r>
      <w:r>
        <w:rPr>
          <w:rtl w:val="true"/>
        </w:rPr>
        <w:t xml:space="preserve">: </w:t>
      </w:r>
      <w:r>
        <w:rPr>
          <w:rtl w:val="true"/>
        </w:rPr>
        <w:t>قانون اقدامات تأمینی</w:t>
      </w:r>
      <w:bookmarkEnd w:id="144"/>
    </w:p>
    <w:p>
      <w:pPr>
        <w:pStyle w:val="BookText"/>
        <w:rPr/>
      </w:pPr>
      <w:r>
        <w:rPr>
          <w:rFonts w:ascii="IRNazanin" w:hAnsi="IRNazanin" w:eastAsia="IRNazanin"/>
          <w:color w:val="111111"/>
          <w:sz w:val="28"/>
          <w:sz w:val="28"/>
          <w:szCs w:val="28"/>
          <w:rtl w:val="true"/>
          <w:lang w:bidi="fa-IR"/>
        </w:rPr>
        <w:t xml:space="preserve">اقدامات تأمینی از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قانون نروژ وارد شد و تا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انگلستان، بلژیک، سوئد، اسپانیا و آلمان نیز نظام اقدامات تأمینی را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با اقتباس از قانون جزای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سوییس، قانون اقدامات تأمینی تهیه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مجلس شورای ملی تقدیم و در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مجلسین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گیری اقدامات تأمینی و تربیتی پیش‌گیری از جرم از طریق اصلاح، درمان، تربیت و کنترل اشخاص حقیقی یا حقوقی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اقدامات تأمینی در تطبیق کامل با سیاست کیفر زدایی است؛ سیاستی که مطابق آن اقدامات غیر کیفری را در باره عمل بزهکارانه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اقدامات تأمینی گفته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تأمینی عبارت است از واکنش حمایتی پیش گیرانه متضمن </w:t>
      </w:r>
    </w:p>
    <w:p>
      <w:pPr>
        <w:pStyle w:val="BookText"/>
        <w:rPr/>
      </w:pPr>
      <w:r>
        <w:rPr>
          <w:rFonts w:ascii="IRNazanin" w:hAnsi="IRNazanin" w:eastAsia="IRNazanin"/>
          <w:color w:val="111111"/>
          <w:sz w:val="28"/>
          <w:sz w:val="28"/>
          <w:szCs w:val="28"/>
          <w:rtl w:val="true"/>
          <w:lang w:bidi="fa-IR"/>
        </w:rPr>
        <w:t xml:space="preserve">درمان و اصلاح مجرمی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مسئول و چه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خطرناک به سر می برد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نیز در تعریف اقدامات تأمینی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تأمینی، عبارتند از تدابیری که دادگاه برای جلوگیری از تکرار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جنحه یا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مجرمین خطرناک اتخاذ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خطرناک کسانی هستند که سوابق و خصوصیات روحی و اخلاقی آنان و کیفیت ارتکاب جرم و جرم ارتکابی، آنان را در مظان ارتکاب جرم در آینده قرار دهد؛ اعم از اینکه قانونا مسئول باشند یا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اقدام تأمینی از طرف دادگاه وقتی جایز است که کسی مرتکب جرم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تأمینی با مجازات تفاوت هایی دارد که برخی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آورد نبودن، ترساننده نبودن، تحقیرآمیز نبودن، شخصی بودن، نامعین بودن اقدام و زمان آن،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اقدامات تأمینی اهدافی در نظر گرفته شده است که مهم ترین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افراد و جامعه از طریق اقدامات و ایجاد امکاناتی که بتواند نیازهای افراد جامعه را در زمینه های مادی و معنوی در مقابل ارتکاب جرایم و عواقب آن تأمین و از کشش افراد به سوی ارتکاب جرم پیش‌گیری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جامعه از تعدی و تجاوز تکرار کنندگان جرم و بزهکاران حرفه ای و به عادت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جرایم به کمک وسایل تربیتی، استعلاجی و معاضدتی با توجه به بروز حالت خطرناک در متهمین احتمالی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برای پیش‌گیری از وقوع جرایم از طریق بالا بردن سطح فرهنگ و آموزش و پرورش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مجرم و آماده ساختن وی برای زندگی مجدد در جامعه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اقدامات تأمینی که قوه قضاییه می تواند به منظور پیش‌گیری از وقوع جرم اتخاذ نماید،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تأمینی سالب آزادی، اقدامات تأمینی محدودکننده آزادی و اقدامات تأمینی مالی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تأمینی سالب آزادی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مجرمین مجنون و مختل المشاعر در تیمارستان 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مجرمین به عادت در تبعیدگاه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مجرمین بیکار و ولگرد در کارگاه های کشاورزی و 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مجرمین معتاد به استعمال الکل و مواد مخدره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اطفال در کانون اصلاح و تربیت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نگاهداری در تیمارستان یا تبعیدگاه یا کارگاه های کشاورزی حسب مورد و متناسب با افراد متفاوت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باره بند یک ماده فوق الذکر،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می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مجرمین مجنون و یا مختل المشاعر مخل نظم یا امنیت عمومی بوده و دارای حالت خطرناک باشند و دادگاه تشخیص دهد که برای جلوگیری از تکرار جرم نگاهداری یا معالجه مجرم در تیمارستان </w:t>
      </w:r>
    </w:p>
    <w:p>
      <w:pPr>
        <w:pStyle w:val="BookText"/>
        <w:rPr/>
      </w:pPr>
      <w:r>
        <w:rPr>
          <w:rFonts w:ascii="IRNazanin" w:hAnsi="IRNazanin" w:eastAsia="IRNazanin"/>
          <w:color w:val="111111"/>
          <w:sz w:val="28"/>
          <w:sz w:val="28"/>
          <w:szCs w:val="28"/>
          <w:rtl w:val="true"/>
          <w:lang w:bidi="fa-IR"/>
        </w:rPr>
        <w:t>مجرمین لازم است، در این صورت حکم به نگاهداری یا معالجه او در تیمارستان مجرمین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مجرمین نیمه مسئول که حکم مجازات و اقدامات تأمینی با هم در مورد آنها صادر می شود اجرای مجازات باید مؤخر بر اجرای اقدام تأمینی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که بنا بر تشخیص پزشک متخصص امراض روحی مجرم معالجه گردید، بر حسب پیشنهاد مدیر تیمارستان و تصویب دادستان دادگاه رسیدگی کرده و در صورت تشخیص رفع حالت خطرناک حکم به خاتمه اقدام تأمینی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تأمینی محدود کننده آزادی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بر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 اشتغال به کسب یا شغل یا حرفه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اقامت در محل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بیگانگان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تأمینی مالی و غیره نیز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چنین احصا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اشیای خطرناک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احتیاطی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مؤسسه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حق ابوت و قیمومت و نظارت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حکم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تعریف و بیان اقسام اقدامات تأمینی، نوبت به بیان راه های اجرایی این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برای این منظور تشکیل مؤسساتی </w:t>
      </w:r>
    </w:p>
    <w:p>
      <w:pPr>
        <w:pStyle w:val="BookText"/>
        <w:rPr/>
      </w:pPr>
      <w:r>
        <w:rPr>
          <w:rFonts w:ascii="IRNazanin" w:hAnsi="IRNazanin" w:eastAsia="IRNazanin"/>
          <w:color w:val="111111"/>
          <w:sz w:val="28"/>
          <w:sz w:val="28"/>
          <w:szCs w:val="28"/>
          <w:rtl w:val="true"/>
          <w:lang w:bidi="fa-IR"/>
        </w:rPr>
        <w:t>را پیش 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تشکیل برخی مؤسسات برای انجام امور مربوط به اقدامات تأمینی لازم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اصلاح و تربیت و اطفال، تیمارستان مجرمین غیر مسئول، تبعیدگاه مجرمین به عادت، کارگاه های کشاورزی و صنعتی و مراکز معالجه مجرمین معتاد به استعمال الکل و مواد مخدر از جمله نهادهای قانونی است که بر مبنای قانون در راستای اقدامات تأمینی می بایست فعالیت 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جرم توسط انسان مسئول و مکلف صورت نمی گیرد؛ گاهی انسان هایی بدون داشتن مسئولیت عقلانی؛ مانند دیوانگان، دست به اعمالی می زنند که نظم عمومی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منظور پیش‌گیری از چنین اقداماتی باید چاره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ناظر به چگونگی برخورد با این گونه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مجرمین مجنون و یا مختل المشاعر مخل نظم یا امنیت عمومی بوده و دارای حالت خطرناک باشند و دادگاه تشخیص دهد که برای جلوگیری از تکرار جرم، نگاهداری یا معالجه مجرم در تیمارستان مجرمین لازم است، در این صورت حکم به نگاهداری یا معالجه او در تیمارستان مجرمین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مجرمین نیمه مسئول که حکم مجازات و اقدامات تأمینی با هم در مورد آنها صادر می شود، اجرای مجازات باید مؤخر بر اجرای اقدام تأمینی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که بنا بر تشخیص پزشک متخصص امراض روحی مجرم معالجه گردید، بر حسب پیشنهاد مدیر تیمارستان و تصویب دادستان دادگاه رسیدگی کرده و در صورت تشخیص رفع حالت خطرناک حکم به خاتمه اقدام تأمینی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این ماده </w:t>
      </w:r>
    </w:p>
    <w:p>
      <w:pPr>
        <w:pStyle w:val="BookText"/>
        <w:rPr/>
      </w:pP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تشخیص عدم مسئولیت مجرمین و این که آیا مطلقا یا به طور نسبی فاقد قوه ممیزه می باشند، دادگاه نظر پزشک متخصص امراض روحی را جلب می نماید و در هر حال تصمیم نهایی با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تبعیدگاه یکی از نهادهای قانونی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به تفصیل این نهاد را تعریف کرده و شیوه بهره‌مندی از آن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علت ارتکاب جنایت یا جنحه عمدی که به موجب قانون مجازات حبس برای آن پیش بینی گردیده، دو مرتبه یا بیشتر محکوم به حبس بیش از دو ماه شده و بعد از اجرای مجازات مرتکب جرمی شود که مستلزم مجازات حبس است و از این رو دادگاه تشخیص دهد که مشارالیه دارای حالت خطرناک بوده و تمایل به ارتکاب جرایم داشته و یا از راه قوادی و یا فحشا و یا نظایر آن امرار معاش می نماید، مجرم به عادت محسوب شده و دادگاه می تواند حکم نگاهداری او را در تبعیدگاه برای مدت نامعینی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در تبعیدگاه جانشین مجازات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تبعیدگاه مؤسسه ای است که از طرف دولت به منظور نگاهداری مجرمین به عادت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به تبعید دارای لباس مخصوص بوده و غذای معینی از طرف مؤسسه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به تبعید حق مکاتبه و مراوده با خارج را ندارند مگر تحت نظر اولیای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تبعید مجبور به انجام کارهایی است که برای او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مجرمین در مؤسسه تبعید باید اقلا مدت سه سال و چنان چه مجازات تعیین شده بیش از سه سال باشد، به میزان مدت </w:t>
      </w:r>
    </w:p>
    <w:p>
      <w:pPr>
        <w:pStyle w:val="BookText"/>
        <w:rPr/>
      </w:pPr>
      <w:r>
        <w:rPr>
          <w:rFonts w:ascii="IRNazanin" w:hAnsi="IRNazanin" w:eastAsia="IRNazanin"/>
          <w:color w:val="111111"/>
          <w:sz w:val="28"/>
          <w:sz w:val="28"/>
          <w:szCs w:val="28"/>
          <w:rtl w:val="true"/>
          <w:lang w:bidi="fa-IR"/>
        </w:rPr>
        <w:t>مجازات در تبعیدگاه به سر برد و بعد از این مدت چنانچه ثابت شود که ادامه تبعید لازم نیست، ممکن است بنا بر پیشنهاد مدیر تبعیدگاه و درخواست دادستان شخص تبعید شده از طرف دادگاه صادرکننده حکم به طور مشروط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آزادی مشروط سه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ظرف سه سال بعد از خروج از تبعیدگاه آزاد شده مرتکب جنحه یا جنایت جدیدی شود و یا بر خلاف مقررات تعیین شده از طرف دادگاه برای مدت آزادی مشروط رفتار نماید، دادگاه حکم به نگاهداری مجدد او در تبعیدگاه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بعد از گذشت ده سال تمام حق آزادی مشروط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آزاد شده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مرتکب جرمی نگردیده و به نظر دادگاه اصلاح شده باشد، آزادی او قطعی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استفاده از کارگاه های کشاورزی یا صنعتی و نقش آن در پیش‌گیری از جرم نیز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مرتکب جنحه یا جنایت گردد که مجازات قانونی آن حبس باشد، دادگاه می تواند ضمن حکم مجازات در صورت وجود شرایط ذیل، مجازات معین درباره او بلااجرا گذاشته و دستور نگاهداری او را در یک کارگاه کشاورزی یا صنعتی برای مدت نامعینی بدهد؛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فاعل شخص ولگرد و یا قواد بوده و یا از راه فحشا و تکدی و یا نظایر آن امرار معاش می کرده و ارتکاب جرم ناشی از این طرز زندگی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فاعل استعداد جسمی و فکری برای کار کردن داشته باشد نسبت به این امر دادگاه می تواند قبلا نظر کارشناس را </w:t>
      </w:r>
    </w:p>
    <w:p>
      <w:pPr>
        <w:pStyle w:val="BookText"/>
        <w:rPr/>
      </w:pPr>
      <w:r>
        <w:rPr>
          <w:rFonts w:ascii="IRNazanin" w:hAnsi="IRNazanin" w:eastAsia="IRNazanin"/>
          <w:color w:val="111111"/>
          <w:sz w:val="28"/>
          <w:sz w:val="28"/>
          <w:szCs w:val="28"/>
          <w:rtl w:val="true"/>
          <w:lang w:bidi="fa-IR"/>
        </w:rPr>
        <w:t>جلب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فاعل سابقه محکومیت جزایی نداشته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کارگاه های کشاورزی و صنعتی باید فقط مخصوص این دسته از مجرمین بوده و مجهز به وسایل لازمه برای آموزش کار باشد در کارگاه های کشاورزی یا صنعتی هر محکوم به حرفه ای که استعداد آن را دارد، گمارده شده و کارآموزی می نماید به نحوی که قادر باشد بعد از خروج از زندان با اشتغال بدان شغل یا حرفه زندگی مادی خود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باید طوری باشد که ساختمان فکری و جسمی و مخصوصا اطلاعات دیگر حرفه ای مجرم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مجرمین شبها را در کارگاه ها به تنهایی و در سلول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محکوم برای آموختن هیچ حرفه ای استعداد و لیاقت ندارد، در این صورت دادگاه حکم به اجرا مجازات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باید اقلا به میزان دو سوم محکومیت خود و به هر حال یک سال در کارگاه نگاهداری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 این مدت هرگاه بر دادگاه ثابت شود که مجرم می تواند از راه کاری که آموخته است، زندگی نماید، حکم آزادی او را به طور مشروط برای مدت یک سال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حق دارد در موقع صدور حکم آزادی مشروط بعضی تضییقات از قبیل اقامت در محل معینی و یا کار در نزد کارفرمای معینی و غیره برای او قائل شود و هر گاه در مدت آزادی مشروط مجرم مرتکب جنحه یا جنایت عمدی شود، حکم مجازات صادره درباره او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مدت آزادی مشروط مجرم مجددا مرتکب به تکدی و یا ولگردی یا فحشا پرداخت یا بیکار بماند و با اخطار دادگاه صادرکننده حکم آزادی مشروط تغییر رویه ندهد، دادگاه حکم به اعاده او به کارگاه با اجرای مجازات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مجرم در تمام مدت آزادی مشروط از خود رفتار خوب بروز داد، آزادی او قطعی گردیده و مجازات هم ساقط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نگاهداری در کارگاه مجرم نتوانست موجبات استفاده از آزادی مشروط را برای خود فراهم سازد، دادگاه به اجرا مجازات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نگاهداری در کارگاه بعد از گذشتن پنج سال از تاریخ صدور حکم در صورتی که اجرا نشده باشد، مشمول مرور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نیز در باره معتادان به مواد الکلی و مواد مخدر است که بخش قابل توجهی از جرایم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مرتکب جنحه یا جنایت شده و معلوم گردد اعتیاد به استعمال مواد الکلی و ارتکاب جرم هم ناشی از این عادت است، دادگاه ضمن حکم مجازات، مقرر خواهد داشت قبل از اجرای مجازات، مجرم برای معالجه و رفع اعتیاد در مراکز معالجه معتادین نگاهداری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 تواند مقرر دارد مدت معالجه محکوم جزء مدت محکومیت احتساب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چنانچه مدت لازم برای معالجه بیش از مدت محکومیت باشد، مادام که از مجرم رفع اعتیاد به عمل نیامده است، در مراکز معالجه معتادین نگاهداری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اشخاصی که معتاد به استعمال مواد مخدره بوده و به ترتیب فوق مرتکب جرم می شوند، هرگاه حکم مجازاتی که در باره مجرم قابل اجرا است، مربوط به محکومیت او به استعمال مواد مخدر باشد، طبق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منع کشت خشخاش و استعمال تریاک مصوب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مجرم عمل خواهد شد و چنانچه حکم مجازات قابل اجرا مربوط به محکومیت او به استعمال مواد مخدره نباشد، طبق مقررات این ماده راجع به معتادین به الکل درباره مجرم عمل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تبصره این ماده مراکز معالجه مذکور در این ماده باید مخصوص معالجه مجرمین معتاد به استعمال الکل و مواد مخدره باشد و </w:t>
      </w:r>
    </w:p>
    <w:p>
      <w:pPr>
        <w:pStyle w:val="BookText"/>
        <w:rPr/>
      </w:pPr>
      <w:r>
        <w:rPr>
          <w:rFonts w:ascii="IRNazanin" w:hAnsi="IRNazanin" w:eastAsia="IRNazanin"/>
          <w:color w:val="111111"/>
          <w:sz w:val="28"/>
          <w:sz w:val="28"/>
          <w:szCs w:val="28"/>
          <w:rtl w:val="true"/>
          <w:lang w:bidi="fa-IR"/>
        </w:rPr>
        <w:t>ممکن است مرکز معالجه مزبور در داخل و ضمیمه یکی از کارگاه های کشاورزی و یا صنعتی و یا بیمارستان 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در مورد شیوه اجرای اقدامات تأمینی محدود کننده آزادی است که برخی مجرمین را از اشتغال به برخی مشاغلی که قبلا در آن مشاغل مرتکب جرمی شده، منع کرده و نیز خارجیانی را که در ایران مرتکل جرم شده اند، اخراج نموده و از اقامت در ایران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در باره اقدامات تأمینی مالی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ضبط آلات جرم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اشیایی که آلت ارتکاب جرمی بوده و یا این که در نتیجه جرم حاصل شده باشد، در صورتی که وجود آن ها موجب تشویش اذهان و یا مخل نظم عمومی یا آسایش مردم باشد، بر حسب تقاضای دادستان و حکم دادگاه جنحه دستور ضبط آن ها صادر می شود ولو آن که هیچ کس را نتوان تعقیب یا محکوم نمود، دادگاه حق دارد دستور دهد که اشیای ضبط شده را از دسترس عموم خارج کرده و یا آن ها را نابود نمایند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کسانی که سایر افراد را تهدید به جرم کرده اند و بیم آن می‌رود که این تهدید خود را واقعا عمل نمایند یا اینکه شخصی که محکوم به مجازات جنایی یا جنحه گردیده صریحا اعلان نماید که جرم مزبور را تکرار می کند، باید چه اقدام پیش گیرانه ای صورت گیرد؟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اقدامات تأمینی ناظر به راه پیش‌گیری از جرم محتمل این دسته از افراد است و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بنا بر تقاضای شخص تهدید شده یا متضرر از جرم می تواند از او بخواهد تعهد کند مرتکب جرم نگردیده و </w:t>
      </w:r>
      <w:bookmarkStart w:id="145" w:name="pg5505_36833"/>
    </w:p>
    <w:p>
      <w:pPr>
        <w:pStyle w:val="BookText"/>
        <w:rPr/>
      </w:pPr>
      <w:bookmarkEnd w:id="145"/>
      <w:r>
        <w:rPr>
          <w:rFonts w:ascii="IRNazanin" w:hAnsi="IRNazanin" w:eastAsia="IRNazanin"/>
          <w:color w:val="111111"/>
          <w:sz w:val="28"/>
          <w:sz w:val="28"/>
          <w:szCs w:val="28"/>
          <w:rtl w:val="true"/>
          <w:lang w:bidi="fa-IR"/>
        </w:rPr>
        <w:t>وجه الضمان متناسب برای این امر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مشارالیه از این تعهد خودداری کرد و وجه الضمان مقرر را نسپارد، دادگاه می تواند دستور توقیف موقت او را صادر نماید و مدت این توقیف بیش از دو ماه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متعهد ظرف دو سال از تاریخی که وجه الضمان سپرده، مرتکب جرم گردید، وجه الضمان به نفع دولت ضبط می شود و الا به او یا قائم مقام قانونی او مسترد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مؤسسات که وسیله ارتکاب جرم هستند؛ مانند مؤسسات فروش اجناس قاچاق یا مواد مخدر و مانند آن یا مؤسساتی که در راستای تسهیل اعمال منافی عفت فعالیت می کنند، گذشته از مجازات لازم، باید به منظور پیش‌گیری از تکرار جرم بسته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پایانی این قانون به راه دیگری که ممکن است منجر به پیش‌گیری از جرم شود؛ مانند انتشار حکم محکومیت یا انتشار حکم برائت و نیز سلب حق قیمومت یا نظارت یا ولایت و مانند آن اشاره شده است</w:t>
      </w:r>
      <w:r>
        <w:rPr>
          <w:rFonts w:eastAsia="IRNazanin" w:cs="IRNazanin"/>
          <w:color w:val="111111"/>
          <w:sz w:val="28"/>
          <w:szCs w:val="28"/>
          <w:rtl w:val="true"/>
          <w:lang w:bidi="fa-IR"/>
        </w:rPr>
        <w:t>.</w:t>
      </w:r>
    </w:p>
    <w:p>
      <w:pPr>
        <w:pStyle w:val="Heading4"/>
        <w:numPr>
          <w:ilvl w:val="3"/>
          <w:numId w:val="1"/>
        </w:numPr>
        <w:rPr/>
      </w:pPr>
      <w:bookmarkStart w:id="146" w:name="__RefHeading___Toc2336552_581953129"/>
      <w:bookmarkStart w:id="147" w:name="_Toc53"/>
      <w:bookmarkEnd w:id="146"/>
      <w:r>
        <w:rPr>
          <w:rtl w:val="true"/>
        </w:rPr>
        <w:t>گفتاردوم</w:t>
      </w:r>
      <w:r>
        <w:rPr>
          <w:rtl w:val="true"/>
        </w:rPr>
        <w:t xml:space="preserve">: </w:t>
      </w:r>
      <w:r>
        <w:rPr>
          <w:rtl w:val="true"/>
        </w:rPr>
        <w:t>برخی مواد قانون مجازات اسلامی</w:t>
      </w:r>
      <w:bookmarkEnd w:id="147"/>
    </w:p>
    <w:p>
      <w:pPr>
        <w:pStyle w:val="Heading5"/>
        <w:numPr>
          <w:ilvl w:val="4"/>
          <w:numId w:val="1"/>
        </w:numPr>
        <w:rPr/>
      </w:pPr>
      <w:bookmarkStart w:id="148" w:name="__RefHeading___Toc2336554_581953129"/>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از منظر حقوق دانانی که معتقدند، مجازات یکی از عوامل پیش‌گیری از جرم است، تمام مقررات مندرج در مجموعه قوانین مجازات را در عداد قوانین مربوط به پیش‌گیری از وقوع جرم دانست، ولی بعدا گفته خواهد شد که این نظر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صائب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نگرش ذهنی معتقدند انسان اگر بداند در پی اقدام به ناهنجاری، فورا مجازات می شود، دست به اقدام مزبور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دیگر با نگرشی عینی می گویند آنچه تاکنون در عالم واقع رخ داده است، عدم تأثیر جدی مجازات در پیش‌گیری و تکرار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باشد که قانون گذار </w:t>
      </w:r>
      <w:bookmarkStart w:id="150" w:name="pg5505_36834"/>
    </w:p>
    <w:p>
      <w:pPr>
        <w:pStyle w:val="BookText"/>
        <w:rPr/>
      </w:pPr>
      <w:bookmarkEnd w:id="150"/>
      <w:r>
        <w:rPr>
          <w:rFonts w:ascii="IRNazanin" w:hAnsi="IRNazanin" w:eastAsia="IRNazanin"/>
          <w:color w:val="111111"/>
          <w:sz w:val="28"/>
          <w:sz w:val="28"/>
          <w:szCs w:val="28"/>
          <w:rtl w:val="true"/>
          <w:lang w:bidi="fa-IR"/>
        </w:rPr>
        <w:t>گذشته از مجازات هایی مانند حدود، دیات، قصاص و تعزیرات، مجازات هایی تحت عنوان مجازات های بازدانده نیز برای بزهکاران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نوشتار تنها برخی از مواد قانون مجازات اسلامی مورد اشاره واقع می شود که به صورت مستقیم ناظر به پیش‌گیری از جرم است</w:t>
      </w:r>
      <w:r>
        <w:rPr>
          <w:rFonts w:eastAsia="IRNazanin" w:cs="IRNazanin"/>
          <w:color w:val="111111"/>
          <w:sz w:val="28"/>
          <w:szCs w:val="28"/>
          <w:rtl w:val="true"/>
          <w:lang w:bidi="fa-IR"/>
        </w:rPr>
        <w:t>.</w:t>
      </w:r>
    </w:p>
    <w:p>
      <w:pPr>
        <w:pStyle w:val="Heading5"/>
        <w:numPr>
          <w:ilvl w:val="4"/>
          <w:numId w:val="1"/>
        </w:numPr>
        <w:rPr/>
      </w:pPr>
      <w:bookmarkStart w:id="151" w:name="__RefHeading___Toc2336556_581953129"/>
      <w:bookmarkStart w:id="152" w:name="_Toc55"/>
      <w:bookmarkEnd w:id="151"/>
      <w:r>
        <w:rPr/>
        <w:t>1</w:t>
      </w:r>
      <w:r>
        <w:rPr>
          <w:rtl w:val="true"/>
        </w:rPr>
        <w:t xml:space="preserve">. </w:t>
      </w:r>
      <w:r>
        <w:rPr>
          <w:rtl w:val="true"/>
        </w:rPr>
        <w:t>مجازات های بازدارنده</w:t>
      </w:r>
      <w:bookmarkEnd w:id="152"/>
    </w:p>
    <w:p>
      <w:pPr>
        <w:pStyle w:val="BookText"/>
        <w:rPr/>
      </w:pP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تعریف مجازات های بازدانده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مجازات‌های بازدارنده، تأدیب یا عقوبتی است که از طرف حکومت به منظور حفظ نظم و مراعات مصلحت اجتماع در قبال تخلف از مقررات و نظامات حکومتی تعیین می‌گردد، از قبیل حبس، جزای نقدی، تعطیلی محل کسب، لغو پروانه و محرومیت از حقوق اجتماعی و اقامت در نقطه یا نقاط معیّن و منع از اقامت در نقطه یا نقاط معیّن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p>
    <w:p>
      <w:pPr>
        <w:pStyle w:val="BookText"/>
        <w:rPr/>
      </w:pPr>
      <w:r>
        <w:rPr>
          <w:rFonts w:ascii="IRNazanin" w:hAnsi="IRNazanin" w:eastAsia="IRNazanin"/>
          <w:color w:val="111111"/>
          <w:sz w:val="28"/>
          <w:sz w:val="28"/>
          <w:szCs w:val="28"/>
          <w:rtl w:val="true"/>
          <w:lang w:bidi="fa-IR"/>
        </w:rPr>
        <w:t>دادگاه می‌تواند کسی را که به‌علت ارتکاب جرم عمدی به تعزیر یا مجازات بازدارنده محکوم کرده است، به‌عنوان تتمیم حکم تعزیری یا بازدارنده، مدتی از حقوق اجتماعی محروم و نیز از اقامت در نقطه یا نقاط معیّن ممنوع یا به اقامت در محل معیّن مجبور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تعریف از مجازات های بازدارنده، می توان تمام کتاب پنجم قانون مجازات اسلامی را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 و مجازات های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جزو مقررات و مواد مربوط به پیش‌گیری از وقوع جرم دانست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فصولی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ضد امنیت ملی و </w:t>
      </w:r>
      <w:bookmarkStart w:id="153" w:name="pg5505_36835"/>
    </w:p>
    <w:p>
      <w:pPr>
        <w:pStyle w:val="BookText"/>
        <w:rPr/>
      </w:pPr>
      <w:bookmarkEnd w:id="153"/>
      <w:r>
        <w:rPr>
          <w:rFonts w:ascii="IRNazanin" w:hAnsi="IRNazanin" w:eastAsia="IRNazanin"/>
          <w:color w:val="111111"/>
          <w:sz w:val="28"/>
          <w:sz w:val="28"/>
          <w:szCs w:val="28"/>
          <w:rtl w:val="true"/>
          <w:lang w:bidi="fa-IR"/>
        </w:rPr>
        <w:t>خارجی کشور، فرار محبوسین قانونی و اخفای مقصرین، تخریب اموال تاریخی، فرهنگی، تقصیرات مقامات و مأمورین دولتی در سلب آزادی افراد یا تعرض به حریم خصوصی آنان، هتک حرمت اشخاص، تبانی برای ارتکاب جرم، تهدید و اکراه، تخریب و اتلاف اموال و حیوانات، هتک حرمت منازل و املاک غیر و عناوین مجرمانه ای از این دست، جملگی ارتباط مسقیم با پیش‌گیری از وقوع جرم دارند</w:t>
      </w:r>
      <w:r>
        <w:rPr>
          <w:rFonts w:eastAsia="IRNazanin" w:cs="IRNazanin"/>
          <w:color w:val="111111"/>
          <w:sz w:val="28"/>
          <w:szCs w:val="28"/>
          <w:rtl w:val="true"/>
          <w:lang w:bidi="fa-IR"/>
        </w:rPr>
        <w:t>.</w:t>
      </w:r>
    </w:p>
    <w:p>
      <w:pPr>
        <w:pStyle w:val="Heading5"/>
        <w:numPr>
          <w:ilvl w:val="4"/>
          <w:numId w:val="1"/>
        </w:numPr>
        <w:rPr/>
      </w:pPr>
      <w:bookmarkStart w:id="154" w:name="__RefHeading___Toc2336558_581953129"/>
      <w:bookmarkStart w:id="155" w:name="_Toc56"/>
      <w:bookmarkEnd w:id="154"/>
      <w:r>
        <w:rPr/>
        <w:t>2</w:t>
      </w:r>
      <w:r>
        <w:rPr>
          <w:rtl w:val="true"/>
        </w:rPr>
        <w:t xml:space="preserve">. </w:t>
      </w:r>
      <w:r>
        <w:rPr>
          <w:rtl w:val="true"/>
        </w:rPr>
        <w:t>پیش گیری از جرم در مقام دفاع</w:t>
      </w:r>
      <w:bookmarkEnd w:id="15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مواردی است که فردی برای پیش‌گیری از وقوع جرم توسط دیگری، خود مرتکب جرم شود؛ در این صورت با اجتماع شرایطی مجازات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مقام دفاع از نفس یا عرض یا ناموس و یا مال خود یا دیگری و آزادی تن خود یا دیگری در برابر هرگونه تجاوز فعلی و با خطر قریب الوقوع عملی انجام دهد که جرم باشد، در صورت اجتماع شرایط زیر قابل تعقیب و مجازات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با تجاوز و خطر متناسب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ارتکابی بیش از حد لازم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قوای دولتی بدون فوت وقت عملاً ممکن نباشد و یا مداخله قوای مذکور در رفع تجاوز و خطر مؤثر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تبصره این ماده قانونی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دفاع از نفس و یا ناموس و یا عرض و یا مال و یا آزادی تنِ دیگری جایز است، که او ناتوان از دفاع بوده و نیاز به کمک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فردی به جان یا مال یا آبرو یا ناموس خود یا فرد دیگری که در دفاع از خود ناتوان باشد، تجاوز نماید یا قصد جدی در این باره داشته باشد، ابتدا وظیفه قوای دولتی است که مداخله نموده و از جرم مزبور پیش‌گیری نمایند، ولی اگر دسترسی فوری به آنان ممکن نباشد یا مداخله آنان راه به جایی نبرد، خود فرد می تواند متناسب با تجاوز و خطر مزبور اقدام به پیش‌گیری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جرح و ضرب هرگاه در مقام دفاع از نفس یا عرض یا مال خود مرتکب یا شخص دیگری واقع شود، با رعایت مواد ذیل، مرتکب مجازات نمی شود، مشروط بر اینکه دفاع متناسب با خطری باشد که مرتکب را تهدید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این ماده اقدامات فوق را در مورد دفاع از مال غیر در صورتی قابل اجرا می داند که حفاظت مال غیر به عهده دفاع کننده بوده یا صاحب مال استمداد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فعلی که مطابق قانون جرم بر نفس یا عرض یا مال محسوب می شود ولو اینکه از مأمورین دولتی صادر گردد، هرگونه مقاومت برای دفاع از نقس یا عرض یا مال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در مواقعی صادق است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برای نفس یا عرض یا ناموس یا مال مستند به قراین معقول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متناسب با حمله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قوای دولتی یا هرگونه وسیله آسان تری برای نجات میسر نباشد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البته چنین رفتاری در برابر نیروهای انتظامی و تأمینی جایز نیست مگر آنکه آنان از حدود وظایف خود را پارا فراتر بگذارند و شواهد و قراینی وجود داشته باشد که عملیات آنان موجب قتل یا جرح یا تعرض به عرض یا ناموس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خود می تواند مانع تجاوزات نیروهای انتظامی و تأمینی شده و از جرایم آنان پیش‌گیری نماید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عنوان مثال؛ اگر مأموری بدون حکم قضایی بخواهد وارد منزل فردی شود، از آنجا که چنین اقدامی تعرض به آبرو یا ناموس اوست، صاحب منزل می تواند خود اقدام به پیش‌گیری از جرم مأمور مزبور نماید و چنانچه در این رهگذر مأمور مزبور صدمه ای ببیند، وی مسئول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 ای دیگر این موضوع را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نیروهای انتطامی و دیگر ضابطین دادگستری در موقعی که مشغول انجام وظیفه خود باشند، دفاع محسوب نمی شود، ولی هرگاه اشخاص مزبور از حدود وظیفه خود خارج شوند و برحسب ادلّه و قراین موجود خوف آن باشد که عملیات آنها موجب قتل یا جرح یا تعرض به عرض یا مال گردد، در این صورت دفاع در مقابل آن ها نیز جایز است</w:t>
      </w:r>
      <w:r>
        <w:rPr>
          <w:rFonts w:eastAsia="IRNazanin" w:cs="IRNazanin"/>
          <w:color w:val="111111"/>
          <w:sz w:val="28"/>
          <w:szCs w:val="28"/>
          <w:rtl w:val="true"/>
          <w:lang w:bidi="fa-IR"/>
        </w:rPr>
        <w:t xml:space="preserve">. </w:t>
      </w:r>
      <w:bookmarkStart w:id="156" w:name="pg5505_36838"/>
    </w:p>
    <w:p>
      <w:pPr>
        <w:pStyle w:val="BookText"/>
        <w:rPr/>
      </w:pPr>
      <w:bookmarkEnd w:id="15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مواردی را برشمرده است که قتل عمد در مقام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دفاع متوقف بر 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پیش‌گیری از جرایمی مانند قتل، ضرب،جرح شدید و هتک ناموس خود و اقوام خود اگر منجر به قتل هم شود، جایز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همچنین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با اکراه و زور در صدد هتک عرض و ناموس دیگری باشد، حتی اگر منجر به قتل مجرم باشد، جایز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در صدد سرقت و ربودن انسان یا مال او بر آید، نیز حتی اگر منتهی به قتل سارق گردد، جایز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پیش‌گیری از جرم زنای مرد اجنبی با همسر انسان اگر توأم با ضرب و جرح و حتی اگر منتهی به قتل هر دوی آنان شود، جایز است به شرط آنکه علم به تمکین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زن مجبور به این کار شده باشد، تنها می تواند مرد را بکشد یا مورد ضرب و جرح قرار دهد</w:t>
      </w:r>
      <w:r>
        <w:rPr>
          <w:rFonts w:eastAsia="IRNazanin" w:cs="IRNazanin"/>
          <w:color w:val="111111"/>
          <w:sz w:val="28"/>
          <w:szCs w:val="28"/>
          <w:rtl w:val="true"/>
          <w:lang w:bidi="fa-IR"/>
        </w:rPr>
        <w:t>.</w:t>
      </w:r>
    </w:p>
    <w:p>
      <w:pPr>
        <w:pStyle w:val="Heading5"/>
        <w:numPr>
          <w:ilvl w:val="4"/>
          <w:numId w:val="1"/>
        </w:numPr>
        <w:rPr/>
      </w:pPr>
      <w:bookmarkStart w:id="157" w:name="__RefHeading___Toc2336560_581953129"/>
      <w:bookmarkStart w:id="158" w:name="_Toc57"/>
      <w:bookmarkEnd w:id="157"/>
      <w:r>
        <w:rPr/>
        <w:t>3</w:t>
      </w:r>
      <w:r>
        <w:rPr>
          <w:rtl w:val="true"/>
        </w:rPr>
        <w:t xml:space="preserve">- </w:t>
      </w:r>
      <w:r>
        <w:rPr>
          <w:rtl w:val="true"/>
        </w:rPr>
        <w:t>پیش گیری از جرم محاربه</w:t>
      </w:r>
      <w:bookmarkEnd w:id="1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ناظر به پیش‌گیری از جرم محاربه و فساد فی الارض است و مقرر می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یا گروهی که برای مبارزه با محاربان و از بین بردن فساد در زمین دست به اسلحه برند، محارب نیستند</w:t>
      </w:r>
      <w:r>
        <w:rPr>
          <w:rFonts w:eastAsia="IRNazanin" w:cs="IRNazanin"/>
          <w:color w:val="111111"/>
          <w:sz w:val="28"/>
          <w:szCs w:val="28"/>
          <w:rtl w:val="true"/>
          <w:lang w:bidi="fa-IR"/>
        </w:rPr>
        <w:t xml:space="preserve">. </w:t>
      </w:r>
      <w:bookmarkStart w:id="159" w:name="pg5505_36839"/>
    </w:p>
    <w:p>
      <w:pPr>
        <w:pStyle w:val="BookText"/>
        <w:rPr/>
      </w:pPr>
      <w:bookmarkEnd w:id="159"/>
      <w:r>
        <w:rPr>
          <w:rFonts w:ascii="IRNazanin" w:hAnsi="IRNazanin" w:eastAsia="IRNazanin"/>
          <w:color w:val="111111"/>
          <w:sz w:val="28"/>
          <w:sz w:val="28"/>
          <w:szCs w:val="28"/>
          <w:rtl w:val="true"/>
          <w:lang w:bidi="fa-IR"/>
        </w:rPr>
        <w:t xml:space="preserve">در تفسیر 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نباید راه افراط را پیمود و پیش‌گیری از فساد فی الارض و جرم محاربه را وظیفه همگانی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بدیهی است با توجه به آنچه در مباحث پیشین به تفصیل گفته شد، بسط ید و اقدام اجرایی در پیش‌گیری از وقوع جرم ابتدا و بالذات وظیفه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یعنی مبارزه با محارب و مفسد فی الارض اولا و بالذات وظیفه دولت اسلامی است ولی چنانچه وی از مردم کمک بخواهد و افراد عادی در پاسخ به این درخواست دست به اسلحه برند، محارب نیستند؛ یعنی می توانند در صورت درخواست حاکم اسلامی، خود اقدام به پیش‌گیری از جرم نمایند</w:t>
      </w:r>
      <w:r>
        <w:rPr>
          <w:rFonts w:eastAsia="IRNazanin" w:cs="IRNazanin"/>
          <w:color w:val="111111"/>
          <w:sz w:val="28"/>
          <w:szCs w:val="28"/>
          <w:rtl w:val="true"/>
          <w:lang w:bidi="fa-IR"/>
        </w:rPr>
        <w:t>.</w:t>
      </w:r>
    </w:p>
    <w:p>
      <w:pPr>
        <w:pStyle w:val="Heading4"/>
        <w:numPr>
          <w:ilvl w:val="3"/>
          <w:numId w:val="1"/>
        </w:numPr>
        <w:rPr/>
      </w:pPr>
      <w:bookmarkStart w:id="160" w:name="__RefHeading___Toc2336562_581953129"/>
      <w:bookmarkStart w:id="161" w:name="_Toc58"/>
      <w:bookmarkEnd w:id="160"/>
      <w:r>
        <w:rPr>
          <w:rtl w:val="true"/>
        </w:rPr>
        <w:t>گفتار سوم</w:t>
      </w:r>
      <w:r>
        <w:rPr>
          <w:rtl w:val="true"/>
        </w:rPr>
        <w:t xml:space="preserve">: </w:t>
      </w:r>
      <w:r>
        <w:rPr>
          <w:rtl w:val="true"/>
        </w:rPr>
        <w:t>قانون جلوگیری از تصرف عدوانی</w:t>
      </w:r>
      <w:bookmarkEnd w:id="161"/>
    </w:p>
    <w:p>
      <w:pPr>
        <w:pStyle w:val="BookText"/>
        <w:rPr/>
      </w:pPr>
      <w:r>
        <w:rPr>
          <w:rFonts w:ascii="IRNazanin" w:hAnsi="IRNazanin" w:eastAsia="IRNazanin"/>
          <w:color w:val="111111"/>
          <w:sz w:val="28"/>
          <w:sz w:val="28"/>
          <w:szCs w:val="28"/>
          <w:rtl w:val="true"/>
          <w:lang w:bidi="fa-IR"/>
        </w:rPr>
        <w:t>یکی از مواردی که قوانین عادی به صورت مستقیم به موضوع پیش‌گیری از جرم پرداخته، موضوع پیش‌گیری از تصرف عدوانی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جلوگیری از تصرف عدوانی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تصویب شده 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مورد اصلاح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قانون در باره پیش‌گیری از اقدام کسانی است که به زور بخواهند مالی را از تحت تصرف دیگری در آورده یا مانع استفاده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 درخواست شاکی، نیروهای انتظامی می بایست از این اقدام وی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جلوگیری از تصرف عدوانی مصوب 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مورد که کسی برای خارج کردن مال منقول از تصرف متصرف بدون رضایت او اقدام کند و یا مزاحم استفاده متصرف </w:t>
      </w:r>
    </w:p>
    <w:p>
      <w:pPr>
        <w:pStyle w:val="BookText"/>
        <w:rPr/>
      </w:pPr>
      <w:r>
        <w:rPr>
          <w:rFonts w:ascii="IRNazanin" w:hAnsi="IRNazanin" w:eastAsia="IRNazanin"/>
          <w:color w:val="111111"/>
          <w:sz w:val="28"/>
          <w:sz w:val="28"/>
          <w:szCs w:val="28"/>
          <w:rtl w:val="true"/>
          <w:lang w:bidi="fa-IR"/>
        </w:rPr>
        <w:t>گردد، مأمورین شهربانی و ژاندارمری هر یک در حوزه استحفاظی خود به درخواست شاکی از مزاحمت و اقداماتی که برای تصرف عدوانی می شود، جلوگیری نمایند؛ اگرچه عمل مزبور به استناد ادعای حقی نسبت به آن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هرگاه کسی مال غیر منقولی را که در تصرف غیر بوده است، عدوانا تصرف کرده و یا مزاحم استفاده متصرف شده باشد و یا استفاده از حق انتفاع یا ارتفاق دیگری ممانعت کرده باشد و بیش از یک ماه از تاریخ وقوع تصرف یا آغاز مزاحمت یا ممانعت نگذشته باشد، دادستان شهرستان محل وقوع مال یا دادرس دادگاه های بخش مستقل و سیار به قائم مقامی دادستان در حوزه صلاحیت خود مکلفند به شکایت شاکی رسیدگی و حکم مقتضی صادر نمایند؛ اگرچه اعمال مذکور به استناد ادعای حقی نسبت به آن مال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همچنین مطابق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اگر دو یا چند نفر به صورت مشترک از مال غیر منقولی استفاده می کنند و</w:t>
      </w:r>
    </w:p>
    <w:p>
      <w:pPr>
        <w:pStyle w:val="BookText"/>
        <w:rPr/>
      </w:pPr>
      <w:r>
        <w:rPr>
          <w:rFonts w:ascii="IRNazanin" w:hAnsi="IRNazanin" w:eastAsia="IRNazanin"/>
          <w:color w:val="111111"/>
          <w:sz w:val="28"/>
          <w:sz w:val="28"/>
          <w:szCs w:val="28"/>
          <w:rtl w:val="true"/>
          <w:lang w:bidi="fa-IR"/>
        </w:rPr>
        <w:t>برخی آز آنان مانع استفاده دیگران شوند، حکم تصرف عدوانی را دارد و باید وسایل پیش‌گیری از جرم تصرف عدوانی آنان فراهم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اگر اقدام مجرمانه متصرف یا مزاحم یا مانع عدوانی، مشهود مأموران انتظامی باشد، مکلف اند از اقدامات بعدی وی جلوگیری نمایند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اگر به واسطه تجاوز بیم جنحه یا جنایتی برود، نیروهای انتظامی باید فوراً از وقوع هر جرمی پیش‌گیری نمایند</w:t>
      </w:r>
      <w:r>
        <w:rPr>
          <w:rFonts w:eastAsia="IRNazanin" w:cs="IRNazanin"/>
          <w:color w:val="111111"/>
          <w:sz w:val="28"/>
          <w:szCs w:val="28"/>
          <w:rtl w:val="true"/>
          <w:lang w:bidi="fa-IR"/>
        </w:rPr>
        <w:t>.</w:t>
      </w:r>
      <w:r>
        <w:rPr>
          <w:rStyle w:val="FootnoteAnchor"/>
          <w:rtl w:val="true"/>
        </w:rPr>
        <w:footnoteReference w:id="74"/>
      </w:r>
      <w:bookmarkStart w:id="162" w:name="pg5505_36841"/>
    </w:p>
    <w:p>
      <w:pPr>
        <w:pStyle w:val="BookText"/>
        <w:rPr/>
      </w:pPr>
      <w:bookmarkEnd w:id="162"/>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مستأجر نیز پس از انقضای مدت اجاره، همچنین سرایدار یا خادم یا کارگر و به طور کلی هر امین دیگری، که در صورت مطالبه مالک یا مأذون از طرف او یا کسی که حق مطالبه دارد، از عین مستأجره یا مال امانی رفع تصرف ننماید، با توجه به شرایط مندرج در این قانون متصرف عدوانی محسوب می‌شود</w:t>
      </w:r>
    </w:p>
    <w:p>
      <w:pPr>
        <w:pStyle w:val="BookText"/>
        <w:rPr/>
      </w:pPr>
      <w:r>
        <w:rPr>
          <w:rFonts w:ascii="IRNazanin" w:hAnsi="IRNazanin" w:eastAsia="IRNazanin"/>
          <w:color w:val="111111"/>
          <w:sz w:val="28"/>
          <w:sz w:val="28"/>
          <w:szCs w:val="28"/>
          <w:rtl w:val="true"/>
          <w:lang w:bidi="fa-IR"/>
        </w:rPr>
        <w:t>و باید نسبت به پیش‌گیری از تداوم تصرف عدوانی وی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صورتی که مرجع رسیدگی کننده دلایل شکایت را قوی بداند، به درخواست خواهان موقتاً دستور جلوگیری از ایجاد یا تکمیل اعیانی از قبیل احداث بنا یا غرس اشجار یا کشت و زرع در ملک مورد دعوی و یا جلوگیری از ادامه مزاحمت یا ممانعت حق را صادر خواهد کرد و این دستور با صدور حکم به رد دعوی مرتفع می شود مگر این که مرجع پژوهشی دستور مجددی در این مورد صادر کند</w:t>
      </w:r>
      <w:r>
        <w:rPr>
          <w:rFonts w:eastAsia="IRNazanin" w:cs="IRNazanin"/>
          <w:color w:val="111111"/>
          <w:sz w:val="28"/>
          <w:szCs w:val="28"/>
          <w:rtl w:val="true"/>
          <w:lang w:bidi="fa-IR"/>
        </w:rPr>
        <w:t>.</w:t>
      </w:r>
    </w:p>
    <w:p>
      <w:pPr>
        <w:pStyle w:val="Heading4"/>
        <w:numPr>
          <w:ilvl w:val="3"/>
          <w:numId w:val="1"/>
        </w:numPr>
        <w:rPr/>
      </w:pPr>
      <w:bookmarkStart w:id="163" w:name="__RefHeading___Toc2336564_581953129"/>
      <w:bookmarkStart w:id="164" w:name="_Toc59"/>
      <w:bookmarkEnd w:id="163"/>
      <w:r>
        <w:rPr>
          <w:rtl w:val="true"/>
        </w:rPr>
        <w:t>گفتار چهارم</w:t>
      </w:r>
      <w:r>
        <w:rPr>
          <w:rtl w:val="true"/>
        </w:rPr>
        <w:t xml:space="preserve">: </w:t>
      </w:r>
      <w:r>
        <w:rPr>
          <w:rtl w:val="true"/>
        </w:rPr>
        <w:t>قانون نیروی انتظامی جمهوری اسلامی ایران</w:t>
      </w:r>
      <w:bookmarkEnd w:id="1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اهداف و وظایف نیروی انتظامی که در قانون نیروی انتظامی جمهوری اسلامی ایران مصوب تیرماه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شده است، به صورت مستقیم یا غیر مستقیم با پیش‌گیری از وقوع جرم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هدف از تشکیل نیروهای انتظامی، استقرار نظم و امنیت و تأمین آسایش عمومی و فردی و نگهبانی و پاسداری از دستاوردهای انقلاب اسلامی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برخی وظایف نیروی انتظامی 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احصا شده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نظم و امنیت و تأمین آسایش عمومی و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 مبارزه قاطع و مستمر با هرگونه خراب کاری، تروریسم، شورش و عوامل و حرکت هایی که مخل امنیت کشور باشد، با همکاری وزارت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برای برگزاری اجتماعات، تشکل ها، راهپیمایی ها و فعالیت های قانونی و مجاز و ممانعت و جلوگیری از هرگونه تشکل و راهپیمایی و اجتماع غیرمجاز و مقابله با اغتشاش، بی‌نظمی و فعالیت های غیر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لازم در زمینه کسب اخبار و اطلاعات در محدوده وظایف محوله و همکاری با سایر سازمان ها و یگان های اطلاعاتی کشور در حدود وظایف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اماکن، تأسیسات، تجهیزات و تسهیلات طبقه‌بندی شده غیر نظامی و حفظ حریم آن ها به استثنای موارد حساس و حیاتی به تشخیص شورای عالی امنیت ملی، که به عهده سپاه پاسداران انقلاب اسلامی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مسئولین و شخصیت های داخلی و خارجی در سراسر کشور به استثنای داخل پادگان ها و تأسیسات نظامی، مگر در مواردی که بنا به تشخیص شورای عالی امنیت ملی اصل انقلاب و یا دستاوردهای آن در معرض خطر باشد که به عهده سپاه پاسداران انقلاب اسلامی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وظایفی که بر طبق قانون به عنوان ضابط قوه قضاییه به‌عهده نیروی انتظامی محول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قاچاق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منکرات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جرایم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و دلایل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متهمین و مجرمین و جلوگیری از فرار و اختفای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ابلاغ احکام قضایی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 های ذیربط در جهت ایجاد و توسعه زمینه های فرهنگی لازم به منظور کاهش جرایم و تخلفات و تسهیل وظایف محوله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فوق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برای نیروی انتظامی شمرده شده است که تنها موارد فوق با وظیفه پیش‌گیری از جرم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به جز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صریح و شفاف پیش‌گیری از وقوع جرم را یکی از وظایف نیروی انتظامی دانسته است، سایر موارد احصا شده به صورت غیر مستقیم با پیش‌گیری از وقوع جرم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صدر همین بند تصریح نموده است که این وظیفه به عنوان ضابط قوه قضاییه به نیروی انتظامی محول شده است؛ بنابراین، همانگونه که قبلا گفته شد، با احاله وظیفه پیش‌گیری از جرم به قوه قضاییه منافاتی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کارگیری سلاح توسط نیروهای مسلح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های انتظامی اجازه می دهد در موارد زیر سلاح به دست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دفاع از خود در برابر کسی که با سلاح سرد یا گرم به آنان حمله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دفاع از خود در برابر یک یا چند نفر که بدون سلاح حمله می آورند، ولی اوضاع و احوال طوری باشد که بدون بکارگیری سلاح مدافعه شخصی امکان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مأمورین مذکور مشاهده کنند که یک یا چند نفر مورد حمله واقع شده و جان آنان در خطر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دستگیری سارق و قاطع الطریق و کسی که اقدام به ترور و یا تخریب و یا انفجار نموده و در حال فرار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موردی که شخص بازداشت شده یا زندانی از بازداشتگاه یا زندان و یا در حال انتقال فرار نماید، از اقدامات دیگر برای دستگیری و یا توقیف وی استفاده کرده و ثمری نبخشیده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اماکن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سلاحی که جهت انجام مأموریت در اختیار آنان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اماکن طبقه بندی شده به ویژه اماکن حیاتی و حساس در مقابل هرگونه هجوم و حمله جهت ترور، تخریب، آتش سوزی، غارت اسناد و اموال، گروگانگیری و اشغال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و مقابله با اشخاصی که از مرزهای غیر مجاز قصد ورود و یا خروج را داشته و به اخطار مأمورین مرزبانی توجه نمی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تأسیسات، تجهیزات و اماکن نظامی و انتظامی و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به خاطر داشت به کار گیری اسلحه برای موارد فوق منوط به شرایطی است که در این قانون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تنها در صورتی مجاز به استفاده از سلاح هستند که چاره ای جز بکارگیری سلاح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ابتدا اخطار قبلی، سپس تیر هوایی، سپس تیراندازی کمر به پایین و بعد از آن تیراندازی کمر به بالا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گیری سلاح توسط نیروهای مسلح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انتظامی برای اعاده نظم و کنترل راهپیمائی های غیر قانونی، فرو نشاندن شورش و بلوا و ناآرامی هایی که بدون بکارگیری سلاح مهار آنها امکان پذیر نباشد، حق بکارگیری سلاح را به دستور فرمانده عملیات، در صورت تحقق شرایط زیر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دیگری مطابق مقررات استفاده شده و مؤثر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بکارگیری سلاح با اخلالگران و شورشیان نسبت به بکارگیری سلاح اتمام حجت شده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ناآرامی های موضوع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مورد بر عهده رئیس شورای تأمین استان و شهرستان و در غیاب هر یک بر عهده معاون آنان </w:t>
      </w:r>
      <w:bookmarkStart w:id="165" w:name="pg5505_36846"/>
    </w:p>
    <w:p>
      <w:pPr>
        <w:pStyle w:val="BookText"/>
        <w:rPr/>
      </w:pPr>
      <w:bookmarkEnd w:id="165"/>
      <w:r>
        <w:rPr>
          <w:rFonts w:ascii="IRNazanin" w:hAnsi="IRNazanin" w:eastAsia="IRNazanin"/>
          <w:color w:val="111111"/>
          <w:sz w:val="28"/>
          <w:sz w:val="28"/>
          <w:szCs w:val="28"/>
          <w:rtl w:val="true"/>
          <w:lang w:bidi="fa-IR"/>
        </w:rPr>
        <w:t>خواهد بود و در صورتی که فرماندار معاون سیاسی نداشته باشد، این مسئولیت را به یکی از اعضای شورای تأمین محول خواهد نمود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اگر برای اعاده نظم و امنیت نیاز به نیروهای نظامی باشد، آنان نیز از لحاظ مقررات بکارگیری سلاح مشمول این ماده می باشند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66" w:name="__RefHeading___Toc2336566_581953129"/>
      <w:bookmarkStart w:id="167" w:name="_Toc60"/>
      <w:bookmarkEnd w:id="166"/>
      <w:r>
        <w:rPr>
          <w:rtl w:val="true"/>
        </w:rPr>
        <w:t>گفتار پنجم</w:t>
      </w:r>
      <w:r>
        <w:rPr>
          <w:rtl w:val="true"/>
        </w:rPr>
        <w:t xml:space="preserve">: </w:t>
      </w:r>
      <w:r>
        <w:rPr>
          <w:rtl w:val="true"/>
        </w:rPr>
        <w:t>پیش‌گیری از جرم توسط نیروی مقاومت بسیج؟</w:t>
      </w:r>
      <w:bookmarkEnd w:id="167"/>
    </w:p>
    <w:p>
      <w:pPr>
        <w:pStyle w:val="BookText"/>
        <w:rPr/>
      </w:pPr>
      <w:r>
        <w:rPr>
          <w:rFonts w:ascii="IRNazanin" w:hAnsi="IRNazanin" w:eastAsia="IRNazanin"/>
          <w:color w:val="111111"/>
          <w:sz w:val="28"/>
          <w:sz w:val="28"/>
          <w:szCs w:val="28"/>
          <w:rtl w:val="true"/>
          <w:lang w:bidi="fa-IR"/>
        </w:rPr>
        <w:t>یکی از مسایل واجد اهمیت در موضوع پیش‌گیری از جرم، نحوه استفاده از نیروی مقاومت بسیج به عنوان یکی از ضابطین دستگاه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امری کاملا تخصصی است که نیاز به آگاهی های حقوقی، جامعه شناسانه، روان شناسانه، و نهایتا آموزش های انتظامی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آموزش کافی این دست از نیروهای بسیج به ویژه در مواجهه با عامه مردم و احتمال ایجاد آثار زیان بار سیاسی و اجتماعی، می بایست استفاده از نیروهای بسیجی به صورت جدی با محدودیت هایی مواجه شود و حتی المقدور از نیروهای پلیس؛ آن هم نه سربازان نیروی انتظامی، بلکه نیروهایی که سال ها جزو کادر رسمی نیروی انتظامی بوده و از آموزش های لازم در زمینه برخورد های اجتماعی با مردم برخوردار باشند، بهره گرفت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نکات مهم فوق مورد توجه قانون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قضایی از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1/10/1371</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نیروی مقاومت بسیج سپاه پاسداران انقلاب اسلامی اجازه داده می شود همانند ضابطین قوه قضاییه هنگام برخورد با جرایم مشهود در صورت عدم </w:t>
      </w:r>
    </w:p>
    <w:p>
      <w:pPr>
        <w:pStyle w:val="BookText"/>
        <w:rPr/>
      </w:pPr>
      <w:r>
        <w:rPr>
          <w:rFonts w:ascii="IRNazanin" w:hAnsi="IRNazanin" w:eastAsia="IRNazanin"/>
          <w:color w:val="111111"/>
          <w:sz w:val="28"/>
          <w:sz w:val="28"/>
          <w:szCs w:val="28"/>
          <w:rtl w:val="true"/>
          <w:lang w:bidi="fa-IR"/>
        </w:rPr>
        <w:t>حضور ضابطین دیگر و یا عدم اقدام به موقع آن ها و یا اعلام نیاز آنان به منظور جلوگیری از امحای آثار جرم و فرار متهم و تهیه و ارسال گزارش به مراجع قضایی اقدامات قانونی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استفاده از نیروی مقاومت بسیج مطابق قانون مشروط به چند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نیروی مقاومت بسیج به عنوان ضابط قوه قضاییه تنها در جرایم مشهود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حمایت قضایی از بسیج منظور از جرایم مشهود را موارد موضوع مادتین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قانون آیین دادرسی کیفری و سایر قوانین موضوعه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نیروهای مزبور تنها در صورتی جایز است که ضابطین دیگر مانند نیروهای انتظامی در محل حضور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نیروی مقاومت بسیج با حضور سایر ضابطین قضایی در صورتی جایز است که دسته اخیر اقدام به موقع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استفاده از نیروی مقاومت بسیج در صورت اعلام نیاز سایر ضابطین قضایی به آنان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مقاومت بسیج موظف است تنها از افرادی استفاده کند که آموزش های لازم را در این زمینه فراگرفته و مجوز مخصوص را از نیروی مزبور دریافت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مزبور موظف اند به هنگام برخورد با متهم مجوز مخصوص خود را در صورت مطالبه ارائه دهند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مقاومت بسیج تنها از افرادی می تواند استفاده کند که از سلامت جسمانی و روانی برخوردار باشد</w:t>
      </w:r>
      <w:r>
        <w:rPr>
          <w:rFonts w:eastAsia="IRNazanin" w:cs="IRNazanin"/>
          <w:color w:val="111111"/>
          <w:sz w:val="28"/>
          <w:szCs w:val="28"/>
          <w:rtl w:val="true"/>
          <w:lang w:bidi="fa-IR"/>
        </w:rPr>
        <w:t>.</w:t>
      </w:r>
      <w:r>
        <w:rPr>
          <w:rStyle w:val="FootnoteAnchor"/>
          <w:rtl w:val="true"/>
        </w:rPr>
        <w:footnoteReference w:id="79"/>
      </w:r>
      <w:bookmarkStart w:id="168" w:name="pg5505_36848"/>
    </w:p>
    <w:p>
      <w:pPr>
        <w:pStyle w:val="BookText"/>
        <w:rPr/>
      </w:pPr>
      <w:bookmarkEnd w:id="16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نیروی مقاومت بسیج با اجتماع شرایط فوق تنها به منظور جلوگیری از امحای آثار جرم و فرار متهم و تهیه و ارسال گزارش به مراجع قضایی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نیروی مقاومت بسیج در پیش‌گیری از وقوع جرم به معنای خاص که وظیفه قوه قضاییه است، نقشی نداشته بلکه تنها در بخشی از آن که محدود به پیش‌گیری از امحای آثار جرم و فرار متهم و تهیه و ارسال گزارش به مراجع قضایی است، آن هم در صورت عدم حضور یا عدم اقدام به موقع سایر ضابطین قضایی و یا اعلان نیاز آنان مجاز به مداخله است</w:t>
      </w:r>
      <w:r>
        <w:rPr>
          <w:rFonts w:eastAsia="IRNazanin" w:cs="IRNazanin"/>
          <w:color w:val="111111"/>
          <w:sz w:val="28"/>
          <w:szCs w:val="28"/>
          <w:rtl w:val="true"/>
          <w:lang w:bidi="fa-IR"/>
        </w:rPr>
        <w:t>.</w:t>
      </w:r>
    </w:p>
    <w:p>
      <w:pPr>
        <w:pStyle w:val="Heading4"/>
        <w:numPr>
          <w:ilvl w:val="3"/>
          <w:numId w:val="1"/>
        </w:numPr>
        <w:rPr/>
      </w:pPr>
      <w:bookmarkStart w:id="169" w:name="__RefHeading___Toc2336568_581953129"/>
      <w:bookmarkStart w:id="170" w:name="_Toc61"/>
      <w:bookmarkEnd w:id="169"/>
      <w:r>
        <w:rPr>
          <w:rtl w:val="true"/>
        </w:rPr>
        <w:t>گفتار ششم</w:t>
      </w:r>
      <w:r>
        <w:rPr>
          <w:rtl w:val="true"/>
        </w:rPr>
        <w:t xml:space="preserve">: </w:t>
      </w:r>
      <w:r>
        <w:rPr>
          <w:rtl w:val="true"/>
        </w:rPr>
        <w:t>نگاهی به لایحه پیش‌گیری از جرم</w:t>
      </w:r>
      <w:bookmarkEnd w:id="170"/>
    </w:p>
    <w:p>
      <w:pPr>
        <w:pStyle w:val="BookText"/>
        <w:rPr/>
      </w:pPr>
      <w:r>
        <w:rPr>
          <w:rFonts w:ascii="IRNazanin" w:hAnsi="IRNazanin" w:eastAsia="IRNazanin"/>
          <w:color w:val="111111"/>
          <w:sz w:val="28"/>
          <w:sz w:val="28"/>
          <w:szCs w:val="28"/>
          <w:rtl w:val="true"/>
          <w:lang w:bidi="fa-IR"/>
        </w:rPr>
        <w:t>این لایحه به طور کلی سه نهاد را تأسیس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پیش‌گیری از جرم، سازمان پیش‌گیری از جرم و شورای استانی پیش‌گیری از جرم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اجرای 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مناسب قوه قضاییه برای پیش‌گیری از وقوع جرم و اصلاح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اتخاذ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جامع، هماهنگ و اثربخش در زمینه پیش‌گیری از جرم یا مشارکت مردم، اجتماعات محلی و نهادهای غیردولتی شورایی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رئیس قوه قضاییه و مرکب از افراد زیر تشکیل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رئیس جمهور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کشور، اطلاعات، دادگستری، فرهنگ و ارشاد اسلامی، کار و امور اجتماعی و آموزش و پرورش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 حقوقی و قضایی مجلس شورای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انتظامی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بازرسی کل کشور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اجتماعی و پیش‌گیری از وقوع جرم قوه قضاییه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قضایی نیروهای مسلح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زندان ها و اقدامات تأمینی و تربیتی کشور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مرکز مطالعات راهبردی و توسعه قضایی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مقاومت بسیج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کشور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ستاد مبارزه با مواد مخدر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سیاست گذاری ائمه جمعه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عالی اسلامی استان 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تبصره ذیل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پژوهشگران و نمایندگان سایر دستگاه های دولتی و غیردولتی به تناسب موضوع های مطرح در شورا به منزله اعضای مدعو بنا به تشخیص دبیر شورا دعوت می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شورای عالی پیش‌گیری از جرم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بر شمرده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طرح ها و برنامه های پیش‌گیری از جرم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و وظایف هر یک از دستگاه ها و سازمان های دولتی در امر پیش‌گیری از جرم در چارچوب وظایف قانونی آن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مناسب به منظور هماهنگی و توسعه همکاری بین دستگاه های مسئول در امر پیش‌گیری از جرم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لوایح مورد نیاز برای پیش‌گیری از جرم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مناسب برای اصلاح قوانین و مقررات جرم زا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های لازم برای توسعه و گسترش فرهنگ پیش‌گیری از جرم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لازم برای جلب مشارکت مردم و نهادهای مدنی در تهیه، تدوین و اجرای طرح ها و برنامه های پیش‌گیری از جرم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نتایج اجرای طرح ها، برنامه ها و عملکرد دستگاه های مسئول در زمینه پیش‌گیری از جرم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اعتبارهای لازم و استفاده بهینه از منابع و امکانات موجود در زمینه پیش‌گیری از جرم</w:t>
      </w:r>
    </w:p>
    <w:p>
      <w:pPr>
        <w:pStyle w:val="BookText"/>
        <w:rPr/>
      </w:pPr>
      <w:r>
        <w:rPr>
          <w:rFonts w:ascii="IRNazanin" w:hAnsi="IRNazanin" w:eastAsia="IRNazanin"/>
          <w:color w:val="111111"/>
          <w:sz w:val="28"/>
          <w:sz w:val="28"/>
          <w:szCs w:val="28"/>
          <w:rtl w:val="true"/>
          <w:lang w:bidi="fa-IR"/>
        </w:rPr>
        <w:t>ذیل این ماده در ضمن دو تبصره طریقه اجرایی شدن و نیز تأمین بودجه مورد نیاز را چنین بیان نموده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های این شورا در حوزه وظایف قوه قضاییه پس از تأیید رئیس شورا به وسیله وی ابلاغ و در حوزه وظایف قوه مجریه پس از تأیید رئیس شورا به وسیله رئیس جمهور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ها پس از ابلاغ برای تمامی سازمان ها در حدود وظایف قانونی آن ها لازم الاجرا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پس از بررسی هر ساله در ردیف بودجه، به طور جداگانه و متمرکز بودجه ای برای اجرای برنامه های ملی، منطقه ای و محلی پیش‌گیری از جرم منظور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پیش‌گیری از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پیش‌گیری از جرم با هدف نظارت بر اجرای مصوبات شورای عالی، کمک به پیشبرد سیاست ها و برنامه های ملی و منطقه ای پیش‌گیری از جرم و مطالعه و پژوهش در حوزه های راهبردی پیش‌گیری از جرم، سازمان پیش‌گیری از جرم زیر نظر قوه قضاییه تشکیل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پیش‌گیری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این سازمان 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و نظارت بر اجرای طرح ها و برنامه های ملی و منطقه ای پیش‌گیری از جرم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گزارش های منظم و ادواری از نتایج اجرای طرح ها و برنامه های پیش‌گیری از جرم به شورای عالی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پیش نویس طرح ها، برنامه ها و لوایح پیش‌گیری از جرم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شناسایی قوانین، مقررات، سیاست ها و رویه های جرم زا و پیشنهاد اقدام مناسب به شورای عالی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سازمان ها در اجرای سیاست ها، برنامه ها و مصوبات شورای عالی پیش‌گیری از جرم و تلاش در جهت رفع موانع و مشکلات اجرای 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اشکال گوناگون بزهکاری در سطوح ملی و منطقه‌ای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آمار و اطلاعات مورد نیاز شورای عالی پیش‌گیری از جرم برای سیاست گذاری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اعتبارهای لازم برای اجرای طرح ها و برنامه های پیش‌گیری از جرم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دبیرخانه شورای عالی پیش‌گیری از جرم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سایر امور محوله از شورای عالی پیش‌گیری از جرم</w:t>
      </w:r>
    </w:p>
    <w:p>
      <w:pPr>
        <w:pStyle w:val="BookText"/>
        <w:rPr/>
      </w:pPr>
      <w:r>
        <w:rPr>
          <w:rFonts w:ascii="IRNazanin" w:hAnsi="IRNazanin" w:eastAsia="IRNazanin"/>
          <w:color w:val="111111"/>
          <w:sz w:val="28"/>
          <w:sz w:val="28"/>
          <w:szCs w:val="28"/>
          <w:rtl w:val="true"/>
          <w:lang w:bidi="fa-IR"/>
        </w:rPr>
        <w:t xml:space="preserve">مطابق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بالاترین مقام اجرایی سازمان است و با حکم رئیس شورای عالی پیش‌گیری از جرم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w:t>
      </w:r>
    </w:p>
    <w:p>
      <w:pPr>
        <w:pStyle w:val="BookText"/>
        <w:rPr/>
      </w:pPr>
      <w:r>
        <w:rPr>
          <w:rFonts w:ascii="IRNazanin" w:hAnsi="IRNazanin" w:eastAsia="IRNazanin"/>
          <w:color w:val="111111"/>
          <w:sz w:val="28"/>
          <w:sz w:val="28"/>
          <w:szCs w:val="28"/>
          <w:rtl w:val="true"/>
          <w:lang w:bidi="fa-IR"/>
        </w:rPr>
        <w:t>سازمان برای رسیدن به اهداف و انجام وظایف محوله با همکاری دستگاه های اجرایی نسبت به ایجاد تشکیلات و کمیته های تخصصی مورد نیاز اقدام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نظر مقررات مالی و اداری تابع مقررات مربوط به سازمان های وابسته به دستگاه قوه قضاییه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استانی پیش‌گیری از وقوع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ایجاد هماهنگی در اجرای طرح های پیش‌گیری، تشویق نوآوریهای منطقه ای و تقویت ساز و کارهای محلی در این زمینه، شورای استانی پیش‌گیری از جرم به ریاست رئیس کل دادگستری استان تشکیل می‌شود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اعضای شورای استانی پیش‌گیری از جرم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استان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شورای اسلامی مرکز استان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ناحیه انتظامی استان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مدیرکا اداره زندان ها و اقدامات تأمینی و تربیتی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آموزش و پرورش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فرهنگ و ارشاد اسلامی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کار و امور اجتماعی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صداوسیما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سازمان بهزیستی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اداره اطلاعات استان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مقاومت بسیج استان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بازرسی استان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قضایی نیروهای مسلح استان</w:t>
      </w:r>
    </w:p>
    <w:p>
      <w:pPr>
        <w:pStyle w:val="BookText"/>
        <w:rPr/>
      </w:pPr>
      <w:r>
        <w:rPr>
          <w:rFonts w:ascii="IRNazanin" w:hAnsi="IRNazanin" w:eastAsia="IRNazanin"/>
          <w:color w:val="111111"/>
          <w:sz w:val="28"/>
          <w:sz w:val="28"/>
          <w:szCs w:val="28"/>
          <w:rtl w:val="true"/>
          <w:lang w:bidi="fa-IR"/>
        </w:rPr>
        <w:t xml:space="preserve">بسان شورای عالی پیش‌گیری از جرم، شورای استانی هم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پژوهشگران و نمایندگان سایر دستگاه های دولتی و غیردولتی به تناسب موضوع های مطرح در شورا به منزله اعضای مدعو بنا به تشخیص دبیر شورا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همچنین مطابق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استانی پیش‌گیری از جرم در صورت نیاز می تواند نسبت به تشکیل شورای شهرستانی پیش‌گیری از جرم به ریاست رئیس دادگستری شهرستان اقدام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وظایف شورای استانی پیش‌گیری از وقوع جرم که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شده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و سیاست های شورای عالی سیاست گذاری از جرم در سطح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هماهنگ استانی براساس سیاست های ملی پیش‌گیری از 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تصویب و ارزیابی طرح های استانی و شهرستانی پیش‌گیری از جرم و فراهم آوردن امکانات و بسترهای لازم برای اجرای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سهیم کردن دیدگاه ها و نظرات شهروندان و ساکنان محله ها در تهیه و تنظیم برنامه های پیش‌گیری از 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و جلب مشارکت نهادهای غیردولتی و مردمی در اجرای طرح های پیش‌گیری از 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گزارش های منظم و ادواری از اجرای طرح ها و برنامه های استانی پیش‌گیری از جرم به شورای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شوراهای شهرستانی پیش‌گیری از جرم و نظارت بر عملکرد 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لایحه بدین شکل صرفا کلیاتی است که سه نهاد را با مسئولیت های مبهم و کلی تأسیس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لایحه بدین شکل تصویب شود، باید در آیین نامه اجرایی آن راه هرگونه سوء استفاده احتمالی از عنوان پیش‌گیری از جرم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سوء استفاده هاست که برخی حقوق دانان را در مصاحبه ها و سخن رانی های خود به مخالفت با این لایحه سوق داده و از بازداشت و توقیف افراد به </w:t>
      </w:r>
      <w:bookmarkStart w:id="171" w:name="pg5505_36855"/>
    </w:p>
    <w:p>
      <w:pPr>
        <w:pStyle w:val="BookText"/>
        <w:rPr/>
      </w:pPr>
      <w:bookmarkEnd w:id="171"/>
      <w:r>
        <w:rPr>
          <w:rFonts w:ascii="IRNazanin" w:hAnsi="IRNazanin" w:eastAsia="IRNazanin"/>
          <w:color w:val="111111"/>
          <w:sz w:val="28"/>
          <w:sz w:val="28"/>
          <w:szCs w:val="28"/>
          <w:rtl w:val="true"/>
          <w:lang w:bidi="fa-IR"/>
        </w:rPr>
        <w:t>تصمیم برخی مقامات ابزار نگرانی کرده اند و عدم کار کارشناسی در این لایحه را از مهم ترین نقایص آن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جامعه ما نیازمند آن است نهاد سازی های فوق نیست؛ جامعه جرم زا باید به جامعه ای جزم زدا تبدیل شود و این نیازمند یک سیاست کلان بین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قوه تقنینی، قضایی و اجرایی باید به این این نتیجه برسند که قوانین ما نیازمند تجدید نظر کلی به ویژه در عرصه جرایم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پیش‌گیری از جرم نیز باید هر دو نوع پیش‌گیری؛ یعنی پیش‌گیری اجتماعی و پیش‌گیری وضعی، توجه شود که علاوه بر مقامات عالی سه قوه، نهادهای مرتبط با این موضوع؛ مانند نیروی انتظامی، سازمان بهزیستی، سازمان زندان ها و ستاد مبارزه با مواد مخدر و قاچاق کالا و مانند آن نیز به صورت جدی باید مشارکت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است عدم مشارکت نهادهای مدنی و غیردولتی در این عرصه، این برنامه ملی را فاقد انسجام کافی نموده و از مقبولیت عمومی ساقط می کند</w:t>
      </w:r>
      <w:r>
        <w:rPr>
          <w:rFonts w:eastAsia="IRNazanin" w:cs="IRNazanin"/>
          <w:color w:val="111111"/>
          <w:sz w:val="28"/>
          <w:szCs w:val="28"/>
          <w:rtl w:val="true"/>
          <w:lang w:bidi="fa-IR"/>
        </w:rPr>
        <w:t>.</w:t>
      </w:r>
    </w:p>
    <w:p>
      <w:pPr>
        <w:pStyle w:val="Heading4"/>
        <w:numPr>
          <w:ilvl w:val="3"/>
          <w:numId w:val="1"/>
        </w:numPr>
        <w:rPr/>
      </w:pPr>
      <w:bookmarkStart w:id="172" w:name="__RefHeading___Toc2336570_581953129"/>
      <w:bookmarkStart w:id="173" w:name="_Toc62"/>
      <w:bookmarkEnd w:id="172"/>
      <w:r>
        <w:rPr>
          <w:rtl w:val="true"/>
        </w:rPr>
        <w:t>گفتار هفتم</w:t>
      </w:r>
      <w:r>
        <w:rPr>
          <w:rtl w:val="true"/>
        </w:rPr>
        <w:t xml:space="preserve">: </w:t>
      </w:r>
      <w:r>
        <w:rPr>
          <w:rtl w:val="true"/>
        </w:rPr>
        <w:t>قانون از کجا آورده ای؟</w:t>
      </w:r>
      <w:bookmarkEnd w:id="17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باره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رسیدگی به دارایی مقامات عالی رتبه و زن و فرزندان آنان بحث شد ولی باید دانست این اصل به طور کلی با قانونی که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قانونی است که در </w:t>
      </w:r>
      <w:r>
        <w:rPr>
          <w:rFonts w:eastAsia="IRNazanin" w:cs="IRNazanin"/>
          <w:color w:val="111111"/>
          <w:sz w:val="28"/>
          <w:szCs w:val="28"/>
          <w:lang w:bidi="fa-IR"/>
        </w:rPr>
        <w:t>19/12/1337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این قانون همچنان معتبر است زیرا مطابق با نظریه </w:t>
      </w:r>
      <w:r>
        <w:rPr>
          <w:rFonts w:eastAsia="IRNazanin" w:cs="IRNazanin"/>
          <w:color w:val="111111"/>
          <w:sz w:val="28"/>
          <w:szCs w:val="28"/>
          <w:lang w:bidi="fa-IR"/>
        </w:rPr>
        <w:t>17/7/1362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کلیه قوانین مصوب مجلس شورای ملی قبل از انقلاب مادامی که </w:t>
      </w:r>
    </w:p>
    <w:p>
      <w:pPr>
        <w:pStyle w:val="BookText"/>
        <w:rPr/>
      </w:pPr>
      <w:r>
        <w:rPr>
          <w:rFonts w:ascii="IRNazanin" w:hAnsi="IRNazanin" w:eastAsia="IRNazanin"/>
          <w:color w:val="111111"/>
          <w:sz w:val="28"/>
          <w:sz w:val="28"/>
          <w:szCs w:val="28"/>
          <w:rtl w:val="true"/>
          <w:lang w:bidi="fa-IR"/>
        </w:rPr>
        <w:t>مخالفت آن ها با موازین اسلامی اعلان نشده یا توسط قانون دیگری لغو یا نسخ نشده باشد،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ادعا شود که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ناسخ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ادعا نیز مخدوش است؛ زیرا قانون اساسی در صدد تنگ کردن دایره افراد موجود در قانون مزبور نبوده و صرفا به کلیاتی از لزوم رسیدگی به اموال</w:t>
      </w:r>
    </w:p>
    <w:p>
      <w:pPr>
        <w:pStyle w:val="BookText"/>
        <w:rPr/>
      </w:pPr>
      <w:r>
        <w:rPr>
          <w:rFonts w:ascii="IRNazanin" w:hAnsi="IRNazanin" w:eastAsia="IRNazanin"/>
          <w:color w:val="111111"/>
          <w:sz w:val="28"/>
          <w:sz w:val="28"/>
          <w:szCs w:val="28"/>
          <w:rtl w:val="true"/>
          <w:lang w:bidi="fa-IR"/>
        </w:rPr>
        <w:t>مسئولین پرداخته است و این منافاتی با قانون مزبور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لازم است قانون عادی تضمین اجرای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گردد تا چنانچه ابهامی نسبت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آن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را به امضای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ارایه داده اند که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آمده است که قانون مربوط به رسیدگی به دارایی وزرا و کارمندان دولت اعم از کشوری و لشکری و شهرداری ها و مؤسسات وابسته به آن ها مصوب نوزدهم اسفندماه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از تاریخ تصویب این قانون نسخ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قانون گذاران نیز هنوز قانون مصوب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است تا زمانی این طرح به تصویب مجلس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تصویب این قانون وزرا و معاونین و سایر کارکنان دولت اعم از کشوری و لشگری یا شهرداری ها یا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های وابسته به آن ها و اعضا انجمن های شهر و کارکنان مؤسسات مأمور به خدمات عمومی و همچنین کلیه کارمندان هر سازمان یا بنگاه یا شرکت یا بانک یا هر مؤسسه دیگر که اکثریت سرمایه یا منافع آن متعلق به دولت یا سایر مؤسسات مذکور است و یا نظارت یا اداره یا مدیریت آن مؤسسات با دولت است و همچنین کلیه کسانی که از خزانه دولت </w:t>
      </w:r>
    </w:p>
    <w:p>
      <w:pPr>
        <w:pStyle w:val="BookText"/>
        <w:rPr/>
      </w:pPr>
      <w:r>
        <w:rPr>
          <w:rFonts w:ascii="IRNazanin" w:hAnsi="IRNazanin" w:eastAsia="IRNazanin"/>
          <w:color w:val="111111"/>
          <w:sz w:val="28"/>
          <w:sz w:val="28"/>
          <w:szCs w:val="28"/>
          <w:rtl w:val="true"/>
          <w:lang w:bidi="fa-IR"/>
        </w:rPr>
        <w:t>یا از مؤسسات مذکور پاداشی دریافت می دارند به استثنای بازنشستگان یا کسانی که وظیفه مستمری قانونی دارند، مکلف هستند صورت دارایی و درآمد خود و همسر خود و فرزندانی را که قانونا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آنها هستند، به مراجعی که طبق تصویب نامه هیات وزیران تعیین خواهد گردید، تسلیم و رسید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جالب توجه این قانون این است که بر عکس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رسیدگی به اموال را به قبل و بعد از تصدی پست خلاصه کرده است، مقامات باید در دو ماه اول هر سال تغییرات مالی خود و خانواده خود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مشمولین ماده اول مکلف اند هر سال ظرف ماه های فروردین و اردیبهشت کلیه تغییراتی که در دارایی و درآمد آنان یا همسر و یا فرزندان تحت ولایت قانونی آنان در سال قبل پیدا شده و طریق تحصیل آن ها را به طریق مذکور در تبصره ماده دوم تسلیم و رسید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می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مشمولین ماده اول مکلف اند به کلیه پرسش های مربوط به تغییرات حاصله در صورت دارایی جواب صریح دهند و در صورتی که اضافه دارایی از طریق غیر مشروع تحصیل شده باشد، مرتکب به انفصال دایم و محرومیت از خدمت دولت و مؤسسات مذکور در ماده اول و ضبط آن مال محکوم خواهد شد و هر گاه عمل با سایر مواد قانون مجازات عمومی منطبق باشد، مرتکب علاوه بر مجازات فوق به مجازات مندرج در آن قانون نیز محکوم خواهد گردید</w:t>
      </w:r>
      <w:r>
        <w:rPr>
          <w:rFonts w:eastAsia="IRNazanin" w:cs="IRNazanin"/>
          <w:color w:val="111111"/>
          <w:sz w:val="28"/>
          <w:szCs w:val="28"/>
          <w:rtl w:val="true"/>
          <w:lang w:bidi="fa-IR"/>
        </w:rPr>
        <w:t xml:space="preserve">. </w:t>
      </w:r>
      <w:bookmarkStart w:id="174" w:name="pg5505_36858"/>
    </w:p>
    <w:p>
      <w:pPr>
        <w:pStyle w:val="Heading3"/>
        <w:numPr>
          <w:ilvl w:val="2"/>
          <w:numId w:val="1"/>
        </w:numPr>
        <w:rPr/>
      </w:pPr>
      <w:bookmarkStart w:id="175" w:name="__RefHeading___Toc2336572_581953129"/>
      <w:bookmarkStart w:id="176" w:name="_Toc63"/>
      <w:bookmarkEnd w:id="174"/>
      <w:bookmarkEnd w:id="175"/>
      <w:r>
        <w:rPr>
          <w:rtl w:val="true"/>
        </w:rPr>
        <w:t>فصل چهارم</w:t>
      </w:r>
      <w:r>
        <w:rPr>
          <w:rtl w:val="true"/>
        </w:rPr>
        <w:t>:</w:t>
      </w:r>
      <w:r>
        <w:rPr>
          <w:rtl w:val="true"/>
        </w:rPr>
        <w:t>راه های نادرست پیش‌گیری از وقوع جرم</w:t>
      </w:r>
      <w:bookmarkEnd w:id="176"/>
    </w:p>
    <w:p>
      <w:pPr>
        <w:pStyle w:val="Heading4"/>
        <w:numPr>
          <w:ilvl w:val="3"/>
          <w:numId w:val="1"/>
        </w:numPr>
        <w:rPr/>
      </w:pPr>
      <w:bookmarkStart w:id="177" w:name="__RefHeading___Toc2336574_581953129"/>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پس از بیان ماهیت و انواع پیش‌گیری از جرم و تبیین نهاد یا نهادهای متصدی آن و طریقه پیش‌گیری از جرم توسط این نهادها، اکنون به برخی از سیاست های نادرستی که گاه در زمینه پیش‌گیری از جرم اتخاذ و به آن عمل می شود، اشاره خواهد شد</w:t>
      </w:r>
      <w:r>
        <w:rPr>
          <w:rFonts w:eastAsia="IRNazanin" w:cs="IRNazanin"/>
          <w:color w:val="111111"/>
          <w:sz w:val="28"/>
          <w:szCs w:val="28"/>
          <w:rtl w:val="true"/>
          <w:lang w:bidi="fa-IR"/>
        </w:rPr>
        <w:t>:</w:t>
      </w:r>
    </w:p>
    <w:p>
      <w:pPr>
        <w:pStyle w:val="Heading4"/>
        <w:numPr>
          <w:ilvl w:val="3"/>
          <w:numId w:val="1"/>
        </w:numPr>
        <w:rPr/>
      </w:pPr>
      <w:bookmarkStart w:id="179" w:name="__RefHeading___Toc2336576_581953129"/>
      <w:bookmarkStart w:id="180" w:name="_Toc65"/>
      <w:bookmarkEnd w:id="179"/>
      <w:r>
        <w:rPr>
          <w:rtl w:val="true"/>
        </w:rPr>
        <w:t>گفتار اول</w:t>
      </w:r>
      <w:r>
        <w:rPr>
          <w:rtl w:val="true"/>
        </w:rPr>
        <w:t xml:space="preserve">- </w:t>
      </w:r>
      <w:r>
        <w:rPr>
          <w:rtl w:val="true"/>
        </w:rPr>
        <w:t>جرم انگاری تهیه وسایل جرم</w:t>
      </w:r>
      <w:r>
        <w:rPr>
          <w:rtl w:val="true"/>
        </w:rPr>
        <w:t>:</w:t>
      </w:r>
      <w:bookmarkEnd w:id="1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شرح مثلث جرم گفته شد برای تحقق جرم سه عنصر لازم است که به مثلث جرم معروف است؛ انگیزه، فرصت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جرم شناسی وجود هر یک از اضلاع مثلث مزبور به تنهایی مجوزی برای برخورد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انگیزه و فرصت و ابزار جرم از دست مردم ستانده شود ولی این بدان معنا نیست که اصل را بر مجرم دانستن مردم دانست و به این بهانه محدودیت های سختی بر آنان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ضلع سوم یعنی ابزار جرم با وضوح بیشتری حس می شود؛ زیرا ابزار جرم معمولا از ابزار مشترک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های گرم و سرد که در ارتکاب جرم به کار می رود، در مسیر درست نیز قابل استفاده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جرم انگاری تهیه وسایل جرم تعجیل نموده و راه افراط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وسایل و تمهید مقدمات ارتکاب جرم به حسب اصول و قواعد عمومی حقوق جزا جرم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مواردی که وسایل و مقدمات مذکور منشأ مخاطرات و موجب تهدید امنیت افراد و اجتماع گردند، قانون‌گذار که حفظ نظم و امنیت از اهم وظایف اوست، از حق جرم‌انگاری و مقابله کیفری با آن‌ها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دانستن و قابل مجازات اعلام کردن تهیه وسایل و مقدمات ارتکاب جرم در قوانین و مقررات موضوعه سوابق و شواهدی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با رعایت قواعد عمومی حقوق جزا، مجرد قصد ارتکاب و اقدامات و عملیات مقدماتی وقوع جرم را غیرقابل مجازات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قاعده کلی در مواردی که عملیات مقدماتی و تهیه وسایل ارتکاب جرم تهدیدی علیه حقوق افراد یا نظم و امنیت عمومی محسوب شده، قانون‌گذار</w:t>
      </w:r>
    </w:p>
    <w:p>
      <w:pPr>
        <w:pStyle w:val="BookText"/>
        <w:rPr/>
      </w:pPr>
      <w:r>
        <w:rPr>
          <w:rFonts w:ascii="IRNazanin" w:hAnsi="IRNazanin" w:eastAsia="IRNazanin"/>
          <w:color w:val="111111"/>
          <w:sz w:val="28"/>
          <w:sz w:val="28"/>
          <w:szCs w:val="28"/>
          <w:rtl w:val="true"/>
          <w:lang w:bidi="fa-IR"/>
        </w:rPr>
        <w:t>به‌عنوان سیاستی پیش گیرانه پیشاپیش به مقابله با بزهکاران احتمالی برخاسته و تمهید مقدمات و تهیه وسایل وقوع جرم را قابل مجازات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ماده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دو نفر یا بیش‌تر اجتماع و تبانی نمایند که جرایمی بر ضد امنیت داخلی یا خارجی کشور مرتکب یا وسایل ارتکاب آن را فراهم نمایند، در صورتی که عنوان محارب بر آنان صادق نباشد، به دو تا پنج سال حبس محکوم خواهند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همین قانون ذیل فصل سرقت و ربون مال غیر، ساخت یا تغییر کلید یا هر نوع وسیله ارتکاب جرم را مستوجب سه ماه تا یک سال حبس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پیروزی انقلاب قانون تشدید مجازات قاچاق اسلحه و مهمات مصوب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مجرمانه بودن واردات و صادرات انواع اسلحه و مهمات جنگی و مواد منفجره و محترقه و تفنگ و فشنگ شکاری در 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تبصره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تعیین انواع اسلحه سرد جنگی و شکاری مشمول قانون را به عهده وزارت جنگ ارجاع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سرد جنگی مشمول قانون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سرنیزه‌های قابل نصب به تفنگ و انواع کاردهای سنگری متداول در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راجع به مجازات حمل چاقو و انواع دیگر اسلحه سرد و اخلال در نظم و امنیت و آسایش عمومی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قدرت نمایی و ایجاد مزاحمت و اخاذی و تهدید به‌وسیله چاقو یا هر نوع اسلحه دیگر را جرم مستوجب سه ماه تا یک سال حبس یا اقامت اجباری از شش ماه تا یک‌سال در غیر محل اقامت مرتکب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مواد اول تا سوم لایحه قانون اخیر‌الذکر در کتاب پنجم از قانون مجازات اسلامی ادغام و موضوع حکم مواد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برابر نص ماده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به‌وسیله چاقو یا هر نوع اسلحه دیگر تظاهر یا قدرت نمایی کند یا آن را وسیله مزاحمت اشخاص یا اخاذی یا تهدید قرار دهد یا با کسی گلاویز شود، در صورتی که از مصادیق محاربه نباشد، به حبس از شش ماه تا دو سال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جرم انگاری تهیه وسایل جرم این جهت نارواست که اولاً در کشور ما یا تحقیقات میدانی و تحلیل‌های آماری درباره جرایم و طرق وسایل ارتکاب آن ها صورت نمی‌گیرد یا حاصل تحقیقات و تحلیل‌های مذکور در تصمیم‌گیری‌های کلان مورد لحاظ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معلوم نیست چند درصد از جرایمی که رخ می‌دهند با استفاده از ادواتی مانند وسایل مورد اشاره ارتکاب می‌یابند تا معلوم گردد با جرم انگاری تهیه این وسایل چند درصد از جرایم مذکور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عمومی و گزارش‌های روزمره گواه آن است که درصد بالایی از این گونه جرایم با آلات و ادواتی غیر از ادوات و ابزارهای مزبور، نظیر آلات برنده آشپزخانه، تیغ‌های موکت‌بری، بطری‌های شیشه‌ای، چوب و چماق سنگ و سیم و طناب سیم و وسایل خفه‌کننده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نمی‌رسد که جرم دانستن ساخت و تولید و نگهداری ادوات مذکور تأثیر محسوسی در کاهش آمار جرایم مورد نظر 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جرم دانستن حمل و نگهداری سلاح‌های سرد به‌طور مطلق و با صرف نظر از انگیزه حمل کننده و نگهدارنده، از جهاتی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کشور ما و نه در هیچ کشور دیگر پلیس عملاً نمی‌تواند در همه جا و در همه حال حافظ امنیت باشد و با حضور مستمر و به موقع خود از نفس و ناموس و اموال شهروندان در برابر متعرضان پاسداری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سلاح‌های سرد به‌طور مطلق در واقع بی‌دفاع گذاشتن قربانیان احتمالی در برابر تعرض متعرضان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مسئله به اندازه‌ای است که در برخی از کشورها به افراد اجازه حمل سلاح حتی سلاح گرم </w:t>
      </w:r>
      <w:bookmarkStart w:id="181" w:name="pg5505_36862"/>
    </w:p>
    <w:p>
      <w:pPr>
        <w:pStyle w:val="BookText"/>
        <w:rPr/>
      </w:pPr>
      <w:bookmarkEnd w:id="181"/>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دلیل نقش بازدارندگی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برابر قانون تشدید مجازات قاچاق اسلحه و مهمات مصوب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اجازه صدور جواز حمل سلاح مصوب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حمل و نگهداری سلاح‌های شکاری تحت ضوابط و نظارت مأمورین دولت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گذاری که اجازه حمل و نگهداری چنین سلاح‌هایی را داده است، عالم به این موضوع بوده است که این گونه سلاح‌ها ممکن است در عمل وسیله قتل و جرح باشند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حاصل آنکه نباید به آسانی تهیه وسایل جرم را جرم تلقی نمود و با هدف پیش‌گیری از وقوع جرم تهیه آن وسایل را ممنوع اعلام کرد</w:t>
      </w:r>
      <w:r>
        <w:rPr>
          <w:rFonts w:eastAsia="IRNazanin" w:cs="IRNazanin"/>
          <w:color w:val="111111"/>
          <w:sz w:val="28"/>
          <w:szCs w:val="28"/>
          <w:rtl w:val="true"/>
          <w:lang w:bidi="fa-IR"/>
        </w:rPr>
        <w:t>.</w:t>
      </w:r>
    </w:p>
    <w:p>
      <w:pPr>
        <w:pStyle w:val="Heading4"/>
        <w:numPr>
          <w:ilvl w:val="3"/>
          <w:numId w:val="1"/>
        </w:numPr>
        <w:rPr/>
      </w:pPr>
      <w:bookmarkStart w:id="182" w:name="__RefHeading___Toc2336578_581953129"/>
      <w:bookmarkStart w:id="183" w:name="_Toc66"/>
      <w:bookmarkEnd w:id="182"/>
      <w:r>
        <w:rPr>
          <w:rtl w:val="true"/>
        </w:rPr>
        <w:t>گفتار دوم</w:t>
      </w:r>
      <w:r>
        <w:rPr>
          <w:rtl w:val="true"/>
        </w:rPr>
        <w:t xml:space="preserve">- </w:t>
      </w:r>
      <w:r>
        <w:rPr>
          <w:rtl w:val="true"/>
        </w:rPr>
        <w:t>اعمال مجازات به عنوان پیش‌گیری از وقوع جرم</w:t>
      </w:r>
      <w:bookmarkEnd w:id="183"/>
    </w:p>
    <w:p>
      <w:pPr>
        <w:pStyle w:val="BookText"/>
        <w:rPr/>
      </w:pPr>
      <w:r>
        <w:rPr>
          <w:rFonts w:ascii="IRNazanin" w:hAnsi="IRNazanin" w:eastAsia="IRNazanin"/>
          <w:color w:val="111111"/>
          <w:sz w:val="28"/>
          <w:sz w:val="28"/>
          <w:szCs w:val="28"/>
          <w:rtl w:val="true"/>
          <w:lang w:bidi="fa-IR"/>
        </w:rPr>
        <w:t>در اصل این موضوع که جرایم باید متعاقب به مجازات باشد،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فلسفه مجازات بین صاحب نظران اختلاف نظر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که مجازات وسیله ای برای پیش‌گیری از وقوع جرم باشد، بین حقوق دانان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دانان مانند لوپز ری به این عقیده کهن باور دارند که کیفر در زمینه پیش‌گیری عمومی مؤثر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این دسته از حقوق دانان یکی از مهم ترین اهداف مجازات، پیش‌گیری از وقوع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قصد می کند جرمی مرتکب شود، پیشاپیش مجازات پیش بینی شده برای آن را در نظر می گیرد و آن را با منافع و لذاتی که از وقوع جرم می برد، می سنجد و تنها در صورتی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آن می شود که منافع وقوع جرم بر مضرات مجازات برایش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برداشت که بنتام نیز به وی معتقد است، هرچه میزان اهمیت جرم افزایش یابد، مجازات آن هم باید افزایش یابد تا رغبت به آن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مجازات می تواند موجب دو گونه بازدارندگی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عام و بازدارندگی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بازدارندگی عام تاثیری است که مجازات بر پیش‌گیری و خودداری مجرمان بالقوه از ارتکاب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بازدارندگی خاص عدم تکرار جرم توسط مجرم پس از تحمل مجازات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مقابل دیدگاه فوق دیدگاهی نیز وجود دارد که بر مبنای آن اعمال مجازات نه تنها تأثیری در پیش‌گیری از وقوع جرم نداشته بلکه خود عاملی برای ازدیاد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حامیان این اندیشه، علی رغم اینکه مجازات اعمال می شود ولی آنچه در عمل ملاحظه می شود، افزایش روزانه جرایم است و با وجود اعمال مجازات، تبه کاران تجری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زندان آنان را نه تنها اصلاح نکرده است، بلکه افرادی شقی و انتقام جو و مطرود و بی آبرو تحویل جامعه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چندین قرن است که اشتباهات گذشته خود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گمان می رفت آموزش دقیق حقوق جزا و بسط آن می تواند برای درمان دردهای اجتماعی و جلوگیری از بروز بزه و یا تقلیل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وقایع خارجی غیر از این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خودفریبی است که </w:t>
      </w:r>
    </w:p>
    <w:p>
      <w:pPr>
        <w:pStyle w:val="BookText"/>
        <w:rPr/>
      </w:pPr>
      <w:r>
        <w:rPr>
          <w:rFonts w:ascii="IRNazanin" w:hAnsi="IRNazanin" w:eastAsia="IRNazanin"/>
          <w:color w:val="111111"/>
          <w:sz w:val="28"/>
          <w:sz w:val="28"/>
          <w:szCs w:val="28"/>
          <w:rtl w:val="true"/>
          <w:lang w:bidi="fa-IR"/>
        </w:rPr>
        <w:t>بگوییم مجازات جنبه انقام جویی ندارد و برا ی اصلاح مجرم و تنبیه دیگران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واقع مجازات چه به عنوان اجرای عدالت و چه به نشانه نفرت جامعه از بزه و بزهکار اعمال شود، کاملا نمودار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تاکنون کیفرها نه تنها بزهکاران را اصلاح نکرده است بلکه جامعه را مواجه با خطر هولناک و جبران ناپذیر تبه کاران پیشینه 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آنکه اعدام شدگان و محبوسین ابد چگونه اصلاح شده اند؟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درمان نیست بلکه خود درد بی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مبارزه با معلول است نه مبارزه با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معلول معقول نیست؛ زیرا تا علت باقی است، معلول بر طبق قانون علیت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نه تنها وسیله ای برای پیش‌گیری از وقوع بزه نیست، در بسیاری از موارد ثابت شده است که خود وسیله ای برای ازدیاد جرایم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در بزهکار ایجاد کینه می کند و او را نه تنها اصلاح نمی کند، بلکه با شکستن غرور و عزت نفس او دشمن جدی و بی پروا و خطرناک برای جامعه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کیفر، تشویق به تکرار جرم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راستی اگر سلب آزادی یا تهدید و تحدید آن، آدم کشی و تصرف در اموال دیگران، جرم و مذموم است، چرا این مذمت معمولا یک جانبه بوده و تنها مجرم مذمت می شود، در حالیکه علاوه بر مذمت مجرم، جامعه نیز باید مذمت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باید دید در وقوع جرم چه کسی بیشتر مقصر است؛ فرد یا جامعه؟ بدیهی است هر کدام تقصیر بیشتری داشته باشد، </w:t>
      </w:r>
    </w:p>
    <w:p>
      <w:pPr>
        <w:pStyle w:val="BookText"/>
        <w:rPr/>
      </w:pPr>
      <w:r>
        <w:rPr>
          <w:rFonts w:ascii="IRNazanin" w:hAnsi="IRNazanin" w:eastAsia="IRNazanin"/>
          <w:color w:val="111111"/>
          <w:sz w:val="28"/>
          <w:sz w:val="28"/>
          <w:szCs w:val="28"/>
          <w:rtl w:val="true"/>
          <w:lang w:bidi="fa-IR"/>
        </w:rPr>
        <w:t>سزاوار ملامت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جامعه پشت قانون سنگر گرفته و به سلب آزادی دیگران یا سلب حیات یا اموال افراد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 نمی توان زشت را زیبا، ظلم را عدل و آدم کشی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خود عامل جرم است؛ آنگاه چگونه جامعه جرمزا از مجرم که حاصل خود اوست، انتقام می گیرد؟ اگر مسبب اقوی از مباشر باشد مسبب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جامعه از فرد قوی تر 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طنز تلخ است که جامعه مجرم بیافریند و خود، او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معتاد بیافریند و خود او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سن ازدواج را متأثر از عوامل اقتصادی یا روانی بالا ببرد و مجرم جنسی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بی کار بیافریند و ولگرد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فقیر بیافریند و سارقان فقیر را مجازات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بی عدالتی ایجاد نماید، فاصله طبقاتی را زیاد نماید و به فرو دستان اقتصادی بگوید حق نداری به اموال فرا دستان چشم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 نسبت به کسی که به اندازه تو، بلکه بسیار کمتر از تو زحمت می کشد، ولی درآمدش چندین برابر توست، کینه توزی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در صدد انتقام بر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درد آور نیست که فقیر بگوید لطف نمایید دو سویه فقر و غنا را آنقدر گسترش دهید که ما نتوانیم ثروت مندان و طریقه حیات آنان را ببینیم تا گمان بریم زیست همگان چون ما می باشد؟ و با فقر خویش آسانتر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دعوای جامعه و مجرم چه کسی قاضی منصف است؟ خود جامعه؟ مگر جامعه متهم نیست؟ </w:t>
      </w:r>
    </w:p>
    <w:p>
      <w:pPr>
        <w:pStyle w:val="BookText"/>
        <w:rPr/>
      </w:pPr>
      <w:r>
        <w:rPr>
          <w:rFonts w:ascii="IRNazanin" w:hAnsi="IRNazanin" w:eastAsia="IRNazanin"/>
          <w:color w:val="111111"/>
          <w:sz w:val="28"/>
          <w:sz w:val="28"/>
          <w:szCs w:val="28"/>
          <w:rtl w:val="true"/>
          <w:lang w:bidi="fa-IR"/>
        </w:rPr>
        <w:t>بررسی بزه مجرد از بزهکار راه ناصواب و ناقص است و بررسی بزهکار مجرد از جامعه نیز ناصواب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نفس عمل توجه نمود و هم به عامل آن و هم مسبب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راندن به روایی علت و ناروایی معلول به شدت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پیش‌گیری از وقوع جرم، علت ها را باید مقدم بر معلول ها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جرم زدایی کرد نه مجرم 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شناسی جنایی انتظارات دستگاه قضایی در باره پیش‌گیری از وقوع جرم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جنایی در بازسازی اجتماعی فرد بزهکار و نوسازی جامعه نقش اصلی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بزهکار را قربانی جامعه بدانیم ابتدا باید علل و عوامل جرم زای اجتماعی شناخته شوند تا درمان و رهایی فرد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محض عمل مجرمانه مطابق دستورات پیش ساخته که تداوم روش قرون وسطایی است جز بیدادگری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جنایی به انسان می آموزد که سعادت فرد را باید در سعادت جامعه اجتماعی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فرد در گرو سعادت جامعه است و این دو با هم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در تلاش برای خوشبختی خود نسبت به سرنوشت جامعه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شناسی جنایی به وضوح فلسفه امر به معروف و نهی از منکر مشخص می گردد و راه مشارکت اجتماعی در پیش‌گیری از جرم را خواهد آموخت</w:t>
      </w:r>
      <w:r>
        <w:rPr>
          <w:rFonts w:eastAsia="IRNazanin" w:cs="IRNazanin"/>
          <w:color w:val="111111"/>
          <w:sz w:val="28"/>
          <w:szCs w:val="28"/>
          <w:rtl w:val="true"/>
          <w:lang w:bidi="fa-IR"/>
        </w:rPr>
        <w:t>.</w:t>
      </w:r>
      <w:r>
        <w:rPr>
          <w:rStyle w:val="FootnoteAnchor"/>
          <w:rtl w:val="true"/>
        </w:rPr>
        <w:footnoteReference w:id="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نیل به مقاصد فوق تغییر نگرش به مجرم است؛ مقایسه مریض و مجرم می تواند انسان را به نتایج ارزنده 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مریض یا به دلایل ژنتیکی یا در اثر نقض اصول و مقررات بهداشتی یا متاثر از سایر بیماران یا متاثر از بیماری های اپیدمی بیمار شده است و شخص مجرم نیز یا متأثر از عوامل ژنتیکی یا به دلیل رعایت نکردن اصول و مقررات و قوانین </w:t>
      </w:r>
      <w:bookmarkStart w:id="184" w:name="pg5505_36867"/>
    </w:p>
    <w:p>
      <w:pPr>
        <w:pStyle w:val="BookText"/>
        <w:rPr/>
      </w:pPr>
      <w:bookmarkEnd w:id="184"/>
      <w:r>
        <w:rPr>
          <w:rFonts w:ascii="IRNazanin" w:hAnsi="IRNazanin" w:eastAsia="IRNazanin"/>
          <w:color w:val="111111"/>
          <w:sz w:val="28"/>
          <w:sz w:val="28"/>
          <w:szCs w:val="28"/>
          <w:rtl w:val="true"/>
          <w:lang w:bidi="fa-IR"/>
        </w:rPr>
        <w:t>فردی و اجتماعی یا متأثر از سایر مجرمان یا متاثر از جامعه مجرم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پزشک به مریض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مریضی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و شفقت و با توجه به مسئولیت حرفه ای خویش</w:t>
      </w:r>
    </w:p>
    <w:p>
      <w:pPr>
        <w:pStyle w:val="BookText"/>
        <w:rPr/>
      </w:pPr>
      <w:r>
        <w:rPr>
          <w:rFonts w:ascii="IRNazanin" w:hAnsi="IRNazanin" w:eastAsia="IRNazanin"/>
          <w:color w:val="111111"/>
          <w:sz w:val="28"/>
          <w:sz w:val="28"/>
          <w:szCs w:val="28"/>
          <w:rtl w:val="true"/>
          <w:lang w:bidi="fa-IR"/>
        </w:rPr>
        <w:t>می نگرد، دستگاه های قضایی و مقامات مسئول نیز در ارتباط با مجرم باید با نظر عطوفت بنگرند</w:t>
      </w:r>
      <w:r>
        <w:rPr>
          <w:rFonts w:eastAsia="IRNazanin" w:cs="IRNazanin"/>
          <w:color w:val="111111"/>
          <w:sz w:val="28"/>
          <w:szCs w:val="28"/>
          <w:rtl w:val="true"/>
          <w:lang w:bidi="fa-IR"/>
        </w:rPr>
        <w:t>.</w:t>
      </w:r>
    </w:p>
    <w:p>
      <w:pPr>
        <w:pStyle w:val="Heading4"/>
        <w:numPr>
          <w:ilvl w:val="3"/>
          <w:numId w:val="1"/>
        </w:numPr>
        <w:rPr/>
      </w:pPr>
      <w:bookmarkStart w:id="185" w:name="__RefHeading___Toc2336580_581953129"/>
      <w:bookmarkStart w:id="186" w:name="_Toc67"/>
      <w:bookmarkEnd w:id="185"/>
      <w:r>
        <w:rPr>
          <w:rtl w:val="true"/>
        </w:rPr>
        <w:t>گفتار سوم</w:t>
      </w:r>
      <w:r>
        <w:rPr>
          <w:rtl w:val="true"/>
        </w:rPr>
        <w:t xml:space="preserve">- </w:t>
      </w:r>
      <w:r>
        <w:rPr>
          <w:rtl w:val="true"/>
        </w:rPr>
        <w:t>مجازات علنی</w:t>
      </w:r>
      <w:bookmarkEnd w:id="186"/>
    </w:p>
    <w:p>
      <w:pPr>
        <w:pStyle w:val="BookText"/>
        <w:rPr/>
      </w:pPr>
      <w:r>
        <w:rPr>
          <w:rFonts w:ascii="IRNazanin" w:hAnsi="IRNazanin" w:eastAsia="IRNazanin"/>
          <w:color w:val="111111"/>
          <w:sz w:val="28"/>
          <w:sz w:val="28"/>
          <w:szCs w:val="28"/>
          <w:rtl w:val="true"/>
          <w:lang w:bidi="fa-IR"/>
        </w:rPr>
        <w:t>در تأثیر یا عدم تأثیر علنی بودن مجازات ها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جرم بین صاحب نظران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ورود تفصیلی به این موضوع اجمالا متذکر می گردد موافقان تأثیر علنی بودن مجازات بر پیش‌گیری از جرم به دلایلی استناد می کنند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بودن مجازات باعث می شود جرم از قوه به فعل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غیرمجرمی که استعداد سوق داده شدن به سمت جرم را دارد، با دیدن رنج مجرم از تحمل مجازات، رغبت احتمالی خویش به سوی جرم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ذاتا برای آبروی خویش ارزش بیشتری نسبت به جسم خویش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مجازات مخفیانه قابل تحمل تر از مجازات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جایگاه والایی که آبروی انسان در حیات انسان دارد، اگر انسان ها بدانند با ارتکاب جرم آبروی خویش را از دست می دهند، نقش بازدارندگی جدی خواهد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شرمندگی فرد مجرم از ناظران مانعی برای تکرار جرم از سوی وی می شود و از این رهگذر نیز در پیش‌گیری از وقوع جرم نقش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تأکید بر اجرای حدود در ملأ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نحوه اجرای مجازات زانی و زانیه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گروهی از مؤمنین شاهد مجازات زانی و زانیه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موافقان، تأکید اسلام بر حضور چند نفر در مورد اجرای برخی حدود، ناشی از فلسفه عبرت آموزی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دیگر معتقدند علنی بودن مجازات ها در کاهش جرم یا فاقد اثر است یا اثر آن نسبت به پیامدهای منفی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علنی بودن مجازات می توان به امور زیر استناد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تأثیر علنی بودن مجازات بر کاهش جرم یا پیش گیری از آن، با هیچ تحقیق میدانی به اثبات نرسیده و متعاضد به آمار و ارقام واقعی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جامعه شناسی حقوقی گفته شده است بدترین نوع برخورد با کسانی که دچار ناهنجاری اجتماعی هستند، برچسب زنی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labeling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با انحراف اولیه مجرم، واکنش ابتدایی صورت گرفته و همین واکنش باعث انحراف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انحراف بیشتر، مجازات جدی تری را در پی داشته و در پی آن مجرم با سوء نیت مرتکب جرم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نظریه این زنجیره نه تنها مانع ارتکاب </w:t>
      </w:r>
    </w:p>
    <w:p>
      <w:pPr>
        <w:pStyle w:val="BookText"/>
        <w:rPr/>
      </w:pPr>
      <w:r>
        <w:rPr>
          <w:rFonts w:ascii="IRNazanin" w:hAnsi="IRNazanin" w:eastAsia="IRNazanin"/>
          <w:color w:val="111111"/>
          <w:sz w:val="28"/>
          <w:sz w:val="28"/>
          <w:szCs w:val="28"/>
          <w:rtl w:val="true"/>
          <w:lang w:bidi="fa-IR"/>
        </w:rPr>
        <w:t>جرم نمی شود، بلکه خود جرم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آمار مجرمین نیز این واقعیت را اثبات می کند که درصد بسیار بالایی از مجرمان، تکرار کنندگان جرم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معتقدند زدن علامت فقر بر پیشانی فقیر، علامت جرم بر پیشانی مجرم، علامت فساد بر پیشانی مفسد، علامت جنون بر پیشانی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رفتار جامعه با این دسته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ویژه در مورد نوجوانان و جوانان از هیچ پایه علمی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گردن نوجوان یا جوانی آفتابه انداخته شود یا کفش هایش بر دوشش آویزان شود، این اقدام، وی را در ارتکاب جرایم بعدی جری تر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با ارتکاب جرم، کرامت خویش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لقد کرمنا بنی آدم به کرامت ذاتی تمام انسان ها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حتی جنین، از کرامت برخوردار است و نباید این کرامت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های پرهیزگارتر، نزد خداوند کریم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انسان ها اگر از سوی خدا مورد وهن قرار گیرند، مکرمی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یهن الله فما له من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از آن کرامت برتر و این بی کرامتی، کرامت ذاتی انسان نیست بلکه منظور کرامت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حتی انسان های مجرم و بزهکار از کرامت ذاتی برخوردارند و نباید این کرامت تحت هیچ شرایطی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علنی بودن مجازات ها معتقدند آنچه شایسته مجرم است صرفا مجازات او و نه علنی بودن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بودن مجازات امری زاید بر مجازات است که وجودش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علنی بودن مجازات دلیلی نیست </w:t>
      </w:r>
    </w:p>
    <w:p>
      <w:pPr>
        <w:pStyle w:val="BookText"/>
        <w:rPr/>
      </w:pPr>
      <w:r>
        <w:rPr>
          <w:rFonts w:ascii="IRNazanin" w:hAnsi="IRNazanin" w:eastAsia="IRNazanin"/>
          <w:color w:val="111111"/>
          <w:sz w:val="28"/>
          <w:sz w:val="28"/>
          <w:szCs w:val="28"/>
          <w:rtl w:val="true"/>
          <w:lang w:bidi="fa-IR"/>
        </w:rPr>
        <w:t>بلکه نافی کرامت ذاتی انسان مجرم نیز هست و در این باره باید نهایت تلاش به عمل آید که از رفتار وهن آلود نسبت به مجرم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 طائفه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قطعیت نمی‌توان گفت حضور تعدادی در زمان اعمال مجازات برای عبرت آموزی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تواند فلسفه دیگری داشته باشد؛ مانند شهادت بر اجرای حکم و اینکه مجرم از اعمال مجازات نگریخته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دو یا سه نفر بدین منظور می تواند دلیل بر مدعای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اقل جمع مطابق نظر اکثر صاحب نظران سه نفر است و حتی برخی دو نفر را برای صدق جمع و جمعیت کافی دانسته اند؛ به این ترتیب اگر دو نفر یا سه نفر در اجرای برخی مجازات ها حضور داشته باشد، به اعتقاد برخی از فقها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مجری و قاضی اجرای احکام را بتوان در عداد همین شهود تلقی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پذیرفته شده در فقه این است که از هر امری که موجب وهن دین می گردد، باید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اولیه اسلام؛ مانند اخذ جزیه، سنگسار و مانند آن به دلیل مزبور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اجرای علنی مجازات ها به ویژه مجازات های سنگین باید نهایت دقت و ظرافت را نمود تا کمترین سوء استفاده از آن به عمل 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رابطه حقوق داخلی با حقوق بین الملل برخی به استقلال این دو یعنی دوگانگی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معتقدند و برخی به وحدت و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دوگانگی حقوقی می‌گویند حقوق بین الملل و حقوق داخلی بیگانه از هم اند و نمی توانند در هم اثر بگذارند ولی معتقدان به وحدت حقوقی معتقدند این دو در هم </w:t>
      </w:r>
    </w:p>
    <w:p>
      <w:pPr>
        <w:pStyle w:val="BookText"/>
        <w:rPr/>
      </w:pPr>
      <w:r>
        <w:rPr>
          <w:rFonts w:ascii="IRNazanin" w:hAnsi="IRNazanin" w:eastAsia="IRNazanin"/>
          <w:color w:val="111111"/>
          <w:sz w:val="28"/>
          <w:sz w:val="28"/>
          <w:szCs w:val="28"/>
          <w:rtl w:val="true"/>
          <w:lang w:bidi="fa-IR"/>
        </w:rPr>
        <w:t>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خود به دو دسته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حقوق بین الملل را بر حقوق داخلی و برخی حقوق داخلی را بر حقوق بین الملل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هر یک از اعتقادات فوق در کتب حقوق بین الملل عمومی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p>
    <w:p>
      <w:pPr>
        <w:pStyle w:val="BookText"/>
        <w:rPr/>
      </w:pPr>
      <w:r>
        <w:rPr>
          <w:rFonts w:ascii="IRNazanin" w:hAnsi="IRNazanin" w:eastAsia="IRNazanin"/>
          <w:color w:val="111111"/>
          <w:sz w:val="28"/>
          <w:sz w:val="28"/>
          <w:szCs w:val="28"/>
          <w:rtl w:val="true"/>
          <w:lang w:bidi="fa-IR"/>
        </w:rPr>
        <w:t>در برخی اسناد بین المللی آمده است که هیچ کشوری نمی تواند با استناد به مقررات داخلی خود از تعهدات بین المللی خویش شانه خالی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حتی اگر در برتری حقوق بین الملل بر حقوق داخلی تردید باشد، در همسانی این دو تردیدی نیست؛ زیرا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مقررات عهدنامه های ایران با سایر کشورها را در حکم قانون دانسته است و به این ترتیب عهدنامه های بین المللی ارزشی برابر با قوانین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اجرای علنی مجازات ها تعهدات بین المللی را مراعات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موافقان تقدم تعهدات بین المللی بر احکام دینی را می توان از سوره انفال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اسْتَنْصَرُوکُمْ فِی الدِّینِ فَعَلَیْکُمُ النَّصْرُ إِلاَّ عَلی قَوْمٍ بَیْنَکُمْ وَ بَیْنَهُمْ 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دینشان از شما یاری خواستند، بر شما واجب است که یاریشان نمایید مگر علیه گروهی که بین شما و آن ها معاهده ای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مراعات معاهدات بین المللی مطابق این آیه وقتی روشن تر می شود که توجه داشته باشیم مطابق برخی احادیث اهتمام نورزیدن به امور مسلمانان و پاسخ ندادن به استمداد آنان مساوی با مسلمان نبودن </w:t>
      </w:r>
      <w:bookmarkStart w:id="187" w:name="pg5505_36872"/>
    </w:p>
    <w:p>
      <w:pPr>
        <w:pStyle w:val="BookText"/>
        <w:rPr/>
      </w:pPr>
      <w:bookmarkEnd w:id="187"/>
      <w:r>
        <w:rPr>
          <w:rFonts w:ascii="IRNazanin" w:hAnsi="IRNazanin" w:eastAsia="IRNazanin"/>
          <w:color w:val="111111"/>
          <w:sz w:val="28"/>
          <w:sz w:val="28"/>
          <w:szCs w:val="28"/>
          <w:rtl w:val="true"/>
          <w:lang w:bidi="fa-IR"/>
        </w:rPr>
        <w:t>است؛ با این حال لزوم فریادرسی مقید به عدم وجود معاهده بین کشور اسلامی و کشوری است که افراد مسلمان در آن زندگی می کنند</w:t>
      </w:r>
      <w:r>
        <w:rPr>
          <w:rFonts w:eastAsia="IRNazanin" w:cs="IRNazanin"/>
          <w:color w:val="111111"/>
          <w:sz w:val="28"/>
          <w:szCs w:val="28"/>
          <w:rtl w:val="true"/>
          <w:lang w:bidi="fa-IR"/>
        </w:rPr>
        <w:t>.</w:t>
      </w:r>
    </w:p>
    <w:p>
      <w:pPr>
        <w:pStyle w:val="Heading4"/>
        <w:numPr>
          <w:ilvl w:val="3"/>
          <w:numId w:val="1"/>
        </w:numPr>
        <w:rPr/>
      </w:pPr>
      <w:bookmarkStart w:id="188" w:name="__RefHeading___Toc2336582_581953129"/>
      <w:bookmarkStart w:id="189" w:name="_Toc68"/>
      <w:bookmarkEnd w:id="188"/>
      <w:r>
        <w:rPr>
          <w:rtl w:val="true"/>
        </w:rPr>
        <w:t>گفتار چهارم</w:t>
      </w:r>
      <w:r>
        <w:rPr>
          <w:rtl w:val="true"/>
        </w:rPr>
        <w:t xml:space="preserve">- </w:t>
      </w:r>
      <w:r>
        <w:rPr>
          <w:rtl w:val="true"/>
        </w:rPr>
        <w:t>پیش‌گیری عملی از جرم توسط مردم عادی</w:t>
      </w:r>
      <w:bookmarkEnd w:id="189"/>
    </w:p>
    <w:p>
      <w:pPr>
        <w:pStyle w:val="BookText"/>
        <w:rPr/>
      </w:pPr>
      <w:r>
        <w:rPr>
          <w:rFonts w:ascii="IRNazanin" w:hAnsi="IRNazanin" w:eastAsia="IRNazanin"/>
          <w:color w:val="111111"/>
          <w:sz w:val="28"/>
          <w:sz w:val="28"/>
          <w:szCs w:val="28"/>
          <w:rtl w:val="true"/>
          <w:lang w:bidi="fa-IR"/>
        </w:rPr>
        <w:t>قبلا به تفصیل بحث شد که آنچه بر عهده مردم عادی است تنها و تنها پیش‌گیری زبانی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مردم عادی به عرصه پیش‌گیری عملی از جرم و به اصطلاح بسط الید عامه مردم در پیش‌گیری از جرم آثار زیان باری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مجرم مسلح به سلاح گرم یا سرد بوده و ورود مردم عادی در عرصه عملی پیش‌گیری از جرم منجر به ورود صدماتی به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آورده شد که امر به معروف و نهی از منکر بر همگان واجب نیست؛ زیرا همگان قدرت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از انسان تکلیف مالایطاق نخواسته است؛ بنابراین، ورود مردم عادی به این عرصه خطراتی را متوجه آنان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خطرات گاه به سرحد کشته شدن آمران به معروف و ناهیان از منکر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احادیث و کلمات فقها که قبلا مورد اشاره قرار گرفت، ورود به این عرصه را بدون اجازه حاکم شرع جایز ندانسته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یک سویه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عادی برخوردی با فرد مجرم نمایند که اساسا تطابق با جرم وی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داده شود مردم عادی خود به پیش‌گیری از وقوع جرم اقدام نمایند، ممکن در برابر جرم کوچکی به گونه ای رفتار نمایند که با هیچ مبنای حقوقی و قانونی مطابق نباشد این رفتارها ممکن است به نقص دایم عضو مجرم یا حتی سلب حیات وی بینجامد در حالی که شاید اساسا شایسته حتی یک سیلی </w:t>
      </w:r>
    </w:p>
    <w:p>
      <w:pPr>
        <w:pStyle w:val="BookText"/>
        <w:rPr/>
      </w:pPr>
      <w:r>
        <w:rPr>
          <w:rFonts w:ascii="IRNazanin" w:hAnsi="IRNazanin" w:eastAsia="IRNazanin"/>
          <w:color w:val="111111"/>
          <w:sz w:val="28"/>
          <w:sz w:val="28"/>
          <w:szCs w:val="28"/>
          <w:rtl w:val="true"/>
          <w:lang w:bidi="fa-IR"/>
        </w:rPr>
        <w:t>هم نبوده است و چه بسا قانون گذار صرفا جریمه نقدی را برای وی کافی می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عادی با مجرم به منظور پیش‌گیری از وقوع جرم، رفتار های تلافی جویانه بعدی مجرم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صحنه جرم این امر صورت نگیرد ولی مجرم پس از طی مجازات لازم در صدد انتقام جویی از فرد پیش گیرنده از جرم 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که است که چنین روحیه ای نسبت به مجری قانون کمتر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عدم ایجاد این روحیه نیز قدرت فرد پیش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پیش گیرنده قانونی از قدرتی فراتر از پیش گیرنده عادی برخوردار است و همین امر مانع بروز روحیه انتقام جویی از پیش گیرنده قانونی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حتی در اجرای مجازات توسط مجری قانونی هم توصیه شده است چهره خویش را مخفی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کار پیش گیری از اقدامات تلافی جویانه فرد مجرم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مردم عادی غرض های فردی و شخصی به آسانی راه می یابد و امکان سوء استفاده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فردی به دلیل اختلافات خانوادگی، جفاهای دوره رفاقت، تعارضات همسایگی، حتی اختلافات سیاسی و اجتماعی و اقتصادی و مانند آن عقده درونی خویش را تحت عنوان پیش‌گیری از جرم بر سر فردی متهم خالی نماید و از این جهت آثار زیان باری نصیب جامعه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توسط مردم عادی می تواند به نقض غرض انجامد؛ هدف پیش‌گیری از جرم، ایجاد نظم در جامعه است در حالی که </w:t>
      </w:r>
      <w:bookmarkStart w:id="190" w:name="pg5505_36874"/>
    </w:p>
    <w:p>
      <w:pPr>
        <w:pStyle w:val="BookText"/>
        <w:rPr/>
      </w:pPr>
      <w:bookmarkEnd w:id="190"/>
      <w:r>
        <w:rPr>
          <w:rFonts w:ascii="IRNazanin" w:hAnsi="IRNazanin" w:eastAsia="IRNazanin"/>
          <w:color w:val="111111"/>
          <w:sz w:val="28"/>
          <w:sz w:val="28"/>
          <w:szCs w:val="28"/>
          <w:rtl w:val="true"/>
          <w:lang w:bidi="fa-IR"/>
        </w:rPr>
        <w:t>اقدام خودسرانه عموم مردم در پیش‌گیری عملی از جرم خود نوعی بی نظمی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جامعه ای که مردم آن بدون آنکه جرایم را به مقامات مسئول گزارش دهند، خود به منظور پیش‌گیری از جرم اقدام نمایند، جز نقاشی با فرشه پهنی که حکایت گر عدم ظرافت و نیز بی نظمی خطوط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حریم خصوصی افراد، تحدید آزادی انسان ها، ایجاد نگرانی و دلهره و هراس از سایر انسان ها، اعمال غرض ورزی های شخصی، واکنش های مردم عادی نسبت به یک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نمادهای چنین بی نظمی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مجرم و شیوه پیش‌گیری از جرم یک امر تخصصی و ظریفی است که نیازمند آموزش های لازم است که مردم عادی از این آموزش ها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کافی نسبت به مسایل اجتماعی، روانی و حقوقی حوزه پیش‌گیری از وقوع جرم از لوازم برخوردهای فیزیکی با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مجرم از خطوط کاملا واضح برخوردار است و ابتنای آن بر سلایق فردی مردم نارواست</w:t>
      </w:r>
      <w:r>
        <w:rPr>
          <w:rFonts w:eastAsia="IRNazanin" w:cs="IRNazanin"/>
          <w:color w:val="111111"/>
          <w:sz w:val="28"/>
          <w:szCs w:val="28"/>
          <w:rtl w:val="true"/>
          <w:lang w:bidi="fa-IR"/>
        </w:rPr>
        <w:t>.</w:t>
      </w:r>
    </w:p>
    <w:p>
      <w:pPr>
        <w:pStyle w:val="Heading4"/>
        <w:numPr>
          <w:ilvl w:val="3"/>
          <w:numId w:val="1"/>
        </w:numPr>
        <w:rPr/>
      </w:pPr>
      <w:bookmarkStart w:id="191" w:name="__RefHeading___Toc2336584_581953129"/>
      <w:bookmarkStart w:id="192" w:name="_Toc69"/>
      <w:bookmarkEnd w:id="191"/>
      <w:r>
        <w:rPr>
          <w:rtl w:val="true"/>
        </w:rPr>
        <w:t>گفتار پنجم</w:t>
      </w:r>
      <w:r>
        <w:rPr>
          <w:rtl w:val="true"/>
        </w:rPr>
        <w:t xml:space="preserve">- </w:t>
      </w:r>
      <w:r>
        <w:rPr>
          <w:rtl w:val="true"/>
        </w:rPr>
        <w:t>افراط در پیش‌گیری از جرم</w:t>
      </w:r>
      <w:bookmarkEnd w:id="192"/>
    </w:p>
    <w:p>
      <w:pPr>
        <w:pStyle w:val="BookText"/>
        <w:rPr/>
      </w:pPr>
      <w:r>
        <w:rPr>
          <w:rFonts w:ascii="IRNazanin" w:hAnsi="IRNazanin" w:eastAsia="IRNazanin"/>
          <w:color w:val="111111"/>
          <w:sz w:val="28"/>
          <w:sz w:val="28"/>
          <w:szCs w:val="28"/>
          <w:rtl w:val="true"/>
          <w:lang w:bidi="fa-IR"/>
        </w:rPr>
        <w:t>با اینکه اتخاذ تدابیر پیش گیرانه نسبت به اقدامات کیفری از محاسن بسیاری برخوردار است، نباید از یاد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که در اینجا نیز باید اصول و هنجارها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پیش‌گیری، به ویژه پیش‌گیری وضعی، برخلاف سیاست های کیفری، تمامی افراد جامعه را دربرمی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شناسایی مجرمان بالقوه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این اقدامات باید به نحوی اجرا شوند که افراد جامعه از حقوق اساسی شان محروم نگردند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برخی از این حقوق اساسی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حریم خصوصی، نویسنده این موضوع را در کتابی مستقل با عنوان جایگاه حریم خصوصی در پیش‌گیری از جرم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دانست پیش‌گیری از جرم نباید بهانه ای برای نقض حریم خصوصی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خصوصی می تواند شامل محیط های حقیقی ثابت؛ مانند منزل مسکونی، محیط های حقیقی سیار؛ مانند اتومبیل، کامپیوتر، گوشی تلفن همراه و مانند آن، محیط های مجازی؛ مانند اینترنت و حریم خصوصی مراسلات و مکاتبات و مانند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فردی و اجتماعی شامل آزادی بیان و آزادی اندیشه، آزادی برگزاری تجمعات و داشتن تشکلات اجتماعی و سیاسی، داشتن رسانه و ابراز انتقاد، داشتن شغل و سایر حقوقی که در فصل سوم قانون اساسی شمرده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حیثیت، جان، مال، ناموس، و شغل اشخاص از تعرض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مواردی که قانون تجویز کند، به ورود به عرصه های مزبور مجاز است</w:t>
      </w:r>
      <w:r>
        <w:rPr>
          <w:rFonts w:eastAsia="IRNazanin" w:cs="IRNazanin"/>
          <w:color w:val="111111"/>
          <w:sz w:val="28"/>
          <w:szCs w:val="28"/>
          <w:rtl w:val="true"/>
          <w:lang w:bidi="fa-IR"/>
        </w:rPr>
        <w:t xml:space="preserve">. </w:t>
      </w:r>
      <w:bookmarkStart w:id="193" w:name="pg5505_36876"/>
    </w:p>
    <w:p>
      <w:pPr>
        <w:pStyle w:val="Heading3"/>
        <w:numPr>
          <w:ilvl w:val="2"/>
          <w:numId w:val="1"/>
        </w:numPr>
        <w:rPr/>
      </w:pPr>
      <w:bookmarkStart w:id="194" w:name="__RefHeading___Toc2336586_581953129"/>
      <w:bookmarkStart w:id="195" w:name="_Toc70"/>
      <w:bookmarkEnd w:id="193"/>
      <w:bookmarkEnd w:id="194"/>
      <w:r>
        <w:rPr>
          <w:rtl w:val="true"/>
        </w:rPr>
        <w:t>فصل پنجم</w:t>
      </w:r>
      <w:r>
        <w:rPr>
          <w:rtl w:val="true"/>
        </w:rPr>
        <w:t>:</w:t>
      </w:r>
      <w:r>
        <w:rPr>
          <w:rtl w:val="true"/>
        </w:rPr>
        <w:t>استفاده از تجربیات فراملی در پیش‌گیری از جرم</w:t>
      </w:r>
      <w:bookmarkEnd w:id="195"/>
    </w:p>
    <w:p>
      <w:pPr>
        <w:pStyle w:val="Heading4"/>
        <w:numPr>
          <w:ilvl w:val="3"/>
          <w:numId w:val="1"/>
        </w:numPr>
        <w:rPr/>
      </w:pPr>
      <w:bookmarkStart w:id="196" w:name="__RefHeading___Toc2336588_581953129"/>
      <w:bookmarkStart w:id="197" w:name="_Toc71"/>
      <w:bookmarkEnd w:id="196"/>
      <w:r>
        <w:rPr>
          <w:rtl w:val="true"/>
        </w:rPr>
        <w:t>اشاره</w:t>
      </w:r>
      <w:bookmarkEnd w:id="1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جرایم به ویژه جرایم خشونت بار در جهان از یک سو کشورها را به اتخاذ تدابیر و سیاست های جنایی خاص در داخل کشور خود سوق داده است، و از سوی دیگر آن ها را به همکاری و استفاده از تجربیات کشورهای دیگر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بین المللی نیز با استفاده از این انگیزه و نیز با توجه به واقعیت های موجود در باره جرم و مجازات، به سمت تصمیم سازی و تصمیم گیری در باره کاهش جرایم و پیش‌گیری از وقوع جرم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ایران نیز به عنوان عضوی از جامعه بین الملل نمی تواند خود را از تجربیات سایر کشورها و نهادها بی نیاز دانسته و به دور از ملزومات بین المللی اقدام به اجرای سیاست های جنایی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سیاست های جنایی و روش های پیش گیرانه دیگر کشورها و نهادهای بین المللی و تطبیق آن ها با موازین دینی و اجتماعی کشورمان می تواند بسیار ارزنده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سیاست های پیش گیرانه نیاز به مطالعه تطبیقی جدی در دو نوشتار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مطالعه تطبیقی سیاست های پیش‌گیری از وقوع جرم در </w:t>
      </w:r>
      <w:bookmarkStart w:id="198" w:name="pg5505_36877"/>
    </w:p>
    <w:p>
      <w:pPr>
        <w:pStyle w:val="BookText"/>
        <w:rPr/>
      </w:pPr>
      <w:bookmarkEnd w:id="198"/>
      <w:r>
        <w:rPr>
          <w:rFonts w:ascii="IRNazanin" w:hAnsi="IRNazanin" w:eastAsia="IRNazanin"/>
          <w:color w:val="111111"/>
          <w:sz w:val="28"/>
          <w:sz w:val="28"/>
          <w:szCs w:val="28"/>
          <w:rtl w:val="true"/>
          <w:lang w:bidi="fa-IR"/>
        </w:rPr>
        <w:t>کشورهای مهم و دیگری بررسی دیدگاه های نهادهای حقوقی بین المللی در عرصه پیش‌گیری از جرایم در سطوح ملی و 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ذیل به برخی از این نهادها اشاره می شود</w:t>
      </w:r>
      <w:r>
        <w:rPr>
          <w:rFonts w:eastAsia="IRNazanin" w:cs="IRNazanin"/>
          <w:color w:val="111111"/>
          <w:sz w:val="28"/>
          <w:szCs w:val="28"/>
          <w:rtl w:val="true"/>
          <w:lang w:bidi="fa-IR"/>
        </w:rPr>
        <w:t>.</w:t>
      </w:r>
    </w:p>
    <w:p>
      <w:pPr>
        <w:pStyle w:val="Heading4"/>
        <w:numPr>
          <w:ilvl w:val="3"/>
          <w:numId w:val="1"/>
        </w:numPr>
        <w:rPr/>
      </w:pPr>
      <w:bookmarkStart w:id="199" w:name="__RefHeading___Toc2336590_581953129"/>
      <w:bookmarkStart w:id="200" w:name="_Toc72"/>
      <w:bookmarkEnd w:id="199"/>
      <w:r>
        <w:rPr/>
        <w:t>1</w:t>
      </w:r>
      <w:r>
        <w:rPr>
          <w:rtl w:val="true"/>
        </w:rPr>
        <w:t xml:space="preserve"> - </w:t>
      </w:r>
      <w:r>
        <w:rPr>
          <w:rtl w:val="true"/>
        </w:rPr>
        <w:t>سازمان ملل متحد</w:t>
      </w:r>
      <w:r>
        <w:rPr>
          <w:rtl w:val="true"/>
        </w:rPr>
        <w:t>:</w:t>
      </w:r>
      <w:bookmarkEnd w:id="200"/>
    </w:p>
    <w:p>
      <w:pPr>
        <w:pStyle w:val="Heading5"/>
        <w:numPr>
          <w:ilvl w:val="4"/>
          <w:numId w:val="1"/>
        </w:numPr>
        <w:rPr/>
      </w:pPr>
      <w:bookmarkStart w:id="201" w:name="__RefHeading___Toc2336592_581953129"/>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این سازمان در یکی از سندهای رسمی خود، برنامه ای ارایه داده است که قلمرو پیش‌گیری را با توجه به سه اولویت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عموم مردم، در نظر گرفتن افراد در معرض خطر و در نظر گرفتن بزه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کارهای خود را در زمینه پیش‌گیری در سه محور توسعه نهادی، کاهش فرصت ها و تغییر در ارزش های اجتماعی با توجه به سه اولویت مزبور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 اول که عموم مردم را در نظر می گیرد، سه راه کار مزبور را چنین تبیین می کند</w:t>
      </w:r>
      <w:r>
        <w:rPr>
          <w:rFonts w:eastAsia="IRNazanin" w:cs="IRNazanin"/>
          <w:color w:val="111111"/>
          <w:sz w:val="28"/>
          <w:szCs w:val="28"/>
          <w:rtl w:val="true"/>
          <w:lang w:bidi="fa-IR"/>
        </w:rPr>
        <w:t>:</w:t>
      </w:r>
    </w:p>
    <w:p>
      <w:pPr>
        <w:pStyle w:val="Heading5"/>
        <w:numPr>
          <w:ilvl w:val="4"/>
          <w:numId w:val="1"/>
        </w:numPr>
        <w:rPr/>
      </w:pPr>
      <w:bookmarkStart w:id="203" w:name="__RefHeading___Toc2336594_581953129"/>
      <w:bookmarkStart w:id="204" w:name="_Toc74"/>
      <w:bookmarkEnd w:id="203"/>
      <w:r>
        <w:rPr>
          <w:rtl w:val="true"/>
        </w:rPr>
        <w:t>الف</w:t>
      </w:r>
      <w:r>
        <w:rPr>
          <w:rtl w:val="true"/>
        </w:rPr>
        <w:t xml:space="preserve">. </w:t>
      </w:r>
      <w:r>
        <w:rPr>
          <w:rtl w:val="true"/>
        </w:rPr>
        <w:t>توسعه نهادی</w:t>
      </w:r>
      <w:r>
        <w:rPr>
          <w:rtl w:val="true"/>
        </w:rPr>
        <w:t>:</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کار آمدتر ساختن نهادهای خدمات عمومی از جمله نظام قضایی و پلیس؛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دست رسی همگان به آموزش های عمومی؛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مبارزه با بیکاری؛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های حمایت از خانواده؛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نمودن نظام مراقبت از خانواده</w:t>
      </w:r>
      <w:r>
        <w:rPr>
          <w:rFonts w:eastAsia="IRNazanin" w:cs="IRNazanin"/>
          <w:color w:val="111111"/>
          <w:sz w:val="28"/>
          <w:szCs w:val="28"/>
          <w:rtl w:val="true"/>
          <w:lang w:bidi="fa-IR"/>
        </w:rPr>
        <w:t xml:space="preserve">. </w:t>
      </w:r>
      <w:bookmarkStart w:id="205" w:name="pg5505_36878"/>
    </w:p>
    <w:p>
      <w:pPr>
        <w:pStyle w:val="Heading5"/>
        <w:numPr>
          <w:ilvl w:val="4"/>
          <w:numId w:val="1"/>
        </w:numPr>
        <w:rPr/>
      </w:pPr>
      <w:bookmarkStart w:id="206" w:name="__RefHeading___Toc2336596_581953129"/>
      <w:bookmarkStart w:id="207" w:name="_Toc75"/>
      <w:bookmarkEnd w:id="205"/>
      <w:bookmarkEnd w:id="206"/>
      <w:r>
        <w:rPr>
          <w:rtl w:val="true"/>
        </w:rPr>
        <w:t>ب</w:t>
      </w:r>
      <w:r>
        <w:rPr>
          <w:rtl w:val="true"/>
        </w:rPr>
        <w:t xml:space="preserve">. </w:t>
      </w:r>
      <w:r>
        <w:rPr>
          <w:rtl w:val="true"/>
        </w:rPr>
        <w:t>کاهش فرصت ها</w:t>
      </w:r>
      <w:r>
        <w:rPr>
          <w:rtl w:val="true"/>
        </w:rPr>
        <w:t>:</w:t>
      </w:r>
      <w:bookmarkEnd w:id="207"/>
    </w:p>
    <w:p>
      <w:pPr>
        <w:pStyle w:val="Heading6"/>
        <w:numPr>
          <w:ilvl w:val="5"/>
          <w:numId w:val="1"/>
        </w:numPr>
        <w:rPr/>
      </w:pPr>
      <w:bookmarkStart w:id="208" w:name="__RefHeading___Toc2336598_581953129"/>
      <w:bookmarkStart w:id="209" w:name="_Toc76"/>
      <w:bookmarkEnd w:id="208"/>
      <w:r>
        <w:rPr>
          <w:rtl w:val="true"/>
        </w:rPr>
        <w:t>اشاره</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اسلحه گرم؛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وسیع تر شهرها؛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استانداردهای لازم در ساخت و ساز مناطق مسکونی؛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تراکم فروشگاه ها در راستای کاهش جرم سرقت</w:t>
      </w:r>
      <w:r>
        <w:rPr>
          <w:rFonts w:eastAsia="IRNazanin" w:cs="IRNazanin"/>
          <w:color w:val="111111"/>
          <w:sz w:val="28"/>
          <w:szCs w:val="28"/>
          <w:rtl w:val="true"/>
          <w:lang w:bidi="fa-IR"/>
        </w:rPr>
        <w:t>.</w:t>
      </w:r>
    </w:p>
    <w:p>
      <w:pPr>
        <w:pStyle w:val="Heading6"/>
        <w:numPr>
          <w:ilvl w:val="5"/>
          <w:numId w:val="1"/>
        </w:numPr>
        <w:rPr/>
      </w:pPr>
      <w:bookmarkStart w:id="210" w:name="__RefHeading___Toc2336600_581953129"/>
      <w:bookmarkStart w:id="211" w:name="_Toc77"/>
      <w:bookmarkEnd w:id="210"/>
      <w:r>
        <w:rPr>
          <w:rtl w:val="true"/>
        </w:rPr>
        <w:t>الف</w:t>
      </w:r>
      <w:r>
        <w:rPr>
          <w:rtl w:val="true"/>
        </w:rPr>
        <w:t xml:space="preserve">: </w:t>
      </w:r>
      <w:r>
        <w:rPr>
          <w:rtl w:val="true"/>
        </w:rPr>
        <w:t>توسعه نهادی</w:t>
      </w:r>
      <w:r>
        <w:rPr>
          <w:rtl w:val="true"/>
        </w:rPr>
        <w:t>:</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مادران جوان و خانواده های تک والدینی؛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کم کردن اخراجی های مدرسه؛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 ای در دوران بازداشت؛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دست رسی به مددکاری اجتماعی</w:t>
      </w:r>
      <w:r>
        <w:rPr>
          <w:rFonts w:eastAsia="IRNazanin" w:cs="IRNazanin"/>
          <w:color w:val="111111"/>
          <w:sz w:val="28"/>
          <w:szCs w:val="28"/>
          <w:rtl w:val="true"/>
          <w:lang w:bidi="fa-IR"/>
        </w:rPr>
        <w:t xml:space="preserve">. </w:t>
      </w:r>
      <w:bookmarkStart w:id="212" w:name="pg5505_36879"/>
    </w:p>
    <w:p>
      <w:pPr>
        <w:pStyle w:val="Heading6"/>
        <w:numPr>
          <w:ilvl w:val="5"/>
          <w:numId w:val="1"/>
        </w:numPr>
        <w:rPr/>
      </w:pPr>
      <w:bookmarkStart w:id="213" w:name="__RefHeading___Toc2336602_581953129"/>
      <w:bookmarkStart w:id="214" w:name="_Toc78"/>
      <w:bookmarkEnd w:id="212"/>
      <w:bookmarkEnd w:id="213"/>
      <w:r>
        <w:rPr>
          <w:rtl w:val="true"/>
        </w:rPr>
        <w:t>ب</w:t>
      </w:r>
      <w:r>
        <w:rPr>
          <w:rtl w:val="true"/>
        </w:rPr>
        <w:t xml:space="preserve">: </w:t>
      </w:r>
      <w:r>
        <w:rPr>
          <w:rtl w:val="true"/>
        </w:rPr>
        <w:t>کاهش فرصت ها</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دوربین های مدار بسته برای کنترل فروشگاه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مجدد برخی پارک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قاچاق مواد مخدر؛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های امنیت زنان به صورت سازمان یافته در نواحی خاص</w:t>
      </w:r>
    </w:p>
    <w:p>
      <w:pPr>
        <w:pStyle w:val="Heading5"/>
        <w:numPr>
          <w:ilvl w:val="4"/>
          <w:numId w:val="1"/>
        </w:numPr>
        <w:rPr/>
      </w:pPr>
      <w:bookmarkStart w:id="215" w:name="__RefHeading___Toc2336604_581953129"/>
      <w:bookmarkStart w:id="216" w:name="_Toc79"/>
      <w:bookmarkEnd w:id="215"/>
      <w:r>
        <w:rPr>
          <w:rtl w:val="true"/>
        </w:rPr>
        <w:t>ج</w:t>
      </w:r>
      <w:r>
        <w:rPr>
          <w:rtl w:val="true"/>
        </w:rPr>
        <w:t xml:space="preserve">: </w:t>
      </w:r>
      <w:r>
        <w:rPr>
          <w:rtl w:val="true"/>
        </w:rPr>
        <w:t>تغییر در ارزش های اجتماعی</w:t>
      </w:r>
      <w:r>
        <w:rPr>
          <w:rtl w:val="true"/>
        </w:rPr>
        <w:t>:</w:t>
      </w:r>
      <w:bookmarkEnd w:id="216"/>
    </w:p>
    <w:p>
      <w:pPr>
        <w:pStyle w:val="Heading6"/>
        <w:numPr>
          <w:ilvl w:val="5"/>
          <w:numId w:val="1"/>
        </w:numPr>
        <w:rPr/>
      </w:pPr>
      <w:bookmarkStart w:id="217" w:name="__RefHeading___Toc2336606_581953129"/>
      <w:bookmarkStart w:id="218" w:name="_Toc80"/>
      <w:bookmarkEnd w:id="217"/>
      <w:r>
        <w:rPr>
          <w:rtl w:val="true"/>
        </w:rPr>
        <w:t>اشاره</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های اجتماعی به منظور ارتقای مهارت های تربیتی والدین؛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ضد خشونت در مدارس؛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پیش‌گیری از خشونت در انجام تمرین های ورزشی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 سوم نیز که بزه دیدگان مورد توجه قرار گرفته اند، سه راه کار ارایه شده عبارت است از</w:t>
      </w:r>
      <w:r>
        <w:rPr>
          <w:rFonts w:eastAsia="IRNazanin" w:cs="IRNazanin"/>
          <w:color w:val="111111"/>
          <w:sz w:val="28"/>
          <w:szCs w:val="28"/>
          <w:rtl w:val="true"/>
          <w:lang w:bidi="fa-IR"/>
        </w:rPr>
        <w:t>:</w:t>
      </w:r>
    </w:p>
    <w:p>
      <w:pPr>
        <w:pStyle w:val="Heading6"/>
        <w:numPr>
          <w:ilvl w:val="5"/>
          <w:numId w:val="1"/>
        </w:numPr>
        <w:rPr/>
      </w:pPr>
      <w:bookmarkStart w:id="219" w:name="__RefHeading___Toc2336608_581953129"/>
      <w:bookmarkStart w:id="220" w:name="_Toc81"/>
      <w:bookmarkEnd w:id="219"/>
      <w:r>
        <w:rPr>
          <w:rtl w:val="true"/>
        </w:rPr>
        <w:t>الف</w:t>
      </w:r>
      <w:r>
        <w:rPr>
          <w:rtl w:val="true"/>
        </w:rPr>
        <w:t xml:space="preserve">: </w:t>
      </w:r>
      <w:r>
        <w:rPr>
          <w:rtl w:val="true"/>
        </w:rPr>
        <w:t>توسعه نهادی</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زندانیان؛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کودکانی که مورد بدرفتاری واقع می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جایگزین مناسب برای حبس</w:t>
      </w:r>
      <w:r>
        <w:rPr>
          <w:rFonts w:eastAsia="IRNazanin" w:cs="IRNazanin"/>
          <w:color w:val="111111"/>
          <w:sz w:val="28"/>
          <w:szCs w:val="28"/>
          <w:rtl w:val="true"/>
          <w:lang w:bidi="fa-IR"/>
        </w:rPr>
        <w:t>.</w:t>
      </w:r>
    </w:p>
    <w:p>
      <w:pPr>
        <w:pStyle w:val="Heading6"/>
        <w:numPr>
          <w:ilvl w:val="5"/>
          <w:numId w:val="1"/>
        </w:numPr>
        <w:rPr/>
      </w:pPr>
      <w:bookmarkStart w:id="221" w:name="__RefHeading___Toc2336610_581953129"/>
      <w:bookmarkStart w:id="222" w:name="_Toc82"/>
      <w:bookmarkEnd w:id="221"/>
      <w:r>
        <w:rPr>
          <w:rtl w:val="true"/>
        </w:rPr>
        <w:t>ب</w:t>
      </w:r>
      <w:r>
        <w:rPr>
          <w:rtl w:val="true"/>
        </w:rPr>
        <w:t xml:space="preserve">: </w:t>
      </w:r>
      <w:r>
        <w:rPr>
          <w:rtl w:val="true"/>
        </w:rPr>
        <w:t>کاهش فرصت ها</w:t>
      </w:r>
      <w:r>
        <w:rPr>
          <w:rtl w:val="true"/>
        </w:rPr>
        <w:t>:</w:t>
      </w:r>
      <w:bookmarkEnd w:id="2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مراکز نگهداری و محافظت از زنان بزه دیده در خشونت‌های خانوادگی؛ </w:t>
      </w:r>
      <w:bookmarkStart w:id="223" w:name="pg5505_36880"/>
    </w:p>
    <w:p>
      <w:pPr>
        <w:pStyle w:val="BookText"/>
        <w:rPr/>
      </w:pPr>
      <w:bookmarkEnd w:id="2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شرایط خاص آزادی تدریجی زندانیان مرتکب جرایم خشونت بار</w:t>
      </w:r>
      <w:r>
        <w:rPr>
          <w:rFonts w:eastAsia="IRNazanin" w:cs="IRNazanin"/>
          <w:color w:val="111111"/>
          <w:sz w:val="28"/>
          <w:szCs w:val="28"/>
          <w:rtl w:val="true"/>
          <w:lang w:bidi="fa-IR"/>
        </w:rPr>
        <w:t>.</w:t>
      </w:r>
    </w:p>
    <w:p>
      <w:pPr>
        <w:pStyle w:val="Heading6"/>
        <w:numPr>
          <w:ilvl w:val="5"/>
          <w:numId w:val="1"/>
        </w:numPr>
        <w:rPr/>
      </w:pPr>
      <w:bookmarkStart w:id="224" w:name="__RefHeading___Toc2336612_581953129"/>
      <w:bookmarkStart w:id="225" w:name="_Toc83"/>
      <w:bookmarkEnd w:id="224"/>
      <w:r>
        <w:rPr>
          <w:rtl w:val="true"/>
        </w:rPr>
        <w:t>ج</w:t>
      </w:r>
      <w:r>
        <w:rPr>
          <w:rtl w:val="true"/>
        </w:rPr>
        <w:t xml:space="preserve">: </w:t>
      </w:r>
      <w:r>
        <w:rPr>
          <w:rtl w:val="true"/>
        </w:rPr>
        <w:t>تغییر در ارزش های اجتماعی</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های مسالمت آمیز حل و فصل اختلافات مانند میانجی 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اصلاح رفتار زوج های خشن؛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بزه دیدگان خشونت های جنسی و خانوادگی</w:t>
      </w:r>
      <w:r>
        <w:rPr>
          <w:rFonts w:eastAsia="IRNazanin" w:cs="IRNazanin"/>
          <w:color w:val="111111"/>
          <w:sz w:val="28"/>
          <w:szCs w:val="28"/>
          <w:rtl w:val="true"/>
          <w:lang w:bidi="fa-IR"/>
        </w:rPr>
        <w:t>.</w:t>
      </w:r>
    </w:p>
    <w:p>
      <w:pPr>
        <w:pStyle w:val="Heading4"/>
        <w:numPr>
          <w:ilvl w:val="3"/>
          <w:numId w:val="1"/>
        </w:numPr>
        <w:rPr/>
      </w:pPr>
      <w:bookmarkStart w:id="226" w:name="__RefHeading___Toc2336614_581953129"/>
      <w:bookmarkStart w:id="227" w:name="_Toc84"/>
      <w:bookmarkEnd w:id="226"/>
      <w:r>
        <w:rPr/>
        <w:t>2</w:t>
      </w:r>
      <w:r>
        <w:rPr>
          <w:rtl w:val="true"/>
        </w:rPr>
        <w:t xml:space="preserve">- </w:t>
      </w:r>
      <w:r>
        <w:rPr>
          <w:rtl w:val="true"/>
        </w:rPr>
        <w:t>انجمن بین‌المللی دفاع اجتماعی</w:t>
      </w:r>
      <w:r>
        <w:rPr>
          <w:rtl w:val="true"/>
        </w:rPr>
        <w:t>:</w:t>
      </w:r>
      <w:bookmarkEnd w:id="227"/>
    </w:p>
    <w:p>
      <w:pPr>
        <w:pStyle w:val="BookText"/>
        <w:rPr/>
      </w:pPr>
      <w:r>
        <w:rPr>
          <w:rFonts w:ascii="IRNazanin" w:hAnsi="IRNazanin" w:eastAsia="IRNazanin"/>
          <w:color w:val="111111"/>
          <w:sz w:val="28"/>
          <w:sz w:val="28"/>
          <w:szCs w:val="28"/>
          <w:rtl w:val="true"/>
          <w:lang w:bidi="fa-IR"/>
        </w:rPr>
        <w:t xml:space="preserve">این جامعه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هدف آن بالا بردن سطح سیاست جنایی مبتنی بر پیش‌گیری از جرم و درمان مجرمین بود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28" w:name="__RefHeading___Toc2336616_581953129"/>
      <w:bookmarkStart w:id="229" w:name="_Toc85"/>
      <w:bookmarkEnd w:id="228"/>
      <w:r>
        <w:rPr/>
        <w:t>3</w:t>
      </w:r>
      <w:r>
        <w:rPr>
          <w:rtl w:val="true"/>
        </w:rPr>
        <w:t xml:space="preserve">- </w:t>
      </w:r>
      <w:r>
        <w:rPr>
          <w:rtl w:val="true"/>
        </w:rPr>
        <w:t>کمیته سازمان ملل متحد برای پیش‌گیری از جرم و درمان و اصلاح مجرمین</w:t>
      </w:r>
      <w:r>
        <w:rPr>
          <w:rtl w:val="true"/>
        </w:rPr>
        <w:t>:</w:t>
      </w:r>
      <w:bookmarkEnd w:id="2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کمیته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کمیته بیانگر پذیرش مفهوم موسع سیاست جنایی از سوی سازمان یاد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هر چهار یا پنچ سال یک بار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قطعنامه‌ای صادر کرد که بیان‌کننده اصول کلی سیاست جنایی برای کشورهای عضو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قطعنامه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و شیوه اجرای آن باید انسانی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شخصیت مجرم در </w:t>
      </w:r>
      <w:bookmarkStart w:id="230" w:name="pg5505_36881"/>
    </w:p>
    <w:p>
      <w:pPr>
        <w:pStyle w:val="BookText"/>
        <w:rPr/>
      </w:pPr>
      <w:bookmarkEnd w:id="230"/>
      <w:r>
        <w:rPr>
          <w:rFonts w:ascii="IRNazanin" w:hAnsi="IRNazanin" w:eastAsia="IRNazanin"/>
          <w:color w:val="111111"/>
          <w:sz w:val="28"/>
          <w:sz w:val="28"/>
          <w:szCs w:val="28"/>
          <w:rtl w:val="true"/>
          <w:lang w:bidi="fa-IR"/>
        </w:rPr>
        <w:t>مراحل تحقیق، حکم و اجرای حکم توجه داشت و بالاخره اینکه بایستی برای اصلاح و درمان مجرمین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کمیته همواره تأکید بر مسئله تربیتی و پیش‌گیری از جرم و مطالعه شخصیت مجرم مطرح بوده و سازمان ملل نیز آن را تأیید کرده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31" w:name="__RefHeading___Toc2336618_581953129"/>
      <w:bookmarkStart w:id="232" w:name="_Toc86"/>
      <w:bookmarkEnd w:id="231"/>
      <w:r>
        <w:rPr/>
        <w:t>4</w:t>
      </w:r>
      <w:r>
        <w:rPr>
          <w:rtl w:val="true"/>
        </w:rPr>
        <w:t xml:space="preserve">- </w:t>
      </w:r>
      <w:r>
        <w:rPr>
          <w:rtl w:val="true"/>
        </w:rPr>
        <w:t>مؤسسه آسیایی و خاور دور برای پیش‌گیری از جرم و اصلاح مجرمین</w:t>
      </w:r>
      <w:bookmarkEnd w:id="232"/>
    </w:p>
    <w:p>
      <w:pPr>
        <w:pStyle w:val="BookText"/>
        <w:rPr/>
      </w:pPr>
      <w:r>
        <w:rPr>
          <w:rFonts w:ascii="IRNazanin" w:hAnsi="IRNazanin" w:eastAsia="IRNazanin"/>
          <w:color w:val="111111"/>
          <w:sz w:val="28"/>
          <w:sz w:val="28"/>
          <w:szCs w:val="28"/>
          <w:rtl w:val="true"/>
          <w:lang w:bidi="fa-IR"/>
        </w:rPr>
        <w:t>این موسسه سال</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تأسیس شد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33" w:name="__RefHeading___Toc2336620_581953129"/>
      <w:bookmarkStart w:id="234" w:name="_Toc87"/>
      <w:bookmarkEnd w:id="233"/>
      <w:r>
        <w:rPr/>
        <w:t>5</w:t>
      </w:r>
      <w:r>
        <w:rPr>
          <w:rtl w:val="true"/>
        </w:rPr>
        <w:t xml:space="preserve">- </w:t>
      </w:r>
      <w:r>
        <w:rPr>
          <w:rtl w:val="true"/>
        </w:rPr>
        <w:t>کمیسیون مشاوره ملی در مورد عدالت کیفری، معیارها و اهداف عدالت کیفری امریکا</w:t>
      </w:r>
      <w:bookmarkEnd w:id="234"/>
    </w:p>
    <w:p>
      <w:pPr>
        <w:pStyle w:val="BookText"/>
        <w:rPr/>
      </w:pPr>
      <w:r>
        <w:rPr>
          <w:rFonts w:ascii="IRNazanin" w:hAnsi="IRNazanin" w:eastAsia="IRNazanin"/>
          <w:color w:val="111111"/>
          <w:sz w:val="28"/>
          <w:sz w:val="28"/>
          <w:szCs w:val="28"/>
          <w:rtl w:val="true"/>
          <w:lang w:bidi="fa-IR"/>
        </w:rPr>
        <w:t>این کمیسیون در آمریکا تشکیل گردیده و درجهت کنترل و مبارزه با بزهکاری اقدام به یک سلسله مطالعات اساسی نمود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در همین رابطه در کشور کانادا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کمیسییون اصلاح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مرجع فی الواقع نقش تجدید نظر در قوانین جزائی امریکا و کانادا را بعهده داشتند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سوئد شورایی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سوئد پیرامون 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شوراها و انجمن ها بدان جهت بود که دولت ها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مصمم شده بودند که درکنار سایر مسایل؛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مبارزه با جرم بر مبنای مطالعات علمی را نیز مدنظر قرار بدهند</w:t>
      </w:r>
      <w:r>
        <w:rPr>
          <w:rFonts w:eastAsia="IRNazanin" w:cs="IRNazanin"/>
          <w:color w:val="111111"/>
          <w:sz w:val="28"/>
          <w:szCs w:val="28"/>
          <w:rtl w:val="true"/>
          <w:lang w:bidi="fa-IR"/>
        </w:rPr>
        <w:t>.</w:t>
      </w:r>
      <w:r>
        <w:rPr>
          <w:rStyle w:val="FootnoteAnchor"/>
          <w:rtl w:val="true"/>
        </w:rPr>
        <w:footnoteReference w:id="96"/>
      </w:r>
      <w:bookmarkStart w:id="235" w:name="pg5505_36883"/>
    </w:p>
    <w:p>
      <w:pPr>
        <w:pStyle w:val="Heading2"/>
        <w:numPr>
          <w:ilvl w:val="1"/>
          <w:numId w:val="1"/>
        </w:numPr>
        <w:rPr/>
      </w:pPr>
      <w:bookmarkStart w:id="236" w:name="__RefHeading___Toc2336622_581953129"/>
      <w:bookmarkStart w:id="237" w:name="_Toc88"/>
      <w:bookmarkEnd w:id="235"/>
      <w:bookmarkEnd w:id="236"/>
      <w:r>
        <w:rPr>
          <w:rtl w:val="true"/>
        </w:rPr>
        <w:t>نتیجه گیری و پیشنهادها</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در اصول هشتم، پنجاهم و یکصد و پنجاه و ششم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در برخی قوانین عادی مورد توجه جدی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نهی از منکر و پیش‌گیری از جرم رابطه عموم و خصوص مطلق است؛ زیرا هر جرمی منکر است ولی هر منکری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پیش‌گیری از جرمی، نهی از منکر است ولی هر نهی از منکری را نمی توان پیش‌گیری از جرم دانست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حاکمیت بر جهان و انسان را مختص خداوند دانسته و مقرر داشته است که همو انسان را بر سرنوشت اجتماعی خویش حاکم نموده است و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یکی از ابزار حقوقی و اجتماعی این اعمال حاکمیت را دعوت به خیر، امر به معروف و نهی از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که خود نوعی نهی از منکر است از مصادیق حق حاکمیتی انسان 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انگاری پیش‌گیری از جرم نتایجی دارد که الفت بیشتر مردم با حقوق خویش، تلاش بیشتر انسان در دست یازی به حقوق خویش نسبت تلاش انسان در انجام تکالیف، عدم امکان سلب حق پیش‌گیری از وقوع جرم از انسان، عدم امکان به خدمت گیری این حق در منافع گروه یا افراد خاص از جمله این نتایج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نهی از منکر و در واقع پیش‌گیری از وقوع جرم را وظیفه همگانی می داند و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پیش‌گیری از وقوع جرم را از وظایف قوه قضاییه می داند، می توان گفت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پیش‌گیری واکنشی در برابر جرم است ولی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پیش‌گیری کنشی است که به نوعی با پیش‌گیری اجتماعی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پیش‌گیری اجتماعی و پیش‌گیری کنشی، وظیفه کل حاکمیت یعنی قوای تقنینی، اجرایی و قضایی از یک سو و وظیفه عموم مردم و نهادهای غیر دولتی از سوی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جمع بین دو اصل فوق این است که اصل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وظیفه مردم نسبت به پیش‌گیری از وقوع جرم نافی مسئولیت قوه قضاییه نیست و پیش‌گیری از وقوع جرم توسط قوه قضاییه نافی مسئولیت مردم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جمع بین دو اصل فوق این است که پیش‌گیری از وقوع جرم؛ خواه وظیفه همگانی باشد یا حق همگان، تنها در عرصه پیش‌گیری </w:t>
      </w:r>
    </w:p>
    <w:p>
      <w:pPr>
        <w:pStyle w:val="BookText"/>
        <w:rPr/>
      </w:pPr>
      <w:r>
        <w:rPr>
          <w:rFonts w:ascii="IRNazanin" w:hAnsi="IRNazanin" w:eastAsia="IRNazanin"/>
          <w:color w:val="111111"/>
          <w:sz w:val="28"/>
          <w:sz w:val="28"/>
          <w:szCs w:val="28"/>
          <w:rtl w:val="true"/>
          <w:lang w:bidi="fa-IR"/>
        </w:rPr>
        <w:t>زبانی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و نظر فقها و حقوق دانان ورود عموم در عرصه اجرایی پیش‌گیری از جرم در زمانی که دولت اسلامی حاکم است،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بسط الید در پیش‌گیری از جرم از متعلقات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مردم نباید در این عرصه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معاصر نیز همین نظر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عامه مردم به عرصه اجرایی پیش‌گیری از جرم تبعات منفی فراوانی دارد که ایجاد هرج و مرج، امکان صدمه دیدن فرد پیش گیرنده به دلیل عدم قدرت وی، امکان افراط در شیوه پیش گیری از جرم و عدم تناسب رفتار پیش گیرنده با نوع جرم و امکان اعمال اغراض شخصی و مانند آن نمونه هایی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پیش‌گیری واکنشی در برابر جرم از وظایف قوه قضاییه است یا قوه مجریه، بین حقوق دانان اختلاف است ولی با توجه به استدلالاتی که در متن کتاب آمده می بایست پیش‌گیری واکنشی نسبت به جرم را در عداد وظایف قوه قضاییه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 در برخی قوانین عادی پیش‌گیری از وقوع جرم بر عهده برخی از نهادهای وابسته به قوه مجریه گذاشته شده است، این نهادها به عنوان ضابط قوه قضاییه عمل می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ظاهر اصل پنجاهم قانون اساسی ناظر به وظیفه همگانی در حفظ محیط زیست سالم در قالب خویشتن داری از آلوده کردن آن است، ولی با دقت بیشتر در مدلول اصل مزبور و روح حاکم بر قانون </w:t>
      </w:r>
    </w:p>
    <w:p>
      <w:pPr>
        <w:pStyle w:val="BookText"/>
        <w:rPr/>
      </w:pPr>
      <w:r>
        <w:rPr>
          <w:rFonts w:ascii="IRNazanin" w:hAnsi="IRNazanin" w:eastAsia="IRNazanin"/>
          <w:color w:val="111111"/>
          <w:sz w:val="28"/>
          <w:sz w:val="28"/>
          <w:szCs w:val="28"/>
          <w:rtl w:val="true"/>
          <w:lang w:bidi="fa-IR"/>
        </w:rPr>
        <w:t>اساسی پیش‌گیری از آلوده کردن محیط زیست توسط دیگران نیز وظیفه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به منظور پیش‌گیری از ازدیاد ناعادلانه ثروت برخی مقامات تنظیم شده است، نیاز به ضمانت اجرای جدی تر و توسعه افراد احصا شده در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از طریق وضع قانون عادی و اصلاح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تأمینی، مجازات های بازدارنده، پیش‌گیری از جرم در مقام دفاع، پیش‌گیری از جرم محاربه، پیش‌گیری از تصرف عدوانی، اقدامات پیش گیرانه نیروهای انتظامی، استفاده از نیروی مقاومت بسیج برای جلوگیری از امحای آثار جرم و مانند آن، از جمله مواردی است که در قوانین عادی به صراحت ناظر بر پیش‌گیری از وقوع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یعنی استفاده از نیروی مقاومت بسیج باید دقت های لازم را نمود و تنها در صورتی که شرایط مذکور در قانون حمایت قضایی از بسیح و نیز آیین نامه اجرایی آن فراهم گردد، آنهم نه در اصل پیش‌گیری از جرم بلکه در موارد احصا شده در قوانین مزبور از جمله پیش‌گیری از امحای آثار جرم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منحصر به جرایم مشهود به منظور پیش گیری از امحای آثار جرم و فرار متهم و تهیه و ارسال گزارش به مراجع قضایی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پیش‌گیری از وقوع جرم گو اینکه گامی مؤثر در این عرصه است ولی آنچه کشور ما به آن نیاز دارد، ایجاد نهادهای جدید زیر </w:t>
      </w:r>
    </w:p>
    <w:p>
      <w:pPr>
        <w:pStyle w:val="BookText"/>
        <w:rPr/>
      </w:pPr>
      <w:r>
        <w:rPr>
          <w:rFonts w:ascii="IRNazanin" w:hAnsi="IRNazanin" w:eastAsia="IRNazanin"/>
          <w:color w:val="111111"/>
          <w:sz w:val="28"/>
          <w:sz w:val="28"/>
          <w:szCs w:val="28"/>
          <w:rtl w:val="true"/>
          <w:lang w:bidi="fa-IR"/>
        </w:rPr>
        <w:t>عنوان شوراهای عالی یا استانی یا شهرستانی پیش‌گیری از جرم نیست، بلکه باید با همکاری سه قوه و نهادهای غیردولتی برنامه ای جامع با اتخاد سیاست های بین بخشی جامعه جرم زا را به جامعه جرم زدا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بدون مطالعه جدی در عرصه های حقوقی، جامعه شناسی، روان شناسی، اقتصادی، فلسفی و مانند آن ناقص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اقداماتی که گاه از آن زیر عنوان یا با هدف پیش‌گیری از وقوع جرم یاد می شود، نه تنها مؤثر و مفید نبوده بلکه آثار سویی نیز در بر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مجازات عاملی برای پیش‌گیری از وقوع جرم باشد، به طور جدی مورد تردید است؛ چه اینکه تأثیر علنی بودن مجازات در کاهش یا پیش‌گیری از وقوع جرم مورد انکار بسیاری از حقوق دانان و جامعه شناسان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انگاری تهیه وسایل ارتکاب جرم و استفاده از عموم مردم در پیش‌گیری عملی از جرم از جمله اقدامات نامناسب برای پیش‌گیری از وقوع جرم است که باید مورد بازنگری جدی در عرصه نظر، تقنین و اجرا قرار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تجربیات کشورهای دیگر و به ویژه استفاده از دیدگاه های سازمان های بین المللی در عرصه پیش‌گیری از جرم به دلیل تطبیق بیشتر حقوق داخلی با حقوق بین الملل و همگامی با استانداردهای جهانی در این زمینه قابل توصیه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نهادها در متن کتاب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جرم تنها نباید به مجرم به صورت تجریدی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جرم یا عامل جرم یا مسبب جرم به صورت تجریدی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باید با هم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دست پروده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جامعه مجرم آفرین خود به مجازات مجرم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مجرم نیز باید داد تا جامعه جرم خیز خود را محاکمه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قرایند پیش‌گیری از وقوع جرم باید جامعه و مجرم هر دو را مقصر دانست و ریشه های فردی و اجتماعی جرم باید شناسایی و از بین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وقوع جرم نباید راه افراط پیمود و آزادی های فردی و اجتماعی اشخاص را تحدید 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حریم خصوصی انسان ها به صورت جدی باید مورد احترام واقع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وقوع جرم نباید کرامت، حرمت و حیثیت متهم یا مجرم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مجرم در اثر ارتکاب جرم، ممکن است کرامت اکتسابی خویش را از دست دهد ولی هیچ انسانی کرامت ذاتی اش نابود نمی شود</w:t>
      </w:r>
      <w:r>
        <w:rPr>
          <w:rFonts w:eastAsia="IRNazanin" w:cs="IRNazanin"/>
          <w:color w:val="111111"/>
          <w:sz w:val="28"/>
          <w:szCs w:val="28"/>
          <w:rtl w:val="true"/>
          <w:lang w:bidi="fa-IR"/>
        </w:rPr>
        <w:t xml:space="preserve">. </w:t>
      </w:r>
      <w:bookmarkStart w:id="238" w:name="pg5505_36889"/>
    </w:p>
    <w:p>
      <w:pPr>
        <w:pStyle w:val="Heading2"/>
        <w:numPr>
          <w:ilvl w:val="1"/>
          <w:numId w:val="1"/>
        </w:numPr>
        <w:rPr/>
      </w:pPr>
      <w:bookmarkStart w:id="239" w:name="__RefHeading___Toc2336624_581953129"/>
      <w:bookmarkStart w:id="240" w:name="_Toc89"/>
      <w:bookmarkEnd w:id="238"/>
      <w:bookmarkEnd w:id="239"/>
      <w:r>
        <w:rPr>
          <w:rtl w:val="true"/>
        </w:rPr>
        <w:t>منابع</w:t>
      </w:r>
      <w:bookmarkEnd w:id="240"/>
    </w:p>
    <w:p>
      <w:pPr>
        <w:pStyle w:val="Heading3"/>
        <w:numPr>
          <w:ilvl w:val="2"/>
          <w:numId w:val="1"/>
        </w:numPr>
        <w:rPr/>
      </w:pPr>
      <w:bookmarkStart w:id="241" w:name="__RefHeading___Toc2336626_581953129"/>
      <w:bookmarkStart w:id="242" w:name="_Toc90"/>
      <w:bookmarkEnd w:id="241"/>
      <w:r>
        <w:rPr>
          <w:rtl w:val="true"/>
        </w:rPr>
        <w:t>منابع فارسی</w:t>
      </w:r>
      <w:bookmarkEnd w:id="242"/>
    </w:p>
    <w:p>
      <w:pPr>
        <w:pStyle w:val="BookText"/>
        <w:rPr/>
      </w:pPr>
      <w:r>
        <w:rPr>
          <w:rFonts w:ascii="IRNazanin" w:hAnsi="IRNazanin" w:eastAsia="IRNazanin"/>
          <w:color w:val="111111"/>
          <w:sz w:val="28"/>
          <w:sz w:val="28"/>
          <w:szCs w:val="28"/>
          <w:rtl w:val="true"/>
          <w:lang w:bidi="fa-IR"/>
        </w:rPr>
        <w:t xml:space="preserve">ابراهیمی،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ابهری،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دفاع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برنارد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حسین نجفی ابرند آبادی،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بازنگرشی درون دینی به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زنان،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سال دهم، پاییز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پیش‌گیری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تحقیقات حقوقی، شماره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سید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الإسلامیه،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نیا،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چاپ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43" w:name="pg5505_36890"/>
    </w:p>
    <w:p>
      <w:pPr>
        <w:pStyle w:val="BookText"/>
        <w:rPr/>
      </w:pPr>
      <w:bookmarkEnd w:id="243"/>
      <w:r>
        <w:rPr>
          <w:rFonts w:ascii="IRNazanin" w:hAnsi="IRNazanin" w:eastAsia="IRNazanin"/>
          <w:color w:val="111111"/>
          <w:sz w:val="28"/>
          <w:sz w:val="28"/>
          <w:szCs w:val="28"/>
          <w:rtl w:val="true"/>
          <w:lang w:bidi="fa-IR"/>
        </w:rPr>
        <w:t xml:space="preserve">گلدوزیان،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جزای عمومی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نایینی،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الأمه و تنزیه المله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حوزه علمیه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ابرندآبادی،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جرم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کارشناسی ارشد حقوق کیفری و 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سیدزاده، نیمسال دوم تحصیلی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ابرندآبادی، 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جرم شناسی دوره کارشناسی ارشد حقوق کیفری و</w:t>
      </w:r>
    </w:p>
    <w:p>
      <w:pPr>
        <w:pStyle w:val="BookText"/>
        <w:rPr/>
      </w:pPr>
      <w:r>
        <w:rPr>
          <w:rFonts w:ascii="IRNazanin" w:hAnsi="IRNazanin" w:eastAsia="IRNazanin"/>
          <w:color w:val="111111"/>
          <w:sz w:val="28"/>
          <w:sz w:val="28"/>
          <w:szCs w:val="28"/>
          <w:rtl w:val="true"/>
          <w:lang w:bidi="fa-IR"/>
        </w:rPr>
        <w:t>جرم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فانی، نیمسال اول تحصیلی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ابرندآبادی، علیحسین،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عادلانه از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در تجلیل از استاد آشوری، انتشارات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244" w:name="__RefHeading___Toc2336628_581953129"/>
      <w:bookmarkStart w:id="245" w:name="_Toc91"/>
      <w:bookmarkEnd w:id="244"/>
      <w:r>
        <w:rPr>
          <w:rtl w:val="true"/>
        </w:rPr>
        <w:t>منابع عربی</w:t>
      </w:r>
      <w:bookmarkEnd w:id="245"/>
    </w:p>
    <w:p>
      <w:pPr>
        <w:pStyle w:val="BookText"/>
        <w:rPr/>
      </w:pPr>
      <w:r>
        <w:rPr>
          <w:rFonts w:ascii="IRNazanin" w:hAnsi="IRNazanin" w:eastAsia="IRNazanin"/>
          <w:color w:val="111111"/>
          <w:sz w:val="28"/>
          <w:sz w:val="28"/>
          <w:szCs w:val="28"/>
          <w:rtl w:val="true"/>
          <w:lang w:bidi="fa-IR"/>
        </w:rPr>
        <w:t xml:space="preserve">قرآن کریم، ترجمه محمد مهدی فولادوند، تهران، دار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نهج البلاغه،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بیدار،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احسائی، ابن ابی جمهور، محمد بن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سید الشهداء للنشر، الطبعه الاولی،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الشیعه إلی تحصیل مسائل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 بروسوی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بیتا</w:t>
      </w:r>
    </w:p>
    <w:p>
      <w:pPr>
        <w:pStyle w:val="BookText"/>
        <w:rPr/>
      </w:pPr>
      <w:r>
        <w:rPr>
          <w:rFonts w:ascii="IRNazanin" w:hAnsi="IRNazanin" w:eastAsia="IRNazanin"/>
          <w:color w:val="111111"/>
          <w:sz w:val="28"/>
          <w:sz w:val="28"/>
          <w:szCs w:val="28"/>
          <w:rtl w:val="true"/>
          <w:lang w:bidi="fa-IR"/>
        </w:rPr>
        <w:t xml:space="preserve">حلّی، ابن ادریس، محمد بن منصور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اسماعیلیان،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 فی امامه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دارالهجره،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سید ابو 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مدینه العلم، چاپ بیست و 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دار العلم، چاپ اول، بیتا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اللطبعه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سبزواری نجفی، محمد بن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 فی تفسیر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للمطبوعات، الطبعه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المنتخبه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آیه الله السیستانی، چاپ نهم،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آیه الله السیستانی،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تفسیر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کویت، مکتبه الألفین، الطبعه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النشر الاسلامی التابعه لجماعه المدرسین، الطبعه الثانیه،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النشر الاسلامی التابعه لجماعه المدرسین، الطبعه الثانیه،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موسسه الاعلمی للمطبوعات، الطبعه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 خسرو، چاچ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 الرابعه،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بیتا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مجرد الفقه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الطبعه الثانیه،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تفصیل الشریعه فی شرح 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المؤلف، الطبعه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الواضحه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 الرابعه،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جماعه المدرسین؛ الطبعه الثانیه</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موسسه الوفاء، الطبعه الثانیه،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فقهیه 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الطبعه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6" w:name="pg5505_36894"/>
    </w:p>
    <w:p>
      <w:pPr>
        <w:pStyle w:val="Heading2"/>
        <w:numPr>
          <w:ilvl w:val="1"/>
          <w:numId w:val="1"/>
        </w:numPr>
        <w:rPr/>
      </w:pPr>
      <w:bookmarkStart w:id="247" w:name="__RefHeading___Toc2336630_581953129"/>
      <w:bookmarkStart w:id="248" w:name="_Toc92"/>
      <w:bookmarkEnd w:id="246"/>
      <w:bookmarkEnd w:id="247"/>
      <w:r>
        <w:rPr>
          <w:rtl w:val="true"/>
        </w:rPr>
        <w:t>مجموعه کتب عدالت و سلامت</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پیشگیری از وقوع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در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دولت در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ریشه‌ای که موجب جرم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شود </w:t>
      </w:r>
      <w:bookmarkStart w:id="249" w:name="pg5505_36895"/>
    </w:p>
    <w:p>
      <w:pPr>
        <w:pStyle w:val="Heading2"/>
        <w:numPr>
          <w:ilvl w:val="1"/>
          <w:numId w:val="1"/>
        </w:numPr>
        <w:rPr/>
      </w:pPr>
      <w:bookmarkStart w:id="250" w:name="__RefHeading___Toc2336632_581953129"/>
      <w:bookmarkStart w:id="251" w:name="_Toc93"/>
      <w:bookmarkEnd w:id="249"/>
      <w:bookmarkEnd w:id="250"/>
      <w:r>
        <w:rPr>
          <w:rtl w:val="true"/>
        </w:rPr>
        <w:t>مجموعه کتب فقه زندگی</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تاکسیرانی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کشتیرانی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تالارهای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ورزش بانوان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مدیریت و کارمندی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قنادیها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پوشش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است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اعیاد و دید و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 آباد جنب مدرسه شهیدین، انتشارات نورالسجاد تماس بگیرید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91225195338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7835554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جزوه درسی کارشناسی ارشد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قرشی،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بیتا،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تفسیری دیگر مانند تفسیر 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البروسوی،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دیدگاه ارایه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 اینکه نویسنده در نوشتاری دیگر نظر داده است که آیات فوق ناظر به مسئله حجاب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احسایی،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اصول کافی،کلینی،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فصول بعد بیشتر بحث خواهد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جزوه کارشناسی ارشد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شبر،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بیتا،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بیتا،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خویی،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بولک،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گلدوزیان،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الف ماده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ب ماده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بندج ماده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نیروی انتظامی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حمایت قضایی از بسیج و تبصره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آیین نامه اجرایی قانون مزبور و ماده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آیین نامه اجرایی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اجرایی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لایحه پیش‌گیری از جرم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نظر کارشناسی مرکز پژوهش های مجلس شورای اسلامی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کی 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نیا،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معاهده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وین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ابرندآبادی،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کارشناسی ارشد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35231</Words>
  <Characters>136730</Characters>
  <CharactersWithSpaces>170968</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2026-08-19T02:27:04Z</dcterms:created>
  <dc:creator>ghaemiyeh.com</dc:creator>
  <dc:description/>
  <dc:language>en-US</dc:language>
  <cp:lastModifiedBy/>
  <dcterms:modified xsi:type="dcterms:W3CDTF">2026-08-19T05:57:09Z</dcterms:modified>
  <cp:revision>1</cp:revision>
  <dc:subject/>
  <dc:title>مبانی حقوقی پیش گیری از جرم</dc:title>
</cp:coreProperties>
</file>

<file path=docProps/custom.xml><?xml version="1.0" encoding="utf-8"?>
<Properties xmlns="http://schemas.openxmlformats.org/officeDocument/2006/custom-properties" xmlns:vt="http://schemas.openxmlformats.org/officeDocument/2006/docPropsVTypes"/>
</file>