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قبسات من البحث العلمی اسئلة و ردود فی مجال الدین والفکر والعقیدة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3998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94000_581953129">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1994002_581953129">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994004_581953129">
            <w:r>
              <w:rPr>
                <w:webHidden/>
                <w:rStyle w:val="IndexLink"/>
                <w:rtl w:val="true"/>
              </w:rPr>
              <w:t>کلمة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1994006_581953129">
            <w:r>
              <w:rPr>
                <w:webHidden/>
                <w:rStyle w:val="IndexLink"/>
                <w:rtl w:val="true"/>
              </w:rPr>
              <w:t>الفهرس</w:t>
            </w:r>
            <w:r>
              <w:rPr>
                <w:rStyle w:val="IndexLink"/>
                <w:rtl w:val="true"/>
              </w:rPr>
              <w:tab/>
            </w:r>
            <w:r>
              <w:rPr>
                <w:rStyle w:val="IndexLink"/>
              </w:rPr>
              <w:t>15</w:t>
            </w:r>
          </w:hyperlink>
        </w:p>
        <w:p>
          <w:pPr>
            <w:pStyle w:val="Contents2"/>
            <w:tabs>
              <w:tab w:val="clear" w:pos="8743"/>
              <w:tab w:val="right" w:pos="9026" w:leader="dot"/>
            </w:tabs>
            <w:rPr/>
          </w:pPr>
          <w:hyperlink w:anchor="__RefHeading___Toc1994008_581953129">
            <w:r>
              <w:rPr>
                <w:webHidden/>
                <w:rStyle w:val="IndexLink"/>
                <w:rtl w:val="true"/>
              </w:rPr>
              <w:t>حاجة الدین إلی مُفسّر ومُتوَلٍّ</w:t>
            </w:r>
            <w:r>
              <w:rPr>
                <w:rStyle w:val="IndexLink"/>
                <w:rtl w:val="true"/>
              </w:rPr>
              <w:tab/>
            </w:r>
            <w:r>
              <w:rPr>
                <w:rStyle w:val="IndexLink"/>
              </w:rPr>
              <w:t>25</w:t>
            </w:r>
          </w:hyperlink>
        </w:p>
        <w:p>
          <w:pPr>
            <w:pStyle w:val="Contents3"/>
            <w:tabs>
              <w:tab w:val="clear" w:pos="8459"/>
              <w:tab w:val="right" w:pos="9026" w:leader="dot"/>
            </w:tabs>
            <w:rPr/>
          </w:pPr>
          <w:hyperlink w:anchor="__RefHeading___Toc1994010_581953129">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994012_581953129">
            <w:r>
              <w:rPr>
                <w:webHidden/>
                <w:rStyle w:val="IndexLink"/>
                <w:rtl w:val="true"/>
              </w:rPr>
              <w:t>مصادر للمطالعة</w:t>
            </w:r>
            <w:r>
              <w:rPr>
                <w:rStyle w:val="IndexLink"/>
                <w:rtl w:val="true"/>
              </w:rPr>
              <w:tab/>
            </w:r>
            <w:r>
              <w:rPr>
                <w:rStyle w:val="IndexLink"/>
              </w:rPr>
              <w:t>30</w:t>
            </w:r>
          </w:hyperlink>
        </w:p>
        <w:p>
          <w:pPr>
            <w:pStyle w:val="Contents3"/>
            <w:tabs>
              <w:tab w:val="clear" w:pos="8459"/>
              <w:tab w:val="right" w:pos="9026" w:leader="dot"/>
            </w:tabs>
            <w:rPr/>
          </w:pPr>
          <w:hyperlink w:anchor="__RefHeading___Toc1994014_581953129">
            <w:r>
              <w:rPr>
                <w:webHidden/>
                <w:rStyle w:val="IndexLink"/>
                <w:rtl w:val="true"/>
              </w:rPr>
              <w:t>الحدیث الختامیّ</w:t>
            </w:r>
            <w:r>
              <w:rPr>
                <w:rStyle w:val="IndexLink"/>
                <w:rtl w:val="true"/>
              </w:rPr>
              <w:tab/>
            </w:r>
            <w:r>
              <w:rPr>
                <w:rStyle w:val="IndexLink"/>
              </w:rPr>
              <w:t>30</w:t>
            </w:r>
          </w:hyperlink>
        </w:p>
        <w:p>
          <w:pPr>
            <w:pStyle w:val="Contents2"/>
            <w:tabs>
              <w:tab w:val="clear" w:pos="8743"/>
              <w:tab w:val="right" w:pos="9026" w:leader="dot"/>
            </w:tabs>
            <w:rPr/>
          </w:pPr>
          <w:hyperlink w:anchor="__RefHeading___Toc1994016_581953129">
            <w:r>
              <w:rPr>
                <w:webHidden/>
                <w:rStyle w:val="IndexLink"/>
                <w:rtl w:val="true"/>
              </w:rPr>
              <w:t>سُبُل التخلّص من الهواجِس الفِکریّة للیافعین والشباب</w:t>
            </w:r>
            <w:r>
              <w:rPr>
                <w:rStyle w:val="IndexLink"/>
                <w:rtl w:val="true"/>
              </w:rPr>
              <w:tab/>
            </w:r>
            <w:r>
              <w:rPr>
                <w:rStyle w:val="IndexLink"/>
              </w:rPr>
              <w:t>31</w:t>
            </w:r>
          </w:hyperlink>
        </w:p>
        <w:p>
          <w:pPr>
            <w:pStyle w:val="Contents3"/>
            <w:tabs>
              <w:tab w:val="clear" w:pos="8459"/>
              <w:tab w:val="right" w:pos="9026" w:leader="dot"/>
            </w:tabs>
            <w:rPr/>
          </w:pPr>
          <w:hyperlink w:anchor="__RefHeading___Toc1994018_58195312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994020_581953129">
            <w:r>
              <w:rPr>
                <w:webHidden/>
                <w:rStyle w:val="IndexLink"/>
              </w:rPr>
              <w:t>1</w:t>
            </w:r>
            <w:r>
              <w:rPr>
                <w:rStyle w:val="IndexLink"/>
                <w:rtl w:val="true"/>
              </w:rPr>
              <w:t xml:space="preserve">- </w:t>
            </w:r>
            <w:r>
              <w:rPr>
                <w:rStyle w:val="IndexLink"/>
                <w:rtl w:val="true"/>
              </w:rPr>
              <w:t>تحصیل العلم</w:t>
            </w:r>
            <w:r>
              <w:rPr>
                <w:rStyle w:val="IndexLink"/>
                <w:rtl w:val="true"/>
              </w:rPr>
              <w:tab/>
            </w:r>
            <w:r>
              <w:rPr>
                <w:rStyle w:val="IndexLink"/>
              </w:rPr>
              <w:t>34</w:t>
            </w:r>
          </w:hyperlink>
        </w:p>
        <w:p>
          <w:pPr>
            <w:pStyle w:val="Contents3"/>
            <w:tabs>
              <w:tab w:val="clear" w:pos="8459"/>
              <w:tab w:val="right" w:pos="9026" w:leader="dot"/>
            </w:tabs>
            <w:rPr/>
          </w:pPr>
          <w:hyperlink w:anchor="__RefHeading___Toc1994022_581953129">
            <w:r>
              <w:rPr>
                <w:webHidden/>
                <w:rStyle w:val="IndexLink"/>
              </w:rPr>
              <w:t>2</w:t>
            </w:r>
            <w:r>
              <w:rPr>
                <w:rStyle w:val="IndexLink"/>
                <w:rtl w:val="true"/>
              </w:rPr>
              <w:t xml:space="preserve">- </w:t>
            </w:r>
            <w:r>
              <w:rPr>
                <w:rStyle w:val="IndexLink"/>
                <w:rtl w:val="true"/>
              </w:rPr>
              <w:t>التفکّر</w:t>
            </w:r>
            <w:r>
              <w:rPr>
                <w:rStyle w:val="IndexLink"/>
                <w:rtl w:val="true"/>
              </w:rPr>
              <w:tab/>
            </w:r>
            <w:r>
              <w:rPr>
                <w:rStyle w:val="IndexLink"/>
              </w:rPr>
              <w:t>34</w:t>
            </w:r>
          </w:hyperlink>
        </w:p>
        <w:p>
          <w:pPr>
            <w:pStyle w:val="Contents3"/>
            <w:tabs>
              <w:tab w:val="clear" w:pos="8459"/>
              <w:tab w:val="right" w:pos="9026" w:leader="dot"/>
            </w:tabs>
            <w:rPr/>
          </w:pPr>
          <w:hyperlink w:anchor="__RefHeading___Toc1994024_581953129">
            <w:r>
              <w:rPr>
                <w:webHidden/>
                <w:rStyle w:val="IndexLink"/>
              </w:rPr>
              <w:t>3</w:t>
            </w:r>
            <w:r>
              <w:rPr>
                <w:rStyle w:val="IndexLink"/>
                <w:rtl w:val="true"/>
              </w:rPr>
              <w:t xml:space="preserve">- </w:t>
            </w:r>
            <w:r>
              <w:rPr>
                <w:rStyle w:val="IndexLink"/>
                <w:rtl w:val="true"/>
              </w:rPr>
              <w:t>الإیمان</w:t>
            </w:r>
            <w:r>
              <w:rPr>
                <w:rStyle w:val="IndexLink"/>
                <w:rtl w:val="true"/>
              </w:rPr>
              <w:tab/>
            </w:r>
            <w:r>
              <w:rPr>
                <w:rStyle w:val="IndexLink"/>
              </w:rPr>
              <w:t>35</w:t>
            </w:r>
          </w:hyperlink>
        </w:p>
        <w:p>
          <w:pPr>
            <w:pStyle w:val="Contents3"/>
            <w:tabs>
              <w:tab w:val="clear" w:pos="8459"/>
              <w:tab w:val="right" w:pos="9026" w:leader="dot"/>
            </w:tabs>
            <w:rPr/>
          </w:pPr>
          <w:hyperlink w:anchor="__RefHeading___Toc1994026_581953129">
            <w:r>
              <w:rPr>
                <w:webHidden/>
                <w:rStyle w:val="IndexLink"/>
              </w:rPr>
              <w:t>4</w:t>
            </w:r>
            <w:r>
              <w:rPr>
                <w:rStyle w:val="IndexLink"/>
                <w:rtl w:val="true"/>
              </w:rPr>
              <w:t xml:space="preserve">- </w:t>
            </w:r>
            <w:r>
              <w:rPr>
                <w:rStyle w:val="IndexLink"/>
                <w:rtl w:val="true"/>
              </w:rPr>
              <w:t>العمل</w:t>
            </w:r>
            <w:r>
              <w:rPr>
                <w:rStyle w:val="IndexLink"/>
                <w:rtl w:val="true"/>
              </w:rPr>
              <w:tab/>
            </w:r>
            <w:r>
              <w:rPr>
                <w:rStyle w:val="IndexLink"/>
              </w:rPr>
              <w:t>35</w:t>
            </w:r>
          </w:hyperlink>
        </w:p>
        <w:p>
          <w:pPr>
            <w:pStyle w:val="Contents3"/>
            <w:tabs>
              <w:tab w:val="clear" w:pos="8459"/>
              <w:tab w:val="right" w:pos="9026" w:leader="dot"/>
            </w:tabs>
            <w:rPr/>
          </w:pPr>
          <w:hyperlink w:anchor="__RefHeading___Toc1994028_581953129">
            <w:r>
              <w:rPr>
                <w:webHidden/>
                <w:rStyle w:val="IndexLink"/>
                <w:rtl w:val="true"/>
              </w:rPr>
              <w:t>مصادر للمطالعة</w:t>
            </w:r>
            <w:r>
              <w:rPr>
                <w:rStyle w:val="IndexLink"/>
                <w:rtl w:val="true"/>
              </w:rPr>
              <w:tab/>
            </w:r>
            <w:r>
              <w:rPr>
                <w:rStyle w:val="IndexLink"/>
              </w:rPr>
              <w:t>37</w:t>
            </w:r>
          </w:hyperlink>
        </w:p>
        <w:p>
          <w:pPr>
            <w:pStyle w:val="Contents3"/>
            <w:tabs>
              <w:tab w:val="clear" w:pos="8459"/>
              <w:tab w:val="right" w:pos="9026" w:leader="dot"/>
            </w:tabs>
            <w:rPr/>
          </w:pPr>
          <w:hyperlink w:anchor="__RefHeading___Toc1994030_581953129">
            <w:r>
              <w:rPr>
                <w:webHidden/>
                <w:rStyle w:val="IndexLink"/>
                <w:rtl w:val="true"/>
              </w:rPr>
              <w:t>الحدیث الختامیّ</w:t>
            </w:r>
            <w:r>
              <w:rPr>
                <w:rStyle w:val="IndexLink"/>
                <w:rtl w:val="true"/>
              </w:rPr>
              <w:tab/>
            </w:r>
            <w:r>
              <w:rPr>
                <w:rStyle w:val="IndexLink"/>
              </w:rPr>
              <w:t>37</w:t>
            </w:r>
          </w:hyperlink>
        </w:p>
        <w:p>
          <w:pPr>
            <w:pStyle w:val="Contents2"/>
            <w:tabs>
              <w:tab w:val="clear" w:pos="8743"/>
              <w:tab w:val="right" w:pos="9026" w:leader="dot"/>
            </w:tabs>
            <w:rPr/>
          </w:pPr>
          <w:hyperlink w:anchor="__RefHeading___Toc1994032_581953129">
            <w:r>
              <w:rPr>
                <w:webHidden/>
                <w:rStyle w:val="IndexLink"/>
                <w:rtl w:val="true"/>
              </w:rPr>
              <w:t>الحدّ الأقلّ والحدّ الأکثر من البصیرة فی الدین</w:t>
            </w:r>
            <w:r>
              <w:rPr>
                <w:rStyle w:val="IndexLink"/>
                <w:rtl w:val="true"/>
              </w:rPr>
              <w:tab/>
            </w:r>
            <w:r>
              <w:rPr>
                <w:rStyle w:val="IndexLink"/>
              </w:rPr>
              <w:t>38</w:t>
            </w:r>
          </w:hyperlink>
        </w:p>
        <w:p>
          <w:pPr>
            <w:pStyle w:val="Contents3"/>
            <w:tabs>
              <w:tab w:val="clear" w:pos="8459"/>
              <w:tab w:val="right" w:pos="9026" w:leader="dot"/>
            </w:tabs>
            <w:rPr/>
          </w:pPr>
          <w:hyperlink w:anchor="__RefHeading___Toc1994034_581953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994036_581953129">
            <w:r>
              <w:rPr>
                <w:webHidden/>
                <w:rStyle w:val="IndexLink"/>
                <w:rtl w:val="true"/>
              </w:rPr>
              <w:t>أ</w:t>
            </w:r>
            <w:r>
              <w:rPr>
                <w:rStyle w:val="IndexLink"/>
                <w:rtl w:val="true"/>
              </w:rPr>
              <w:t xml:space="preserve">) </w:t>
            </w:r>
            <w:r>
              <w:rPr>
                <w:rStyle w:val="IndexLink"/>
                <w:rtl w:val="true"/>
              </w:rPr>
              <w:t>الردّ علی سؤال الحد الأقلّ والحدّ الأکثر من الدین من داخل الدین نفسه</w:t>
            </w:r>
            <w:r>
              <w:rPr>
                <w:rStyle w:val="IndexLink"/>
                <w:rtl w:val="true"/>
              </w:rPr>
              <w:tab/>
            </w:r>
            <w:r>
              <w:rPr>
                <w:rStyle w:val="IndexLink"/>
              </w:rPr>
              <w:t>38</w:t>
            </w:r>
          </w:hyperlink>
        </w:p>
        <w:p>
          <w:pPr>
            <w:pStyle w:val="Contents3"/>
            <w:tabs>
              <w:tab w:val="clear" w:pos="8459"/>
              <w:tab w:val="right" w:pos="9026" w:leader="dot"/>
            </w:tabs>
            <w:rPr/>
          </w:pPr>
          <w:hyperlink w:anchor="__RefHeading___Toc1994038_581953129">
            <w:r>
              <w:rPr>
                <w:webHidden/>
                <w:rStyle w:val="IndexLink"/>
                <w:rtl w:val="true"/>
              </w:rPr>
              <w:t>ب</w:t>
            </w:r>
            <w:r>
              <w:rPr>
                <w:rStyle w:val="IndexLink"/>
                <w:rtl w:val="true"/>
              </w:rPr>
              <w:t xml:space="preserve">) </w:t>
            </w:r>
            <w:r>
              <w:rPr>
                <w:rStyle w:val="IndexLink"/>
                <w:rtl w:val="true"/>
              </w:rPr>
              <w:t>تفسیر الحدّ الأقلّ والحدّ الأکثر من خارج نطاق الدین</w:t>
            </w:r>
            <w:r>
              <w:rPr>
                <w:rStyle w:val="IndexLink"/>
                <w:rtl w:val="true"/>
              </w:rPr>
              <w:tab/>
            </w:r>
            <w:r>
              <w:rPr>
                <w:rStyle w:val="IndexLink"/>
              </w:rPr>
              <w:t>42</w:t>
            </w:r>
          </w:hyperlink>
        </w:p>
        <w:p>
          <w:pPr>
            <w:pStyle w:val="Contents4"/>
            <w:tabs>
              <w:tab w:val="clear" w:pos="8176"/>
              <w:tab w:val="right" w:pos="9026" w:leader="dot"/>
            </w:tabs>
            <w:rPr/>
          </w:pPr>
          <w:hyperlink w:anchor="__RefHeading___Toc1994040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994042_581953129">
            <w:r>
              <w:rPr>
                <w:webHidden/>
                <w:rStyle w:val="IndexLink"/>
                <w:rtl w:val="true"/>
              </w:rPr>
              <w:t>مناقشة رؤیة الحدّ الأکثر من الدین</w:t>
            </w:r>
            <w:r>
              <w:rPr>
                <w:rStyle w:val="IndexLink"/>
                <w:rtl w:val="true"/>
              </w:rPr>
              <w:tab/>
            </w:r>
            <w:r>
              <w:rPr>
                <w:rStyle w:val="IndexLink"/>
              </w:rPr>
              <w:t>44</w:t>
            </w:r>
          </w:hyperlink>
        </w:p>
        <w:p>
          <w:pPr>
            <w:pStyle w:val="Contents4"/>
            <w:tabs>
              <w:tab w:val="clear" w:pos="8176"/>
              <w:tab w:val="right" w:pos="9026" w:leader="dot"/>
            </w:tabs>
            <w:rPr/>
          </w:pPr>
          <w:hyperlink w:anchor="__RefHeading___Toc1994044_581953129">
            <w:r>
              <w:rPr>
                <w:webHidden/>
                <w:rStyle w:val="IndexLink"/>
                <w:rtl w:val="true"/>
              </w:rPr>
              <w:t>مناقشة رؤیة الحدّ الأقلّ من الدین</w:t>
            </w:r>
            <w:r>
              <w:rPr>
                <w:rStyle w:val="IndexLink"/>
                <w:rtl w:val="true"/>
              </w:rPr>
              <w:tab/>
            </w:r>
            <w:r>
              <w:rPr>
                <w:rStyle w:val="IndexLink"/>
              </w:rPr>
              <w:t>45</w:t>
            </w:r>
          </w:hyperlink>
        </w:p>
        <w:p>
          <w:pPr>
            <w:pStyle w:val="Contents3"/>
            <w:tabs>
              <w:tab w:val="clear" w:pos="8459"/>
              <w:tab w:val="right" w:pos="9026" w:leader="dot"/>
            </w:tabs>
            <w:rPr/>
          </w:pPr>
          <w:hyperlink w:anchor="__RefHeading___Toc1994046_581953129">
            <w:r>
              <w:rPr>
                <w:webHidden/>
                <w:rStyle w:val="IndexLink"/>
                <w:rtl w:val="true"/>
              </w:rPr>
              <w:t>مصادر للمطالعة</w:t>
            </w:r>
            <w:r>
              <w:rPr>
                <w:rStyle w:val="IndexLink"/>
                <w:rtl w:val="true"/>
              </w:rPr>
              <w:tab/>
            </w:r>
            <w:r>
              <w:rPr>
                <w:rStyle w:val="IndexLink"/>
              </w:rPr>
              <w:t>48</w:t>
            </w:r>
          </w:hyperlink>
        </w:p>
        <w:p>
          <w:pPr>
            <w:pStyle w:val="Contents3"/>
            <w:tabs>
              <w:tab w:val="clear" w:pos="8459"/>
              <w:tab w:val="right" w:pos="9026" w:leader="dot"/>
            </w:tabs>
            <w:rPr/>
          </w:pPr>
          <w:hyperlink w:anchor="__RefHeading___Toc1994048_581953129">
            <w:r>
              <w:rPr>
                <w:webHidden/>
                <w:rStyle w:val="IndexLink"/>
                <w:rtl w:val="true"/>
              </w:rPr>
              <w:t>الحدیث الختامیّ</w:t>
            </w:r>
            <w:r>
              <w:rPr>
                <w:rStyle w:val="IndexLink"/>
                <w:rtl w:val="true"/>
              </w:rPr>
              <w:tab/>
            </w:r>
            <w:r>
              <w:rPr>
                <w:rStyle w:val="IndexLink"/>
              </w:rPr>
              <w:t>48</w:t>
            </w:r>
          </w:hyperlink>
        </w:p>
        <w:p>
          <w:pPr>
            <w:pStyle w:val="Contents2"/>
            <w:tabs>
              <w:tab w:val="clear" w:pos="8743"/>
              <w:tab w:val="right" w:pos="9026" w:leader="dot"/>
            </w:tabs>
            <w:rPr/>
          </w:pPr>
          <w:hyperlink w:anchor="__RefHeading___Toc1994050_581953129">
            <w:r>
              <w:rPr>
                <w:webHidden/>
                <w:rStyle w:val="IndexLink"/>
                <w:rtl w:val="true"/>
              </w:rPr>
              <w:t>حریّة العقیدة فی الإسلام وحُکمُ الارتداد</w:t>
            </w:r>
            <w:r>
              <w:rPr>
                <w:rStyle w:val="IndexLink"/>
                <w:rtl w:val="true"/>
              </w:rPr>
              <w:tab/>
            </w:r>
            <w:r>
              <w:rPr>
                <w:rStyle w:val="IndexLink"/>
              </w:rPr>
              <w:t>49</w:t>
            </w:r>
          </w:hyperlink>
        </w:p>
        <w:p>
          <w:pPr>
            <w:pStyle w:val="Contents3"/>
            <w:tabs>
              <w:tab w:val="clear" w:pos="8459"/>
              <w:tab w:val="right" w:pos="9026" w:leader="dot"/>
            </w:tabs>
            <w:rPr/>
          </w:pPr>
          <w:hyperlink w:anchor="__RefHeading___Toc1994052_58195312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994054_581953129">
            <w:r>
              <w:rPr>
                <w:webHidden/>
                <w:rStyle w:val="IndexLink"/>
                <w:rtl w:val="true"/>
              </w:rPr>
              <w:t>صدق المرتد</w:t>
            </w:r>
            <w:r>
              <w:rPr>
                <w:rStyle w:val="IndexLink"/>
                <w:rtl w:val="true"/>
              </w:rPr>
              <w:tab/>
            </w:r>
            <w:r>
              <w:rPr>
                <w:rStyle w:val="IndexLink"/>
              </w:rPr>
              <w:t>53</w:t>
            </w:r>
          </w:hyperlink>
        </w:p>
        <w:p>
          <w:pPr>
            <w:pStyle w:val="Contents3"/>
            <w:tabs>
              <w:tab w:val="clear" w:pos="8459"/>
              <w:tab w:val="right" w:pos="9026" w:leader="dot"/>
            </w:tabs>
            <w:rPr/>
          </w:pPr>
          <w:hyperlink w:anchor="__RefHeading___Toc1994056_581953129">
            <w:r>
              <w:rPr>
                <w:webHidden/>
                <w:rStyle w:val="IndexLink"/>
                <w:rtl w:val="true"/>
              </w:rPr>
              <w:t>مصادر للمطالعة</w:t>
            </w:r>
            <w:r>
              <w:rPr>
                <w:rStyle w:val="IndexLink"/>
                <w:rtl w:val="true"/>
              </w:rPr>
              <w:tab/>
            </w:r>
            <w:r>
              <w:rPr>
                <w:rStyle w:val="IndexLink"/>
              </w:rPr>
              <w:t>57</w:t>
            </w:r>
          </w:hyperlink>
        </w:p>
        <w:p>
          <w:pPr>
            <w:pStyle w:val="Contents3"/>
            <w:tabs>
              <w:tab w:val="clear" w:pos="8459"/>
              <w:tab w:val="right" w:pos="9026" w:leader="dot"/>
            </w:tabs>
            <w:rPr/>
          </w:pPr>
          <w:hyperlink w:anchor="__RefHeading___Toc1994058_581953129">
            <w:r>
              <w:rPr>
                <w:webHidden/>
                <w:rStyle w:val="IndexLink"/>
                <w:rtl w:val="true"/>
              </w:rPr>
              <w:t>الحدیث الختامیّ</w:t>
            </w:r>
            <w:r>
              <w:rPr>
                <w:rStyle w:val="IndexLink"/>
                <w:rtl w:val="true"/>
              </w:rPr>
              <w:tab/>
            </w:r>
            <w:r>
              <w:rPr>
                <w:rStyle w:val="IndexLink"/>
              </w:rPr>
              <w:t>57</w:t>
            </w:r>
          </w:hyperlink>
        </w:p>
        <w:p>
          <w:pPr>
            <w:pStyle w:val="Contents2"/>
            <w:tabs>
              <w:tab w:val="clear" w:pos="8743"/>
              <w:tab w:val="right" w:pos="9026" w:leader="dot"/>
            </w:tabs>
            <w:rPr/>
          </w:pPr>
          <w:hyperlink w:anchor="__RefHeading___Toc1994060_581953129">
            <w:r>
              <w:rPr>
                <w:webHidden/>
                <w:rStyle w:val="IndexLink"/>
                <w:rtl w:val="true"/>
              </w:rPr>
              <w:t>علّة الاختلاف بین الناس</w:t>
            </w:r>
            <w:r>
              <w:rPr>
                <w:rStyle w:val="IndexLink"/>
                <w:rtl w:val="true"/>
              </w:rPr>
              <w:tab/>
            </w:r>
            <w:r>
              <w:rPr>
                <w:rStyle w:val="IndexLink"/>
              </w:rPr>
              <w:t>58</w:t>
            </w:r>
          </w:hyperlink>
        </w:p>
        <w:p>
          <w:pPr>
            <w:pStyle w:val="Contents3"/>
            <w:tabs>
              <w:tab w:val="clear" w:pos="8459"/>
              <w:tab w:val="right" w:pos="9026" w:leader="dot"/>
            </w:tabs>
            <w:rPr/>
          </w:pPr>
          <w:hyperlink w:anchor="__RefHeading___Toc1994062_58195312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994064_581953129">
            <w:r>
              <w:rPr>
                <w:webHidden/>
                <w:rStyle w:val="IndexLink"/>
                <w:rtl w:val="true"/>
              </w:rPr>
              <w:t>تمهید</w:t>
            </w:r>
            <w:r>
              <w:rPr>
                <w:rStyle w:val="IndexLink"/>
                <w:rtl w:val="true"/>
              </w:rPr>
              <w:tab/>
            </w:r>
            <w:r>
              <w:rPr>
                <w:rStyle w:val="IndexLink"/>
              </w:rPr>
              <w:t>58</w:t>
            </w:r>
          </w:hyperlink>
        </w:p>
        <w:p>
          <w:pPr>
            <w:pStyle w:val="Contents3"/>
            <w:tabs>
              <w:tab w:val="clear" w:pos="8459"/>
              <w:tab w:val="right" w:pos="9026" w:leader="dot"/>
            </w:tabs>
            <w:rPr/>
          </w:pPr>
          <w:hyperlink w:anchor="__RefHeading___Toc1994066_581953129">
            <w:r>
              <w:rPr>
                <w:webHidden/>
                <w:rStyle w:val="IndexLink"/>
                <w:rtl w:val="true"/>
              </w:rPr>
              <w:t>الاختلافات من وجهة نظر القرآن</w:t>
            </w:r>
            <w:r>
              <w:rPr>
                <w:rStyle w:val="IndexLink"/>
                <w:rtl w:val="true"/>
              </w:rPr>
              <w:tab/>
            </w:r>
            <w:r>
              <w:rPr>
                <w:rStyle w:val="IndexLink"/>
              </w:rPr>
              <w:t>59</w:t>
            </w:r>
          </w:hyperlink>
        </w:p>
        <w:p>
          <w:pPr>
            <w:pStyle w:val="Contents3"/>
            <w:tabs>
              <w:tab w:val="clear" w:pos="8459"/>
              <w:tab w:val="right" w:pos="9026" w:leader="dot"/>
            </w:tabs>
            <w:rPr/>
          </w:pPr>
          <w:hyperlink w:anchor="__RefHeading___Toc1994068_581953129">
            <w:r>
              <w:rPr>
                <w:webHidden/>
                <w:rStyle w:val="IndexLink"/>
                <w:rtl w:val="true"/>
              </w:rPr>
              <w:t>الأسباب الأُخری للاختلافات البشریّة</w:t>
            </w:r>
            <w:r>
              <w:rPr>
                <w:rStyle w:val="IndexLink"/>
                <w:rtl w:val="true"/>
              </w:rPr>
              <w:tab/>
            </w:r>
            <w:r>
              <w:rPr>
                <w:rStyle w:val="IndexLink"/>
              </w:rPr>
              <w:t>62</w:t>
            </w:r>
          </w:hyperlink>
        </w:p>
        <w:p>
          <w:pPr>
            <w:pStyle w:val="Contents3"/>
            <w:tabs>
              <w:tab w:val="clear" w:pos="8459"/>
              <w:tab w:val="right" w:pos="9026" w:leader="dot"/>
            </w:tabs>
            <w:rPr/>
          </w:pPr>
          <w:hyperlink w:anchor="__RefHeading___Toc1994070_581953129">
            <w:r>
              <w:rPr>
                <w:webHidden/>
                <w:rStyle w:val="IndexLink"/>
                <w:rtl w:val="true"/>
              </w:rPr>
              <w:t>خلاصة واستنتاج</w:t>
            </w:r>
            <w:r>
              <w:rPr>
                <w:rStyle w:val="IndexLink"/>
                <w:rtl w:val="true"/>
              </w:rPr>
              <w:tab/>
            </w:r>
            <w:r>
              <w:rPr>
                <w:rStyle w:val="IndexLink"/>
              </w:rPr>
              <w:t>64</w:t>
            </w:r>
          </w:hyperlink>
        </w:p>
        <w:p>
          <w:pPr>
            <w:pStyle w:val="Contents3"/>
            <w:tabs>
              <w:tab w:val="clear" w:pos="8459"/>
              <w:tab w:val="right" w:pos="9026" w:leader="dot"/>
            </w:tabs>
            <w:rPr/>
          </w:pPr>
          <w:hyperlink w:anchor="__RefHeading___Toc1994072_581953129">
            <w:r>
              <w:rPr>
                <w:webHidden/>
                <w:rStyle w:val="IndexLink"/>
                <w:rtl w:val="true"/>
              </w:rPr>
              <w:t>مصادر للمطالعة</w:t>
            </w:r>
            <w:r>
              <w:rPr>
                <w:rStyle w:val="IndexLink"/>
                <w:rtl w:val="true"/>
              </w:rPr>
              <w:tab/>
            </w:r>
            <w:r>
              <w:rPr>
                <w:rStyle w:val="IndexLink"/>
              </w:rPr>
              <w:t>65</w:t>
            </w:r>
          </w:hyperlink>
        </w:p>
        <w:p>
          <w:pPr>
            <w:pStyle w:val="Contents3"/>
            <w:tabs>
              <w:tab w:val="clear" w:pos="8459"/>
              <w:tab w:val="right" w:pos="9026" w:leader="dot"/>
            </w:tabs>
            <w:rPr/>
          </w:pPr>
          <w:hyperlink w:anchor="__RefHeading___Toc1994074_581953129">
            <w:r>
              <w:rPr>
                <w:webHidden/>
                <w:rStyle w:val="IndexLink"/>
                <w:rtl w:val="true"/>
              </w:rPr>
              <w:t>الحدیث الختامیّ</w:t>
            </w:r>
            <w:r>
              <w:rPr>
                <w:rStyle w:val="IndexLink"/>
                <w:rtl w:val="true"/>
              </w:rPr>
              <w:tab/>
            </w:r>
            <w:r>
              <w:rPr>
                <w:rStyle w:val="IndexLink"/>
              </w:rPr>
              <w:t>66</w:t>
            </w:r>
          </w:hyperlink>
        </w:p>
        <w:p>
          <w:pPr>
            <w:pStyle w:val="Contents2"/>
            <w:tabs>
              <w:tab w:val="clear" w:pos="8743"/>
              <w:tab w:val="right" w:pos="9026" w:leader="dot"/>
            </w:tabs>
            <w:rPr/>
          </w:pPr>
          <w:hyperlink w:anchor="__RefHeading___Toc1994076_581953129">
            <w:r>
              <w:rPr>
                <w:webHidden/>
                <w:rStyle w:val="IndexLink"/>
                <w:rtl w:val="true"/>
              </w:rPr>
              <w:t>علم الله بمستقبل الإنسان ومسألة الاختیار</w:t>
            </w:r>
            <w:r>
              <w:rPr>
                <w:rStyle w:val="IndexLink"/>
                <w:rtl w:val="true"/>
              </w:rPr>
              <w:tab/>
            </w:r>
            <w:r>
              <w:rPr>
                <w:rStyle w:val="IndexLink"/>
              </w:rPr>
              <w:t>67</w:t>
            </w:r>
          </w:hyperlink>
        </w:p>
        <w:p>
          <w:pPr>
            <w:pStyle w:val="Contents3"/>
            <w:tabs>
              <w:tab w:val="clear" w:pos="8459"/>
              <w:tab w:val="right" w:pos="9026" w:leader="dot"/>
            </w:tabs>
            <w:rPr/>
          </w:pPr>
          <w:hyperlink w:anchor="__RefHeading___Toc1994078_58195312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994080_581953129">
            <w:r>
              <w:rPr>
                <w:webHidden/>
                <w:rStyle w:val="IndexLink"/>
                <w:rtl w:val="true"/>
              </w:rPr>
              <w:t>النظریّات المختلفة فی قضیّة الجبر والاختیار</w:t>
            </w:r>
            <w:r>
              <w:rPr>
                <w:rStyle w:val="IndexLink"/>
                <w:rtl w:val="true"/>
              </w:rPr>
              <w:tab/>
            </w:r>
            <w:r>
              <w:rPr>
                <w:rStyle w:val="IndexLink"/>
              </w:rPr>
              <w:t>69</w:t>
            </w:r>
          </w:hyperlink>
        </w:p>
        <w:p>
          <w:pPr>
            <w:pStyle w:val="Contents3"/>
            <w:tabs>
              <w:tab w:val="clear" w:pos="8459"/>
              <w:tab w:val="right" w:pos="9026" w:leader="dot"/>
            </w:tabs>
            <w:rPr/>
          </w:pPr>
          <w:hyperlink w:anchor="__RefHeading___Toc1994082_581953129">
            <w:r>
              <w:rPr>
                <w:webHidden/>
                <w:rStyle w:val="IndexLink"/>
                <w:rtl w:val="true"/>
              </w:rPr>
              <w:t>نظریة الشهید المطهری رحمه الله</w:t>
            </w:r>
            <w:r>
              <w:rPr>
                <w:rStyle w:val="IndexLink"/>
                <w:rtl w:val="true"/>
              </w:rPr>
              <w:tab/>
            </w:r>
            <w:r>
              <w:rPr>
                <w:rStyle w:val="IndexLink"/>
              </w:rPr>
              <w:t>71</w:t>
            </w:r>
          </w:hyperlink>
        </w:p>
        <w:p>
          <w:pPr>
            <w:pStyle w:val="Contents4"/>
            <w:tabs>
              <w:tab w:val="clear" w:pos="8176"/>
              <w:tab w:val="right" w:pos="9026" w:leader="dot"/>
            </w:tabs>
            <w:rPr/>
          </w:pPr>
          <w:hyperlink w:anchor="__RefHeading___Toc1994084_58195312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994086_581953129">
            <w:r>
              <w:rPr>
                <w:webHidden/>
                <w:rStyle w:val="IndexLink"/>
                <w:rtl w:val="true"/>
              </w:rPr>
              <w:t>مناقشة الاستدلال</w:t>
            </w:r>
            <w:r>
              <w:rPr>
                <w:rStyle w:val="IndexLink"/>
                <w:rtl w:val="true"/>
              </w:rPr>
              <w:tab/>
            </w:r>
            <w:r>
              <w:rPr>
                <w:rStyle w:val="IndexLink"/>
              </w:rPr>
              <w:t>72</w:t>
            </w:r>
          </w:hyperlink>
        </w:p>
        <w:p>
          <w:pPr>
            <w:pStyle w:val="Contents3"/>
            <w:tabs>
              <w:tab w:val="clear" w:pos="8459"/>
              <w:tab w:val="right" w:pos="9026" w:leader="dot"/>
            </w:tabs>
            <w:rPr/>
          </w:pPr>
          <w:hyperlink w:anchor="__RefHeading___Toc1994088_581953129">
            <w:r>
              <w:rPr>
                <w:webHidden/>
                <w:rStyle w:val="IndexLink"/>
                <w:rtl w:val="true"/>
              </w:rPr>
              <w:t>مصادر للمطالعة</w:t>
            </w:r>
            <w:r>
              <w:rPr>
                <w:rStyle w:val="IndexLink"/>
                <w:rtl w:val="true"/>
              </w:rPr>
              <w:tab/>
            </w:r>
            <w:r>
              <w:rPr>
                <w:rStyle w:val="IndexLink"/>
              </w:rPr>
              <w:t>75</w:t>
            </w:r>
          </w:hyperlink>
        </w:p>
        <w:p>
          <w:pPr>
            <w:pStyle w:val="Contents3"/>
            <w:tabs>
              <w:tab w:val="clear" w:pos="8459"/>
              <w:tab w:val="right" w:pos="9026" w:leader="dot"/>
            </w:tabs>
            <w:rPr/>
          </w:pPr>
          <w:hyperlink w:anchor="__RefHeading___Toc1994090_581953129">
            <w:r>
              <w:rPr>
                <w:webHidden/>
                <w:rStyle w:val="IndexLink"/>
                <w:rtl w:val="true"/>
              </w:rPr>
              <w:t>الحدیث الختامیّ</w:t>
            </w:r>
            <w:r>
              <w:rPr>
                <w:rStyle w:val="IndexLink"/>
                <w:rtl w:val="true"/>
              </w:rPr>
              <w:tab/>
            </w:r>
            <w:r>
              <w:rPr>
                <w:rStyle w:val="IndexLink"/>
              </w:rPr>
              <w:t>75</w:t>
            </w:r>
          </w:hyperlink>
        </w:p>
        <w:p>
          <w:pPr>
            <w:pStyle w:val="Contents2"/>
            <w:tabs>
              <w:tab w:val="clear" w:pos="8743"/>
              <w:tab w:val="right" w:pos="9026" w:leader="dot"/>
            </w:tabs>
            <w:rPr/>
          </w:pPr>
          <w:hyperlink w:anchor="__RefHeading___Toc1994092_581953129">
            <w:r>
              <w:rPr>
                <w:webHidden/>
                <w:rStyle w:val="IndexLink"/>
                <w:rtl w:val="true"/>
              </w:rPr>
              <w:t>علاقة الإنسان بالقضاء والقدر</w:t>
            </w:r>
            <w:r>
              <w:rPr>
                <w:rStyle w:val="IndexLink"/>
                <w:rtl w:val="true"/>
              </w:rPr>
              <w:tab/>
            </w:r>
            <w:r>
              <w:rPr>
                <w:rStyle w:val="IndexLink"/>
              </w:rPr>
              <w:t>76</w:t>
            </w:r>
          </w:hyperlink>
        </w:p>
        <w:p>
          <w:pPr>
            <w:pStyle w:val="Contents3"/>
            <w:tabs>
              <w:tab w:val="clear" w:pos="8459"/>
              <w:tab w:val="right" w:pos="9026" w:leader="dot"/>
            </w:tabs>
            <w:rPr/>
          </w:pPr>
          <w:hyperlink w:anchor="__RefHeading___Toc1994094_581953129">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994096_581953129">
            <w:r>
              <w:rPr>
                <w:webHidden/>
                <w:rStyle w:val="IndexLink"/>
                <w:rtl w:val="true"/>
              </w:rPr>
              <w:t>أهمیّة مسألة القضاء والقدر</w:t>
            </w:r>
            <w:r>
              <w:rPr>
                <w:rStyle w:val="IndexLink"/>
                <w:rtl w:val="true"/>
              </w:rPr>
              <w:tab/>
            </w:r>
            <w:r>
              <w:rPr>
                <w:rStyle w:val="IndexLink"/>
              </w:rPr>
              <w:t>77</w:t>
            </w:r>
          </w:hyperlink>
        </w:p>
        <w:p>
          <w:pPr>
            <w:pStyle w:val="Contents3"/>
            <w:tabs>
              <w:tab w:val="clear" w:pos="8459"/>
              <w:tab w:val="right" w:pos="9026" w:leader="dot"/>
            </w:tabs>
            <w:rPr/>
          </w:pPr>
          <w:hyperlink w:anchor="__RefHeading___Toc1994098_581953129">
            <w:r>
              <w:rPr>
                <w:webHidden/>
                <w:rStyle w:val="IndexLink"/>
                <w:rtl w:val="true"/>
              </w:rPr>
              <w:t>خلفیّة بحث القضاء والقدر عند المسلمین</w:t>
            </w:r>
            <w:r>
              <w:rPr>
                <w:rStyle w:val="IndexLink"/>
                <w:rtl w:val="true"/>
              </w:rPr>
              <w:tab/>
            </w:r>
            <w:r>
              <w:rPr>
                <w:rStyle w:val="IndexLink"/>
              </w:rPr>
              <w:t>77</w:t>
            </w:r>
          </w:hyperlink>
        </w:p>
        <w:p>
          <w:pPr>
            <w:pStyle w:val="Contents3"/>
            <w:tabs>
              <w:tab w:val="clear" w:pos="8459"/>
              <w:tab w:val="right" w:pos="9026" w:leader="dot"/>
            </w:tabs>
            <w:rPr/>
          </w:pPr>
          <w:hyperlink w:anchor="__RefHeading___Toc1994100_581953129">
            <w:r>
              <w:rPr>
                <w:webHidden/>
                <w:rStyle w:val="IndexLink"/>
                <w:rtl w:val="true"/>
              </w:rPr>
              <w:t>القضاء والقدر لغةً</w:t>
            </w:r>
            <w:r>
              <w:rPr>
                <w:rStyle w:val="IndexLink"/>
                <w:rtl w:val="true"/>
              </w:rPr>
              <w:tab/>
            </w:r>
            <w:r>
              <w:rPr>
                <w:rStyle w:val="IndexLink"/>
              </w:rPr>
              <w:t>80</w:t>
            </w:r>
          </w:hyperlink>
        </w:p>
        <w:p>
          <w:pPr>
            <w:pStyle w:val="Contents3"/>
            <w:tabs>
              <w:tab w:val="clear" w:pos="8459"/>
              <w:tab w:val="right" w:pos="9026" w:leader="dot"/>
            </w:tabs>
            <w:rPr/>
          </w:pPr>
          <w:hyperlink w:anchor="__RefHeading___Toc1994102_581953129">
            <w:r>
              <w:rPr>
                <w:webHidden/>
                <w:rStyle w:val="IndexLink"/>
                <w:rtl w:val="true"/>
              </w:rPr>
              <w:t>القضاء والقدَر اصطلاحاً</w:t>
            </w:r>
            <w:r>
              <w:rPr>
                <w:rStyle w:val="IndexLink"/>
                <w:rtl w:val="true"/>
              </w:rPr>
              <w:tab/>
            </w:r>
            <w:r>
              <w:rPr>
                <w:rStyle w:val="IndexLink"/>
              </w:rPr>
              <w:t>80</w:t>
            </w:r>
          </w:hyperlink>
        </w:p>
        <w:p>
          <w:pPr>
            <w:pStyle w:val="Contents3"/>
            <w:tabs>
              <w:tab w:val="clear" w:pos="8459"/>
              <w:tab w:val="right" w:pos="9026" w:leader="dot"/>
            </w:tabs>
            <w:rPr/>
          </w:pPr>
          <w:hyperlink w:anchor="__RefHeading___Toc1994104_581953129">
            <w:r>
              <w:rPr>
                <w:webHidden/>
                <w:rStyle w:val="IndexLink"/>
                <w:rtl w:val="true"/>
              </w:rPr>
              <w:t>السبب فی غموض المسألة</w:t>
            </w:r>
            <w:r>
              <w:rPr>
                <w:rStyle w:val="IndexLink"/>
                <w:rtl w:val="true"/>
              </w:rPr>
              <w:tab/>
            </w:r>
            <w:r>
              <w:rPr>
                <w:rStyle w:val="IndexLink"/>
              </w:rPr>
              <w:t>81</w:t>
            </w:r>
          </w:hyperlink>
        </w:p>
        <w:p>
          <w:pPr>
            <w:pStyle w:val="Contents3"/>
            <w:tabs>
              <w:tab w:val="clear" w:pos="8459"/>
              <w:tab w:val="right" w:pos="9026" w:leader="dot"/>
            </w:tabs>
            <w:rPr/>
          </w:pPr>
          <w:hyperlink w:anchor="__RefHeading___Toc1994106_581953129">
            <w:r>
              <w:rPr>
                <w:webHidden/>
                <w:rStyle w:val="IndexLink"/>
                <w:rtl w:val="true"/>
              </w:rPr>
              <w:t>الجبر عند المادیّین</w:t>
            </w:r>
            <w:r>
              <w:rPr>
                <w:rStyle w:val="IndexLink"/>
                <w:rtl w:val="true"/>
              </w:rPr>
              <w:tab/>
            </w:r>
            <w:r>
              <w:rPr>
                <w:rStyle w:val="IndexLink"/>
              </w:rPr>
              <w:t>82</w:t>
            </w:r>
          </w:hyperlink>
        </w:p>
        <w:p>
          <w:pPr>
            <w:pStyle w:val="Contents3"/>
            <w:tabs>
              <w:tab w:val="clear" w:pos="8459"/>
              <w:tab w:val="right" w:pos="9026" w:leader="dot"/>
            </w:tabs>
            <w:rPr/>
          </w:pPr>
          <w:hyperlink w:anchor="__RefHeading___Toc1994108_581953129">
            <w:r>
              <w:rPr>
                <w:webHidden/>
                <w:rStyle w:val="IndexLink"/>
                <w:rtl w:val="true"/>
              </w:rPr>
              <w:t>نتائج نظریّة الجبر</w:t>
            </w:r>
            <w:r>
              <w:rPr>
                <w:rStyle w:val="IndexLink"/>
                <w:rtl w:val="true"/>
              </w:rPr>
              <w:tab/>
            </w:r>
            <w:r>
              <w:rPr>
                <w:rStyle w:val="IndexLink"/>
              </w:rPr>
              <w:t>83</w:t>
            </w:r>
          </w:hyperlink>
        </w:p>
        <w:p>
          <w:pPr>
            <w:pStyle w:val="Contents3"/>
            <w:tabs>
              <w:tab w:val="clear" w:pos="8459"/>
              <w:tab w:val="right" w:pos="9026" w:leader="dot"/>
            </w:tabs>
            <w:rPr/>
          </w:pPr>
          <w:hyperlink w:anchor="__RefHeading___Toc1994110_581953129">
            <w:r>
              <w:rPr>
                <w:webHidden/>
                <w:rStyle w:val="IndexLink"/>
                <w:rtl w:val="true"/>
              </w:rPr>
              <w:t>أسباب قول بعض الإلهیّین بالجبر</w:t>
            </w:r>
            <w:r>
              <w:rPr>
                <w:rStyle w:val="IndexLink"/>
                <w:rtl w:val="true"/>
              </w:rPr>
              <w:tab/>
            </w:r>
            <w:r>
              <w:rPr>
                <w:rStyle w:val="IndexLink"/>
              </w:rPr>
              <w:t>84</w:t>
            </w:r>
          </w:hyperlink>
        </w:p>
        <w:p>
          <w:pPr>
            <w:pStyle w:val="Contents3"/>
            <w:tabs>
              <w:tab w:val="clear" w:pos="8459"/>
              <w:tab w:val="right" w:pos="9026" w:leader="dot"/>
            </w:tabs>
            <w:rPr/>
          </w:pPr>
          <w:hyperlink w:anchor="__RefHeading___Toc1994112_581953129">
            <w:r>
              <w:rPr>
                <w:webHidden/>
                <w:rStyle w:val="IndexLink"/>
                <w:rtl w:val="true"/>
              </w:rPr>
              <w:t>نظریّة التفویض</w:t>
            </w:r>
            <w:r>
              <w:rPr>
                <w:rStyle w:val="IndexLink"/>
                <w:rtl w:val="true"/>
              </w:rPr>
              <w:tab/>
            </w:r>
            <w:r>
              <w:rPr>
                <w:rStyle w:val="IndexLink"/>
              </w:rPr>
              <w:t>85</w:t>
            </w:r>
          </w:hyperlink>
        </w:p>
        <w:p>
          <w:pPr>
            <w:pStyle w:val="Contents3"/>
            <w:tabs>
              <w:tab w:val="clear" w:pos="8459"/>
              <w:tab w:val="right" w:pos="9026" w:leader="dot"/>
            </w:tabs>
            <w:rPr/>
          </w:pPr>
          <w:hyperlink w:anchor="__RefHeading___Toc1994114_581953129">
            <w:r>
              <w:rPr>
                <w:webHidden/>
                <w:rStyle w:val="IndexLink"/>
                <w:rtl w:val="true"/>
              </w:rPr>
              <w:t>نتائج هذه النظریّة</w:t>
            </w:r>
            <w:r>
              <w:rPr>
                <w:rStyle w:val="IndexLink"/>
                <w:rtl w:val="true"/>
              </w:rPr>
              <w:tab/>
            </w:r>
            <w:r>
              <w:rPr>
                <w:rStyle w:val="IndexLink"/>
              </w:rPr>
              <w:t>86</w:t>
            </w:r>
          </w:hyperlink>
        </w:p>
        <w:p>
          <w:pPr>
            <w:pStyle w:val="Contents3"/>
            <w:tabs>
              <w:tab w:val="clear" w:pos="8459"/>
              <w:tab w:val="right" w:pos="9026" w:leader="dot"/>
            </w:tabs>
            <w:rPr/>
          </w:pPr>
          <w:hyperlink w:anchor="__RefHeading___Toc1994116_581953129">
            <w:r>
              <w:rPr>
                <w:webHidden/>
                <w:rStyle w:val="IndexLink"/>
                <w:rtl w:val="true"/>
              </w:rPr>
              <w:t>النظریّة الثالثة</w:t>
            </w:r>
            <w:r>
              <w:rPr>
                <w:rStyle w:val="IndexLink"/>
                <w:rtl w:val="true"/>
              </w:rPr>
              <w:t xml:space="preserve">: </w:t>
            </w:r>
            <w:r>
              <w:rPr>
                <w:rStyle w:val="IndexLink"/>
                <w:rtl w:val="true"/>
              </w:rPr>
              <w:t>الأمرُ بین الأمرَین</w:t>
            </w:r>
            <w:r>
              <w:rPr>
                <w:rStyle w:val="IndexLink"/>
                <w:rtl w:val="true"/>
              </w:rPr>
              <w:tab/>
            </w:r>
            <w:r>
              <w:rPr>
                <w:rStyle w:val="IndexLink"/>
              </w:rPr>
              <w:t>87</w:t>
            </w:r>
          </w:hyperlink>
        </w:p>
        <w:p>
          <w:pPr>
            <w:pStyle w:val="Contents3"/>
            <w:tabs>
              <w:tab w:val="clear" w:pos="8459"/>
              <w:tab w:val="right" w:pos="9026" w:leader="dot"/>
            </w:tabs>
            <w:rPr/>
          </w:pPr>
          <w:hyperlink w:anchor="__RefHeading___Toc1994118_581953129">
            <w:r>
              <w:rPr>
                <w:webHidden/>
                <w:rStyle w:val="IndexLink"/>
                <w:rtl w:val="true"/>
              </w:rPr>
              <w:t>شرح هذه النظریّة فی عدّة نقاط</w:t>
            </w:r>
            <w:r>
              <w:rPr>
                <w:rStyle w:val="IndexLink"/>
                <w:rtl w:val="true"/>
              </w:rPr>
              <w:tab/>
            </w:r>
            <w:r>
              <w:rPr>
                <w:rStyle w:val="IndexLink"/>
              </w:rPr>
              <w:t>87</w:t>
            </w:r>
          </w:hyperlink>
        </w:p>
        <w:p>
          <w:pPr>
            <w:pStyle w:val="Contents3"/>
            <w:tabs>
              <w:tab w:val="clear" w:pos="8459"/>
              <w:tab w:val="right" w:pos="9026" w:leader="dot"/>
            </w:tabs>
            <w:rPr/>
          </w:pPr>
          <w:hyperlink w:anchor="__RefHeading___Toc1994120_581953129">
            <w:r>
              <w:rPr>
                <w:webHidden/>
                <w:rStyle w:val="IndexLink"/>
                <w:rtl w:val="true"/>
              </w:rPr>
              <w:t>مصادر للمطالعة</w:t>
            </w:r>
            <w:r>
              <w:rPr>
                <w:rStyle w:val="IndexLink"/>
                <w:rtl w:val="true"/>
              </w:rPr>
              <w:tab/>
            </w:r>
            <w:r>
              <w:rPr>
                <w:rStyle w:val="IndexLink"/>
              </w:rPr>
              <w:t>91</w:t>
            </w:r>
          </w:hyperlink>
        </w:p>
        <w:p>
          <w:pPr>
            <w:pStyle w:val="Contents3"/>
            <w:tabs>
              <w:tab w:val="clear" w:pos="8459"/>
              <w:tab w:val="right" w:pos="9026" w:leader="dot"/>
            </w:tabs>
            <w:rPr/>
          </w:pPr>
          <w:hyperlink w:anchor="__RefHeading___Toc1994122_581953129">
            <w:r>
              <w:rPr>
                <w:webHidden/>
                <w:rStyle w:val="IndexLink"/>
                <w:rtl w:val="true"/>
              </w:rPr>
              <w:t>الحدیث الختامیّ</w:t>
            </w:r>
            <w:r>
              <w:rPr>
                <w:rStyle w:val="IndexLink"/>
                <w:rtl w:val="true"/>
              </w:rPr>
              <w:t>:</w:t>
              <w:tab/>
            </w:r>
            <w:r>
              <w:rPr>
                <w:rStyle w:val="IndexLink"/>
              </w:rPr>
              <w:t>91</w:t>
            </w:r>
          </w:hyperlink>
        </w:p>
        <w:p>
          <w:pPr>
            <w:pStyle w:val="Contents2"/>
            <w:tabs>
              <w:tab w:val="clear" w:pos="8743"/>
              <w:tab w:val="right" w:pos="9026" w:leader="dot"/>
            </w:tabs>
            <w:rPr/>
          </w:pPr>
          <w:hyperlink w:anchor="__RefHeading___Toc1994124_581953129">
            <w:r>
              <w:rPr>
                <w:webHidden/>
                <w:rStyle w:val="IndexLink"/>
                <w:rtl w:val="true"/>
              </w:rPr>
              <w:t>اختیار الإنسان والتأثیر الوراثیّ</w:t>
            </w:r>
            <w:r>
              <w:rPr>
                <w:rStyle w:val="IndexLink"/>
                <w:rtl w:val="true"/>
              </w:rPr>
              <w:tab/>
            </w:r>
            <w:r>
              <w:rPr>
                <w:rStyle w:val="IndexLink"/>
              </w:rPr>
              <w:t>92</w:t>
            </w:r>
          </w:hyperlink>
        </w:p>
        <w:p>
          <w:pPr>
            <w:pStyle w:val="Contents3"/>
            <w:tabs>
              <w:tab w:val="clear" w:pos="8459"/>
              <w:tab w:val="right" w:pos="9026" w:leader="dot"/>
            </w:tabs>
            <w:rPr/>
          </w:pPr>
          <w:hyperlink w:anchor="__RefHeading___Toc1994126_581953129">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994128_581953129">
            <w:r>
              <w:rPr>
                <w:webHidden/>
                <w:rStyle w:val="IndexLink"/>
                <w:rtl w:val="true"/>
              </w:rPr>
              <w:t>الخلفیّة التاریخیّة</w:t>
            </w:r>
            <w:r>
              <w:rPr>
                <w:rStyle w:val="IndexLink"/>
                <w:rtl w:val="true"/>
              </w:rPr>
              <w:tab/>
            </w:r>
            <w:r>
              <w:rPr>
                <w:rStyle w:val="IndexLink"/>
              </w:rPr>
              <w:t>93</w:t>
            </w:r>
          </w:hyperlink>
        </w:p>
        <w:p>
          <w:pPr>
            <w:pStyle w:val="Contents3"/>
            <w:tabs>
              <w:tab w:val="clear" w:pos="8459"/>
              <w:tab w:val="right" w:pos="9026" w:leader="dot"/>
            </w:tabs>
            <w:rPr/>
          </w:pPr>
          <w:hyperlink w:anchor="__RefHeading___Toc1994130_581953129">
            <w:r>
              <w:rPr>
                <w:webHidden/>
                <w:rStyle w:val="IndexLink"/>
                <w:rtl w:val="true"/>
              </w:rPr>
              <w:t>مفهوم الجبر والاختیار</w:t>
            </w:r>
            <w:r>
              <w:rPr>
                <w:rStyle w:val="IndexLink"/>
                <w:rtl w:val="true"/>
              </w:rPr>
              <w:tab/>
            </w:r>
            <w:r>
              <w:rPr>
                <w:rStyle w:val="IndexLink"/>
              </w:rPr>
              <w:t>94</w:t>
            </w:r>
          </w:hyperlink>
        </w:p>
        <w:p>
          <w:pPr>
            <w:pStyle w:val="Contents3"/>
            <w:tabs>
              <w:tab w:val="clear" w:pos="8459"/>
              <w:tab w:val="right" w:pos="9026" w:leader="dot"/>
            </w:tabs>
            <w:rPr/>
          </w:pPr>
          <w:hyperlink w:anchor="__RefHeading___Toc1994132_581953129">
            <w:r>
              <w:rPr>
                <w:webHidden/>
                <w:rStyle w:val="IndexLink"/>
                <w:rtl w:val="true"/>
              </w:rPr>
              <w:t>البیئة والوراثة</w:t>
            </w:r>
            <w:r>
              <w:rPr>
                <w:rStyle w:val="IndexLink"/>
                <w:rtl w:val="true"/>
              </w:rPr>
              <w:tab/>
            </w:r>
            <w:r>
              <w:rPr>
                <w:rStyle w:val="IndexLink"/>
              </w:rPr>
              <w:t>96</w:t>
            </w:r>
          </w:hyperlink>
        </w:p>
        <w:p>
          <w:pPr>
            <w:pStyle w:val="Contents3"/>
            <w:tabs>
              <w:tab w:val="clear" w:pos="8459"/>
              <w:tab w:val="right" w:pos="9026" w:leader="dot"/>
            </w:tabs>
            <w:rPr/>
          </w:pPr>
          <w:hyperlink w:anchor="__RefHeading___Toc1994134_581953129">
            <w:r>
              <w:rPr>
                <w:webHidden/>
                <w:rStyle w:val="IndexLink"/>
                <w:rtl w:val="true"/>
              </w:rPr>
              <w:t>الحلّ</w:t>
            </w:r>
            <w:r>
              <w:rPr>
                <w:rStyle w:val="IndexLink"/>
                <w:rtl w:val="true"/>
              </w:rPr>
              <w:tab/>
            </w:r>
            <w:r>
              <w:rPr>
                <w:rStyle w:val="IndexLink"/>
              </w:rPr>
              <w:t>97</w:t>
            </w:r>
          </w:hyperlink>
        </w:p>
        <w:p>
          <w:pPr>
            <w:pStyle w:val="Contents4"/>
            <w:tabs>
              <w:tab w:val="clear" w:pos="8176"/>
              <w:tab w:val="right" w:pos="9026" w:leader="dot"/>
            </w:tabs>
            <w:rPr/>
          </w:pPr>
          <w:hyperlink w:anchor="__RefHeading___Toc1994136_58195312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994138_581953129">
            <w:r>
              <w:rPr>
                <w:webHidden/>
                <w:rStyle w:val="IndexLink"/>
              </w:rPr>
              <w:t>1</w:t>
            </w:r>
            <w:r>
              <w:rPr>
                <w:rStyle w:val="IndexLink"/>
                <w:rtl w:val="true"/>
              </w:rPr>
              <w:t xml:space="preserve">- </w:t>
            </w:r>
            <w:r>
              <w:rPr>
                <w:rStyle w:val="IndexLink"/>
                <w:rtl w:val="true"/>
              </w:rPr>
              <w:t>جهود المصلحین</w:t>
            </w:r>
            <w:r>
              <w:rPr>
                <w:rStyle w:val="IndexLink"/>
                <w:rtl w:val="true"/>
              </w:rPr>
              <w:tab/>
            </w:r>
            <w:r>
              <w:rPr>
                <w:rStyle w:val="IndexLink"/>
              </w:rPr>
              <w:t>98</w:t>
            </w:r>
          </w:hyperlink>
        </w:p>
        <w:p>
          <w:pPr>
            <w:pStyle w:val="Contents4"/>
            <w:tabs>
              <w:tab w:val="clear" w:pos="8176"/>
              <w:tab w:val="right" w:pos="9026" w:leader="dot"/>
            </w:tabs>
            <w:rPr/>
          </w:pPr>
          <w:hyperlink w:anchor="__RefHeading___Toc1994140_581953129">
            <w:r>
              <w:rPr>
                <w:webHidden/>
                <w:rStyle w:val="IndexLink"/>
              </w:rPr>
              <w:t>2</w:t>
            </w:r>
            <w:r>
              <w:rPr>
                <w:rStyle w:val="IndexLink"/>
                <w:rtl w:val="true"/>
              </w:rPr>
              <w:t xml:space="preserve">- </w:t>
            </w:r>
            <w:r>
              <w:rPr>
                <w:rStyle w:val="IndexLink"/>
                <w:rtl w:val="true"/>
              </w:rPr>
              <w:t>تأثیر البیئة والوراثة علی بعض الأفعال</w:t>
            </w:r>
            <w:r>
              <w:rPr>
                <w:rStyle w:val="IndexLink"/>
                <w:rtl w:val="true"/>
              </w:rPr>
              <w:tab/>
            </w:r>
            <w:r>
              <w:rPr>
                <w:rStyle w:val="IndexLink"/>
              </w:rPr>
              <w:t>99</w:t>
            </w:r>
          </w:hyperlink>
        </w:p>
        <w:p>
          <w:pPr>
            <w:pStyle w:val="Contents4"/>
            <w:tabs>
              <w:tab w:val="clear" w:pos="8176"/>
              <w:tab w:val="right" w:pos="9026" w:leader="dot"/>
            </w:tabs>
            <w:rPr/>
          </w:pPr>
          <w:hyperlink w:anchor="__RefHeading___Toc1994142_581953129">
            <w:r>
              <w:rPr>
                <w:webHidden/>
                <w:rStyle w:val="IndexLink"/>
              </w:rPr>
              <w:t>3</w:t>
            </w:r>
            <w:r>
              <w:rPr>
                <w:rStyle w:val="IndexLink"/>
                <w:rtl w:val="true"/>
              </w:rPr>
              <w:t xml:space="preserve">- </w:t>
            </w:r>
            <w:r>
              <w:rPr>
                <w:rStyle w:val="IndexLink"/>
                <w:rtl w:val="true"/>
              </w:rPr>
              <w:t>البیئة والوراثة علّة ناقصة</w:t>
            </w:r>
            <w:r>
              <w:rPr>
                <w:rStyle w:val="IndexLink"/>
                <w:rtl w:val="true"/>
              </w:rPr>
              <w:tab/>
            </w:r>
            <w:r>
              <w:rPr>
                <w:rStyle w:val="IndexLink"/>
              </w:rPr>
              <w:t>100</w:t>
            </w:r>
          </w:hyperlink>
        </w:p>
        <w:p>
          <w:pPr>
            <w:pStyle w:val="Contents3"/>
            <w:tabs>
              <w:tab w:val="clear" w:pos="8459"/>
              <w:tab w:val="right" w:pos="9026" w:leader="dot"/>
            </w:tabs>
            <w:rPr/>
          </w:pPr>
          <w:hyperlink w:anchor="__RefHeading___Toc1994144_581953129">
            <w:r>
              <w:rPr>
                <w:webHidden/>
                <w:rStyle w:val="IndexLink"/>
                <w:rtl w:val="true"/>
              </w:rPr>
              <w:t>النتیجة</w:t>
            </w:r>
            <w:r>
              <w:rPr>
                <w:rStyle w:val="IndexLink"/>
                <w:rtl w:val="true"/>
              </w:rPr>
              <w:tab/>
            </w:r>
            <w:r>
              <w:rPr>
                <w:rStyle w:val="IndexLink"/>
              </w:rPr>
              <w:t>101</w:t>
            </w:r>
          </w:hyperlink>
        </w:p>
        <w:p>
          <w:pPr>
            <w:pStyle w:val="Contents3"/>
            <w:tabs>
              <w:tab w:val="clear" w:pos="8459"/>
              <w:tab w:val="right" w:pos="9026" w:leader="dot"/>
            </w:tabs>
            <w:rPr/>
          </w:pPr>
          <w:hyperlink w:anchor="__RefHeading___Toc1994146_581953129">
            <w:r>
              <w:rPr>
                <w:webHidden/>
                <w:rStyle w:val="IndexLink"/>
                <w:rtl w:val="true"/>
              </w:rPr>
              <w:t>مصادر للمطالعة</w:t>
            </w:r>
            <w:r>
              <w:rPr>
                <w:rStyle w:val="IndexLink"/>
                <w:rtl w:val="true"/>
              </w:rPr>
              <w:tab/>
            </w:r>
            <w:r>
              <w:rPr>
                <w:rStyle w:val="IndexLink"/>
              </w:rPr>
              <w:t>102</w:t>
            </w:r>
          </w:hyperlink>
        </w:p>
        <w:p>
          <w:pPr>
            <w:pStyle w:val="Contents3"/>
            <w:tabs>
              <w:tab w:val="clear" w:pos="8459"/>
              <w:tab w:val="right" w:pos="9026" w:leader="dot"/>
            </w:tabs>
            <w:rPr/>
          </w:pPr>
          <w:hyperlink w:anchor="__RefHeading___Toc1994148_581953129">
            <w:r>
              <w:rPr>
                <w:webHidden/>
                <w:rStyle w:val="IndexLink"/>
                <w:rtl w:val="true"/>
              </w:rPr>
              <w:t>الحدیث الختامیّ</w:t>
            </w:r>
            <w:r>
              <w:rPr>
                <w:rStyle w:val="IndexLink"/>
                <w:rtl w:val="true"/>
              </w:rPr>
              <w:tab/>
            </w:r>
            <w:r>
              <w:rPr>
                <w:rStyle w:val="IndexLink"/>
              </w:rPr>
              <w:t>102</w:t>
            </w:r>
          </w:hyperlink>
        </w:p>
        <w:p>
          <w:pPr>
            <w:pStyle w:val="Contents2"/>
            <w:tabs>
              <w:tab w:val="clear" w:pos="8743"/>
              <w:tab w:val="right" w:pos="9026" w:leader="dot"/>
            </w:tabs>
            <w:rPr/>
          </w:pPr>
          <w:hyperlink w:anchor="__RefHeading___Toc1994150_581953129">
            <w:r>
              <w:rPr>
                <w:webHidden/>
                <w:rStyle w:val="IndexLink"/>
                <w:rtl w:val="true"/>
              </w:rPr>
              <w:t>إشکالیّة لیلة القدر واختیار الإنسان</w:t>
            </w:r>
            <w:r>
              <w:rPr>
                <w:rStyle w:val="IndexLink"/>
                <w:rtl w:val="true"/>
              </w:rPr>
              <w:tab/>
            </w:r>
            <w:r>
              <w:rPr>
                <w:rStyle w:val="IndexLink"/>
              </w:rPr>
              <w:t>103</w:t>
            </w:r>
          </w:hyperlink>
        </w:p>
        <w:p>
          <w:pPr>
            <w:pStyle w:val="Contents3"/>
            <w:tabs>
              <w:tab w:val="clear" w:pos="8459"/>
              <w:tab w:val="right" w:pos="9026" w:leader="dot"/>
            </w:tabs>
            <w:rPr/>
          </w:pPr>
          <w:hyperlink w:anchor="__RefHeading___Toc1994152_581953129">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994154_581953129">
            <w:r>
              <w:rPr>
                <w:webHidden/>
                <w:rStyle w:val="IndexLink"/>
                <w:rtl w:val="true"/>
              </w:rPr>
              <w:t>مقاربات مختلفة فی مسألة الجبر والاختیار</w:t>
            </w:r>
            <w:r>
              <w:rPr>
                <w:rStyle w:val="IndexLink"/>
                <w:rtl w:val="true"/>
              </w:rPr>
              <w:tab/>
            </w:r>
            <w:r>
              <w:rPr>
                <w:rStyle w:val="IndexLink"/>
              </w:rPr>
              <w:t>104</w:t>
            </w:r>
          </w:hyperlink>
        </w:p>
        <w:p>
          <w:pPr>
            <w:pStyle w:val="Contents3"/>
            <w:tabs>
              <w:tab w:val="clear" w:pos="8459"/>
              <w:tab w:val="right" w:pos="9026" w:leader="dot"/>
            </w:tabs>
            <w:rPr/>
          </w:pPr>
          <w:hyperlink w:anchor="__RefHeading___Toc1994156_581953129">
            <w:r>
              <w:rPr>
                <w:webHidden/>
                <w:rStyle w:val="IndexLink"/>
                <w:rtl w:val="true"/>
              </w:rPr>
              <w:t>الردّ الأوّل</w:t>
            </w:r>
            <w:r>
              <w:rPr>
                <w:rStyle w:val="IndexLink"/>
                <w:rtl w:val="true"/>
              </w:rPr>
              <w:tab/>
            </w:r>
            <w:r>
              <w:rPr>
                <w:rStyle w:val="IndexLink"/>
              </w:rPr>
              <w:t>105</w:t>
            </w:r>
          </w:hyperlink>
        </w:p>
        <w:p>
          <w:pPr>
            <w:pStyle w:val="Contents4"/>
            <w:tabs>
              <w:tab w:val="clear" w:pos="8176"/>
              <w:tab w:val="right" w:pos="9026" w:leader="dot"/>
            </w:tabs>
            <w:rPr/>
          </w:pPr>
          <w:hyperlink w:anchor="__RefHeading___Toc1994158_58195312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994160_581953129">
            <w:r>
              <w:rPr>
                <w:webHidden/>
                <w:rStyle w:val="IndexLink"/>
                <w:rtl w:val="true"/>
              </w:rPr>
              <w:t>مناقشة الرد الأوّل</w:t>
            </w:r>
            <w:r>
              <w:rPr>
                <w:rStyle w:val="IndexLink"/>
                <w:rtl w:val="true"/>
              </w:rPr>
              <w:tab/>
            </w:r>
            <w:r>
              <w:rPr>
                <w:rStyle w:val="IndexLink"/>
              </w:rPr>
              <w:t>105</w:t>
            </w:r>
          </w:hyperlink>
        </w:p>
        <w:p>
          <w:pPr>
            <w:pStyle w:val="Contents3"/>
            <w:tabs>
              <w:tab w:val="clear" w:pos="8459"/>
              <w:tab w:val="right" w:pos="9026" w:leader="dot"/>
            </w:tabs>
            <w:rPr/>
          </w:pPr>
          <w:hyperlink w:anchor="__RefHeading___Toc1994162_581953129">
            <w:r>
              <w:rPr>
                <w:webHidden/>
                <w:rStyle w:val="IndexLink"/>
                <w:rtl w:val="true"/>
              </w:rPr>
              <w:t>الردّ الثانی</w:t>
            </w:r>
            <w:r>
              <w:rPr>
                <w:rStyle w:val="IndexLink"/>
                <w:rtl w:val="true"/>
              </w:rPr>
              <w:tab/>
            </w:r>
            <w:r>
              <w:rPr>
                <w:rStyle w:val="IndexLink"/>
              </w:rPr>
              <w:t>106</w:t>
            </w:r>
          </w:hyperlink>
        </w:p>
        <w:p>
          <w:pPr>
            <w:pStyle w:val="Contents3"/>
            <w:tabs>
              <w:tab w:val="clear" w:pos="8459"/>
              <w:tab w:val="right" w:pos="9026" w:leader="dot"/>
            </w:tabs>
            <w:rPr/>
          </w:pPr>
          <w:hyperlink w:anchor="__RefHeading___Toc1994164_581953129">
            <w:r>
              <w:rPr>
                <w:webHidden/>
                <w:rStyle w:val="IndexLink"/>
                <w:rtl w:val="true"/>
              </w:rPr>
              <w:t>الرد الخاصّ</w:t>
            </w:r>
            <w:r>
              <w:rPr>
                <w:rStyle w:val="IndexLink"/>
                <w:rtl w:val="true"/>
              </w:rPr>
              <w:tab/>
            </w:r>
            <w:r>
              <w:rPr>
                <w:rStyle w:val="IndexLink"/>
              </w:rPr>
              <w:t>108</w:t>
            </w:r>
          </w:hyperlink>
        </w:p>
        <w:p>
          <w:pPr>
            <w:pStyle w:val="Contents3"/>
            <w:tabs>
              <w:tab w:val="clear" w:pos="8459"/>
              <w:tab w:val="right" w:pos="9026" w:leader="dot"/>
            </w:tabs>
            <w:rPr/>
          </w:pPr>
          <w:hyperlink w:anchor="__RefHeading___Toc1994166_581953129">
            <w:r>
              <w:rPr>
                <w:webHidden/>
                <w:rStyle w:val="IndexLink"/>
                <w:rtl w:val="true"/>
              </w:rPr>
              <w:t>والنتیجة التی نخلص إلیها کالتالی</w:t>
            </w:r>
            <w:r>
              <w:rPr>
                <w:rStyle w:val="IndexLink"/>
                <w:rtl w:val="true"/>
              </w:rPr>
              <w:t>:</w:t>
              <w:tab/>
            </w:r>
            <w:r>
              <w:rPr>
                <w:rStyle w:val="IndexLink"/>
              </w:rPr>
              <w:t>110</w:t>
            </w:r>
          </w:hyperlink>
        </w:p>
        <w:p>
          <w:pPr>
            <w:pStyle w:val="Contents3"/>
            <w:tabs>
              <w:tab w:val="clear" w:pos="8459"/>
              <w:tab w:val="right" w:pos="9026" w:leader="dot"/>
            </w:tabs>
            <w:rPr/>
          </w:pPr>
          <w:hyperlink w:anchor="__RefHeading___Toc1994168_581953129">
            <w:r>
              <w:rPr>
                <w:webHidden/>
                <w:rStyle w:val="IndexLink"/>
                <w:rtl w:val="true"/>
              </w:rPr>
              <w:t>مصادر للمطالعة</w:t>
            </w:r>
            <w:r>
              <w:rPr>
                <w:rStyle w:val="IndexLink"/>
                <w:rtl w:val="true"/>
              </w:rPr>
              <w:tab/>
            </w:r>
            <w:r>
              <w:rPr>
                <w:rStyle w:val="IndexLink"/>
              </w:rPr>
              <w:t>111</w:t>
            </w:r>
          </w:hyperlink>
        </w:p>
        <w:p>
          <w:pPr>
            <w:pStyle w:val="Contents3"/>
            <w:tabs>
              <w:tab w:val="clear" w:pos="8459"/>
              <w:tab w:val="right" w:pos="9026" w:leader="dot"/>
            </w:tabs>
            <w:rPr/>
          </w:pPr>
          <w:hyperlink w:anchor="__RefHeading___Toc1994170_581953129">
            <w:r>
              <w:rPr>
                <w:webHidden/>
                <w:rStyle w:val="IndexLink"/>
                <w:rtl w:val="true"/>
              </w:rPr>
              <w:t>الحدیث الختامیّ</w:t>
            </w:r>
            <w:r>
              <w:rPr>
                <w:rStyle w:val="IndexLink"/>
                <w:rtl w:val="true"/>
              </w:rPr>
              <w:tab/>
            </w:r>
            <w:r>
              <w:rPr>
                <w:rStyle w:val="IndexLink"/>
              </w:rPr>
              <w:t>111</w:t>
            </w:r>
          </w:hyperlink>
        </w:p>
        <w:p>
          <w:pPr>
            <w:pStyle w:val="Contents2"/>
            <w:tabs>
              <w:tab w:val="clear" w:pos="8743"/>
              <w:tab w:val="right" w:pos="9026" w:leader="dot"/>
            </w:tabs>
            <w:rPr/>
          </w:pPr>
          <w:hyperlink w:anchor="__RefHeading___Toc1994172_581953129">
            <w:r>
              <w:rPr>
                <w:webHidden/>
                <w:rStyle w:val="IndexLink"/>
                <w:rtl w:val="true"/>
              </w:rPr>
              <w:t>عصیان النبیّ آدم علیه السلام وخروج نسله من الجنّة</w:t>
            </w:r>
            <w:r>
              <w:rPr>
                <w:rStyle w:val="IndexLink"/>
                <w:rtl w:val="true"/>
              </w:rPr>
              <w:tab/>
            </w:r>
            <w:r>
              <w:rPr>
                <w:rStyle w:val="IndexLink"/>
              </w:rPr>
              <w:t>112</w:t>
            </w:r>
          </w:hyperlink>
        </w:p>
        <w:p>
          <w:pPr>
            <w:pStyle w:val="Contents3"/>
            <w:tabs>
              <w:tab w:val="clear" w:pos="8459"/>
              <w:tab w:val="right" w:pos="9026" w:leader="dot"/>
            </w:tabs>
            <w:rPr/>
          </w:pPr>
          <w:hyperlink w:anchor="__RefHeading___Toc1994174_581953129">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994176_581953129">
            <w:r>
              <w:rPr>
                <w:webHidden/>
                <w:rStyle w:val="IndexLink"/>
                <w:rtl w:val="true"/>
              </w:rPr>
              <w:t>هل یعصی آدم علیه السلام أم لا؟</w:t>
            </w:r>
            <w:r>
              <w:rPr>
                <w:rStyle w:val="IndexLink"/>
                <w:rtl w:val="true"/>
              </w:rPr>
              <w:tab/>
            </w:r>
            <w:r>
              <w:rPr>
                <w:rStyle w:val="IndexLink"/>
              </w:rPr>
              <w:t>113</w:t>
            </w:r>
          </w:hyperlink>
        </w:p>
        <w:p>
          <w:pPr>
            <w:pStyle w:val="Contents4"/>
            <w:tabs>
              <w:tab w:val="clear" w:pos="8176"/>
              <w:tab w:val="right" w:pos="9026" w:leader="dot"/>
            </w:tabs>
            <w:rPr/>
          </w:pPr>
          <w:hyperlink w:anchor="__RefHeading___Toc1994178_58195312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994180_581953129">
            <w:r>
              <w:rPr>
                <w:webHidden/>
                <w:rStyle w:val="IndexLink"/>
                <w:rtl w:val="true"/>
              </w:rPr>
              <w:t>مقدّمة</w:t>
            </w:r>
            <w:r>
              <w:rPr>
                <w:rStyle w:val="IndexLink"/>
                <w:rtl w:val="true"/>
              </w:rPr>
              <w:tab/>
            </w:r>
            <w:r>
              <w:rPr>
                <w:rStyle w:val="IndexLink"/>
              </w:rPr>
              <w:t>113</w:t>
            </w:r>
          </w:hyperlink>
        </w:p>
        <w:p>
          <w:pPr>
            <w:pStyle w:val="Contents4"/>
            <w:tabs>
              <w:tab w:val="clear" w:pos="8176"/>
              <w:tab w:val="right" w:pos="9026" w:leader="dot"/>
            </w:tabs>
            <w:rPr/>
          </w:pPr>
          <w:hyperlink w:anchor="__RefHeading___Toc1994182_581953129">
            <w:r>
              <w:rPr>
                <w:webHidden/>
                <w:rStyle w:val="IndexLink"/>
                <w:rtl w:val="true"/>
              </w:rPr>
              <w:t>النتیجة</w:t>
            </w:r>
            <w:r>
              <w:rPr>
                <w:rStyle w:val="IndexLink"/>
                <w:rtl w:val="true"/>
              </w:rPr>
              <w:tab/>
            </w:r>
            <w:r>
              <w:rPr>
                <w:rStyle w:val="IndexLink"/>
              </w:rPr>
              <w:t>115</w:t>
            </w:r>
          </w:hyperlink>
        </w:p>
        <w:p>
          <w:pPr>
            <w:pStyle w:val="Contents3"/>
            <w:tabs>
              <w:tab w:val="clear" w:pos="8459"/>
              <w:tab w:val="right" w:pos="9026" w:leader="dot"/>
            </w:tabs>
            <w:rPr/>
          </w:pPr>
          <w:hyperlink w:anchor="__RefHeading___Toc1994184_581953129">
            <w:r>
              <w:rPr>
                <w:webHidden/>
                <w:rStyle w:val="IndexLink"/>
                <w:rtl w:val="true"/>
              </w:rPr>
              <w:t>مصادر للمطالعة</w:t>
            </w:r>
            <w:r>
              <w:rPr>
                <w:rStyle w:val="IndexLink"/>
                <w:rtl w:val="true"/>
              </w:rPr>
              <w:tab/>
            </w:r>
            <w:r>
              <w:rPr>
                <w:rStyle w:val="IndexLink"/>
              </w:rPr>
              <w:t>116</w:t>
            </w:r>
          </w:hyperlink>
        </w:p>
        <w:p>
          <w:pPr>
            <w:pStyle w:val="Contents3"/>
            <w:tabs>
              <w:tab w:val="clear" w:pos="8459"/>
              <w:tab w:val="right" w:pos="9026" w:leader="dot"/>
            </w:tabs>
            <w:rPr/>
          </w:pPr>
          <w:hyperlink w:anchor="__RefHeading___Toc1994186_581953129">
            <w:r>
              <w:rPr>
                <w:webHidden/>
                <w:rStyle w:val="IndexLink"/>
                <w:rtl w:val="true"/>
              </w:rPr>
              <w:t>الحدیث الختامیّ</w:t>
            </w:r>
            <w:r>
              <w:rPr>
                <w:rStyle w:val="IndexLink"/>
                <w:rtl w:val="true"/>
              </w:rPr>
              <w:tab/>
            </w:r>
            <w:r>
              <w:rPr>
                <w:rStyle w:val="IndexLink"/>
              </w:rPr>
              <w:t>116</w:t>
            </w:r>
          </w:hyperlink>
        </w:p>
        <w:p>
          <w:pPr>
            <w:pStyle w:val="Contents2"/>
            <w:tabs>
              <w:tab w:val="clear" w:pos="8743"/>
              <w:tab w:val="right" w:pos="9026" w:leader="dot"/>
            </w:tabs>
            <w:rPr/>
          </w:pPr>
          <w:hyperlink w:anchor="__RefHeading___Toc1994188_581953129">
            <w:r>
              <w:rPr>
                <w:webHidden/>
                <w:rStyle w:val="IndexLink"/>
                <w:rtl w:val="true"/>
              </w:rPr>
              <w:t xml:space="preserve">انطباق الآیة </w:t>
            </w:r>
            <w:r>
              <w:rPr>
                <w:rStyle w:val="IndexLink"/>
              </w:rPr>
              <w:t>43</w:t>
            </w:r>
            <w:r>
              <w:rPr>
                <w:rStyle w:val="IndexLink"/>
                <w:rtl w:val="true"/>
              </w:rPr>
              <w:t xml:space="preserve"> </w:t>
            </w:r>
            <w:r>
              <w:rPr>
                <w:rStyle w:val="IndexLink"/>
                <w:rtl w:val="true"/>
              </w:rPr>
              <w:t>من سورة التوبة علی عصمة النبیّ صلی الله علیه و آله</w:t>
            </w:r>
            <w:r>
              <w:rPr>
                <w:rStyle w:val="IndexLink"/>
                <w:rtl w:val="true"/>
              </w:rPr>
              <w:tab/>
            </w:r>
            <w:r>
              <w:rPr>
                <w:rStyle w:val="IndexLink"/>
              </w:rPr>
              <w:t>117</w:t>
            </w:r>
          </w:hyperlink>
        </w:p>
        <w:p>
          <w:pPr>
            <w:pStyle w:val="Contents3"/>
            <w:tabs>
              <w:tab w:val="clear" w:pos="8459"/>
              <w:tab w:val="right" w:pos="9026" w:leader="dot"/>
            </w:tabs>
            <w:rPr/>
          </w:pPr>
          <w:hyperlink w:anchor="__RefHeading___Toc1994190_581953129">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994192_581953129">
            <w:r>
              <w:rPr>
                <w:webHidden/>
                <w:rStyle w:val="IndexLink"/>
                <w:rtl w:val="true"/>
              </w:rPr>
              <w:t>النتیجة</w:t>
            </w:r>
            <w:r>
              <w:rPr>
                <w:rStyle w:val="IndexLink"/>
                <w:rtl w:val="true"/>
              </w:rPr>
              <w:tab/>
            </w:r>
            <w:r>
              <w:rPr>
                <w:rStyle w:val="IndexLink"/>
              </w:rPr>
              <w:t>120</w:t>
            </w:r>
          </w:hyperlink>
        </w:p>
        <w:p>
          <w:pPr>
            <w:pStyle w:val="Contents3"/>
            <w:tabs>
              <w:tab w:val="clear" w:pos="8459"/>
              <w:tab w:val="right" w:pos="9026" w:leader="dot"/>
            </w:tabs>
            <w:rPr/>
          </w:pPr>
          <w:hyperlink w:anchor="__RefHeading___Toc1994194_581953129">
            <w:r>
              <w:rPr>
                <w:webHidden/>
                <w:rStyle w:val="IndexLink"/>
                <w:rtl w:val="true"/>
              </w:rPr>
              <w:t>مصادر للمطالعة</w:t>
            </w:r>
            <w:r>
              <w:rPr>
                <w:rStyle w:val="IndexLink"/>
                <w:rtl w:val="true"/>
              </w:rPr>
              <w:tab/>
            </w:r>
            <w:r>
              <w:rPr>
                <w:rStyle w:val="IndexLink"/>
              </w:rPr>
              <w:t>121</w:t>
            </w:r>
          </w:hyperlink>
        </w:p>
        <w:p>
          <w:pPr>
            <w:pStyle w:val="Contents3"/>
            <w:tabs>
              <w:tab w:val="clear" w:pos="8459"/>
              <w:tab w:val="right" w:pos="9026" w:leader="dot"/>
            </w:tabs>
            <w:rPr/>
          </w:pPr>
          <w:hyperlink w:anchor="__RefHeading___Toc1994196_581953129">
            <w:r>
              <w:rPr>
                <w:webHidden/>
                <w:rStyle w:val="IndexLink"/>
                <w:rtl w:val="true"/>
              </w:rPr>
              <w:t>الحدیث الختامیّ</w:t>
            </w:r>
            <w:r>
              <w:rPr>
                <w:rStyle w:val="IndexLink"/>
                <w:rtl w:val="true"/>
              </w:rPr>
              <w:tab/>
            </w:r>
            <w:r>
              <w:rPr>
                <w:rStyle w:val="IndexLink"/>
              </w:rPr>
              <w:t>121</w:t>
            </w:r>
          </w:hyperlink>
        </w:p>
        <w:p>
          <w:pPr>
            <w:pStyle w:val="Contents2"/>
            <w:tabs>
              <w:tab w:val="clear" w:pos="8743"/>
              <w:tab w:val="right" w:pos="9026" w:leader="dot"/>
            </w:tabs>
            <w:rPr/>
          </w:pPr>
          <w:hyperlink w:anchor="__RefHeading___Toc1994198_581953129">
            <w:r>
              <w:rPr>
                <w:webHidden/>
                <w:rStyle w:val="IndexLink"/>
                <w:rtl w:val="true"/>
              </w:rPr>
              <w:t xml:space="preserve">تناسق الآیة </w:t>
            </w:r>
            <w:r>
              <w:rPr>
                <w:rStyle w:val="IndexLink"/>
              </w:rPr>
              <w:t>110</w:t>
            </w:r>
            <w:r>
              <w:rPr>
                <w:rStyle w:val="IndexLink"/>
                <w:rtl w:val="true"/>
              </w:rPr>
              <w:t xml:space="preserve"> </w:t>
            </w:r>
            <w:r>
              <w:rPr>
                <w:rStyle w:val="IndexLink"/>
                <w:rtl w:val="true"/>
              </w:rPr>
              <w:t>من سورة الکهف مع عصمة النبیّ صلی الله علیه و آله المطلقة</w:t>
            </w:r>
            <w:r>
              <w:rPr>
                <w:rStyle w:val="IndexLink"/>
                <w:rtl w:val="true"/>
              </w:rPr>
              <w:tab/>
            </w:r>
            <w:r>
              <w:rPr>
                <w:rStyle w:val="IndexLink"/>
              </w:rPr>
              <w:t>122</w:t>
            </w:r>
          </w:hyperlink>
        </w:p>
        <w:p>
          <w:pPr>
            <w:pStyle w:val="Contents3"/>
            <w:tabs>
              <w:tab w:val="clear" w:pos="8459"/>
              <w:tab w:val="right" w:pos="9026" w:leader="dot"/>
            </w:tabs>
            <w:rPr/>
          </w:pPr>
          <w:hyperlink w:anchor="__RefHeading___Toc1994200_58195312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994202_581953129">
            <w:r>
              <w:rPr>
                <w:webHidden/>
                <w:rStyle w:val="IndexLink"/>
                <w:rtl w:val="true"/>
              </w:rPr>
              <w:t>تقدیم</w:t>
            </w:r>
            <w:r>
              <w:rPr>
                <w:rStyle w:val="IndexLink"/>
                <w:rtl w:val="true"/>
              </w:rPr>
              <w:tab/>
            </w:r>
            <w:r>
              <w:rPr>
                <w:rStyle w:val="IndexLink"/>
              </w:rPr>
              <w:t>122</w:t>
            </w:r>
          </w:hyperlink>
        </w:p>
        <w:p>
          <w:pPr>
            <w:pStyle w:val="Contents3"/>
            <w:tabs>
              <w:tab w:val="clear" w:pos="8459"/>
              <w:tab w:val="right" w:pos="9026" w:leader="dot"/>
            </w:tabs>
            <w:rPr/>
          </w:pPr>
          <w:hyperlink w:anchor="__RefHeading___Toc1994204_581953129">
            <w:r>
              <w:rPr>
                <w:webHidden/>
                <w:rStyle w:val="IndexLink"/>
                <w:rtl w:val="true"/>
              </w:rPr>
              <w:t>الفرق بین العصمة والعدالة</w:t>
            </w:r>
            <w:r>
              <w:rPr>
                <w:rStyle w:val="IndexLink"/>
                <w:rtl w:val="true"/>
              </w:rPr>
              <w:tab/>
            </w:r>
            <w:r>
              <w:rPr>
                <w:rStyle w:val="IndexLink"/>
              </w:rPr>
              <w:t>124</w:t>
            </w:r>
          </w:hyperlink>
        </w:p>
        <w:p>
          <w:pPr>
            <w:pStyle w:val="Contents3"/>
            <w:tabs>
              <w:tab w:val="clear" w:pos="8459"/>
              <w:tab w:val="right" w:pos="9026" w:leader="dot"/>
            </w:tabs>
            <w:rPr/>
          </w:pPr>
          <w:hyperlink w:anchor="__RefHeading___Toc1994206_581953129">
            <w:r>
              <w:rPr>
                <w:webHidden/>
                <w:rStyle w:val="IndexLink"/>
                <w:rtl w:val="true"/>
              </w:rPr>
              <w:t>عدَم التنافی بین العِصمة والبشریّة</w:t>
            </w:r>
            <w:r>
              <w:rPr>
                <w:rStyle w:val="IndexLink"/>
                <w:rtl w:val="true"/>
              </w:rPr>
              <w:tab/>
            </w:r>
            <w:r>
              <w:rPr>
                <w:rStyle w:val="IndexLink"/>
              </w:rPr>
              <w:t>124</w:t>
            </w:r>
          </w:hyperlink>
        </w:p>
        <w:p>
          <w:pPr>
            <w:pStyle w:val="Contents3"/>
            <w:tabs>
              <w:tab w:val="clear" w:pos="8459"/>
              <w:tab w:val="right" w:pos="9026" w:leader="dot"/>
            </w:tabs>
            <w:rPr/>
          </w:pPr>
          <w:hyperlink w:anchor="__RefHeading___Toc1994208_581953129">
            <w:r>
              <w:rPr>
                <w:webHidden/>
                <w:rStyle w:val="IndexLink"/>
                <w:rtl w:val="true"/>
              </w:rPr>
              <w:t>أنواع العصمة</w:t>
            </w:r>
            <w:r>
              <w:rPr>
                <w:rStyle w:val="IndexLink"/>
                <w:rtl w:val="true"/>
              </w:rPr>
              <w:tab/>
            </w:r>
            <w:r>
              <w:rPr>
                <w:rStyle w:val="IndexLink"/>
              </w:rPr>
              <w:t>126</w:t>
            </w:r>
          </w:hyperlink>
        </w:p>
        <w:p>
          <w:pPr>
            <w:pStyle w:val="Contents4"/>
            <w:tabs>
              <w:tab w:val="clear" w:pos="8176"/>
              <w:tab w:val="right" w:pos="9026" w:leader="dot"/>
            </w:tabs>
            <w:rPr/>
          </w:pPr>
          <w:hyperlink w:anchor="__RefHeading___Toc1994210_58195312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994212_581953129">
            <w:r>
              <w:rPr>
                <w:webHidden/>
                <w:rStyle w:val="IndexLink"/>
                <w:rtl w:val="true"/>
              </w:rPr>
              <w:t>مراتب العصمة</w:t>
            </w:r>
            <w:r>
              <w:rPr>
                <w:rStyle w:val="IndexLink"/>
                <w:rtl w:val="true"/>
              </w:rPr>
              <w:tab/>
            </w:r>
            <w:r>
              <w:rPr>
                <w:rStyle w:val="IndexLink"/>
              </w:rPr>
              <w:t>127</w:t>
            </w:r>
          </w:hyperlink>
        </w:p>
        <w:p>
          <w:pPr>
            <w:pStyle w:val="Contents5"/>
            <w:tabs>
              <w:tab w:val="clear" w:pos="7892"/>
              <w:tab w:val="right" w:pos="9026" w:leader="dot"/>
            </w:tabs>
            <w:rPr/>
          </w:pPr>
          <w:hyperlink w:anchor="__RefHeading___Toc1994214_581953129">
            <w:r>
              <w:rPr>
                <w:webHidden/>
                <w:rStyle w:val="IndexLink"/>
              </w:rPr>
              <w:t>1</w:t>
            </w:r>
            <w:r>
              <w:rPr>
                <w:rStyle w:val="IndexLink"/>
                <w:rtl w:val="true"/>
              </w:rPr>
              <w:t xml:space="preserve">- </w:t>
            </w:r>
            <w:r>
              <w:rPr>
                <w:rStyle w:val="IndexLink"/>
                <w:rtl w:val="true"/>
              </w:rPr>
              <w:t>العصمة من المعصیة</w:t>
            </w:r>
            <w:r>
              <w:rPr>
                <w:rStyle w:val="IndexLink"/>
                <w:rtl w:val="true"/>
              </w:rPr>
              <w:tab/>
            </w:r>
            <w:r>
              <w:rPr>
                <w:rStyle w:val="IndexLink"/>
              </w:rPr>
              <w:t>127</w:t>
            </w:r>
          </w:hyperlink>
        </w:p>
        <w:p>
          <w:pPr>
            <w:pStyle w:val="Contents5"/>
            <w:tabs>
              <w:tab w:val="clear" w:pos="7892"/>
              <w:tab w:val="right" w:pos="9026" w:leader="dot"/>
            </w:tabs>
            <w:rPr/>
          </w:pPr>
          <w:hyperlink w:anchor="__RefHeading___Toc1994216_581953129">
            <w:r>
              <w:rPr>
                <w:webHidden/>
                <w:rStyle w:val="IndexLink"/>
              </w:rPr>
              <w:t>2</w:t>
            </w:r>
            <w:r>
              <w:rPr>
                <w:rStyle w:val="IndexLink"/>
                <w:rtl w:val="true"/>
              </w:rPr>
              <w:t xml:space="preserve">- </w:t>
            </w:r>
            <w:r>
              <w:rPr>
                <w:rStyle w:val="IndexLink"/>
                <w:rtl w:val="true"/>
              </w:rPr>
              <w:t>العصمة فی تلقّی الوحی وتبلیغ الرسالة</w:t>
            </w:r>
            <w:r>
              <w:rPr>
                <w:rStyle w:val="IndexLink"/>
                <w:rtl w:val="true"/>
              </w:rPr>
              <w:tab/>
            </w:r>
            <w:r>
              <w:rPr>
                <w:rStyle w:val="IndexLink"/>
              </w:rPr>
              <w:t>127</w:t>
            </w:r>
          </w:hyperlink>
        </w:p>
        <w:p>
          <w:pPr>
            <w:pStyle w:val="Contents5"/>
            <w:tabs>
              <w:tab w:val="clear" w:pos="7892"/>
              <w:tab w:val="right" w:pos="9026" w:leader="dot"/>
            </w:tabs>
            <w:rPr/>
          </w:pPr>
          <w:hyperlink w:anchor="__RefHeading___Toc1994218_581953129">
            <w:r>
              <w:rPr>
                <w:webHidden/>
                <w:rStyle w:val="IndexLink"/>
              </w:rPr>
              <w:t>3</w:t>
            </w:r>
            <w:r>
              <w:rPr>
                <w:rStyle w:val="IndexLink"/>
                <w:rtl w:val="true"/>
              </w:rPr>
              <w:t xml:space="preserve">- </w:t>
            </w:r>
            <w:r>
              <w:rPr>
                <w:rStyle w:val="IndexLink"/>
                <w:rtl w:val="true"/>
              </w:rPr>
              <w:t>العصمة من الخطأ فی تطبیق الشریعة وشؤون الحیاة</w:t>
            </w:r>
            <w:r>
              <w:rPr>
                <w:rStyle w:val="IndexLink"/>
                <w:rtl w:val="true"/>
              </w:rPr>
              <w:tab/>
            </w:r>
            <w:r>
              <w:rPr>
                <w:rStyle w:val="IndexLink"/>
              </w:rPr>
              <w:t>127</w:t>
            </w:r>
          </w:hyperlink>
        </w:p>
        <w:p>
          <w:pPr>
            <w:pStyle w:val="Contents4"/>
            <w:tabs>
              <w:tab w:val="clear" w:pos="8176"/>
              <w:tab w:val="right" w:pos="9026" w:leader="dot"/>
            </w:tabs>
            <w:rPr/>
          </w:pPr>
          <w:hyperlink w:anchor="__RefHeading___Toc1994220_581953129">
            <w:r>
              <w:rPr>
                <w:webHidden/>
                <w:rStyle w:val="IndexLink"/>
                <w:rtl w:val="true"/>
              </w:rPr>
              <w:t>أدلّة عصمة الأنبیاء</w:t>
            </w:r>
            <w:r>
              <w:rPr>
                <w:rStyle w:val="IndexLink"/>
                <w:rtl w:val="true"/>
              </w:rPr>
              <w:tab/>
            </w:r>
            <w:r>
              <w:rPr>
                <w:rStyle w:val="IndexLink"/>
              </w:rPr>
              <w:t>129</w:t>
            </w:r>
          </w:hyperlink>
        </w:p>
        <w:p>
          <w:pPr>
            <w:pStyle w:val="Contents5"/>
            <w:tabs>
              <w:tab w:val="clear" w:pos="7892"/>
              <w:tab w:val="right" w:pos="9026" w:leader="dot"/>
            </w:tabs>
            <w:rPr/>
          </w:pPr>
          <w:hyperlink w:anchor="__RefHeading___Toc1994222_581953129">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994224_581953129">
            <w:r>
              <w:rPr>
                <w:webHidden/>
                <w:rStyle w:val="IndexLink"/>
                <w:rtl w:val="true"/>
              </w:rPr>
              <w:t>أ</w:t>
            </w:r>
            <w:r>
              <w:rPr>
                <w:rStyle w:val="IndexLink"/>
                <w:rtl w:val="true"/>
              </w:rPr>
              <w:t xml:space="preserve">) </w:t>
            </w:r>
            <w:r>
              <w:rPr>
                <w:rStyle w:val="IndexLink"/>
                <w:rtl w:val="true"/>
              </w:rPr>
              <w:t>الدلیل العقلیّ</w:t>
            </w:r>
            <w:r>
              <w:rPr>
                <w:rStyle w:val="IndexLink"/>
                <w:rtl w:val="true"/>
              </w:rPr>
              <w:tab/>
            </w:r>
            <w:r>
              <w:rPr>
                <w:rStyle w:val="IndexLink"/>
              </w:rPr>
              <w:t>129</w:t>
            </w:r>
          </w:hyperlink>
        </w:p>
        <w:p>
          <w:pPr>
            <w:pStyle w:val="Contents5"/>
            <w:tabs>
              <w:tab w:val="clear" w:pos="7892"/>
              <w:tab w:val="right" w:pos="9026" w:leader="dot"/>
            </w:tabs>
            <w:rPr/>
          </w:pPr>
          <w:hyperlink w:anchor="__RefHeading___Toc1994226_581953129">
            <w:r>
              <w:rPr>
                <w:webHidden/>
                <w:rStyle w:val="IndexLink"/>
                <w:rtl w:val="true"/>
              </w:rPr>
              <w:t>ب</w:t>
            </w:r>
            <w:r>
              <w:rPr>
                <w:rStyle w:val="IndexLink"/>
                <w:rtl w:val="true"/>
              </w:rPr>
              <w:t xml:space="preserve">) </w:t>
            </w:r>
            <w:r>
              <w:rPr>
                <w:rStyle w:val="IndexLink"/>
                <w:rtl w:val="true"/>
              </w:rPr>
              <w:t>الدلیل النقلیّ</w:t>
            </w:r>
            <w:r>
              <w:rPr>
                <w:rStyle w:val="IndexLink"/>
                <w:rtl w:val="true"/>
              </w:rPr>
              <w:tab/>
            </w:r>
            <w:r>
              <w:rPr>
                <w:rStyle w:val="IndexLink"/>
              </w:rPr>
              <w:t>130</w:t>
            </w:r>
          </w:hyperlink>
        </w:p>
        <w:p>
          <w:pPr>
            <w:pStyle w:val="Contents4"/>
            <w:tabs>
              <w:tab w:val="clear" w:pos="8176"/>
              <w:tab w:val="right" w:pos="9026" w:leader="dot"/>
            </w:tabs>
            <w:rPr/>
          </w:pPr>
          <w:hyperlink w:anchor="__RefHeading___Toc1994228_581953129">
            <w:r>
              <w:rPr>
                <w:webHidden/>
                <w:rStyle w:val="IndexLink"/>
                <w:rtl w:val="true"/>
              </w:rPr>
              <w:t>مفاد آیة أَنَا بَشَرٌ مِثلُکُم</w:t>
            </w:r>
            <w:r>
              <w:rPr>
                <w:rStyle w:val="IndexLink"/>
                <w:rtl w:val="true"/>
              </w:rPr>
              <w:tab/>
            </w:r>
            <w:r>
              <w:rPr>
                <w:rStyle w:val="IndexLink"/>
              </w:rPr>
              <w:t>133</w:t>
            </w:r>
          </w:hyperlink>
        </w:p>
        <w:p>
          <w:pPr>
            <w:pStyle w:val="Contents4"/>
            <w:tabs>
              <w:tab w:val="clear" w:pos="8176"/>
              <w:tab w:val="right" w:pos="9026" w:leader="dot"/>
            </w:tabs>
            <w:rPr/>
          </w:pPr>
          <w:hyperlink w:anchor="__RefHeading___Toc1994230_581953129">
            <w:r>
              <w:rPr>
                <w:webHidden/>
                <w:rStyle w:val="IndexLink"/>
                <w:rtl w:val="true"/>
              </w:rPr>
              <w:t>النتیجة</w:t>
            </w:r>
            <w:r>
              <w:rPr>
                <w:rStyle w:val="IndexLink"/>
                <w:rtl w:val="true"/>
              </w:rPr>
              <w:tab/>
            </w:r>
            <w:r>
              <w:rPr>
                <w:rStyle w:val="IndexLink"/>
              </w:rPr>
              <w:t>134</w:t>
            </w:r>
          </w:hyperlink>
        </w:p>
        <w:p>
          <w:pPr>
            <w:pStyle w:val="Contents4"/>
            <w:tabs>
              <w:tab w:val="clear" w:pos="8176"/>
              <w:tab w:val="right" w:pos="9026" w:leader="dot"/>
            </w:tabs>
            <w:rPr/>
          </w:pPr>
          <w:hyperlink w:anchor="__RefHeading___Toc1994232_581953129">
            <w:r>
              <w:rPr>
                <w:webHidden/>
                <w:rStyle w:val="IndexLink"/>
                <w:rtl w:val="true"/>
              </w:rPr>
              <w:t>مصادر للمطالعة</w:t>
            </w:r>
            <w:r>
              <w:rPr>
                <w:rStyle w:val="IndexLink"/>
                <w:rtl w:val="true"/>
              </w:rPr>
              <w:tab/>
            </w:r>
            <w:r>
              <w:rPr>
                <w:rStyle w:val="IndexLink"/>
              </w:rPr>
              <w:t>135</w:t>
            </w:r>
          </w:hyperlink>
        </w:p>
        <w:p>
          <w:pPr>
            <w:pStyle w:val="Contents4"/>
            <w:tabs>
              <w:tab w:val="clear" w:pos="8176"/>
              <w:tab w:val="right" w:pos="9026" w:leader="dot"/>
            </w:tabs>
            <w:rPr/>
          </w:pPr>
          <w:hyperlink w:anchor="__RefHeading___Toc1994234_581953129">
            <w:r>
              <w:rPr>
                <w:webHidden/>
                <w:rStyle w:val="IndexLink"/>
                <w:rtl w:val="true"/>
              </w:rPr>
              <w:t>الحدیث الختامیّ</w:t>
            </w:r>
            <w:r>
              <w:rPr>
                <w:rStyle w:val="IndexLink"/>
                <w:rtl w:val="true"/>
              </w:rPr>
              <w:tab/>
            </w:r>
            <w:r>
              <w:rPr>
                <w:rStyle w:val="IndexLink"/>
              </w:rPr>
              <w:t>135</w:t>
            </w:r>
          </w:hyperlink>
        </w:p>
        <w:p>
          <w:pPr>
            <w:pStyle w:val="Contents2"/>
            <w:tabs>
              <w:tab w:val="clear" w:pos="8743"/>
              <w:tab w:val="right" w:pos="9026" w:leader="dot"/>
            </w:tabs>
            <w:rPr/>
          </w:pPr>
          <w:hyperlink w:anchor="__RefHeading___Toc1994236_581953129">
            <w:r>
              <w:rPr>
                <w:webHidden/>
                <w:rStyle w:val="IndexLink"/>
                <w:rtl w:val="true"/>
              </w:rPr>
              <w:t>الشفاعة فی القرآن الکریم</w:t>
            </w:r>
            <w:r>
              <w:rPr>
                <w:rStyle w:val="IndexLink"/>
                <w:rtl w:val="true"/>
              </w:rPr>
              <w:tab/>
            </w:r>
            <w:r>
              <w:rPr>
                <w:rStyle w:val="IndexLink"/>
              </w:rPr>
              <w:t>136</w:t>
            </w:r>
          </w:hyperlink>
        </w:p>
        <w:p>
          <w:pPr>
            <w:pStyle w:val="Contents3"/>
            <w:tabs>
              <w:tab w:val="clear" w:pos="8459"/>
              <w:tab w:val="right" w:pos="9026" w:leader="dot"/>
            </w:tabs>
            <w:rPr/>
          </w:pPr>
          <w:hyperlink w:anchor="__RefHeading___Toc1994238_581953129">
            <w:r>
              <w:rPr>
                <w:webHidden/>
                <w:rStyle w:val="IndexLink"/>
                <w:rtl w:val="true"/>
              </w:rPr>
              <w:t xml:space="preserve">التنافی بین الشفاعة مع آیة </w:t>
            </w:r>
            <w:r>
              <w:rPr>
                <w:rStyle w:val="IndexLink"/>
              </w:rPr>
              <w:t>123</w:t>
            </w:r>
            <w:r>
              <w:rPr>
                <w:rStyle w:val="IndexLink"/>
                <w:rtl w:val="true"/>
              </w:rPr>
              <w:t xml:space="preserve"> </w:t>
            </w:r>
            <w:r>
              <w:rPr>
                <w:rStyle w:val="IndexLink"/>
                <w:rtl w:val="true"/>
              </w:rPr>
              <w:t>من البقرة</w:t>
            </w:r>
            <w:r>
              <w:rPr>
                <w:rStyle w:val="IndexLink"/>
                <w:rtl w:val="true"/>
              </w:rPr>
              <w:tab/>
            </w:r>
            <w:r>
              <w:rPr>
                <w:rStyle w:val="IndexLink"/>
              </w:rPr>
              <w:t>136</w:t>
            </w:r>
          </w:hyperlink>
        </w:p>
        <w:p>
          <w:pPr>
            <w:pStyle w:val="Contents4"/>
            <w:tabs>
              <w:tab w:val="clear" w:pos="8176"/>
              <w:tab w:val="right" w:pos="9026" w:leader="dot"/>
            </w:tabs>
            <w:rPr/>
          </w:pPr>
          <w:hyperlink w:anchor="__RefHeading___Toc1994240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994242_581953129">
            <w:r>
              <w:rPr>
                <w:webHidden/>
                <w:rStyle w:val="IndexLink"/>
                <w:rtl w:val="true"/>
              </w:rPr>
              <w:t>شرح الموضوع</w:t>
            </w:r>
            <w:r>
              <w:rPr>
                <w:rStyle w:val="IndexLink"/>
                <w:rtl w:val="true"/>
              </w:rPr>
              <w:tab/>
            </w:r>
            <w:r>
              <w:rPr>
                <w:rStyle w:val="IndexLink"/>
              </w:rPr>
              <w:t>137</w:t>
            </w:r>
          </w:hyperlink>
        </w:p>
        <w:p>
          <w:pPr>
            <w:pStyle w:val="Contents5"/>
            <w:tabs>
              <w:tab w:val="clear" w:pos="7892"/>
              <w:tab w:val="right" w:pos="9026" w:leader="dot"/>
            </w:tabs>
            <w:rPr/>
          </w:pPr>
          <w:hyperlink w:anchor="__RefHeading___Toc1994244_581953129">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994246_581953129">
            <w:r>
              <w:rPr>
                <w:webHidden/>
                <w:rStyle w:val="IndexLink"/>
              </w:rPr>
              <w:t>1</w:t>
            </w:r>
            <w:r>
              <w:rPr>
                <w:rStyle w:val="IndexLink"/>
                <w:rtl w:val="true"/>
              </w:rPr>
              <w:t xml:space="preserve">- </w:t>
            </w:r>
            <w:r>
              <w:rPr>
                <w:rStyle w:val="IndexLink"/>
                <w:rtl w:val="true"/>
              </w:rPr>
              <w:t>معنی الشفاعة</w:t>
            </w:r>
            <w:r>
              <w:rPr>
                <w:rStyle w:val="IndexLink"/>
                <w:rtl w:val="true"/>
              </w:rPr>
              <w:tab/>
            </w:r>
            <w:r>
              <w:rPr>
                <w:rStyle w:val="IndexLink"/>
              </w:rPr>
              <w:t>137</w:t>
            </w:r>
          </w:hyperlink>
        </w:p>
        <w:p>
          <w:pPr>
            <w:pStyle w:val="Contents5"/>
            <w:tabs>
              <w:tab w:val="clear" w:pos="7892"/>
              <w:tab w:val="right" w:pos="9026" w:leader="dot"/>
            </w:tabs>
            <w:rPr/>
          </w:pPr>
          <w:hyperlink w:anchor="__RefHeading___Toc1994248_581953129">
            <w:r>
              <w:rPr>
                <w:webHidden/>
                <w:rStyle w:val="IndexLink"/>
              </w:rPr>
              <w:t>2</w:t>
            </w:r>
            <w:r>
              <w:rPr>
                <w:rStyle w:val="IndexLink"/>
                <w:rtl w:val="true"/>
              </w:rPr>
              <w:t xml:space="preserve">- </w:t>
            </w:r>
            <w:r>
              <w:rPr>
                <w:rStyle w:val="IndexLink"/>
                <w:rtl w:val="true"/>
              </w:rPr>
              <w:t>أقسام الشفاعة</w:t>
            </w:r>
            <w:r>
              <w:rPr>
                <w:rStyle w:val="IndexLink"/>
                <w:rtl w:val="true"/>
              </w:rPr>
              <w:tab/>
            </w:r>
            <w:r>
              <w:rPr>
                <w:rStyle w:val="IndexLink"/>
              </w:rPr>
              <w:t>138</w:t>
            </w:r>
          </w:hyperlink>
        </w:p>
        <w:p>
          <w:pPr>
            <w:pStyle w:val="Contents5"/>
            <w:tabs>
              <w:tab w:val="clear" w:pos="7892"/>
              <w:tab w:val="right" w:pos="9026" w:leader="dot"/>
            </w:tabs>
            <w:rPr/>
          </w:pPr>
          <w:hyperlink w:anchor="__RefHeading___Toc1994250_581953129">
            <w:r>
              <w:rPr>
                <w:webHidden/>
                <w:rStyle w:val="IndexLink"/>
              </w:rPr>
              <w:t>3</w:t>
            </w:r>
            <w:r>
              <w:rPr>
                <w:rStyle w:val="IndexLink"/>
                <w:rtl w:val="true"/>
              </w:rPr>
              <w:t xml:space="preserve">- </w:t>
            </w:r>
            <w:r>
              <w:rPr>
                <w:rStyle w:val="IndexLink"/>
                <w:rtl w:val="true"/>
              </w:rPr>
              <w:t>الشفاعة فی القرآن</w:t>
            </w:r>
            <w:r>
              <w:rPr>
                <w:rStyle w:val="IndexLink"/>
                <w:rtl w:val="true"/>
              </w:rPr>
              <w:tab/>
            </w:r>
            <w:r>
              <w:rPr>
                <w:rStyle w:val="IndexLink"/>
              </w:rPr>
              <w:t>138</w:t>
            </w:r>
          </w:hyperlink>
        </w:p>
        <w:p>
          <w:pPr>
            <w:pStyle w:val="Contents6"/>
            <w:tabs>
              <w:tab w:val="clear" w:pos="7609"/>
              <w:tab w:val="right" w:pos="9026" w:leader="dot"/>
            </w:tabs>
            <w:rPr/>
          </w:pPr>
          <w:hyperlink w:anchor="__RefHeading___Toc1994252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994254_581953129">
            <w:r>
              <w:rPr>
                <w:webHidden/>
                <w:rStyle w:val="IndexLink"/>
                <w:rtl w:val="true"/>
              </w:rPr>
              <w:t>أ</w:t>
            </w:r>
            <w:r>
              <w:rPr>
                <w:rStyle w:val="IndexLink"/>
                <w:rtl w:val="true"/>
              </w:rPr>
              <w:t xml:space="preserve">) </w:t>
            </w:r>
            <w:r>
              <w:rPr>
                <w:rStyle w:val="IndexLink"/>
                <w:rtl w:val="true"/>
              </w:rPr>
              <w:t>الآیات النافیة للشفاعة</w:t>
            </w:r>
            <w:r>
              <w:rPr>
                <w:rStyle w:val="IndexLink"/>
                <w:rtl w:val="true"/>
              </w:rPr>
              <w:t>:</w:t>
              <w:tab/>
            </w:r>
            <w:r>
              <w:rPr>
                <w:rStyle w:val="IndexLink"/>
              </w:rPr>
              <w:t>139</w:t>
            </w:r>
          </w:hyperlink>
        </w:p>
        <w:p>
          <w:pPr>
            <w:pStyle w:val="Contents6"/>
            <w:tabs>
              <w:tab w:val="clear" w:pos="7609"/>
              <w:tab w:val="right" w:pos="9026" w:leader="dot"/>
            </w:tabs>
            <w:rPr/>
          </w:pPr>
          <w:hyperlink w:anchor="__RefHeading___Toc1994256_581953129">
            <w:r>
              <w:rPr>
                <w:webHidden/>
                <w:rStyle w:val="IndexLink"/>
                <w:rtl w:val="true"/>
              </w:rPr>
              <w:t>ب</w:t>
            </w:r>
            <w:r>
              <w:rPr>
                <w:rStyle w:val="IndexLink"/>
                <w:rtl w:val="true"/>
              </w:rPr>
              <w:t xml:space="preserve">) </w:t>
            </w:r>
            <w:r>
              <w:rPr>
                <w:rStyle w:val="IndexLink"/>
                <w:rtl w:val="true"/>
              </w:rPr>
              <w:t>الآیات المثبتة للشفاعة</w:t>
            </w:r>
            <w:r>
              <w:rPr>
                <w:rStyle w:val="IndexLink"/>
                <w:rtl w:val="true"/>
              </w:rPr>
              <w:t>:</w:t>
              <w:tab/>
            </w:r>
            <w:r>
              <w:rPr>
                <w:rStyle w:val="IndexLink"/>
              </w:rPr>
              <w:t>139</w:t>
            </w:r>
          </w:hyperlink>
        </w:p>
        <w:p>
          <w:pPr>
            <w:pStyle w:val="Contents3"/>
            <w:tabs>
              <w:tab w:val="clear" w:pos="8459"/>
              <w:tab w:val="right" w:pos="9026" w:leader="dot"/>
            </w:tabs>
            <w:rPr/>
          </w:pPr>
          <w:hyperlink w:anchor="__RefHeading___Toc1994258_581953129">
            <w:r>
              <w:rPr>
                <w:webHidden/>
                <w:rStyle w:val="IndexLink"/>
                <w:rtl w:val="true"/>
              </w:rPr>
              <w:t>آراء بعض علماء الإسلام فی الشفاعة</w:t>
            </w:r>
            <w:r>
              <w:rPr>
                <w:rStyle w:val="IndexLink"/>
                <w:rtl w:val="true"/>
              </w:rPr>
              <w:tab/>
            </w:r>
            <w:r>
              <w:rPr>
                <w:rStyle w:val="IndexLink"/>
              </w:rPr>
              <w:t>141</w:t>
            </w:r>
          </w:hyperlink>
        </w:p>
        <w:p>
          <w:pPr>
            <w:pStyle w:val="Contents3"/>
            <w:tabs>
              <w:tab w:val="clear" w:pos="8459"/>
              <w:tab w:val="right" w:pos="9026" w:leader="dot"/>
            </w:tabs>
            <w:rPr/>
          </w:pPr>
          <w:hyperlink w:anchor="__RefHeading___Toc1994260_581953129">
            <w:r>
              <w:rPr>
                <w:webHidden/>
                <w:rStyle w:val="IndexLink"/>
                <w:rtl w:val="true"/>
              </w:rPr>
              <w:t>مصادر للمطالعة</w:t>
            </w:r>
            <w:r>
              <w:rPr>
                <w:rStyle w:val="IndexLink"/>
                <w:rtl w:val="true"/>
              </w:rPr>
              <w:tab/>
            </w:r>
            <w:r>
              <w:rPr>
                <w:rStyle w:val="IndexLink"/>
              </w:rPr>
              <w:t>143</w:t>
            </w:r>
          </w:hyperlink>
        </w:p>
        <w:p>
          <w:pPr>
            <w:pStyle w:val="Contents3"/>
            <w:tabs>
              <w:tab w:val="clear" w:pos="8459"/>
              <w:tab w:val="right" w:pos="9026" w:leader="dot"/>
            </w:tabs>
            <w:rPr/>
          </w:pPr>
          <w:hyperlink w:anchor="__RefHeading___Toc1994262_581953129">
            <w:r>
              <w:rPr>
                <w:webHidden/>
                <w:rStyle w:val="IndexLink"/>
                <w:rtl w:val="true"/>
              </w:rPr>
              <w:t>الحدیث الختامیّ</w:t>
            </w:r>
            <w:r>
              <w:rPr>
                <w:rStyle w:val="IndexLink"/>
                <w:rtl w:val="true"/>
              </w:rPr>
              <w:tab/>
            </w:r>
            <w:r>
              <w:rPr>
                <w:rStyle w:val="IndexLink"/>
              </w:rPr>
              <w:t>143</w:t>
            </w:r>
          </w:hyperlink>
        </w:p>
        <w:p>
          <w:pPr>
            <w:pStyle w:val="Contents2"/>
            <w:tabs>
              <w:tab w:val="clear" w:pos="8743"/>
              <w:tab w:val="right" w:pos="9026" w:leader="dot"/>
            </w:tabs>
            <w:rPr/>
          </w:pPr>
          <w:hyperlink w:anchor="__RefHeading___Toc1994264_581953129">
            <w:r>
              <w:rPr>
                <w:webHidden/>
                <w:rStyle w:val="IndexLink"/>
                <w:rtl w:val="true"/>
              </w:rPr>
              <w:t>علاقة الشفاعة بالوحدانیّة</w:t>
            </w:r>
            <w:r>
              <w:rPr>
                <w:rStyle w:val="IndexLink"/>
                <w:rtl w:val="true"/>
              </w:rPr>
              <w:tab/>
            </w:r>
            <w:r>
              <w:rPr>
                <w:rStyle w:val="IndexLink"/>
              </w:rPr>
              <w:t>144</w:t>
            </w:r>
          </w:hyperlink>
        </w:p>
        <w:p>
          <w:pPr>
            <w:pStyle w:val="Contents3"/>
            <w:tabs>
              <w:tab w:val="clear" w:pos="8459"/>
              <w:tab w:val="right" w:pos="9026" w:leader="dot"/>
            </w:tabs>
            <w:rPr/>
          </w:pPr>
          <w:hyperlink w:anchor="__RefHeading___Toc1994266_58195312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994268_581953129">
            <w:r>
              <w:rPr>
                <w:webHidden/>
                <w:rStyle w:val="IndexLink"/>
              </w:rPr>
              <w:t>1</w:t>
            </w:r>
            <w:r>
              <w:rPr>
                <w:rStyle w:val="IndexLink"/>
                <w:rtl w:val="true"/>
              </w:rPr>
              <w:t xml:space="preserve">- </w:t>
            </w:r>
            <w:r>
              <w:rPr>
                <w:rStyle w:val="IndexLink"/>
                <w:rtl w:val="true"/>
              </w:rPr>
              <w:t>نفی مطلق الشفاعة</w:t>
            </w:r>
            <w:r>
              <w:rPr>
                <w:rStyle w:val="IndexLink"/>
                <w:rtl w:val="true"/>
              </w:rPr>
              <w:tab/>
            </w:r>
            <w:r>
              <w:rPr>
                <w:rStyle w:val="IndexLink"/>
              </w:rPr>
              <w:t>146</w:t>
            </w:r>
          </w:hyperlink>
        </w:p>
        <w:p>
          <w:pPr>
            <w:pStyle w:val="Contents3"/>
            <w:tabs>
              <w:tab w:val="clear" w:pos="8459"/>
              <w:tab w:val="right" w:pos="9026" w:leader="dot"/>
            </w:tabs>
            <w:rPr/>
          </w:pPr>
          <w:hyperlink w:anchor="__RefHeading___Toc1994270_581953129">
            <w:r>
              <w:rPr>
                <w:webHidden/>
                <w:rStyle w:val="IndexLink"/>
              </w:rPr>
              <w:t>2</w:t>
            </w:r>
            <w:r>
              <w:rPr>
                <w:rStyle w:val="IndexLink"/>
                <w:rtl w:val="true"/>
              </w:rPr>
              <w:t xml:space="preserve">- </w:t>
            </w:r>
            <w:r>
              <w:rPr>
                <w:rStyle w:val="IndexLink"/>
                <w:rtl w:val="true"/>
              </w:rPr>
              <w:t>نفی الشفاعة التی قال بها الیهود</w:t>
            </w:r>
            <w:r>
              <w:rPr>
                <w:rStyle w:val="IndexLink"/>
                <w:rtl w:val="true"/>
              </w:rPr>
              <w:tab/>
            </w:r>
            <w:r>
              <w:rPr>
                <w:rStyle w:val="IndexLink"/>
              </w:rPr>
              <w:t>146</w:t>
            </w:r>
          </w:hyperlink>
        </w:p>
        <w:p>
          <w:pPr>
            <w:pStyle w:val="Contents3"/>
            <w:tabs>
              <w:tab w:val="clear" w:pos="8459"/>
              <w:tab w:val="right" w:pos="9026" w:leader="dot"/>
            </w:tabs>
            <w:rPr/>
          </w:pPr>
          <w:hyperlink w:anchor="__RefHeading___Toc1994272_581953129">
            <w:r>
              <w:rPr>
                <w:webHidden/>
                <w:rStyle w:val="IndexLink"/>
              </w:rPr>
              <w:t>3</w:t>
            </w:r>
            <w:r>
              <w:rPr>
                <w:rStyle w:val="IndexLink"/>
                <w:rtl w:val="true"/>
              </w:rPr>
              <w:t xml:space="preserve">- </w:t>
            </w:r>
            <w:r>
              <w:rPr>
                <w:rStyle w:val="IndexLink"/>
                <w:rtl w:val="true"/>
              </w:rPr>
              <w:t>نفی الشفاعة للکافرین</w:t>
            </w:r>
            <w:r>
              <w:rPr>
                <w:rStyle w:val="IndexLink"/>
                <w:rtl w:val="true"/>
              </w:rPr>
              <w:tab/>
            </w:r>
            <w:r>
              <w:rPr>
                <w:rStyle w:val="IndexLink"/>
              </w:rPr>
              <w:t>147</w:t>
            </w:r>
          </w:hyperlink>
        </w:p>
        <w:p>
          <w:pPr>
            <w:pStyle w:val="Contents3"/>
            <w:tabs>
              <w:tab w:val="clear" w:pos="8459"/>
              <w:tab w:val="right" w:pos="9026" w:leader="dot"/>
            </w:tabs>
            <w:rPr/>
          </w:pPr>
          <w:hyperlink w:anchor="__RefHeading___Toc1994274_581953129">
            <w:r>
              <w:rPr>
                <w:webHidden/>
                <w:rStyle w:val="IndexLink"/>
              </w:rPr>
              <w:t>4</w:t>
            </w:r>
            <w:r>
              <w:rPr>
                <w:rStyle w:val="IndexLink"/>
                <w:rtl w:val="true"/>
              </w:rPr>
              <w:t xml:space="preserve">- </w:t>
            </w:r>
            <w:r>
              <w:rPr>
                <w:rStyle w:val="IndexLink"/>
                <w:rtl w:val="true"/>
              </w:rPr>
              <w:t>انتقاد التشفّع بالأصنام</w:t>
            </w:r>
            <w:r>
              <w:rPr>
                <w:rStyle w:val="IndexLink"/>
                <w:rtl w:val="true"/>
              </w:rPr>
              <w:tab/>
            </w:r>
            <w:r>
              <w:rPr>
                <w:rStyle w:val="IndexLink"/>
              </w:rPr>
              <w:t>147</w:t>
            </w:r>
          </w:hyperlink>
        </w:p>
        <w:p>
          <w:pPr>
            <w:pStyle w:val="Contents3"/>
            <w:tabs>
              <w:tab w:val="clear" w:pos="8459"/>
              <w:tab w:val="right" w:pos="9026" w:leader="dot"/>
            </w:tabs>
            <w:rPr/>
          </w:pPr>
          <w:hyperlink w:anchor="__RefHeading___Toc1994276_581953129">
            <w:r>
              <w:rPr>
                <w:webHidden/>
                <w:rStyle w:val="IndexLink"/>
              </w:rPr>
              <w:t>5</w:t>
            </w:r>
            <w:r>
              <w:rPr>
                <w:rStyle w:val="IndexLink"/>
                <w:rtl w:val="true"/>
              </w:rPr>
              <w:t xml:space="preserve">- </w:t>
            </w:r>
            <w:r>
              <w:rPr>
                <w:rStyle w:val="IndexLink"/>
                <w:rtl w:val="true"/>
              </w:rPr>
              <w:t>الشفاعة المختصّة بالله</w:t>
            </w:r>
            <w:r>
              <w:rPr>
                <w:rStyle w:val="IndexLink"/>
                <w:rtl w:val="true"/>
              </w:rPr>
              <w:tab/>
            </w:r>
            <w:r>
              <w:rPr>
                <w:rStyle w:val="IndexLink"/>
              </w:rPr>
              <w:t>147</w:t>
            </w:r>
          </w:hyperlink>
        </w:p>
        <w:p>
          <w:pPr>
            <w:pStyle w:val="Contents3"/>
            <w:tabs>
              <w:tab w:val="clear" w:pos="8459"/>
              <w:tab w:val="right" w:pos="9026" w:leader="dot"/>
            </w:tabs>
            <w:rPr/>
          </w:pPr>
          <w:hyperlink w:anchor="__RefHeading___Toc1994278_581953129">
            <w:r>
              <w:rPr>
                <w:webHidden/>
                <w:rStyle w:val="IndexLink"/>
              </w:rPr>
              <w:t>6</w:t>
            </w:r>
            <w:r>
              <w:rPr>
                <w:rStyle w:val="IndexLink"/>
                <w:rtl w:val="true"/>
              </w:rPr>
              <w:t xml:space="preserve">- </w:t>
            </w:r>
            <w:r>
              <w:rPr>
                <w:rStyle w:val="IndexLink"/>
                <w:rtl w:val="true"/>
              </w:rPr>
              <w:t>الشفاعة بإذن الله</w:t>
            </w:r>
            <w:r>
              <w:rPr>
                <w:rStyle w:val="IndexLink"/>
                <w:rtl w:val="true"/>
              </w:rPr>
              <w:tab/>
            </w:r>
            <w:r>
              <w:rPr>
                <w:rStyle w:val="IndexLink"/>
              </w:rPr>
              <w:t>147</w:t>
            </w:r>
          </w:hyperlink>
        </w:p>
        <w:p>
          <w:pPr>
            <w:pStyle w:val="Contents3"/>
            <w:tabs>
              <w:tab w:val="clear" w:pos="8459"/>
              <w:tab w:val="right" w:pos="9026" w:leader="dot"/>
            </w:tabs>
            <w:rPr/>
          </w:pPr>
          <w:hyperlink w:anchor="__RefHeading___Toc1994280_581953129">
            <w:r>
              <w:rPr>
                <w:webHidden/>
                <w:rStyle w:val="IndexLink"/>
              </w:rPr>
              <w:t>7</w:t>
            </w:r>
            <w:r>
              <w:rPr>
                <w:rStyle w:val="IndexLink"/>
                <w:rtl w:val="true"/>
              </w:rPr>
              <w:t xml:space="preserve">- </w:t>
            </w:r>
            <w:r>
              <w:rPr>
                <w:rStyle w:val="IndexLink"/>
                <w:rtl w:val="true"/>
              </w:rPr>
              <w:t>بیان مواصفات الشُفعاء</w:t>
            </w:r>
            <w:r>
              <w:rPr>
                <w:rStyle w:val="IndexLink"/>
                <w:rtl w:val="true"/>
              </w:rPr>
              <w:tab/>
            </w:r>
            <w:r>
              <w:rPr>
                <w:rStyle w:val="IndexLink"/>
              </w:rPr>
              <w:t>148</w:t>
            </w:r>
          </w:hyperlink>
        </w:p>
        <w:p>
          <w:pPr>
            <w:pStyle w:val="Contents3"/>
            <w:tabs>
              <w:tab w:val="clear" w:pos="8459"/>
              <w:tab w:val="right" w:pos="9026" w:leader="dot"/>
            </w:tabs>
            <w:rPr/>
          </w:pPr>
          <w:hyperlink w:anchor="__RefHeading___Toc1994282_581953129">
            <w:r>
              <w:rPr>
                <w:webHidden/>
                <w:rStyle w:val="IndexLink"/>
                <w:rtl w:val="true"/>
              </w:rPr>
              <w:t>الشفاعة الواقعیّة وغیر الواقعیّة</w:t>
            </w:r>
            <w:r>
              <w:rPr>
                <w:rStyle w:val="IndexLink"/>
                <w:rtl w:val="true"/>
              </w:rPr>
              <w:tab/>
            </w:r>
            <w:r>
              <w:rPr>
                <w:rStyle w:val="IndexLink"/>
              </w:rPr>
              <w:t>150</w:t>
            </w:r>
          </w:hyperlink>
        </w:p>
        <w:p>
          <w:pPr>
            <w:pStyle w:val="Contents3"/>
            <w:tabs>
              <w:tab w:val="clear" w:pos="8459"/>
              <w:tab w:val="right" w:pos="9026" w:leader="dot"/>
            </w:tabs>
            <w:rPr/>
          </w:pPr>
          <w:hyperlink w:anchor="__RefHeading___Toc1994284_581953129">
            <w:r>
              <w:rPr>
                <w:webHidden/>
                <w:rStyle w:val="IndexLink"/>
                <w:rtl w:val="true"/>
              </w:rPr>
              <w:t>طلَب الشفاعة وصِلته بالوحدانیّة</w:t>
            </w:r>
            <w:r>
              <w:rPr>
                <w:rStyle w:val="IndexLink"/>
                <w:rtl w:val="true"/>
              </w:rPr>
              <w:tab/>
            </w:r>
            <w:r>
              <w:rPr>
                <w:rStyle w:val="IndexLink"/>
              </w:rPr>
              <w:t>150</w:t>
            </w:r>
          </w:hyperlink>
        </w:p>
        <w:p>
          <w:pPr>
            <w:pStyle w:val="Contents3"/>
            <w:tabs>
              <w:tab w:val="clear" w:pos="8459"/>
              <w:tab w:val="right" w:pos="9026" w:leader="dot"/>
            </w:tabs>
            <w:rPr/>
          </w:pPr>
          <w:hyperlink w:anchor="__RefHeading___Toc1994286_581953129">
            <w:r>
              <w:rPr>
                <w:webHidden/>
                <w:rStyle w:val="IndexLink"/>
                <w:rtl w:val="true"/>
              </w:rPr>
              <w:t>الشفاعة عین الوحدانیّة</w:t>
            </w:r>
            <w:r>
              <w:rPr>
                <w:rStyle w:val="IndexLink"/>
                <w:rtl w:val="true"/>
              </w:rPr>
              <w:tab/>
            </w:r>
            <w:r>
              <w:rPr>
                <w:rStyle w:val="IndexLink"/>
              </w:rPr>
              <w:t>152</w:t>
            </w:r>
          </w:hyperlink>
        </w:p>
        <w:p>
          <w:pPr>
            <w:pStyle w:val="Contents3"/>
            <w:tabs>
              <w:tab w:val="clear" w:pos="8459"/>
              <w:tab w:val="right" w:pos="9026" w:leader="dot"/>
            </w:tabs>
            <w:rPr/>
          </w:pPr>
          <w:hyperlink w:anchor="__RefHeading___Toc1994288_581953129">
            <w:r>
              <w:rPr>
                <w:webHidden/>
                <w:rStyle w:val="IndexLink"/>
                <w:rtl w:val="true"/>
              </w:rPr>
              <w:t>أقسام التوحید</w:t>
            </w:r>
            <w:r>
              <w:rPr>
                <w:rStyle w:val="IndexLink"/>
                <w:rtl w:val="true"/>
              </w:rPr>
              <w:tab/>
            </w:r>
            <w:r>
              <w:rPr>
                <w:rStyle w:val="IndexLink"/>
              </w:rPr>
              <w:t>152</w:t>
            </w:r>
          </w:hyperlink>
        </w:p>
        <w:p>
          <w:pPr>
            <w:pStyle w:val="Contents3"/>
            <w:tabs>
              <w:tab w:val="clear" w:pos="8459"/>
              <w:tab w:val="right" w:pos="9026" w:leader="dot"/>
            </w:tabs>
            <w:rPr/>
          </w:pPr>
          <w:hyperlink w:anchor="__RefHeading___Toc1994290_581953129">
            <w:r>
              <w:rPr>
                <w:webHidden/>
                <w:rStyle w:val="IndexLink"/>
                <w:rtl w:val="true"/>
              </w:rPr>
              <w:t>النتیجة</w:t>
            </w:r>
            <w:r>
              <w:rPr>
                <w:rStyle w:val="IndexLink"/>
                <w:rtl w:val="true"/>
              </w:rPr>
              <w:tab/>
            </w:r>
            <w:r>
              <w:rPr>
                <w:rStyle w:val="IndexLink"/>
              </w:rPr>
              <w:t>154</w:t>
            </w:r>
          </w:hyperlink>
        </w:p>
        <w:p>
          <w:pPr>
            <w:pStyle w:val="Contents3"/>
            <w:tabs>
              <w:tab w:val="clear" w:pos="8459"/>
              <w:tab w:val="right" w:pos="9026" w:leader="dot"/>
            </w:tabs>
            <w:rPr/>
          </w:pPr>
          <w:hyperlink w:anchor="__RefHeading___Toc1994292_581953129">
            <w:r>
              <w:rPr>
                <w:webHidden/>
                <w:rStyle w:val="IndexLink"/>
                <w:rtl w:val="true"/>
              </w:rPr>
              <w:t>مصادر للمطالعة</w:t>
            </w:r>
            <w:r>
              <w:rPr>
                <w:rStyle w:val="IndexLink"/>
                <w:rtl w:val="true"/>
              </w:rPr>
              <w:tab/>
            </w:r>
            <w:r>
              <w:rPr>
                <w:rStyle w:val="IndexLink"/>
              </w:rPr>
              <w:t>155</w:t>
            </w:r>
          </w:hyperlink>
        </w:p>
        <w:p>
          <w:pPr>
            <w:pStyle w:val="Contents3"/>
            <w:tabs>
              <w:tab w:val="clear" w:pos="8459"/>
              <w:tab w:val="right" w:pos="9026" w:leader="dot"/>
            </w:tabs>
            <w:rPr/>
          </w:pPr>
          <w:hyperlink w:anchor="__RefHeading___Toc1994294_581953129">
            <w:r>
              <w:rPr>
                <w:webHidden/>
                <w:rStyle w:val="IndexLink"/>
                <w:rtl w:val="true"/>
              </w:rPr>
              <w:t>الحدیث الختامیّ</w:t>
            </w:r>
            <w:r>
              <w:rPr>
                <w:rStyle w:val="IndexLink"/>
                <w:rtl w:val="true"/>
              </w:rPr>
              <w:tab/>
            </w:r>
            <w:r>
              <w:rPr>
                <w:rStyle w:val="IndexLink"/>
              </w:rPr>
              <w:t>155</w:t>
            </w:r>
          </w:hyperlink>
        </w:p>
        <w:p>
          <w:pPr>
            <w:pStyle w:val="Contents2"/>
            <w:tabs>
              <w:tab w:val="clear" w:pos="8743"/>
              <w:tab w:val="right" w:pos="9026" w:leader="dot"/>
            </w:tabs>
            <w:rPr/>
          </w:pPr>
          <w:hyperlink w:anchor="__RefHeading___Toc1994296_581953129">
            <w:r>
              <w:rPr>
                <w:webHidden/>
                <w:rStyle w:val="IndexLink"/>
                <w:rtl w:val="true"/>
              </w:rPr>
              <w:t>صِلة الشفاعة بالسُّنَن الإلهیّة الثابتة</w:t>
            </w:r>
            <w:r>
              <w:rPr>
                <w:rStyle w:val="IndexLink"/>
                <w:rtl w:val="true"/>
              </w:rPr>
              <w:tab/>
            </w:r>
            <w:r>
              <w:rPr>
                <w:rStyle w:val="IndexLink"/>
              </w:rPr>
              <w:t>156</w:t>
            </w:r>
          </w:hyperlink>
        </w:p>
        <w:p>
          <w:pPr>
            <w:pStyle w:val="Contents3"/>
            <w:tabs>
              <w:tab w:val="clear" w:pos="8459"/>
              <w:tab w:val="right" w:pos="9026" w:leader="dot"/>
            </w:tabs>
            <w:rPr/>
          </w:pPr>
          <w:hyperlink w:anchor="__RefHeading___Toc1994298_581953129">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994300_581953129">
            <w:r>
              <w:rPr>
                <w:webHidden/>
                <w:rStyle w:val="IndexLink"/>
                <w:rtl w:val="true"/>
              </w:rPr>
              <w:t>مصادر للمطالعة</w:t>
            </w:r>
            <w:r>
              <w:rPr>
                <w:rStyle w:val="IndexLink"/>
                <w:rtl w:val="true"/>
              </w:rPr>
              <w:tab/>
            </w:r>
            <w:r>
              <w:rPr>
                <w:rStyle w:val="IndexLink"/>
              </w:rPr>
              <w:t>159</w:t>
            </w:r>
          </w:hyperlink>
        </w:p>
        <w:p>
          <w:pPr>
            <w:pStyle w:val="Contents3"/>
            <w:tabs>
              <w:tab w:val="clear" w:pos="8459"/>
              <w:tab w:val="right" w:pos="9026" w:leader="dot"/>
            </w:tabs>
            <w:rPr/>
          </w:pPr>
          <w:hyperlink w:anchor="__RefHeading___Toc1994302_581953129">
            <w:r>
              <w:rPr>
                <w:webHidden/>
                <w:rStyle w:val="IndexLink"/>
                <w:rtl w:val="true"/>
              </w:rPr>
              <w:t>الحدیث الختامیّ</w:t>
            </w:r>
            <w:r>
              <w:rPr>
                <w:rStyle w:val="IndexLink"/>
                <w:rtl w:val="true"/>
              </w:rPr>
              <w:tab/>
            </w:r>
            <w:r>
              <w:rPr>
                <w:rStyle w:val="IndexLink"/>
              </w:rPr>
              <w:t>159</w:t>
            </w:r>
          </w:hyperlink>
        </w:p>
        <w:p>
          <w:pPr>
            <w:pStyle w:val="Contents2"/>
            <w:tabs>
              <w:tab w:val="clear" w:pos="8743"/>
              <w:tab w:val="right" w:pos="9026" w:leader="dot"/>
            </w:tabs>
            <w:rPr/>
          </w:pPr>
          <w:hyperlink w:anchor="__RefHeading___Toc1994304_581953129">
            <w:r>
              <w:rPr>
                <w:webHidden/>
                <w:rStyle w:val="IndexLink"/>
                <w:rtl w:val="true"/>
              </w:rPr>
              <w:t>المعراج والعلوم الحدیثة</w:t>
            </w:r>
            <w:r>
              <w:rPr>
                <w:rStyle w:val="IndexLink"/>
                <w:rtl w:val="true"/>
              </w:rPr>
              <w:tab/>
            </w:r>
            <w:r>
              <w:rPr>
                <w:rStyle w:val="IndexLink"/>
              </w:rPr>
              <w:t>160</w:t>
            </w:r>
          </w:hyperlink>
        </w:p>
        <w:p>
          <w:pPr>
            <w:pStyle w:val="Contents3"/>
            <w:tabs>
              <w:tab w:val="clear" w:pos="8459"/>
              <w:tab w:val="right" w:pos="9026" w:leader="dot"/>
            </w:tabs>
            <w:rPr/>
          </w:pPr>
          <w:hyperlink w:anchor="__RefHeading___Toc1994306_581953129">
            <w:r>
              <w:rPr>
                <w:webHidden/>
                <w:rStyle w:val="IndexLink"/>
                <w:rtl w:val="true"/>
              </w:rPr>
              <w:t>السؤال</w:t>
            </w:r>
            <w:r>
              <w:rPr>
                <w:rStyle w:val="IndexLink"/>
                <w:rtl w:val="true"/>
              </w:rPr>
              <w:t xml:space="preserve">: </w:t>
            </w:r>
            <w:r>
              <w:rPr>
                <w:rStyle w:val="IndexLink"/>
                <w:rtl w:val="true"/>
              </w:rPr>
              <w:t>کیف یتناسب معراج النبیّ المصطفی صلی الله علیه و آله مع العلوم الحدیثة ؟</w:t>
            </w:r>
            <w:r>
              <w:rPr>
                <w:rStyle w:val="IndexLink"/>
                <w:rtl w:val="true"/>
              </w:rPr>
              <w:tab/>
            </w:r>
            <w:r>
              <w:rPr>
                <w:rStyle w:val="IndexLink"/>
              </w:rPr>
              <w:t>160</w:t>
            </w:r>
          </w:hyperlink>
        </w:p>
        <w:p>
          <w:pPr>
            <w:pStyle w:val="Contents3"/>
            <w:tabs>
              <w:tab w:val="clear" w:pos="8459"/>
              <w:tab w:val="right" w:pos="9026" w:leader="dot"/>
            </w:tabs>
            <w:rPr/>
          </w:pPr>
          <w:hyperlink w:anchor="__RefHeading___Toc1994308_581953129">
            <w:r>
              <w:rPr>
                <w:webHidden/>
                <w:rStyle w:val="IndexLink"/>
                <w:rtl w:val="true"/>
              </w:rPr>
              <w:t>مفهوم المعراج</w:t>
            </w:r>
            <w:r>
              <w:rPr>
                <w:rStyle w:val="IndexLink"/>
                <w:rtl w:val="true"/>
              </w:rPr>
              <w:t>:</w:t>
              <w:tab/>
            </w:r>
            <w:r>
              <w:rPr>
                <w:rStyle w:val="IndexLink"/>
              </w:rPr>
              <w:t>160</w:t>
            </w:r>
          </w:hyperlink>
        </w:p>
        <w:p>
          <w:pPr>
            <w:pStyle w:val="Contents3"/>
            <w:tabs>
              <w:tab w:val="clear" w:pos="8459"/>
              <w:tab w:val="right" w:pos="9026" w:leader="dot"/>
            </w:tabs>
            <w:rPr/>
          </w:pPr>
          <w:hyperlink w:anchor="__RefHeading___Toc1994310_581953129">
            <w:r>
              <w:rPr>
                <w:webHidden/>
                <w:rStyle w:val="IndexLink"/>
                <w:rtl w:val="true"/>
              </w:rPr>
              <w:t>قصّة المعراج</w:t>
            </w:r>
            <w:r>
              <w:rPr>
                <w:rStyle w:val="IndexLink"/>
                <w:rtl w:val="true"/>
              </w:rPr>
              <w:tab/>
            </w:r>
            <w:r>
              <w:rPr>
                <w:rStyle w:val="IndexLink"/>
              </w:rPr>
              <w:t>161</w:t>
            </w:r>
          </w:hyperlink>
        </w:p>
        <w:p>
          <w:pPr>
            <w:pStyle w:val="Contents3"/>
            <w:tabs>
              <w:tab w:val="clear" w:pos="8459"/>
              <w:tab w:val="right" w:pos="9026" w:leader="dot"/>
            </w:tabs>
            <w:rPr/>
          </w:pPr>
          <w:hyperlink w:anchor="__RefHeading___Toc1994312_581953129">
            <w:r>
              <w:rPr>
                <w:webHidden/>
                <w:rStyle w:val="IndexLink"/>
                <w:rtl w:val="true"/>
              </w:rPr>
              <w:t>المعراج بین الجسمانیّة والروحانیّة</w:t>
            </w:r>
            <w:r>
              <w:rPr>
                <w:rStyle w:val="IndexLink"/>
                <w:rtl w:val="true"/>
              </w:rPr>
              <w:tab/>
            </w:r>
            <w:r>
              <w:rPr>
                <w:rStyle w:val="IndexLink"/>
              </w:rPr>
              <w:t>165</w:t>
            </w:r>
          </w:hyperlink>
        </w:p>
        <w:p>
          <w:pPr>
            <w:pStyle w:val="Contents4"/>
            <w:tabs>
              <w:tab w:val="clear" w:pos="8176"/>
              <w:tab w:val="right" w:pos="9026" w:leader="dot"/>
            </w:tabs>
            <w:rPr/>
          </w:pPr>
          <w:hyperlink w:anchor="__RefHeading___Toc1994314_58195312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994316_581953129">
            <w:r>
              <w:rPr>
                <w:webHidden/>
                <w:rStyle w:val="IndexLink"/>
                <w:rtl w:val="true"/>
              </w:rPr>
              <w:t>أدلّة وقوع المعراج الجسمانیّ</w:t>
            </w:r>
            <w:r>
              <w:rPr>
                <w:rStyle w:val="IndexLink"/>
                <w:rtl w:val="true"/>
              </w:rPr>
              <w:tab/>
            </w:r>
            <w:r>
              <w:rPr>
                <w:rStyle w:val="IndexLink"/>
              </w:rPr>
              <w:t>169</w:t>
            </w:r>
          </w:hyperlink>
        </w:p>
        <w:p>
          <w:pPr>
            <w:pStyle w:val="Contents3"/>
            <w:tabs>
              <w:tab w:val="clear" w:pos="8459"/>
              <w:tab w:val="right" w:pos="9026" w:leader="dot"/>
            </w:tabs>
            <w:rPr/>
          </w:pPr>
          <w:hyperlink w:anchor="__RefHeading___Toc1994318_581953129">
            <w:r>
              <w:rPr>
                <w:webHidden/>
                <w:rStyle w:val="IndexLink"/>
                <w:rtl w:val="true"/>
              </w:rPr>
              <w:t>الجواب عن شُبهة المعراج والعلوم الحدیثة</w:t>
            </w:r>
            <w:r>
              <w:rPr>
                <w:rStyle w:val="IndexLink"/>
                <w:rtl w:val="true"/>
              </w:rPr>
              <w:tab/>
            </w:r>
            <w:r>
              <w:rPr>
                <w:rStyle w:val="IndexLink"/>
              </w:rPr>
              <w:t>171</w:t>
            </w:r>
          </w:hyperlink>
        </w:p>
        <w:p>
          <w:pPr>
            <w:pStyle w:val="Contents3"/>
            <w:tabs>
              <w:tab w:val="clear" w:pos="8459"/>
              <w:tab w:val="right" w:pos="9026" w:leader="dot"/>
            </w:tabs>
            <w:rPr/>
          </w:pPr>
          <w:hyperlink w:anchor="__RefHeading___Toc1994320_581953129">
            <w:r>
              <w:rPr>
                <w:webHidden/>
                <w:rStyle w:val="IndexLink"/>
                <w:rtl w:val="true"/>
              </w:rPr>
              <w:t>النتیجة</w:t>
            </w:r>
            <w:r>
              <w:rPr>
                <w:rStyle w:val="IndexLink"/>
                <w:rtl w:val="true"/>
              </w:rPr>
              <w:tab/>
            </w:r>
            <w:r>
              <w:rPr>
                <w:rStyle w:val="IndexLink"/>
              </w:rPr>
              <w:t>176</w:t>
            </w:r>
          </w:hyperlink>
        </w:p>
        <w:p>
          <w:pPr>
            <w:pStyle w:val="Contents3"/>
            <w:tabs>
              <w:tab w:val="clear" w:pos="8459"/>
              <w:tab w:val="right" w:pos="9026" w:leader="dot"/>
            </w:tabs>
            <w:rPr/>
          </w:pPr>
          <w:hyperlink w:anchor="__RefHeading___Toc1994322_581953129">
            <w:r>
              <w:rPr>
                <w:webHidden/>
                <w:rStyle w:val="IndexLink"/>
                <w:rtl w:val="true"/>
              </w:rPr>
              <w:t>مصادر للمطالعة</w:t>
            </w:r>
            <w:r>
              <w:rPr>
                <w:rStyle w:val="IndexLink"/>
                <w:rtl w:val="true"/>
              </w:rPr>
              <w:tab/>
            </w:r>
            <w:r>
              <w:rPr>
                <w:rStyle w:val="IndexLink"/>
              </w:rPr>
              <w:t>176</w:t>
            </w:r>
          </w:hyperlink>
        </w:p>
        <w:p>
          <w:pPr>
            <w:pStyle w:val="Contents3"/>
            <w:tabs>
              <w:tab w:val="clear" w:pos="8459"/>
              <w:tab w:val="right" w:pos="9026" w:leader="dot"/>
            </w:tabs>
            <w:rPr/>
          </w:pPr>
          <w:hyperlink w:anchor="__RefHeading___Toc1994324_581953129">
            <w:r>
              <w:rPr>
                <w:webHidden/>
                <w:rStyle w:val="IndexLink"/>
                <w:rtl w:val="true"/>
              </w:rPr>
              <w:t>الحدیث الختامیّ</w:t>
            </w:r>
            <w:r>
              <w:rPr>
                <w:rStyle w:val="IndexLink"/>
                <w:rtl w:val="true"/>
              </w:rPr>
              <w:tab/>
            </w:r>
            <w:r>
              <w:rPr>
                <w:rStyle w:val="IndexLink"/>
              </w:rPr>
              <w:t>176</w:t>
            </w:r>
          </w:hyperlink>
        </w:p>
        <w:p>
          <w:pPr>
            <w:pStyle w:val="Contents2"/>
            <w:tabs>
              <w:tab w:val="clear" w:pos="8743"/>
              <w:tab w:val="right" w:pos="9026" w:leader="dot"/>
            </w:tabs>
            <w:rPr/>
          </w:pPr>
          <w:hyperlink w:anchor="__RefHeading___Toc1994326_581953129">
            <w:r>
              <w:rPr>
                <w:webHidden/>
                <w:rStyle w:val="IndexLink"/>
                <w:rtl w:val="true"/>
              </w:rPr>
              <w:t>تفسیر سماء المعراج</w:t>
            </w:r>
            <w:r>
              <w:rPr>
                <w:rStyle w:val="IndexLink"/>
                <w:rtl w:val="true"/>
              </w:rPr>
              <w:tab/>
            </w:r>
            <w:r>
              <w:rPr>
                <w:rStyle w:val="IndexLink"/>
              </w:rPr>
              <w:t>177</w:t>
            </w:r>
          </w:hyperlink>
        </w:p>
        <w:p>
          <w:pPr>
            <w:pStyle w:val="Contents3"/>
            <w:tabs>
              <w:tab w:val="clear" w:pos="8459"/>
              <w:tab w:val="right" w:pos="9026" w:leader="dot"/>
            </w:tabs>
            <w:rPr/>
          </w:pPr>
          <w:hyperlink w:anchor="__RefHeading___Toc1994328_581953129">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994330_581953129">
            <w:r>
              <w:rPr>
                <w:webHidden/>
                <w:rStyle w:val="IndexLink"/>
                <w:rtl w:val="true"/>
              </w:rPr>
              <w:t>مفهوم السماء</w:t>
            </w:r>
            <w:r>
              <w:rPr>
                <w:rStyle w:val="IndexLink"/>
                <w:rtl w:val="true"/>
              </w:rPr>
              <w:tab/>
            </w:r>
            <w:r>
              <w:rPr>
                <w:rStyle w:val="IndexLink"/>
              </w:rPr>
              <w:t>178</w:t>
            </w:r>
          </w:hyperlink>
        </w:p>
        <w:p>
          <w:pPr>
            <w:pStyle w:val="Contents4"/>
            <w:tabs>
              <w:tab w:val="clear" w:pos="8176"/>
              <w:tab w:val="right" w:pos="9026" w:leader="dot"/>
            </w:tabs>
            <w:rPr/>
          </w:pPr>
          <w:hyperlink w:anchor="__RefHeading___Toc1994332_581953129">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994334_581953129">
            <w:r>
              <w:rPr>
                <w:webHidden/>
                <w:rStyle w:val="IndexLink"/>
                <w:rtl w:val="true"/>
              </w:rPr>
              <w:t>السماوات السبع</w:t>
            </w:r>
            <w:r>
              <w:rPr>
                <w:rStyle w:val="IndexLink"/>
                <w:rtl w:val="true"/>
              </w:rPr>
              <w:tab/>
            </w:r>
            <w:r>
              <w:rPr>
                <w:rStyle w:val="IndexLink"/>
              </w:rPr>
              <w:t>181</w:t>
            </w:r>
          </w:hyperlink>
        </w:p>
        <w:p>
          <w:pPr>
            <w:pStyle w:val="Contents3"/>
            <w:tabs>
              <w:tab w:val="clear" w:pos="8459"/>
              <w:tab w:val="right" w:pos="9026" w:leader="dot"/>
            </w:tabs>
            <w:rPr/>
          </w:pPr>
          <w:hyperlink w:anchor="__RefHeading___Toc1994336_581953129">
            <w:r>
              <w:rPr>
                <w:webHidden/>
                <w:rStyle w:val="IndexLink"/>
                <w:rtl w:val="true"/>
              </w:rPr>
              <w:t>النتیجة</w:t>
            </w:r>
            <w:r>
              <w:rPr>
                <w:rStyle w:val="IndexLink"/>
                <w:rtl w:val="true"/>
              </w:rPr>
              <w:tab/>
            </w:r>
            <w:r>
              <w:rPr>
                <w:rStyle w:val="IndexLink"/>
              </w:rPr>
              <w:t>185</w:t>
            </w:r>
          </w:hyperlink>
        </w:p>
        <w:p>
          <w:pPr>
            <w:pStyle w:val="Contents3"/>
            <w:tabs>
              <w:tab w:val="clear" w:pos="8459"/>
              <w:tab w:val="right" w:pos="9026" w:leader="dot"/>
            </w:tabs>
            <w:rPr/>
          </w:pPr>
          <w:hyperlink w:anchor="__RefHeading___Toc1994338_581953129">
            <w:r>
              <w:rPr>
                <w:webHidden/>
                <w:rStyle w:val="IndexLink"/>
                <w:rtl w:val="true"/>
              </w:rPr>
              <w:t>مصادر للمطالعة</w:t>
            </w:r>
            <w:r>
              <w:rPr>
                <w:rStyle w:val="IndexLink"/>
                <w:rtl w:val="true"/>
              </w:rPr>
              <w:tab/>
            </w:r>
            <w:r>
              <w:rPr>
                <w:rStyle w:val="IndexLink"/>
              </w:rPr>
              <w:t>186</w:t>
            </w:r>
          </w:hyperlink>
        </w:p>
        <w:p>
          <w:pPr>
            <w:pStyle w:val="Contents3"/>
            <w:tabs>
              <w:tab w:val="clear" w:pos="8459"/>
              <w:tab w:val="right" w:pos="9026" w:leader="dot"/>
            </w:tabs>
            <w:rPr/>
          </w:pPr>
          <w:hyperlink w:anchor="__RefHeading___Toc1994340_581953129">
            <w:r>
              <w:rPr>
                <w:webHidden/>
                <w:rStyle w:val="IndexLink"/>
                <w:rtl w:val="true"/>
              </w:rPr>
              <w:t>الحدیث الختامیّ</w:t>
            </w:r>
            <w:r>
              <w:rPr>
                <w:rStyle w:val="IndexLink"/>
                <w:rtl w:val="true"/>
              </w:rPr>
              <w:tab/>
            </w:r>
            <w:r>
              <w:rPr>
                <w:rStyle w:val="IndexLink"/>
              </w:rPr>
              <w:t>186</w:t>
            </w:r>
          </w:hyperlink>
        </w:p>
        <w:p>
          <w:pPr>
            <w:pStyle w:val="Contents2"/>
            <w:tabs>
              <w:tab w:val="clear" w:pos="8743"/>
              <w:tab w:val="right" w:pos="9026" w:leader="dot"/>
            </w:tabs>
            <w:rPr/>
          </w:pPr>
          <w:hyperlink w:anchor="__RefHeading___Toc1994342_581953129">
            <w:r>
              <w:rPr>
                <w:webHidden/>
                <w:rStyle w:val="IndexLink"/>
                <w:rtl w:val="true"/>
              </w:rPr>
              <w:t>تفضیل الأئمّة علی الأنبیاء علیهم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994344_581953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994346_581953129">
            <w:r>
              <w:rPr>
                <w:webHidden/>
                <w:rStyle w:val="IndexLink"/>
              </w:rPr>
              <w:t>1</w:t>
            </w:r>
            <w:r>
              <w:rPr>
                <w:rStyle w:val="IndexLink"/>
                <w:rtl w:val="true"/>
              </w:rPr>
              <w:t xml:space="preserve">- </w:t>
            </w:r>
            <w:r>
              <w:rPr>
                <w:rStyle w:val="IndexLink"/>
                <w:rtl w:val="true"/>
              </w:rPr>
              <w:t>الأدلة القرآنیّة</w:t>
            </w:r>
            <w:r>
              <w:rPr>
                <w:rStyle w:val="IndexLink"/>
                <w:rtl w:val="true"/>
              </w:rPr>
              <w:tab/>
            </w:r>
            <w:r>
              <w:rPr>
                <w:rStyle w:val="IndexLink"/>
              </w:rPr>
              <w:t>188</w:t>
            </w:r>
          </w:hyperlink>
        </w:p>
        <w:p>
          <w:pPr>
            <w:pStyle w:val="Contents4"/>
            <w:tabs>
              <w:tab w:val="clear" w:pos="8176"/>
              <w:tab w:val="right" w:pos="9026" w:leader="dot"/>
            </w:tabs>
            <w:rPr/>
          </w:pPr>
          <w:hyperlink w:anchor="__RefHeading___Toc1994348_581953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994350_581953129">
            <w:r>
              <w:rPr>
                <w:webHidden/>
                <w:rStyle w:val="IndexLink"/>
                <w:rtl w:val="true"/>
              </w:rPr>
              <w:t>أ</w:t>
            </w:r>
            <w:r>
              <w:rPr>
                <w:rStyle w:val="IndexLink"/>
                <w:rtl w:val="true"/>
              </w:rPr>
              <w:t xml:space="preserve">) </w:t>
            </w:r>
            <w:r>
              <w:rPr>
                <w:rStyle w:val="IndexLink"/>
                <w:rtl w:val="true"/>
              </w:rPr>
              <w:t>الآیة المبارکة فی إمامة إبراهیم 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994352_581953129">
            <w:r>
              <w:rPr>
                <w:webHidden/>
                <w:rStyle w:val="IndexLink"/>
                <w:rtl w:val="true"/>
              </w:rPr>
              <w:t>ب</w:t>
            </w:r>
            <w:r>
              <w:rPr>
                <w:rStyle w:val="IndexLink"/>
                <w:rtl w:val="true"/>
              </w:rPr>
              <w:t xml:space="preserve">) </w:t>
            </w:r>
            <w:r>
              <w:rPr>
                <w:rStyle w:val="IndexLink"/>
                <w:rtl w:val="true"/>
              </w:rPr>
              <w:t>آیة المباهلة المبارکة</w:t>
            </w:r>
            <w:r>
              <w:rPr>
                <w:rStyle w:val="IndexLink"/>
                <w:rtl w:val="true"/>
              </w:rPr>
              <w:t>:</w:t>
              <w:tab/>
            </w:r>
            <w:r>
              <w:rPr>
                <w:rStyle w:val="IndexLink"/>
              </w:rPr>
              <w:t>190</w:t>
            </w:r>
          </w:hyperlink>
        </w:p>
        <w:p>
          <w:pPr>
            <w:pStyle w:val="Contents4"/>
            <w:tabs>
              <w:tab w:val="clear" w:pos="8176"/>
              <w:tab w:val="right" w:pos="9026" w:leader="dot"/>
            </w:tabs>
            <w:rPr/>
          </w:pPr>
          <w:hyperlink w:anchor="__RefHeading___Toc1994354_581953129">
            <w:r>
              <w:rPr>
                <w:webHidden/>
                <w:rStyle w:val="IndexLink"/>
                <w:rtl w:val="true"/>
              </w:rPr>
              <w:t>وجه الاستدلال</w:t>
            </w:r>
            <w:r>
              <w:rPr>
                <w:rStyle w:val="IndexLink"/>
                <w:rtl w:val="true"/>
              </w:rPr>
              <w:tab/>
            </w:r>
            <w:r>
              <w:rPr>
                <w:rStyle w:val="IndexLink"/>
              </w:rPr>
              <w:t>190</w:t>
            </w:r>
          </w:hyperlink>
        </w:p>
        <w:p>
          <w:pPr>
            <w:pStyle w:val="Contents3"/>
            <w:tabs>
              <w:tab w:val="clear" w:pos="8459"/>
              <w:tab w:val="right" w:pos="9026" w:leader="dot"/>
            </w:tabs>
            <w:rPr/>
          </w:pPr>
          <w:hyperlink w:anchor="__RefHeading___Toc1994356_581953129">
            <w:r>
              <w:rPr>
                <w:webHidden/>
                <w:rStyle w:val="IndexLink"/>
              </w:rPr>
              <w:t>2</w:t>
            </w:r>
            <w:r>
              <w:rPr>
                <w:rStyle w:val="IndexLink"/>
                <w:rtl w:val="true"/>
              </w:rPr>
              <w:t xml:space="preserve">- </w:t>
            </w:r>
            <w:r>
              <w:rPr>
                <w:rStyle w:val="IndexLink"/>
                <w:rtl w:val="true"/>
              </w:rPr>
              <w:t>الأدلّة الروائیّة</w:t>
            </w:r>
            <w:r>
              <w:rPr>
                <w:rStyle w:val="IndexLink"/>
                <w:rtl w:val="true"/>
              </w:rPr>
              <w:tab/>
            </w:r>
            <w:r>
              <w:rPr>
                <w:rStyle w:val="IndexLink"/>
              </w:rPr>
              <w:t>191</w:t>
            </w:r>
          </w:hyperlink>
        </w:p>
        <w:p>
          <w:pPr>
            <w:pStyle w:val="Contents4"/>
            <w:tabs>
              <w:tab w:val="clear" w:pos="8176"/>
              <w:tab w:val="right" w:pos="9026" w:leader="dot"/>
            </w:tabs>
            <w:rPr/>
          </w:pPr>
          <w:hyperlink w:anchor="__RefHeading___Toc1994358_58195312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994360_581953129">
            <w:r>
              <w:rPr>
                <w:webHidden/>
                <w:rStyle w:val="IndexLink"/>
                <w:rtl w:val="true"/>
              </w:rPr>
              <w:t>القسم الأوّل</w:t>
            </w:r>
            <w:r>
              <w:rPr>
                <w:rStyle w:val="IndexLink"/>
                <w:rtl w:val="true"/>
              </w:rPr>
              <w:t xml:space="preserve">: </w:t>
            </w:r>
            <w:r>
              <w:rPr>
                <w:rStyle w:val="IndexLink"/>
                <w:rtl w:val="true"/>
              </w:rPr>
              <w:t>الأدلّة علی أفضلیّة علیّ علیه السلام علی البشر</w:t>
            </w:r>
            <w:r>
              <w:rPr>
                <w:rStyle w:val="IndexLink"/>
                <w:rtl w:val="true"/>
              </w:rPr>
              <w:tab/>
            </w:r>
            <w:r>
              <w:rPr>
                <w:rStyle w:val="IndexLink"/>
              </w:rPr>
              <w:t>191</w:t>
            </w:r>
          </w:hyperlink>
        </w:p>
        <w:p>
          <w:pPr>
            <w:pStyle w:val="Contents5"/>
            <w:tabs>
              <w:tab w:val="clear" w:pos="7892"/>
              <w:tab w:val="right" w:pos="9026" w:leader="dot"/>
            </w:tabs>
            <w:rPr/>
          </w:pPr>
          <w:hyperlink w:anchor="__RefHeading___Toc1994362_581953129">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994364_581953129">
            <w:r>
              <w:rPr>
                <w:webHidden/>
                <w:rStyle w:val="IndexLink"/>
                <w:rtl w:val="true"/>
              </w:rPr>
              <w:t>الثانی</w:t>
            </w:r>
            <w:r>
              <w:rPr>
                <w:rStyle w:val="IndexLink"/>
                <w:rtl w:val="true"/>
              </w:rPr>
              <w:t xml:space="preserve">: </w:t>
            </w:r>
            <w:r>
              <w:rPr>
                <w:rStyle w:val="IndexLink"/>
                <w:rtl w:val="true"/>
              </w:rPr>
              <w:t>حدیث المحبّة</w:t>
            </w:r>
            <w:r>
              <w:rPr>
                <w:rStyle w:val="IndexLink"/>
                <w:rtl w:val="true"/>
              </w:rPr>
              <w:tab/>
            </w:r>
            <w:r>
              <w:rPr>
                <w:rStyle w:val="IndexLink"/>
              </w:rPr>
              <w:t>192</w:t>
            </w:r>
          </w:hyperlink>
        </w:p>
        <w:p>
          <w:pPr>
            <w:pStyle w:val="Contents4"/>
            <w:tabs>
              <w:tab w:val="clear" w:pos="8176"/>
              <w:tab w:val="right" w:pos="9026" w:leader="dot"/>
            </w:tabs>
            <w:rPr/>
          </w:pPr>
          <w:hyperlink w:anchor="__RefHeading___Toc1994366_581953129">
            <w:r>
              <w:rPr>
                <w:webHidden/>
                <w:rStyle w:val="IndexLink"/>
                <w:rtl w:val="true"/>
              </w:rPr>
              <w:t>القسم الثانی</w:t>
            </w:r>
            <w:r>
              <w:rPr>
                <w:rStyle w:val="IndexLink"/>
                <w:rtl w:val="true"/>
              </w:rPr>
              <w:t xml:space="preserve">: </w:t>
            </w:r>
            <w:r>
              <w:rPr>
                <w:rStyle w:val="IndexLink"/>
                <w:rtl w:val="true"/>
              </w:rPr>
              <w:t>الأدلّة علی أفضلیّة الأئمّة علیهم السلام علی البشَر</w:t>
            </w:r>
            <w:r>
              <w:rPr>
                <w:rStyle w:val="IndexLink"/>
                <w:rtl w:val="true"/>
              </w:rPr>
              <w:tab/>
            </w:r>
            <w:r>
              <w:rPr>
                <w:rStyle w:val="IndexLink"/>
              </w:rPr>
              <w:t>194</w:t>
            </w:r>
          </w:hyperlink>
        </w:p>
        <w:p>
          <w:pPr>
            <w:pStyle w:val="Contents3"/>
            <w:tabs>
              <w:tab w:val="clear" w:pos="8459"/>
              <w:tab w:val="right" w:pos="9026" w:leader="dot"/>
            </w:tabs>
            <w:rPr/>
          </w:pPr>
          <w:hyperlink w:anchor="__RefHeading___Toc1994368_581953129">
            <w:r>
              <w:rPr>
                <w:webHidden/>
                <w:rStyle w:val="IndexLink"/>
                <w:rtl w:val="true"/>
              </w:rPr>
              <w:t>آراء العلماء فی تفضیل الأئمّة علی الأنبیاء</w:t>
            </w:r>
            <w:r>
              <w:rPr>
                <w:rStyle w:val="IndexLink"/>
                <w:rtl w:val="true"/>
              </w:rPr>
              <w:tab/>
            </w:r>
            <w:r>
              <w:rPr>
                <w:rStyle w:val="IndexLink"/>
              </w:rPr>
              <w:t>196</w:t>
            </w:r>
          </w:hyperlink>
        </w:p>
        <w:p>
          <w:pPr>
            <w:pStyle w:val="Contents4"/>
            <w:tabs>
              <w:tab w:val="clear" w:pos="8176"/>
              <w:tab w:val="right" w:pos="9026" w:leader="dot"/>
            </w:tabs>
            <w:rPr/>
          </w:pPr>
          <w:hyperlink w:anchor="__RefHeading___Toc1994370_581953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994372_581953129">
            <w:r>
              <w:rPr>
                <w:webHidden/>
                <w:rStyle w:val="IndexLink"/>
                <w:rtl w:val="true"/>
              </w:rPr>
              <w:t>أ</w:t>
            </w:r>
            <w:r>
              <w:rPr>
                <w:rStyle w:val="IndexLink"/>
                <w:rtl w:val="true"/>
              </w:rPr>
              <w:t xml:space="preserve">) </w:t>
            </w:r>
            <w:r>
              <w:rPr>
                <w:rStyle w:val="IndexLink"/>
                <w:rtl w:val="true"/>
              </w:rPr>
              <w:t>رأی العلاّمة الحلیّ</w:t>
            </w:r>
            <w:r>
              <w:rPr>
                <w:rStyle w:val="IndexLink"/>
                <w:rtl w:val="true"/>
              </w:rPr>
              <w:t>:</w:t>
              <w:tab/>
            </w:r>
            <w:r>
              <w:rPr>
                <w:rStyle w:val="IndexLink"/>
              </w:rPr>
              <w:t>196</w:t>
            </w:r>
          </w:hyperlink>
        </w:p>
        <w:p>
          <w:pPr>
            <w:pStyle w:val="Contents4"/>
            <w:tabs>
              <w:tab w:val="clear" w:pos="8176"/>
              <w:tab w:val="right" w:pos="9026" w:leader="dot"/>
            </w:tabs>
            <w:rPr/>
          </w:pPr>
          <w:hyperlink w:anchor="__RefHeading___Toc1994374_581953129">
            <w:r>
              <w:rPr>
                <w:webHidden/>
                <w:rStyle w:val="IndexLink"/>
                <w:rtl w:val="true"/>
              </w:rPr>
              <w:t>ب</w:t>
            </w:r>
            <w:r>
              <w:rPr>
                <w:rStyle w:val="IndexLink"/>
                <w:rtl w:val="true"/>
              </w:rPr>
              <w:t xml:space="preserve">) </w:t>
            </w:r>
            <w:r>
              <w:rPr>
                <w:rStyle w:val="IndexLink"/>
                <w:rtl w:val="true"/>
              </w:rPr>
              <w:t>رأی المحقّق النراقیّ</w:t>
            </w:r>
            <w:r>
              <w:rPr>
                <w:rStyle w:val="IndexLink"/>
                <w:rtl w:val="true"/>
              </w:rPr>
              <w:t>:</w:t>
              <w:tab/>
            </w:r>
            <w:r>
              <w:rPr>
                <w:rStyle w:val="IndexLink"/>
              </w:rPr>
              <w:t>196</w:t>
            </w:r>
          </w:hyperlink>
        </w:p>
        <w:p>
          <w:pPr>
            <w:pStyle w:val="Contents4"/>
            <w:tabs>
              <w:tab w:val="clear" w:pos="8176"/>
              <w:tab w:val="right" w:pos="9026" w:leader="dot"/>
            </w:tabs>
            <w:rPr/>
          </w:pPr>
          <w:hyperlink w:anchor="__RefHeading___Toc1994376_581953129">
            <w:r>
              <w:rPr>
                <w:webHidden/>
                <w:rStyle w:val="IndexLink"/>
                <w:rtl w:val="true"/>
              </w:rPr>
              <w:t>د</w:t>
            </w:r>
            <w:r>
              <w:rPr>
                <w:rStyle w:val="IndexLink"/>
                <w:rtl w:val="true"/>
              </w:rPr>
              <w:t xml:space="preserve">) </w:t>
            </w:r>
            <w:r>
              <w:rPr>
                <w:rStyle w:val="IndexLink"/>
                <w:rtl w:val="true"/>
              </w:rPr>
              <w:t>رأی العلاّمة المجلسیّ</w:t>
            </w:r>
            <w:r>
              <w:rPr>
                <w:rStyle w:val="IndexLink"/>
                <w:rtl w:val="true"/>
              </w:rPr>
              <w:t>:</w:t>
              <w:tab/>
            </w:r>
            <w:r>
              <w:rPr>
                <w:rStyle w:val="IndexLink"/>
              </w:rPr>
              <w:t>198</w:t>
            </w:r>
          </w:hyperlink>
        </w:p>
        <w:p>
          <w:pPr>
            <w:pStyle w:val="Contents4"/>
            <w:tabs>
              <w:tab w:val="clear" w:pos="8176"/>
              <w:tab w:val="right" w:pos="9026" w:leader="dot"/>
            </w:tabs>
            <w:rPr/>
          </w:pPr>
          <w:hyperlink w:anchor="__RefHeading___Toc1994378_581953129">
            <w:r>
              <w:rPr>
                <w:webHidden/>
                <w:rStyle w:val="IndexLink"/>
                <w:rtl w:val="true"/>
              </w:rPr>
              <w:t>ه</w:t>
            </w:r>
            <w:r>
              <w:rPr>
                <w:rStyle w:val="IndexLink"/>
                <w:rtl w:val="true"/>
              </w:rPr>
              <w:t xml:space="preserve">) </w:t>
            </w:r>
            <w:r>
              <w:rPr>
                <w:rStyle w:val="IndexLink"/>
                <w:rtl w:val="true"/>
              </w:rPr>
              <w:t>رأی الحاکم الحسکانیّ</w:t>
            </w:r>
            <w:r>
              <w:rPr>
                <w:rStyle w:val="IndexLink"/>
                <w:rtl w:val="true"/>
              </w:rPr>
              <w:t>:</w:t>
              <w:tab/>
            </w:r>
            <w:r>
              <w:rPr>
                <w:rStyle w:val="IndexLink"/>
              </w:rPr>
              <w:t>199</w:t>
            </w:r>
          </w:hyperlink>
        </w:p>
        <w:p>
          <w:pPr>
            <w:pStyle w:val="Contents3"/>
            <w:tabs>
              <w:tab w:val="clear" w:pos="8459"/>
              <w:tab w:val="right" w:pos="9026" w:leader="dot"/>
            </w:tabs>
            <w:rPr/>
          </w:pPr>
          <w:hyperlink w:anchor="__RefHeading___Toc1994380_581953129">
            <w:r>
              <w:rPr>
                <w:webHidden/>
                <w:rStyle w:val="IndexLink"/>
                <w:rtl w:val="true"/>
              </w:rPr>
              <w:t>الخلاصة</w:t>
            </w:r>
            <w:r>
              <w:rPr>
                <w:rStyle w:val="IndexLink"/>
                <w:rtl w:val="true"/>
              </w:rPr>
              <w:tab/>
            </w:r>
            <w:r>
              <w:rPr>
                <w:rStyle w:val="IndexLink"/>
              </w:rPr>
              <w:t>199</w:t>
            </w:r>
          </w:hyperlink>
        </w:p>
        <w:p>
          <w:pPr>
            <w:pStyle w:val="Contents3"/>
            <w:tabs>
              <w:tab w:val="clear" w:pos="8459"/>
              <w:tab w:val="right" w:pos="9026" w:leader="dot"/>
            </w:tabs>
            <w:rPr/>
          </w:pPr>
          <w:hyperlink w:anchor="__RefHeading___Toc1994382_581953129">
            <w:r>
              <w:rPr>
                <w:webHidden/>
                <w:rStyle w:val="IndexLink"/>
                <w:rtl w:val="true"/>
              </w:rPr>
              <w:t>مصادر للمطالعة</w:t>
            </w:r>
            <w:r>
              <w:rPr>
                <w:rStyle w:val="IndexLink"/>
                <w:rtl w:val="true"/>
              </w:rPr>
              <w:tab/>
            </w:r>
            <w:r>
              <w:rPr>
                <w:rStyle w:val="IndexLink"/>
              </w:rPr>
              <w:t>200</w:t>
            </w:r>
          </w:hyperlink>
        </w:p>
        <w:p>
          <w:pPr>
            <w:pStyle w:val="Contents3"/>
            <w:tabs>
              <w:tab w:val="clear" w:pos="8459"/>
              <w:tab w:val="right" w:pos="9026" w:leader="dot"/>
            </w:tabs>
            <w:rPr/>
          </w:pPr>
          <w:hyperlink w:anchor="__RefHeading___Toc1994384_581953129">
            <w:r>
              <w:rPr>
                <w:webHidden/>
                <w:rStyle w:val="IndexLink"/>
                <w:rtl w:val="true"/>
              </w:rPr>
              <w:t>الحدیث الختامیّ</w:t>
            </w:r>
            <w:r>
              <w:rPr>
                <w:rStyle w:val="IndexLink"/>
                <w:rtl w:val="true"/>
              </w:rPr>
              <w:tab/>
            </w:r>
            <w:r>
              <w:rPr>
                <w:rStyle w:val="IndexLink"/>
              </w:rPr>
              <w:t>200</w:t>
            </w:r>
          </w:hyperlink>
        </w:p>
        <w:p>
          <w:pPr>
            <w:pStyle w:val="Contents2"/>
            <w:tabs>
              <w:tab w:val="clear" w:pos="8743"/>
              <w:tab w:val="right" w:pos="9026" w:leader="dot"/>
            </w:tabs>
            <w:rPr/>
          </w:pPr>
          <w:hyperlink w:anchor="__RefHeading___Toc1994386_581953129">
            <w:r>
              <w:rPr>
                <w:webHidden/>
                <w:rStyle w:val="IndexLink"/>
                <w:rtl w:val="true"/>
              </w:rPr>
              <w:t>عصمة الإمام علیّ علیه السلام واعترافه بالخطأ</w:t>
            </w:r>
            <w:r>
              <w:rPr>
                <w:rStyle w:val="IndexLink"/>
                <w:rtl w:val="true"/>
              </w:rPr>
              <w:tab/>
            </w:r>
            <w:r>
              <w:rPr>
                <w:rStyle w:val="IndexLink"/>
              </w:rPr>
              <w:t>201</w:t>
            </w:r>
          </w:hyperlink>
        </w:p>
        <w:p>
          <w:pPr>
            <w:pStyle w:val="Contents3"/>
            <w:tabs>
              <w:tab w:val="clear" w:pos="8459"/>
              <w:tab w:val="right" w:pos="9026" w:leader="dot"/>
            </w:tabs>
            <w:rPr/>
          </w:pPr>
          <w:hyperlink w:anchor="__RefHeading___Toc1994388_58195312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994390_581953129">
            <w:r>
              <w:rPr>
                <w:webHidden/>
                <w:rStyle w:val="IndexLink"/>
                <w:rtl w:val="true"/>
              </w:rPr>
              <w:t>أ</w:t>
            </w:r>
            <w:r>
              <w:rPr>
                <w:rStyle w:val="IndexLink"/>
                <w:rtl w:val="true"/>
              </w:rPr>
              <w:t xml:space="preserve">) </w:t>
            </w:r>
            <w:r>
              <w:rPr>
                <w:rStyle w:val="IndexLink"/>
                <w:rtl w:val="true"/>
              </w:rPr>
              <w:t>أقسام الخطأ ومراتب المعصیة</w:t>
            </w:r>
            <w:r>
              <w:rPr>
                <w:rStyle w:val="IndexLink"/>
                <w:rtl w:val="true"/>
              </w:rPr>
              <w:tab/>
            </w:r>
            <w:r>
              <w:rPr>
                <w:rStyle w:val="IndexLink"/>
              </w:rPr>
              <w:t>202</w:t>
            </w:r>
          </w:hyperlink>
        </w:p>
        <w:p>
          <w:pPr>
            <w:pStyle w:val="Contents3"/>
            <w:tabs>
              <w:tab w:val="clear" w:pos="8459"/>
              <w:tab w:val="right" w:pos="9026" w:leader="dot"/>
            </w:tabs>
            <w:rPr/>
          </w:pPr>
          <w:hyperlink w:anchor="__RefHeading___Toc1994392_581953129">
            <w:r>
              <w:rPr>
                <w:webHidden/>
                <w:rStyle w:val="IndexLink"/>
                <w:rtl w:val="true"/>
              </w:rPr>
              <w:t>ب</w:t>
            </w:r>
            <w:r>
              <w:rPr>
                <w:rStyle w:val="IndexLink"/>
                <w:rtl w:val="true"/>
              </w:rPr>
              <w:t xml:space="preserve">) </w:t>
            </w:r>
            <w:r>
              <w:rPr>
                <w:rStyle w:val="IndexLink"/>
                <w:rtl w:val="true"/>
              </w:rPr>
              <w:t>المعصیة فی مقام المحبّة</w:t>
            </w:r>
            <w:r>
              <w:rPr>
                <w:rStyle w:val="IndexLink"/>
                <w:rtl w:val="true"/>
              </w:rPr>
              <w:tab/>
            </w:r>
            <w:r>
              <w:rPr>
                <w:rStyle w:val="IndexLink"/>
              </w:rPr>
              <w:t>203</w:t>
            </w:r>
          </w:hyperlink>
        </w:p>
        <w:p>
          <w:pPr>
            <w:pStyle w:val="Contents3"/>
            <w:tabs>
              <w:tab w:val="clear" w:pos="8459"/>
              <w:tab w:val="right" w:pos="9026" w:leader="dot"/>
            </w:tabs>
            <w:rPr/>
          </w:pPr>
          <w:hyperlink w:anchor="__RefHeading___Toc1994394_581953129">
            <w:r>
              <w:rPr>
                <w:webHidden/>
                <w:rStyle w:val="IndexLink"/>
                <w:rtl w:val="true"/>
              </w:rPr>
              <w:t>النتیجة</w:t>
            </w:r>
            <w:r>
              <w:rPr>
                <w:rStyle w:val="IndexLink"/>
                <w:rtl w:val="true"/>
              </w:rPr>
              <w:tab/>
            </w:r>
            <w:r>
              <w:rPr>
                <w:rStyle w:val="IndexLink"/>
              </w:rPr>
              <w:t>206</w:t>
            </w:r>
          </w:hyperlink>
        </w:p>
        <w:p>
          <w:pPr>
            <w:pStyle w:val="Contents3"/>
            <w:tabs>
              <w:tab w:val="clear" w:pos="8459"/>
              <w:tab w:val="right" w:pos="9026" w:leader="dot"/>
            </w:tabs>
            <w:rPr/>
          </w:pPr>
          <w:hyperlink w:anchor="__RefHeading___Toc1994396_581953129">
            <w:r>
              <w:rPr>
                <w:webHidden/>
                <w:rStyle w:val="IndexLink"/>
                <w:rtl w:val="true"/>
              </w:rPr>
              <w:t>مصادر للمطالعة</w:t>
            </w:r>
            <w:r>
              <w:rPr>
                <w:rStyle w:val="IndexLink"/>
                <w:rtl w:val="true"/>
              </w:rPr>
              <w:tab/>
            </w:r>
            <w:r>
              <w:rPr>
                <w:rStyle w:val="IndexLink"/>
              </w:rPr>
              <w:t>207</w:t>
            </w:r>
          </w:hyperlink>
        </w:p>
        <w:p>
          <w:pPr>
            <w:pStyle w:val="Contents3"/>
            <w:tabs>
              <w:tab w:val="clear" w:pos="8459"/>
              <w:tab w:val="right" w:pos="9026" w:leader="dot"/>
            </w:tabs>
            <w:rPr/>
          </w:pPr>
          <w:hyperlink w:anchor="__RefHeading___Toc1994398_581953129">
            <w:r>
              <w:rPr>
                <w:webHidden/>
                <w:rStyle w:val="IndexLink"/>
                <w:rtl w:val="true"/>
              </w:rPr>
              <w:t>الحدیث الختامیّ</w:t>
            </w:r>
            <w:r>
              <w:rPr>
                <w:rStyle w:val="IndexLink"/>
                <w:rtl w:val="true"/>
              </w:rPr>
              <w:tab/>
            </w:r>
            <w:r>
              <w:rPr>
                <w:rStyle w:val="IndexLink"/>
              </w:rPr>
              <w:t>207</w:t>
            </w:r>
          </w:hyperlink>
        </w:p>
        <w:p>
          <w:pPr>
            <w:pStyle w:val="Contents2"/>
            <w:tabs>
              <w:tab w:val="clear" w:pos="8743"/>
              <w:tab w:val="right" w:pos="9026" w:leader="dot"/>
            </w:tabs>
            <w:rPr/>
          </w:pPr>
          <w:hyperlink w:anchor="__RefHeading___Toc1994400_581953129">
            <w:r>
              <w:rPr>
                <w:webHidden/>
                <w:rStyle w:val="IndexLink"/>
                <w:rtl w:val="true"/>
              </w:rPr>
              <w:t>تعیین النبیّ صلی الله علیه و آله للإمام علیّ علیه السلام خلیفةً له</w:t>
            </w:r>
            <w:r>
              <w:rPr>
                <w:rStyle w:val="IndexLink"/>
                <w:rtl w:val="true"/>
              </w:rPr>
              <w:tab/>
            </w:r>
            <w:r>
              <w:rPr>
                <w:rStyle w:val="IndexLink"/>
              </w:rPr>
              <w:t>208</w:t>
            </w:r>
          </w:hyperlink>
        </w:p>
        <w:p>
          <w:pPr>
            <w:pStyle w:val="Contents3"/>
            <w:tabs>
              <w:tab w:val="clear" w:pos="8459"/>
              <w:tab w:val="right" w:pos="9026" w:leader="dot"/>
            </w:tabs>
            <w:rPr/>
          </w:pPr>
          <w:hyperlink w:anchor="__RefHeading___Toc1994402_581953129">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994404_581953129">
            <w:r>
              <w:rPr>
                <w:webHidden/>
                <w:rStyle w:val="IndexLink"/>
                <w:rtl w:val="true"/>
              </w:rPr>
              <w:t>أ</w:t>
            </w:r>
            <w:r>
              <w:rPr>
                <w:rStyle w:val="IndexLink"/>
                <w:rtl w:val="true"/>
              </w:rPr>
              <w:t xml:space="preserve">) </w:t>
            </w:r>
            <w:r>
              <w:rPr>
                <w:rStyle w:val="IndexLink"/>
                <w:rtl w:val="true"/>
              </w:rPr>
              <w:t>اعتبار الإمام علیه السلام شخصاً مؤهّلاً ولائقاً</w:t>
            </w:r>
            <w:r>
              <w:rPr>
                <w:rStyle w:val="IndexLink"/>
                <w:rtl w:val="true"/>
              </w:rPr>
              <w:tab/>
            </w:r>
            <w:r>
              <w:rPr>
                <w:rStyle w:val="IndexLink"/>
              </w:rPr>
              <w:t>209</w:t>
            </w:r>
          </w:hyperlink>
        </w:p>
        <w:p>
          <w:pPr>
            <w:pStyle w:val="Contents4"/>
            <w:tabs>
              <w:tab w:val="clear" w:pos="8176"/>
              <w:tab w:val="right" w:pos="9026" w:leader="dot"/>
            </w:tabs>
            <w:rPr/>
          </w:pPr>
          <w:hyperlink w:anchor="__RefHeading___Toc1994406_58195312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994408_581953129">
            <w:r>
              <w:rPr>
                <w:webHidden/>
                <w:rStyle w:val="IndexLink"/>
              </w:rPr>
              <w:t>1</w:t>
            </w:r>
            <w:r>
              <w:rPr>
                <w:rStyle w:val="IndexLink"/>
                <w:rtl w:val="true"/>
              </w:rPr>
              <w:t xml:space="preserve">- </w:t>
            </w:r>
            <w:r>
              <w:rPr>
                <w:rStyle w:val="IndexLink"/>
                <w:rtl w:val="true"/>
              </w:rPr>
              <w:t>علیّ علیه السلام خیر البشُر</w:t>
            </w:r>
            <w:r>
              <w:rPr>
                <w:rStyle w:val="IndexLink"/>
                <w:rtl w:val="true"/>
              </w:rPr>
              <w:tab/>
            </w:r>
            <w:r>
              <w:rPr>
                <w:rStyle w:val="IndexLink"/>
              </w:rPr>
              <w:t>210</w:t>
            </w:r>
          </w:hyperlink>
        </w:p>
        <w:p>
          <w:pPr>
            <w:pStyle w:val="Contents4"/>
            <w:tabs>
              <w:tab w:val="clear" w:pos="8176"/>
              <w:tab w:val="right" w:pos="9026" w:leader="dot"/>
            </w:tabs>
            <w:rPr/>
          </w:pPr>
          <w:hyperlink w:anchor="__RefHeading___Toc1994410_581953129">
            <w:r>
              <w:rPr>
                <w:webHidden/>
                <w:rStyle w:val="IndexLink"/>
              </w:rPr>
              <w:t>2</w:t>
            </w:r>
            <w:r>
              <w:rPr>
                <w:rStyle w:val="IndexLink"/>
                <w:rtl w:val="true"/>
              </w:rPr>
              <w:t xml:space="preserve">- </w:t>
            </w:r>
            <w:r>
              <w:rPr>
                <w:rStyle w:val="IndexLink"/>
                <w:rtl w:val="true"/>
              </w:rPr>
              <w:t>علیّ علیه السلام أعلم النّاس وأقضاهم</w:t>
            </w:r>
            <w:r>
              <w:rPr>
                <w:rStyle w:val="IndexLink"/>
                <w:rtl w:val="true"/>
              </w:rPr>
              <w:tab/>
            </w:r>
            <w:r>
              <w:rPr>
                <w:rStyle w:val="IndexLink"/>
              </w:rPr>
              <w:t>210</w:t>
            </w:r>
          </w:hyperlink>
        </w:p>
        <w:p>
          <w:pPr>
            <w:pStyle w:val="Contents4"/>
            <w:tabs>
              <w:tab w:val="clear" w:pos="8176"/>
              <w:tab w:val="right" w:pos="9026" w:leader="dot"/>
            </w:tabs>
            <w:rPr/>
          </w:pPr>
          <w:hyperlink w:anchor="__RefHeading___Toc1994412_581953129">
            <w:r>
              <w:rPr>
                <w:webHidden/>
                <w:rStyle w:val="IndexLink"/>
              </w:rPr>
              <w:t>3</w:t>
            </w:r>
            <w:r>
              <w:rPr>
                <w:rStyle w:val="IndexLink"/>
                <w:rtl w:val="true"/>
              </w:rPr>
              <w:t xml:space="preserve">- </w:t>
            </w:r>
            <w:r>
              <w:rPr>
                <w:rStyle w:val="IndexLink"/>
                <w:rtl w:val="true"/>
              </w:rPr>
              <w:t>ملازمة الحقّ لعلیّ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994414_581953129">
            <w:r>
              <w:rPr>
                <w:webHidden/>
                <w:rStyle w:val="IndexLink"/>
              </w:rPr>
              <w:t>4</w:t>
            </w:r>
            <w:r>
              <w:rPr>
                <w:rStyle w:val="IndexLink"/>
                <w:rtl w:val="true"/>
              </w:rPr>
              <w:t xml:space="preserve">- </w:t>
            </w:r>
            <w:r>
              <w:rPr>
                <w:rStyle w:val="IndexLink"/>
                <w:rtl w:val="true"/>
              </w:rPr>
              <w:t>القرآن مع علیّ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994416_581953129">
            <w:r>
              <w:rPr>
                <w:webHidden/>
                <w:rStyle w:val="IndexLink"/>
              </w:rPr>
              <w:t>5</w:t>
            </w:r>
            <w:r>
              <w:rPr>
                <w:rStyle w:val="IndexLink"/>
                <w:rtl w:val="true"/>
              </w:rPr>
              <w:t xml:space="preserve">- </w:t>
            </w:r>
            <w:r>
              <w:rPr>
                <w:rStyle w:val="IndexLink"/>
                <w:rtl w:val="true"/>
              </w:rPr>
              <w:t>حبّ علیّ علیه السلام معیار لمعرفة المؤمن من المنافق</w:t>
            </w:r>
            <w:r>
              <w:rPr>
                <w:rStyle w:val="IndexLink"/>
                <w:rtl w:val="true"/>
              </w:rPr>
              <w:tab/>
            </w:r>
            <w:r>
              <w:rPr>
                <w:rStyle w:val="IndexLink"/>
              </w:rPr>
              <w:t>211</w:t>
            </w:r>
          </w:hyperlink>
        </w:p>
        <w:p>
          <w:pPr>
            <w:pStyle w:val="Contents4"/>
            <w:tabs>
              <w:tab w:val="clear" w:pos="8176"/>
              <w:tab w:val="right" w:pos="9026" w:leader="dot"/>
            </w:tabs>
            <w:rPr/>
          </w:pPr>
          <w:hyperlink w:anchor="__RefHeading___Toc1994418_581953129">
            <w:r>
              <w:rPr>
                <w:webHidden/>
                <w:rStyle w:val="IndexLink"/>
              </w:rPr>
              <w:t>6</w:t>
            </w:r>
            <w:r>
              <w:rPr>
                <w:rStyle w:val="IndexLink"/>
                <w:rtl w:val="true"/>
              </w:rPr>
              <w:t xml:space="preserve">- </w:t>
            </w:r>
            <w:r>
              <w:rPr>
                <w:rStyle w:val="IndexLink"/>
                <w:rtl w:val="true"/>
              </w:rPr>
              <w:t>علیّ علیه السلام باب العلم</w:t>
            </w:r>
            <w:r>
              <w:rPr>
                <w:rStyle w:val="IndexLink"/>
                <w:rtl w:val="true"/>
              </w:rPr>
              <w:tab/>
            </w:r>
            <w:r>
              <w:rPr>
                <w:rStyle w:val="IndexLink"/>
              </w:rPr>
              <w:t>212</w:t>
            </w:r>
          </w:hyperlink>
        </w:p>
        <w:p>
          <w:pPr>
            <w:pStyle w:val="Contents4"/>
            <w:tabs>
              <w:tab w:val="clear" w:pos="8176"/>
              <w:tab w:val="right" w:pos="9026" w:leader="dot"/>
            </w:tabs>
            <w:rPr/>
          </w:pPr>
          <w:hyperlink w:anchor="__RefHeading___Toc1994420_581953129">
            <w:r>
              <w:rPr>
                <w:webHidden/>
                <w:rStyle w:val="IndexLink"/>
              </w:rPr>
              <w:t>7</w:t>
            </w:r>
            <w:r>
              <w:rPr>
                <w:rStyle w:val="IndexLink"/>
                <w:rtl w:val="true"/>
              </w:rPr>
              <w:t xml:space="preserve">- </w:t>
            </w:r>
            <w:r>
              <w:rPr>
                <w:rStyle w:val="IndexLink"/>
                <w:rtl w:val="true"/>
              </w:rPr>
              <w:t>علیّ علیه السلام عصارة الفضائل</w:t>
            </w:r>
            <w:r>
              <w:rPr>
                <w:rStyle w:val="IndexLink"/>
                <w:rtl w:val="true"/>
              </w:rPr>
              <w:tab/>
            </w:r>
            <w:r>
              <w:rPr>
                <w:rStyle w:val="IndexLink"/>
              </w:rPr>
              <w:t>212</w:t>
            </w:r>
          </w:hyperlink>
        </w:p>
        <w:p>
          <w:pPr>
            <w:pStyle w:val="Contents4"/>
            <w:tabs>
              <w:tab w:val="clear" w:pos="8176"/>
              <w:tab w:val="right" w:pos="9026" w:leader="dot"/>
            </w:tabs>
            <w:rPr/>
          </w:pPr>
          <w:hyperlink w:anchor="__RefHeading___Toc1994422_581953129">
            <w:r>
              <w:rPr>
                <w:webHidden/>
                <w:rStyle w:val="IndexLink"/>
              </w:rPr>
              <w:t>8</w:t>
            </w:r>
            <w:r>
              <w:rPr>
                <w:rStyle w:val="IndexLink"/>
                <w:rtl w:val="true"/>
              </w:rPr>
              <w:t xml:space="preserve">- </w:t>
            </w:r>
            <w:r>
              <w:rPr>
                <w:rStyle w:val="IndexLink"/>
                <w:rtl w:val="true"/>
              </w:rPr>
              <w:t>فضائل علیّ علیه السلام لا تُحصی</w:t>
            </w:r>
            <w:r>
              <w:rPr>
                <w:rStyle w:val="IndexLink"/>
                <w:rtl w:val="true"/>
              </w:rPr>
              <w:tab/>
            </w:r>
            <w:r>
              <w:rPr>
                <w:rStyle w:val="IndexLink"/>
              </w:rPr>
              <w:t>213</w:t>
            </w:r>
          </w:hyperlink>
        </w:p>
        <w:p>
          <w:pPr>
            <w:pStyle w:val="Contents3"/>
            <w:tabs>
              <w:tab w:val="clear" w:pos="8459"/>
              <w:tab w:val="right" w:pos="9026" w:leader="dot"/>
            </w:tabs>
            <w:rPr/>
          </w:pPr>
          <w:hyperlink w:anchor="__RefHeading___Toc1994424_581953129">
            <w:r>
              <w:rPr>
                <w:webHidden/>
                <w:rStyle w:val="IndexLink"/>
                <w:rtl w:val="true"/>
              </w:rPr>
              <w:t>ب</w:t>
            </w:r>
            <w:r>
              <w:rPr>
                <w:rStyle w:val="IndexLink"/>
                <w:rtl w:val="true"/>
              </w:rPr>
              <w:t xml:space="preserve">) </w:t>
            </w:r>
            <w:r>
              <w:rPr>
                <w:rStyle w:val="IndexLink"/>
                <w:rtl w:val="true"/>
              </w:rPr>
              <w:t>تعیین الإمام علیه السلام خلیفةً للمسلمین</w:t>
            </w:r>
            <w:r>
              <w:rPr>
                <w:rStyle w:val="IndexLink"/>
                <w:rtl w:val="true"/>
              </w:rPr>
              <w:tab/>
            </w:r>
            <w:r>
              <w:rPr>
                <w:rStyle w:val="IndexLink"/>
              </w:rPr>
              <w:t>213</w:t>
            </w:r>
          </w:hyperlink>
        </w:p>
        <w:p>
          <w:pPr>
            <w:pStyle w:val="Contents4"/>
            <w:tabs>
              <w:tab w:val="clear" w:pos="8176"/>
              <w:tab w:val="right" w:pos="9026" w:leader="dot"/>
            </w:tabs>
            <w:rPr/>
          </w:pPr>
          <w:hyperlink w:anchor="__RefHeading___Toc1994426_581953129">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994428_581953129">
            <w:r>
              <w:rPr>
                <w:webHidden/>
                <w:rStyle w:val="IndexLink"/>
              </w:rPr>
              <w:t>1</w:t>
            </w:r>
            <w:r>
              <w:rPr>
                <w:rStyle w:val="IndexLink"/>
                <w:rtl w:val="true"/>
              </w:rPr>
              <w:t xml:space="preserve">- </w:t>
            </w:r>
            <w:r>
              <w:rPr>
                <w:rStyle w:val="IndexLink"/>
                <w:rtl w:val="true"/>
              </w:rPr>
              <w:t>علیّ علیه السلام وارث النبیّ صلی الله علیه و آله وخلیفته</w:t>
            </w:r>
            <w:r>
              <w:rPr>
                <w:rStyle w:val="IndexLink"/>
                <w:rtl w:val="true"/>
              </w:rPr>
              <w:tab/>
            </w:r>
            <w:r>
              <w:rPr>
                <w:rStyle w:val="IndexLink"/>
              </w:rPr>
              <w:t>213</w:t>
            </w:r>
          </w:hyperlink>
        </w:p>
        <w:p>
          <w:pPr>
            <w:pStyle w:val="Contents4"/>
            <w:tabs>
              <w:tab w:val="clear" w:pos="8176"/>
              <w:tab w:val="right" w:pos="9026" w:leader="dot"/>
            </w:tabs>
            <w:rPr/>
          </w:pPr>
          <w:hyperlink w:anchor="__RefHeading___Toc1994430_581953129">
            <w:r>
              <w:rPr>
                <w:webHidden/>
                <w:rStyle w:val="IndexLink"/>
              </w:rPr>
              <w:t>2</w:t>
            </w:r>
            <w:r>
              <w:rPr>
                <w:rStyle w:val="IndexLink"/>
                <w:rtl w:val="true"/>
              </w:rPr>
              <w:t xml:space="preserve">- </w:t>
            </w:r>
            <w:r>
              <w:rPr>
                <w:rStyle w:val="IndexLink"/>
                <w:rtl w:val="true"/>
              </w:rPr>
              <w:t>علیّ علیه السلام خلیفة النبیّ صلی الله علیه و آله فی المدینة</w:t>
            </w:r>
            <w:r>
              <w:rPr>
                <w:rStyle w:val="IndexLink"/>
                <w:rtl w:val="true"/>
              </w:rPr>
              <w:tab/>
            </w:r>
            <w:r>
              <w:rPr>
                <w:rStyle w:val="IndexLink"/>
              </w:rPr>
              <w:t>214</w:t>
            </w:r>
          </w:hyperlink>
        </w:p>
        <w:p>
          <w:pPr>
            <w:pStyle w:val="Contents4"/>
            <w:tabs>
              <w:tab w:val="clear" w:pos="8176"/>
              <w:tab w:val="right" w:pos="9026" w:leader="dot"/>
            </w:tabs>
            <w:rPr/>
          </w:pPr>
          <w:hyperlink w:anchor="__RefHeading___Toc1994432_581953129">
            <w:r>
              <w:rPr>
                <w:webHidden/>
                <w:rStyle w:val="IndexLink"/>
              </w:rPr>
              <w:t>3</w:t>
            </w:r>
            <w:r>
              <w:rPr>
                <w:rStyle w:val="IndexLink"/>
                <w:rtl w:val="true"/>
              </w:rPr>
              <w:t xml:space="preserve">- </w:t>
            </w:r>
            <w:r>
              <w:rPr>
                <w:rStyle w:val="IndexLink"/>
                <w:rtl w:val="true"/>
              </w:rPr>
              <w:t>علیّ علیه السلام وصیّ النبیّ صلی الله علیه و آله فی الغدیر</w:t>
            </w:r>
            <w:r>
              <w:rPr>
                <w:rStyle w:val="IndexLink"/>
                <w:rtl w:val="true"/>
              </w:rPr>
              <w:tab/>
            </w:r>
            <w:r>
              <w:rPr>
                <w:rStyle w:val="IndexLink"/>
              </w:rPr>
              <w:t>215</w:t>
            </w:r>
          </w:hyperlink>
        </w:p>
        <w:p>
          <w:pPr>
            <w:pStyle w:val="Contents3"/>
            <w:tabs>
              <w:tab w:val="clear" w:pos="8459"/>
              <w:tab w:val="right" w:pos="9026" w:leader="dot"/>
            </w:tabs>
            <w:rPr/>
          </w:pPr>
          <w:hyperlink w:anchor="__RefHeading___Toc1994434_581953129">
            <w:r>
              <w:rPr>
                <w:webHidden/>
                <w:rStyle w:val="IndexLink"/>
                <w:rtl w:val="true"/>
              </w:rPr>
              <w:t>أحادیث أُخری</w:t>
            </w:r>
            <w:r>
              <w:rPr>
                <w:rStyle w:val="IndexLink"/>
                <w:rtl w:val="true"/>
              </w:rPr>
              <w:tab/>
            </w:r>
            <w:r>
              <w:rPr>
                <w:rStyle w:val="IndexLink"/>
              </w:rPr>
              <w:t>216</w:t>
            </w:r>
          </w:hyperlink>
        </w:p>
        <w:p>
          <w:pPr>
            <w:pStyle w:val="Contents3"/>
            <w:tabs>
              <w:tab w:val="clear" w:pos="8459"/>
              <w:tab w:val="right" w:pos="9026" w:leader="dot"/>
            </w:tabs>
            <w:rPr/>
          </w:pPr>
          <w:hyperlink w:anchor="__RefHeading___Toc1994436_581953129">
            <w:r>
              <w:rPr>
                <w:webHidden/>
                <w:rStyle w:val="IndexLink"/>
                <w:rtl w:val="true"/>
              </w:rPr>
              <w:t>النتیجة</w:t>
            </w:r>
            <w:r>
              <w:rPr>
                <w:rStyle w:val="IndexLink"/>
                <w:rtl w:val="true"/>
              </w:rPr>
              <w:tab/>
            </w:r>
            <w:r>
              <w:rPr>
                <w:rStyle w:val="IndexLink"/>
              </w:rPr>
              <w:t>218</w:t>
            </w:r>
          </w:hyperlink>
        </w:p>
        <w:p>
          <w:pPr>
            <w:pStyle w:val="Contents3"/>
            <w:tabs>
              <w:tab w:val="clear" w:pos="8459"/>
              <w:tab w:val="right" w:pos="9026" w:leader="dot"/>
            </w:tabs>
            <w:rPr/>
          </w:pPr>
          <w:hyperlink w:anchor="__RefHeading___Toc1994438_581953129">
            <w:r>
              <w:rPr>
                <w:webHidden/>
                <w:rStyle w:val="IndexLink"/>
                <w:rtl w:val="true"/>
              </w:rPr>
              <w:t>مصادر للمطالعة</w:t>
            </w:r>
            <w:r>
              <w:rPr>
                <w:rStyle w:val="IndexLink"/>
                <w:rtl w:val="true"/>
              </w:rPr>
              <w:tab/>
            </w:r>
            <w:r>
              <w:rPr>
                <w:rStyle w:val="IndexLink"/>
              </w:rPr>
              <w:t>219</w:t>
            </w:r>
          </w:hyperlink>
        </w:p>
        <w:p>
          <w:pPr>
            <w:pStyle w:val="Contents3"/>
            <w:tabs>
              <w:tab w:val="clear" w:pos="8459"/>
              <w:tab w:val="right" w:pos="9026" w:leader="dot"/>
            </w:tabs>
            <w:rPr/>
          </w:pPr>
          <w:hyperlink w:anchor="__RefHeading___Toc1994440_581953129">
            <w:r>
              <w:rPr>
                <w:webHidden/>
                <w:rStyle w:val="IndexLink"/>
                <w:rtl w:val="true"/>
              </w:rPr>
              <w:t>الحدیث الختامیّ</w:t>
            </w:r>
            <w:r>
              <w:rPr>
                <w:rStyle w:val="IndexLink"/>
                <w:rtl w:val="true"/>
              </w:rPr>
              <w:t>:</w:t>
              <w:tab/>
            </w:r>
            <w:r>
              <w:rPr>
                <w:rStyle w:val="IndexLink"/>
              </w:rPr>
              <w:t>219</w:t>
            </w:r>
          </w:hyperlink>
        </w:p>
        <w:p>
          <w:pPr>
            <w:pStyle w:val="Contents2"/>
            <w:tabs>
              <w:tab w:val="clear" w:pos="8743"/>
              <w:tab w:val="right" w:pos="9026" w:leader="dot"/>
            </w:tabs>
            <w:rPr/>
          </w:pPr>
          <w:hyperlink w:anchor="__RefHeading___Toc1994442_581953129">
            <w:r>
              <w:rPr>
                <w:webHidden/>
                <w:rStyle w:val="IndexLink"/>
                <w:rtl w:val="true"/>
              </w:rPr>
              <w:t>ردّ الشمس وفضیلة الإمام علیّ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994444_581953129">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994446_581953129">
            <w:r>
              <w:rPr>
                <w:webHidden/>
                <w:rStyle w:val="IndexLink"/>
                <w:rtl w:val="true"/>
              </w:rPr>
              <w:t>جواب الشقّ الأوّل</w:t>
            </w:r>
            <w:r>
              <w:rPr>
                <w:rStyle w:val="IndexLink"/>
                <w:rtl w:val="true"/>
              </w:rPr>
              <w:t>:</w:t>
              <w:tab/>
            </w:r>
            <w:r>
              <w:rPr>
                <w:rStyle w:val="IndexLink"/>
              </w:rPr>
              <w:t>220</w:t>
            </w:r>
          </w:hyperlink>
        </w:p>
        <w:p>
          <w:pPr>
            <w:pStyle w:val="Contents4"/>
            <w:tabs>
              <w:tab w:val="clear" w:pos="8176"/>
              <w:tab w:val="right" w:pos="9026" w:leader="dot"/>
            </w:tabs>
            <w:rPr/>
          </w:pPr>
          <w:hyperlink w:anchor="__RefHeading___Toc1994448_58195312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994450_581953129">
            <w:r>
              <w:rPr>
                <w:webHidden/>
                <w:rStyle w:val="IndexLink"/>
              </w:rPr>
              <w:t>1</w:t>
            </w:r>
            <w:r>
              <w:rPr>
                <w:rStyle w:val="IndexLink"/>
                <w:rtl w:val="true"/>
              </w:rPr>
              <w:t xml:space="preserve">- </w:t>
            </w:r>
            <w:r>
              <w:rPr>
                <w:rStyle w:val="IndexLink"/>
                <w:rtl w:val="true"/>
              </w:rPr>
              <w:t>مقتضی قانون التکامل</w:t>
            </w:r>
            <w:r>
              <w:rPr>
                <w:rStyle w:val="IndexLink"/>
                <w:rtl w:val="true"/>
              </w:rPr>
              <w:tab/>
            </w:r>
            <w:r>
              <w:rPr>
                <w:rStyle w:val="IndexLink"/>
              </w:rPr>
              <w:t>224</w:t>
            </w:r>
          </w:hyperlink>
        </w:p>
        <w:p>
          <w:pPr>
            <w:pStyle w:val="Contents4"/>
            <w:tabs>
              <w:tab w:val="clear" w:pos="8176"/>
              <w:tab w:val="right" w:pos="9026" w:leader="dot"/>
            </w:tabs>
            <w:rPr/>
          </w:pPr>
          <w:hyperlink w:anchor="__RefHeading___Toc1994452_581953129">
            <w:r>
              <w:rPr>
                <w:webHidden/>
                <w:rStyle w:val="IndexLink"/>
              </w:rPr>
              <w:t>2</w:t>
            </w:r>
            <w:r>
              <w:rPr>
                <w:rStyle w:val="IndexLink"/>
                <w:rtl w:val="true"/>
              </w:rPr>
              <w:t xml:space="preserve">- </w:t>
            </w:r>
            <w:r>
              <w:rPr>
                <w:rStyle w:val="IndexLink"/>
                <w:rtl w:val="true"/>
              </w:rPr>
              <w:t>مقتضی الحکمة</w:t>
            </w:r>
            <w:r>
              <w:rPr>
                <w:rStyle w:val="IndexLink"/>
                <w:rtl w:val="true"/>
              </w:rPr>
              <w:tab/>
            </w:r>
            <w:r>
              <w:rPr>
                <w:rStyle w:val="IndexLink"/>
              </w:rPr>
              <w:t>225</w:t>
            </w:r>
          </w:hyperlink>
        </w:p>
        <w:p>
          <w:pPr>
            <w:pStyle w:val="Contents4"/>
            <w:tabs>
              <w:tab w:val="clear" w:pos="8176"/>
              <w:tab w:val="right" w:pos="9026" w:leader="dot"/>
            </w:tabs>
            <w:rPr/>
          </w:pPr>
          <w:hyperlink w:anchor="__RefHeading___Toc1994454_581953129">
            <w:r>
              <w:rPr>
                <w:webHidden/>
                <w:rStyle w:val="IndexLink"/>
              </w:rPr>
              <w:t>3</w:t>
            </w:r>
            <w:r>
              <w:rPr>
                <w:rStyle w:val="IndexLink"/>
                <w:rtl w:val="true"/>
              </w:rPr>
              <w:t xml:space="preserve">- </w:t>
            </w:r>
            <w:r>
              <w:rPr>
                <w:rStyle w:val="IndexLink"/>
                <w:rtl w:val="true"/>
              </w:rPr>
              <w:t>مقتضی الأولویّة</w:t>
            </w:r>
            <w:r>
              <w:rPr>
                <w:rStyle w:val="IndexLink"/>
                <w:rtl w:val="true"/>
              </w:rPr>
              <w:tab/>
            </w:r>
            <w:r>
              <w:rPr>
                <w:rStyle w:val="IndexLink"/>
              </w:rPr>
              <w:t>225</w:t>
            </w:r>
          </w:hyperlink>
        </w:p>
        <w:p>
          <w:pPr>
            <w:pStyle w:val="Contents4"/>
            <w:tabs>
              <w:tab w:val="clear" w:pos="8176"/>
              <w:tab w:val="right" w:pos="9026" w:leader="dot"/>
            </w:tabs>
            <w:rPr/>
          </w:pPr>
          <w:hyperlink w:anchor="__RefHeading___Toc1994456_581953129">
            <w:r>
              <w:rPr>
                <w:webHidden/>
                <w:rStyle w:val="IndexLink"/>
              </w:rPr>
              <w:t>4</w:t>
            </w:r>
            <w:r>
              <w:rPr>
                <w:rStyle w:val="IndexLink"/>
                <w:rtl w:val="true"/>
              </w:rPr>
              <w:t xml:space="preserve">- </w:t>
            </w:r>
            <w:r>
              <w:rPr>
                <w:rStyle w:val="IndexLink"/>
                <w:rtl w:val="true"/>
              </w:rPr>
              <w:t>مقتضی الآیات والروایات</w:t>
            </w:r>
            <w:r>
              <w:rPr>
                <w:rStyle w:val="IndexLink"/>
                <w:rtl w:val="true"/>
              </w:rPr>
              <w:tab/>
            </w:r>
            <w:r>
              <w:rPr>
                <w:rStyle w:val="IndexLink"/>
              </w:rPr>
              <w:t>226</w:t>
            </w:r>
          </w:hyperlink>
        </w:p>
        <w:p>
          <w:pPr>
            <w:pStyle w:val="Contents3"/>
            <w:tabs>
              <w:tab w:val="clear" w:pos="8459"/>
              <w:tab w:val="right" w:pos="9026" w:leader="dot"/>
            </w:tabs>
            <w:rPr/>
          </w:pPr>
          <w:hyperlink w:anchor="__RefHeading___Toc1994458_581953129">
            <w:r>
              <w:rPr>
                <w:webHidden/>
                <w:rStyle w:val="IndexLink"/>
                <w:rtl w:val="true"/>
              </w:rPr>
              <w:t>جواب الشقّ الثانی</w:t>
            </w:r>
            <w:r>
              <w:rPr>
                <w:rStyle w:val="IndexLink"/>
                <w:rtl w:val="true"/>
              </w:rPr>
              <w:tab/>
            </w:r>
            <w:r>
              <w:rPr>
                <w:rStyle w:val="IndexLink"/>
              </w:rPr>
              <w:t>229</w:t>
            </w:r>
          </w:hyperlink>
        </w:p>
        <w:p>
          <w:pPr>
            <w:pStyle w:val="Contents3"/>
            <w:tabs>
              <w:tab w:val="clear" w:pos="8459"/>
              <w:tab w:val="right" w:pos="9026" w:leader="dot"/>
            </w:tabs>
            <w:rPr/>
          </w:pPr>
          <w:hyperlink w:anchor="__RefHeading___Toc1994460_581953129">
            <w:r>
              <w:rPr>
                <w:webHidden/>
                <w:rStyle w:val="IndexLink"/>
                <w:rtl w:val="true"/>
              </w:rPr>
              <w:t>النتیجة</w:t>
            </w:r>
            <w:r>
              <w:rPr>
                <w:rStyle w:val="IndexLink"/>
                <w:rtl w:val="true"/>
              </w:rPr>
              <w:tab/>
            </w:r>
            <w:r>
              <w:rPr>
                <w:rStyle w:val="IndexLink"/>
              </w:rPr>
              <w:t>230</w:t>
            </w:r>
          </w:hyperlink>
        </w:p>
        <w:p>
          <w:pPr>
            <w:pStyle w:val="Contents3"/>
            <w:tabs>
              <w:tab w:val="clear" w:pos="8459"/>
              <w:tab w:val="right" w:pos="9026" w:leader="dot"/>
            </w:tabs>
            <w:rPr/>
          </w:pPr>
          <w:hyperlink w:anchor="__RefHeading___Toc1994462_581953129">
            <w:r>
              <w:rPr>
                <w:webHidden/>
                <w:rStyle w:val="IndexLink"/>
                <w:rtl w:val="true"/>
              </w:rPr>
              <w:t>مصادر للمطالعة</w:t>
            </w:r>
            <w:r>
              <w:rPr>
                <w:rStyle w:val="IndexLink"/>
                <w:rtl w:val="true"/>
              </w:rPr>
              <w:tab/>
            </w:r>
            <w:r>
              <w:rPr>
                <w:rStyle w:val="IndexLink"/>
              </w:rPr>
              <w:t>231</w:t>
            </w:r>
          </w:hyperlink>
        </w:p>
        <w:p>
          <w:pPr>
            <w:pStyle w:val="Contents3"/>
            <w:tabs>
              <w:tab w:val="clear" w:pos="8459"/>
              <w:tab w:val="right" w:pos="9026" w:leader="dot"/>
            </w:tabs>
            <w:rPr/>
          </w:pPr>
          <w:hyperlink w:anchor="__RefHeading___Toc1994464_581953129">
            <w:r>
              <w:rPr>
                <w:webHidden/>
                <w:rStyle w:val="IndexLink"/>
                <w:rtl w:val="true"/>
              </w:rPr>
              <w:t>الحدیث الختامیّ</w:t>
            </w:r>
            <w:r>
              <w:rPr>
                <w:rStyle w:val="IndexLink"/>
                <w:rtl w:val="true"/>
              </w:rPr>
              <w:t>:</w:t>
              <w:tab/>
            </w:r>
            <w:r>
              <w:rPr>
                <w:rStyle w:val="IndexLink"/>
              </w:rPr>
              <w:t>231</w:t>
            </w:r>
          </w:hyperlink>
        </w:p>
        <w:p>
          <w:pPr>
            <w:pStyle w:val="Contents2"/>
            <w:tabs>
              <w:tab w:val="clear" w:pos="8743"/>
              <w:tab w:val="right" w:pos="9026" w:leader="dot"/>
            </w:tabs>
            <w:rPr/>
          </w:pPr>
          <w:hyperlink w:anchor="__RefHeading___Toc1994466_581953129">
            <w:r>
              <w:rPr>
                <w:webHidden/>
                <w:rStyle w:val="IndexLink"/>
                <w:rtl w:val="true"/>
              </w:rPr>
              <w:t>العدالة العالمیّة فی انتظار المهدیّ</w:t>
            </w:r>
            <w:r>
              <w:rPr>
                <w:rStyle w:val="IndexLink"/>
                <w:rtl w:val="true"/>
              </w:rPr>
              <w:tab/>
            </w:r>
            <w:r>
              <w:rPr>
                <w:rStyle w:val="IndexLink"/>
              </w:rPr>
              <w:t>232</w:t>
            </w:r>
          </w:hyperlink>
        </w:p>
        <w:p>
          <w:pPr>
            <w:pStyle w:val="Contents3"/>
            <w:tabs>
              <w:tab w:val="clear" w:pos="8459"/>
              <w:tab w:val="right" w:pos="9026" w:leader="dot"/>
            </w:tabs>
            <w:rPr/>
          </w:pPr>
          <w:hyperlink w:anchor="__RefHeading___Toc1994468_581953129">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994470_581953129">
            <w:r>
              <w:rPr>
                <w:webHidden/>
                <w:rStyle w:val="IndexLink"/>
                <w:rtl w:val="true"/>
              </w:rPr>
              <w:t>مایستفاد من الروایات الاسلامیة</w:t>
            </w:r>
            <w:r>
              <w:rPr>
                <w:rStyle w:val="IndexLink"/>
                <w:rtl w:val="true"/>
              </w:rPr>
              <w:tab/>
            </w:r>
            <w:r>
              <w:rPr>
                <w:rStyle w:val="IndexLink"/>
              </w:rPr>
              <w:t>235</w:t>
            </w:r>
          </w:hyperlink>
        </w:p>
        <w:p>
          <w:pPr>
            <w:pStyle w:val="Contents4"/>
            <w:tabs>
              <w:tab w:val="clear" w:pos="8176"/>
              <w:tab w:val="right" w:pos="9026" w:leader="dot"/>
            </w:tabs>
            <w:rPr/>
          </w:pPr>
          <w:hyperlink w:anchor="__RefHeading___Toc1994472_581953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994474_581953129">
            <w:r>
              <w:rPr>
                <w:webHidden/>
                <w:rStyle w:val="IndexLink"/>
                <w:rtl w:val="true"/>
              </w:rPr>
              <w:t>أ</w:t>
            </w:r>
            <w:r>
              <w:rPr>
                <w:rStyle w:val="IndexLink"/>
                <w:rtl w:val="true"/>
              </w:rPr>
              <w:t xml:space="preserve">) </w:t>
            </w:r>
            <w:r>
              <w:rPr>
                <w:rStyle w:val="IndexLink"/>
                <w:rtl w:val="true"/>
              </w:rPr>
              <w:t>التهیّؤ والاستعداد الاجتماعیّ</w:t>
            </w:r>
            <w:r>
              <w:rPr>
                <w:rStyle w:val="IndexLink"/>
                <w:rtl w:val="true"/>
              </w:rPr>
              <w:tab/>
            </w:r>
            <w:r>
              <w:rPr>
                <w:rStyle w:val="IndexLink"/>
              </w:rPr>
              <w:t>235</w:t>
            </w:r>
          </w:hyperlink>
        </w:p>
        <w:p>
          <w:pPr>
            <w:pStyle w:val="Contents4"/>
            <w:tabs>
              <w:tab w:val="clear" w:pos="8176"/>
              <w:tab w:val="right" w:pos="9026" w:leader="dot"/>
            </w:tabs>
            <w:rPr/>
          </w:pPr>
          <w:hyperlink w:anchor="__RefHeading___Toc1994476_581953129">
            <w:r>
              <w:rPr>
                <w:webHidden/>
                <w:rStyle w:val="IndexLink"/>
                <w:rtl w:val="true"/>
              </w:rPr>
              <w:t>ب</w:t>
            </w:r>
            <w:r>
              <w:rPr>
                <w:rStyle w:val="IndexLink"/>
                <w:rtl w:val="true"/>
              </w:rPr>
              <w:t xml:space="preserve">) </w:t>
            </w:r>
            <w:r>
              <w:rPr>
                <w:rStyle w:val="IndexLink"/>
                <w:rtl w:val="true"/>
              </w:rPr>
              <w:t>الاستعداد الفکریّ والثقافیّ</w:t>
            </w:r>
            <w:r>
              <w:rPr>
                <w:rStyle w:val="IndexLink"/>
                <w:rtl w:val="true"/>
              </w:rPr>
              <w:tab/>
            </w:r>
            <w:r>
              <w:rPr>
                <w:rStyle w:val="IndexLink"/>
              </w:rPr>
              <w:t>237</w:t>
            </w:r>
          </w:hyperlink>
        </w:p>
        <w:p>
          <w:pPr>
            <w:pStyle w:val="Contents4"/>
            <w:tabs>
              <w:tab w:val="clear" w:pos="8176"/>
              <w:tab w:val="right" w:pos="9026" w:leader="dot"/>
            </w:tabs>
            <w:rPr/>
          </w:pPr>
          <w:hyperlink w:anchor="__RefHeading___Toc1994478_581953129">
            <w:r>
              <w:rPr>
                <w:webHidden/>
                <w:rStyle w:val="IndexLink"/>
                <w:rtl w:val="true"/>
              </w:rPr>
              <w:t>ج</w:t>
            </w:r>
            <w:r>
              <w:rPr>
                <w:rStyle w:val="IndexLink"/>
                <w:rtl w:val="true"/>
              </w:rPr>
              <w:t xml:space="preserve">) </w:t>
            </w:r>
            <w:r>
              <w:rPr>
                <w:rStyle w:val="IndexLink"/>
                <w:rtl w:val="true"/>
              </w:rPr>
              <w:t>الاستعداد العلمیّ والصناعیّ</w:t>
            </w:r>
            <w:r>
              <w:rPr>
                <w:rStyle w:val="IndexLink"/>
                <w:rtl w:val="true"/>
              </w:rPr>
              <w:tab/>
            </w:r>
            <w:r>
              <w:rPr>
                <w:rStyle w:val="IndexLink"/>
              </w:rPr>
              <w:t>238</w:t>
            </w:r>
          </w:hyperlink>
        </w:p>
        <w:p>
          <w:pPr>
            <w:pStyle w:val="Contents4"/>
            <w:tabs>
              <w:tab w:val="clear" w:pos="8176"/>
              <w:tab w:val="right" w:pos="9026" w:leader="dot"/>
            </w:tabs>
            <w:rPr/>
          </w:pPr>
          <w:hyperlink w:anchor="__RefHeading___Toc1994480_581953129">
            <w:r>
              <w:rPr>
                <w:webHidden/>
                <w:rStyle w:val="IndexLink"/>
                <w:rtl w:val="true"/>
              </w:rPr>
              <w:t>د</w:t>
            </w:r>
            <w:r>
              <w:rPr>
                <w:rStyle w:val="IndexLink"/>
                <w:rtl w:val="true"/>
              </w:rPr>
              <w:t xml:space="preserve">) </w:t>
            </w:r>
            <w:r>
              <w:rPr>
                <w:rStyle w:val="IndexLink"/>
                <w:rtl w:val="true"/>
              </w:rPr>
              <w:t>التقدّم العلمیّ الهائل</w:t>
            </w:r>
            <w:r>
              <w:rPr>
                <w:rStyle w:val="IndexLink"/>
                <w:rtl w:val="true"/>
              </w:rPr>
              <w:tab/>
            </w:r>
            <w:r>
              <w:rPr>
                <w:rStyle w:val="IndexLink"/>
              </w:rPr>
              <w:t>239</w:t>
            </w:r>
          </w:hyperlink>
        </w:p>
        <w:p>
          <w:pPr>
            <w:pStyle w:val="Contents4"/>
            <w:tabs>
              <w:tab w:val="clear" w:pos="8176"/>
              <w:tab w:val="right" w:pos="9026" w:leader="dot"/>
            </w:tabs>
            <w:rPr/>
          </w:pPr>
          <w:hyperlink w:anchor="__RefHeading___Toc1994482_581953129">
            <w:r>
              <w:rPr>
                <w:webHidden/>
                <w:rStyle w:val="IndexLink"/>
                <w:rtl w:val="true"/>
              </w:rPr>
              <w:t>ه</w:t>
            </w:r>
            <w:r>
              <w:rPr>
                <w:rStyle w:val="IndexLink"/>
                <w:rtl w:val="true"/>
              </w:rPr>
              <w:t xml:space="preserve">) </w:t>
            </w:r>
            <w:r>
              <w:rPr>
                <w:rStyle w:val="IndexLink"/>
                <w:rtl w:val="true"/>
              </w:rPr>
              <w:t>تکامل العقول البشریّة</w:t>
            </w:r>
            <w:r>
              <w:rPr>
                <w:rStyle w:val="IndexLink"/>
                <w:rtl w:val="true"/>
              </w:rPr>
              <w:tab/>
            </w:r>
            <w:r>
              <w:rPr>
                <w:rStyle w:val="IndexLink"/>
              </w:rPr>
              <w:t>241</w:t>
            </w:r>
          </w:hyperlink>
        </w:p>
        <w:p>
          <w:pPr>
            <w:pStyle w:val="Contents4"/>
            <w:tabs>
              <w:tab w:val="clear" w:pos="8176"/>
              <w:tab w:val="right" w:pos="9026" w:leader="dot"/>
            </w:tabs>
            <w:rPr/>
          </w:pPr>
          <w:hyperlink w:anchor="__RefHeading___Toc1994484_581953129">
            <w:r>
              <w:rPr>
                <w:webHidden/>
                <w:rStyle w:val="IndexLink"/>
                <w:rtl w:val="true"/>
              </w:rPr>
              <w:t>و</w:t>
            </w:r>
            <w:r>
              <w:rPr>
                <w:rStyle w:val="IndexLink"/>
                <w:rtl w:val="true"/>
              </w:rPr>
              <w:t xml:space="preserve">) </w:t>
            </w:r>
            <w:r>
              <w:rPr>
                <w:rStyle w:val="IndexLink"/>
                <w:rtl w:val="true"/>
              </w:rPr>
              <w:t>التکامل الأخلاقیّ والمعنویّ</w:t>
            </w:r>
            <w:r>
              <w:rPr>
                <w:rStyle w:val="IndexLink"/>
                <w:rtl w:val="true"/>
              </w:rPr>
              <w:tab/>
            </w:r>
            <w:r>
              <w:rPr>
                <w:rStyle w:val="IndexLink"/>
              </w:rPr>
              <w:t>241</w:t>
            </w:r>
          </w:hyperlink>
        </w:p>
        <w:p>
          <w:pPr>
            <w:pStyle w:val="Contents3"/>
            <w:tabs>
              <w:tab w:val="clear" w:pos="8459"/>
              <w:tab w:val="right" w:pos="9026" w:leader="dot"/>
            </w:tabs>
            <w:rPr/>
          </w:pPr>
          <w:hyperlink w:anchor="__RefHeading___Toc1994486_581953129">
            <w:r>
              <w:rPr>
                <w:webHidden/>
                <w:rStyle w:val="IndexLink"/>
                <w:rtl w:val="true"/>
              </w:rPr>
              <w:t>النتیجة</w:t>
            </w:r>
            <w:r>
              <w:rPr>
                <w:rStyle w:val="IndexLink"/>
                <w:rtl w:val="true"/>
              </w:rPr>
              <w:tab/>
            </w:r>
            <w:r>
              <w:rPr>
                <w:rStyle w:val="IndexLink"/>
              </w:rPr>
              <w:t>243</w:t>
            </w:r>
          </w:hyperlink>
        </w:p>
        <w:p>
          <w:pPr>
            <w:pStyle w:val="Contents3"/>
            <w:tabs>
              <w:tab w:val="clear" w:pos="8459"/>
              <w:tab w:val="right" w:pos="9026" w:leader="dot"/>
            </w:tabs>
            <w:rPr/>
          </w:pPr>
          <w:hyperlink w:anchor="__RefHeading___Toc1994488_581953129">
            <w:r>
              <w:rPr>
                <w:webHidden/>
                <w:rStyle w:val="IndexLink"/>
                <w:rtl w:val="true"/>
              </w:rPr>
              <w:t>مصادر للمطالعة</w:t>
            </w:r>
            <w:r>
              <w:rPr>
                <w:rStyle w:val="IndexLink"/>
                <w:rtl w:val="true"/>
              </w:rPr>
              <w:tab/>
            </w:r>
            <w:r>
              <w:rPr>
                <w:rStyle w:val="IndexLink"/>
              </w:rPr>
              <w:t>244</w:t>
            </w:r>
          </w:hyperlink>
        </w:p>
        <w:p>
          <w:pPr>
            <w:pStyle w:val="Contents3"/>
            <w:tabs>
              <w:tab w:val="clear" w:pos="8459"/>
              <w:tab w:val="right" w:pos="9026" w:leader="dot"/>
            </w:tabs>
            <w:rPr/>
          </w:pPr>
          <w:hyperlink w:anchor="__RefHeading___Toc1994490_581953129">
            <w:r>
              <w:rPr>
                <w:webHidden/>
                <w:rStyle w:val="IndexLink"/>
                <w:rtl w:val="true"/>
              </w:rPr>
              <w:t>الحدیث الختامیّ</w:t>
            </w:r>
            <w:r>
              <w:rPr>
                <w:rStyle w:val="IndexLink"/>
                <w:rtl w:val="true"/>
              </w:rPr>
              <w:tab/>
            </w:r>
            <w:r>
              <w:rPr>
                <w:rStyle w:val="IndexLink"/>
              </w:rPr>
              <w:t>244</w:t>
            </w:r>
          </w:hyperlink>
        </w:p>
        <w:p>
          <w:pPr>
            <w:pStyle w:val="Contents2"/>
            <w:tabs>
              <w:tab w:val="clear" w:pos="8743"/>
              <w:tab w:val="right" w:pos="9026" w:leader="dot"/>
            </w:tabs>
            <w:rPr/>
          </w:pPr>
          <w:hyperlink w:anchor="__RefHeading___Toc1994492_581953129">
            <w:r>
              <w:rPr>
                <w:webHidden/>
                <w:rStyle w:val="IndexLink"/>
                <w:rtl w:val="true"/>
              </w:rPr>
              <w:t>سیکولوجیا الانتظار ودوره فی الحیاة</w:t>
            </w:r>
            <w:r>
              <w:rPr>
                <w:rStyle w:val="IndexLink"/>
                <w:rtl w:val="true"/>
              </w:rPr>
              <w:tab/>
            </w:r>
            <w:r>
              <w:rPr>
                <w:rStyle w:val="IndexLink"/>
              </w:rPr>
              <w:t>245</w:t>
            </w:r>
          </w:hyperlink>
        </w:p>
        <w:p>
          <w:pPr>
            <w:pStyle w:val="Contents3"/>
            <w:tabs>
              <w:tab w:val="clear" w:pos="8459"/>
              <w:tab w:val="right" w:pos="9026" w:leader="dot"/>
            </w:tabs>
            <w:rPr/>
          </w:pPr>
          <w:hyperlink w:anchor="__RefHeading___Toc1994494_581953129">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994496_581953129">
            <w:r>
              <w:rPr>
                <w:webHidden/>
                <w:rStyle w:val="IndexLink"/>
                <w:rtl w:val="true"/>
              </w:rPr>
              <w:t>أ</w:t>
            </w:r>
            <w:r>
              <w:rPr>
                <w:rStyle w:val="IndexLink"/>
                <w:rtl w:val="true"/>
              </w:rPr>
              <w:t xml:space="preserve">) </w:t>
            </w:r>
            <w:r>
              <w:rPr>
                <w:rStyle w:val="IndexLink"/>
                <w:rtl w:val="true"/>
              </w:rPr>
              <w:t>انتظار النصر</w:t>
            </w:r>
            <w:r>
              <w:rPr>
                <w:rStyle w:val="IndexLink"/>
                <w:rtl w:val="true"/>
              </w:rPr>
              <w:tab/>
            </w:r>
            <w:r>
              <w:rPr>
                <w:rStyle w:val="IndexLink"/>
              </w:rPr>
              <w:t>245</w:t>
            </w:r>
          </w:hyperlink>
        </w:p>
        <w:p>
          <w:pPr>
            <w:pStyle w:val="Contents3"/>
            <w:tabs>
              <w:tab w:val="clear" w:pos="8459"/>
              <w:tab w:val="right" w:pos="9026" w:leader="dot"/>
            </w:tabs>
            <w:rPr/>
          </w:pPr>
          <w:hyperlink w:anchor="__RefHeading___Toc1994498_581953129">
            <w:r>
              <w:rPr>
                <w:webHidden/>
                <w:rStyle w:val="IndexLink"/>
                <w:rtl w:val="true"/>
              </w:rPr>
              <w:t>ب</w:t>
            </w:r>
            <w:r>
              <w:rPr>
                <w:rStyle w:val="IndexLink"/>
                <w:rtl w:val="true"/>
              </w:rPr>
              <w:t xml:space="preserve">) </w:t>
            </w:r>
            <w:r>
              <w:rPr>
                <w:rStyle w:val="IndexLink"/>
                <w:rtl w:val="true"/>
              </w:rPr>
              <w:t>کسر شوکة الاستکبار وهیبته</w:t>
            </w:r>
            <w:r>
              <w:rPr>
                <w:rStyle w:val="IndexLink"/>
                <w:rtl w:val="true"/>
              </w:rPr>
              <w:tab/>
            </w:r>
            <w:r>
              <w:rPr>
                <w:rStyle w:val="IndexLink"/>
              </w:rPr>
              <w:t>247</w:t>
            </w:r>
          </w:hyperlink>
        </w:p>
        <w:p>
          <w:pPr>
            <w:pStyle w:val="Contents3"/>
            <w:tabs>
              <w:tab w:val="clear" w:pos="8459"/>
              <w:tab w:val="right" w:pos="9026" w:leader="dot"/>
            </w:tabs>
            <w:rPr/>
          </w:pPr>
          <w:hyperlink w:anchor="__RefHeading___Toc1994500_581953129">
            <w:r>
              <w:rPr>
                <w:webHidden/>
                <w:rStyle w:val="IndexLink"/>
                <w:rtl w:val="true"/>
              </w:rPr>
              <w:t>ج</w:t>
            </w:r>
            <w:r>
              <w:rPr>
                <w:rStyle w:val="IndexLink"/>
                <w:rtl w:val="true"/>
              </w:rPr>
              <w:t xml:space="preserve">) </w:t>
            </w:r>
            <w:r>
              <w:rPr>
                <w:rStyle w:val="IndexLink"/>
                <w:rtl w:val="true"/>
              </w:rPr>
              <w:t>مدح المنتظرین وذمّ المستکبرین</w:t>
            </w:r>
            <w:r>
              <w:rPr>
                <w:rStyle w:val="IndexLink"/>
                <w:rtl w:val="true"/>
              </w:rPr>
              <w:tab/>
            </w:r>
            <w:r>
              <w:rPr>
                <w:rStyle w:val="IndexLink"/>
              </w:rPr>
              <w:t>250</w:t>
            </w:r>
          </w:hyperlink>
        </w:p>
        <w:p>
          <w:pPr>
            <w:pStyle w:val="Contents3"/>
            <w:tabs>
              <w:tab w:val="clear" w:pos="8459"/>
              <w:tab w:val="right" w:pos="9026" w:leader="dot"/>
            </w:tabs>
            <w:rPr/>
          </w:pPr>
          <w:hyperlink w:anchor="__RefHeading___Toc1994502_581953129">
            <w:r>
              <w:rPr>
                <w:webHidden/>
                <w:rStyle w:val="IndexLink"/>
                <w:rtl w:val="true"/>
              </w:rPr>
              <w:t>د</w:t>
            </w:r>
            <w:r>
              <w:rPr>
                <w:rStyle w:val="IndexLink"/>
                <w:rtl w:val="true"/>
              </w:rPr>
              <w:t xml:space="preserve">) </w:t>
            </w:r>
            <w:r>
              <w:rPr>
                <w:rStyle w:val="IndexLink"/>
                <w:rtl w:val="true"/>
              </w:rPr>
              <w:t>التصدّی للانحرافات الاجتماعیّة</w:t>
            </w:r>
            <w:r>
              <w:rPr>
                <w:rStyle w:val="IndexLink"/>
                <w:rtl w:val="true"/>
              </w:rPr>
              <w:tab/>
            </w:r>
            <w:r>
              <w:rPr>
                <w:rStyle w:val="IndexLink"/>
              </w:rPr>
              <w:t>252</w:t>
            </w:r>
          </w:hyperlink>
        </w:p>
        <w:p>
          <w:pPr>
            <w:pStyle w:val="Contents3"/>
            <w:tabs>
              <w:tab w:val="clear" w:pos="8459"/>
              <w:tab w:val="right" w:pos="9026" w:leader="dot"/>
            </w:tabs>
            <w:rPr/>
          </w:pPr>
          <w:hyperlink w:anchor="__RefHeading___Toc1994504_581953129">
            <w:r>
              <w:rPr>
                <w:webHidden/>
                <w:rStyle w:val="IndexLink"/>
                <w:rtl w:val="true"/>
              </w:rPr>
              <w:t>ه</w:t>
            </w:r>
            <w:r>
              <w:rPr>
                <w:rStyle w:val="IndexLink"/>
                <w:rtl w:val="true"/>
              </w:rPr>
              <w:t xml:space="preserve">) </w:t>
            </w:r>
            <w:r>
              <w:rPr>
                <w:rStyle w:val="IndexLink"/>
                <w:rtl w:val="true"/>
              </w:rPr>
              <w:t>إیجاد حالة من التوازن بین الأمل والیأس</w:t>
            </w:r>
            <w:r>
              <w:rPr>
                <w:rStyle w:val="IndexLink"/>
                <w:rtl w:val="true"/>
              </w:rPr>
              <w:tab/>
            </w:r>
            <w:r>
              <w:rPr>
                <w:rStyle w:val="IndexLink"/>
              </w:rPr>
              <w:t>253</w:t>
            </w:r>
          </w:hyperlink>
        </w:p>
        <w:p>
          <w:pPr>
            <w:pStyle w:val="Contents3"/>
            <w:tabs>
              <w:tab w:val="clear" w:pos="8459"/>
              <w:tab w:val="right" w:pos="9026" w:leader="dot"/>
            </w:tabs>
            <w:rPr/>
          </w:pPr>
          <w:hyperlink w:anchor="__RefHeading___Toc1994506_581953129">
            <w:r>
              <w:rPr>
                <w:webHidden/>
                <w:rStyle w:val="IndexLink"/>
                <w:rtl w:val="true"/>
              </w:rPr>
              <w:t>مصادر للمطالعة</w:t>
            </w:r>
            <w:r>
              <w:rPr>
                <w:rStyle w:val="IndexLink"/>
                <w:rtl w:val="true"/>
              </w:rPr>
              <w:tab/>
            </w:r>
            <w:r>
              <w:rPr>
                <w:rStyle w:val="IndexLink"/>
              </w:rPr>
              <w:t>254</w:t>
            </w:r>
          </w:hyperlink>
        </w:p>
        <w:p>
          <w:pPr>
            <w:pStyle w:val="Contents3"/>
            <w:tabs>
              <w:tab w:val="clear" w:pos="8459"/>
              <w:tab w:val="right" w:pos="9026" w:leader="dot"/>
            </w:tabs>
            <w:rPr/>
          </w:pPr>
          <w:hyperlink w:anchor="__RefHeading___Toc1994508_581953129">
            <w:r>
              <w:rPr>
                <w:webHidden/>
                <w:rStyle w:val="IndexLink"/>
                <w:rtl w:val="true"/>
              </w:rPr>
              <w:t>الحدیث الختامیّ</w:t>
            </w:r>
            <w:r>
              <w:rPr>
                <w:rStyle w:val="IndexLink"/>
                <w:rtl w:val="true"/>
              </w:rPr>
              <w:tab/>
            </w:r>
            <w:r>
              <w:rPr>
                <w:rStyle w:val="IndexLink"/>
              </w:rPr>
              <w:t>254</w:t>
            </w:r>
          </w:hyperlink>
        </w:p>
        <w:p>
          <w:pPr>
            <w:pStyle w:val="Contents2"/>
            <w:tabs>
              <w:tab w:val="clear" w:pos="8743"/>
              <w:tab w:val="right" w:pos="9026" w:leader="dot"/>
            </w:tabs>
            <w:rPr/>
          </w:pPr>
          <w:hyperlink w:anchor="__RefHeading___Toc1994510_581953129">
            <w:r>
              <w:rPr>
                <w:webHidden/>
                <w:rStyle w:val="IndexLink"/>
                <w:rtl w:val="true"/>
              </w:rPr>
              <w:t>متطلّبات الانتظار البنّاء</w:t>
            </w:r>
            <w:r>
              <w:rPr>
                <w:rStyle w:val="IndexLink"/>
                <w:rtl w:val="true"/>
              </w:rPr>
              <w:tab/>
            </w:r>
            <w:r>
              <w:rPr>
                <w:rStyle w:val="IndexLink"/>
              </w:rPr>
              <w:t>255</w:t>
            </w:r>
          </w:hyperlink>
        </w:p>
        <w:p>
          <w:pPr>
            <w:pStyle w:val="Contents3"/>
            <w:tabs>
              <w:tab w:val="clear" w:pos="8459"/>
              <w:tab w:val="right" w:pos="9026" w:leader="dot"/>
            </w:tabs>
            <w:rPr/>
          </w:pPr>
          <w:hyperlink w:anchor="__RefHeading___Toc1994512_581953129">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994514_581953129">
            <w:r>
              <w:rPr>
                <w:webHidden/>
                <w:rStyle w:val="IndexLink"/>
              </w:rPr>
              <w:t>1</w:t>
            </w:r>
            <w:r>
              <w:rPr>
                <w:rStyle w:val="IndexLink"/>
                <w:rtl w:val="true"/>
              </w:rPr>
              <w:t xml:space="preserve">- </w:t>
            </w:r>
            <w:r>
              <w:rPr>
                <w:rStyle w:val="IndexLink"/>
                <w:rtl w:val="true"/>
              </w:rPr>
              <w:t>الانتظار عامل من عوامل التحرّک</w:t>
            </w:r>
            <w:r>
              <w:rPr>
                <w:rStyle w:val="IndexLink"/>
                <w:rtl w:val="true"/>
              </w:rPr>
              <w:tab/>
            </w:r>
            <w:r>
              <w:rPr>
                <w:rStyle w:val="IndexLink"/>
              </w:rPr>
              <w:t>255</w:t>
            </w:r>
          </w:hyperlink>
        </w:p>
        <w:p>
          <w:pPr>
            <w:pStyle w:val="Contents3"/>
            <w:tabs>
              <w:tab w:val="clear" w:pos="8459"/>
              <w:tab w:val="right" w:pos="9026" w:leader="dot"/>
            </w:tabs>
            <w:rPr/>
          </w:pPr>
          <w:hyperlink w:anchor="__RefHeading___Toc1994516_581953129">
            <w:r>
              <w:rPr>
                <w:webHidden/>
                <w:rStyle w:val="IndexLink"/>
              </w:rPr>
              <w:t>2</w:t>
            </w:r>
            <w:r>
              <w:rPr>
                <w:rStyle w:val="IndexLink"/>
                <w:rtl w:val="true"/>
              </w:rPr>
              <w:t xml:space="preserve">- </w:t>
            </w:r>
            <w:r>
              <w:rPr>
                <w:rStyle w:val="IndexLink"/>
                <w:rtl w:val="true"/>
              </w:rPr>
              <w:t>الانتظار یؤدّی إلی الإصلاح ومقارعة الظلم</w:t>
            </w:r>
            <w:r>
              <w:rPr>
                <w:rStyle w:val="IndexLink"/>
                <w:rtl w:val="true"/>
              </w:rPr>
              <w:tab/>
            </w:r>
            <w:r>
              <w:rPr>
                <w:rStyle w:val="IndexLink"/>
              </w:rPr>
              <w:t>257</w:t>
            </w:r>
          </w:hyperlink>
        </w:p>
        <w:p>
          <w:pPr>
            <w:pStyle w:val="Contents3"/>
            <w:tabs>
              <w:tab w:val="clear" w:pos="8459"/>
              <w:tab w:val="right" w:pos="9026" w:leader="dot"/>
            </w:tabs>
            <w:rPr/>
          </w:pPr>
          <w:hyperlink w:anchor="__RefHeading___Toc1994518_581953129">
            <w:r>
              <w:rPr>
                <w:webHidden/>
                <w:rStyle w:val="IndexLink"/>
              </w:rPr>
              <w:t>3</w:t>
            </w:r>
            <w:r>
              <w:rPr>
                <w:rStyle w:val="IndexLink"/>
                <w:rtl w:val="true"/>
              </w:rPr>
              <w:t xml:space="preserve">- </w:t>
            </w:r>
            <w:r>
              <w:rPr>
                <w:rStyle w:val="IndexLink"/>
                <w:rtl w:val="true"/>
              </w:rPr>
              <w:t>الانتظار یصون الإیمان</w:t>
            </w:r>
            <w:r>
              <w:rPr>
                <w:rStyle w:val="IndexLink"/>
                <w:rtl w:val="true"/>
              </w:rPr>
              <w:tab/>
            </w:r>
            <w:r>
              <w:rPr>
                <w:rStyle w:val="IndexLink"/>
              </w:rPr>
              <w:t>258</w:t>
            </w:r>
          </w:hyperlink>
        </w:p>
        <w:p>
          <w:pPr>
            <w:pStyle w:val="Contents3"/>
            <w:tabs>
              <w:tab w:val="clear" w:pos="8459"/>
              <w:tab w:val="right" w:pos="9026" w:leader="dot"/>
            </w:tabs>
            <w:rPr/>
          </w:pPr>
          <w:hyperlink w:anchor="__RefHeading___Toc1994520_581953129">
            <w:r>
              <w:rPr>
                <w:webHidden/>
                <w:rStyle w:val="IndexLink"/>
              </w:rPr>
              <w:t>4</w:t>
            </w:r>
            <w:r>
              <w:rPr>
                <w:rStyle w:val="IndexLink"/>
                <w:rtl w:val="true"/>
              </w:rPr>
              <w:t xml:space="preserve">- </w:t>
            </w:r>
            <w:r>
              <w:rPr>
                <w:rStyle w:val="IndexLink"/>
                <w:rtl w:val="true"/>
              </w:rPr>
              <w:t>الانتظار عامل لبقاء التشیّع ومقاومته</w:t>
            </w:r>
            <w:r>
              <w:rPr>
                <w:rStyle w:val="IndexLink"/>
                <w:rtl w:val="true"/>
              </w:rPr>
              <w:tab/>
            </w:r>
            <w:r>
              <w:rPr>
                <w:rStyle w:val="IndexLink"/>
              </w:rPr>
              <w:t>260</w:t>
            </w:r>
          </w:hyperlink>
        </w:p>
        <w:p>
          <w:pPr>
            <w:pStyle w:val="Contents3"/>
            <w:tabs>
              <w:tab w:val="clear" w:pos="8459"/>
              <w:tab w:val="right" w:pos="9026" w:leader="dot"/>
            </w:tabs>
            <w:rPr/>
          </w:pPr>
          <w:hyperlink w:anchor="__RefHeading___Toc1994522_581953129">
            <w:r>
              <w:rPr>
                <w:webHidden/>
                <w:rStyle w:val="IndexLink"/>
              </w:rPr>
              <w:t>5</w:t>
            </w:r>
            <w:r>
              <w:rPr>
                <w:rStyle w:val="IndexLink"/>
                <w:rtl w:val="true"/>
              </w:rPr>
              <w:t xml:space="preserve">- </w:t>
            </w:r>
            <w:r>
              <w:rPr>
                <w:rStyle w:val="IndexLink"/>
                <w:rtl w:val="true"/>
              </w:rPr>
              <w:t>الانتظار یفضی إلی التزیّن بالعدل</w:t>
            </w:r>
            <w:r>
              <w:rPr>
                <w:rStyle w:val="IndexLink"/>
                <w:rtl w:val="true"/>
              </w:rPr>
              <w:tab/>
            </w:r>
            <w:r>
              <w:rPr>
                <w:rStyle w:val="IndexLink"/>
              </w:rPr>
              <w:t>261</w:t>
            </w:r>
          </w:hyperlink>
        </w:p>
        <w:p>
          <w:pPr>
            <w:pStyle w:val="Contents3"/>
            <w:tabs>
              <w:tab w:val="clear" w:pos="8459"/>
              <w:tab w:val="right" w:pos="9026" w:leader="dot"/>
            </w:tabs>
            <w:rPr/>
          </w:pPr>
          <w:hyperlink w:anchor="__RefHeading___Toc1994524_581953129">
            <w:r>
              <w:rPr>
                <w:webHidden/>
                <w:rStyle w:val="IndexLink"/>
                <w:rtl w:val="true"/>
              </w:rPr>
              <w:t>مصادر للمطالعة</w:t>
            </w:r>
            <w:r>
              <w:rPr>
                <w:rStyle w:val="IndexLink"/>
                <w:rtl w:val="true"/>
              </w:rPr>
              <w:tab/>
            </w:r>
            <w:r>
              <w:rPr>
                <w:rStyle w:val="IndexLink"/>
              </w:rPr>
              <w:t>262</w:t>
            </w:r>
          </w:hyperlink>
        </w:p>
        <w:p>
          <w:pPr>
            <w:pStyle w:val="Contents3"/>
            <w:tabs>
              <w:tab w:val="clear" w:pos="8459"/>
              <w:tab w:val="right" w:pos="9026" w:leader="dot"/>
            </w:tabs>
            <w:rPr/>
          </w:pPr>
          <w:hyperlink w:anchor="__RefHeading___Toc1994526_581953129">
            <w:r>
              <w:rPr>
                <w:webHidden/>
                <w:rStyle w:val="IndexLink"/>
                <w:rtl w:val="true"/>
              </w:rPr>
              <w:t>الحدیث الختامیّ</w:t>
            </w:r>
            <w:r>
              <w:rPr>
                <w:rStyle w:val="IndexLink"/>
                <w:rtl w:val="true"/>
              </w:rPr>
              <w:t>:</w:t>
              <w:tab/>
            </w:r>
            <w:r>
              <w:rPr>
                <w:rStyle w:val="IndexLink"/>
              </w:rPr>
              <w:t>262</w:t>
            </w:r>
          </w:hyperlink>
        </w:p>
        <w:p>
          <w:pPr>
            <w:pStyle w:val="Contents2"/>
            <w:tabs>
              <w:tab w:val="clear" w:pos="8743"/>
              <w:tab w:val="right" w:pos="9026" w:leader="dot"/>
            </w:tabs>
            <w:rPr/>
          </w:pPr>
          <w:hyperlink w:anchor="__RefHeading___Toc1994528_581953129">
            <w:r>
              <w:rPr>
                <w:webHidden/>
                <w:rStyle w:val="IndexLink"/>
                <w:rtl w:val="true"/>
              </w:rPr>
              <w:t>علامات الانتظار</w:t>
            </w:r>
            <w:r>
              <w:rPr>
                <w:rStyle w:val="IndexLink"/>
                <w:rtl w:val="true"/>
              </w:rPr>
              <w:tab/>
            </w:r>
            <w:r>
              <w:rPr>
                <w:rStyle w:val="IndexLink"/>
              </w:rPr>
              <w:t>263</w:t>
            </w:r>
          </w:hyperlink>
        </w:p>
        <w:p>
          <w:pPr>
            <w:pStyle w:val="Contents3"/>
            <w:tabs>
              <w:tab w:val="clear" w:pos="8459"/>
              <w:tab w:val="right" w:pos="9026" w:leader="dot"/>
            </w:tabs>
            <w:rPr/>
          </w:pPr>
          <w:hyperlink w:anchor="__RefHeading___Toc1994530_58195312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994532_581953129">
            <w:r>
              <w:rPr>
                <w:webHidden/>
                <w:rStyle w:val="IndexLink"/>
                <w:rtl w:val="true"/>
              </w:rPr>
              <w:t>أ</w:t>
            </w:r>
            <w:r>
              <w:rPr>
                <w:rStyle w:val="IndexLink"/>
                <w:rtl w:val="true"/>
              </w:rPr>
              <w:t xml:space="preserve">) </w:t>
            </w:r>
            <w:r>
              <w:rPr>
                <w:rStyle w:val="IndexLink"/>
                <w:rtl w:val="true"/>
              </w:rPr>
              <w:t>تهذیب النفس</w:t>
            </w:r>
            <w:r>
              <w:rPr>
                <w:rStyle w:val="IndexLink"/>
                <w:rtl w:val="true"/>
              </w:rPr>
              <w:tab/>
            </w:r>
            <w:r>
              <w:rPr>
                <w:rStyle w:val="IndexLink"/>
              </w:rPr>
              <w:t>263</w:t>
            </w:r>
          </w:hyperlink>
        </w:p>
        <w:p>
          <w:pPr>
            <w:pStyle w:val="Contents3"/>
            <w:tabs>
              <w:tab w:val="clear" w:pos="8459"/>
              <w:tab w:val="right" w:pos="9026" w:leader="dot"/>
            </w:tabs>
            <w:rPr/>
          </w:pPr>
          <w:hyperlink w:anchor="__RefHeading___Toc1994534_581953129">
            <w:r>
              <w:rPr>
                <w:webHidden/>
                <w:rStyle w:val="IndexLink"/>
                <w:rtl w:val="true"/>
              </w:rPr>
              <w:t>ب</w:t>
            </w:r>
            <w:r>
              <w:rPr>
                <w:rStyle w:val="IndexLink"/>
                <w:rtl w:val="true"/>
              </w:rPr>
              <w:t xml:space="preserve">) </w:t>
            </w:r>
            <w:r>
              <w:rPr>
                <w:rStyle w:val="IndexLink"/>
                <w:rtl w:val="true"/>
              </w:rPr>
              <w:t>إصلاح المجتمع</w:t>
            </w:r>
            <w:r>
              <w:rPr>
                <w:rStyle w:val="IndexLink"/>
                <w:rtl w:val="true"/>
              </w:rPr>
              <w:tab/>
            </w:r>
            <w:r>
              <w:rPr>
                <w:rStyle w:val="IndexLink"/>
              </w:rPr>
              <w:t>264</w:t>
            </w:r>
          </w:hyperlink>
        </w:p>
        <w:p>
          <w:pPr>
            <w:pStyle w:val="Contents3"/>
            <w:tabs>
              <w:tab w:val="clear" w:pos="8459"/>
              <w:tab w:val="right" w:pos="9026" w:leader="dot"/>
            </w:tabs>
            <w:rPr/>
          </w:pPr>
          <w:hyperlink w:anchor="__RefHeading___Toc1994536_581953129">
            <w:r>
              <w:rPr>
                <w:webHidden/>
                <w:rStyle w:val="IndexLink"/>
                <w:rtl w:val="true"/>
              </w:rPr>
              <w:t>ج</w:t>
            </w:r>
            <w:r>
              <w:rPr>
                <w:rStyle w:val="IndexLink"/>
                <w:rtl w:val="true"/>
              </w:rPr>
              <w:t xml:space="preserve">) </w:t>
            </w:r>
            <w:r>
              <w:rPr>
                <w:rStyle w:val="IndexLink"/>
                <w:rtl w:val="true"/>
              </w:rPr>
              <w:t>الدعاء والابتهال</w:t>
            </w:r>
            <w:r>
              <w:rPr>
                <w:rStyle w:val="IndexLink"/>
                <w:rtl w:val="true"/>
              </w:rPr>
              <w:tab/>
            </w:r>
            <w:r>
              <w:rPr>
                <w:rStyle w:val="IndexLink"/>
              </w:rPr>
              <w:t>265</w:t>
            </w:r>
          </w:hyperlink>
        </w:p>
        <w:p>
          <w:pPr>
            <w:pStyle w:val="Contents3"/>
            <w:tabs>
              <w:tab w:val="clear" w:pos="8459"/>
              <w:tab w:val="right" w:pos="9026" w:leader="dot"/>
            </w:tabs>
            <w:rPr/>
          </w:pPr>
          <w:hyperlink w:anchor="__RefHeading___Toc1994538_581953129">
            <w:r>
              <w:rPr>
                <w:webHidden/>
                <w:rStyle w:val="IndexLink"/>
                <w:rtl w:val="true"/>
              </w:rPr>
              <w:t>د</w:t>
            </w:r>
            <w:r>
              <w:rPr>
                <w:rStyle w:val="IndexLink"/>
                <w:rtl w:val="true"/>
              </w:rPr>
              <w:t xml:space="preserve">) </w:t>
            </w:r>
            <w:r>
              <w:rPr>
                <w:rStyle w:val="IndexLink"/>
                <w:rtl w:val="true"/>
              </w:rPr>
              <w:t>احترام الأماکن والبقاع المنسوبة إلی الإمام</w:t>
            </w:r>
            <w:r>
              <w:rPr>
                <w:rStyle w:val="IndexLink"/>
                <w:rtl w:val="true"/>
              </w:rPr>
              <w:tab/>
            </w:r>
            <w:r>
              <w:rPr>
                <w:rStyle w:val="IndexLink"/>
              </w:rPr>
              <w:t>267</w:t>
            </w:r>
          </w:hyperlink>
        </w:p>
        <w:p>
          <w:pPr>
            <w:pStyle w:val="Contents3"/>
            <w:tabs>
              <w:tab w:val="clear" w:pos="8459"/>
              <w:tab w:val="right" w:pos="9026" w:leader="dot"/>
            </w:tabs>
            <w:rPr/>
          </w:pPr>
          <w:hyperlink w:anchor="__RefHeading___Toc1994540_581953129">
            <w:r>
              <w:rPr>
                <w:webHidden/>
                <w:rStyle w:val="IndexLink"/>
                <w:rtl w:val="true"/>
              </w:rPr>
              <w:t>مصادر للمطالعة</w:t>
            </w:r>
            <w:r>
              <w:rPr>
                <w:rStyle w:val="IndexLink"/>
                <w:rtl w:val="true"/>
              </w:rPr>
              <w:tab/>
            </w:r>
            <w:r>
              <w:rPr>
                <w:rStyle w:val="IndexLink"/>
              </w:rPr>
              <w:t>272</w:t>
            </w:r>
          </w:hyperlink>
        </w:p>
        <w:p>
          <w:pPr>
            <w:pStyle w:val="Contents3"/>
            <w:tabs>
              <w:tab w:val="clear" w:pos="8459"/>
              <w:tab w:val="right" w:pos="9026" w:leader="dot"/>
            </w:tabs>
            <w:rPr/>
          </w:pPr>
          <w:hyperlink w:anchor="__RefHeading___Toc1994542_581953129">
            <w:r>
              <w:rPr>
                <w:webHidden/>
                <w:rStyle w:val="IndexLink"/>
                <w:rtl w:val="true"/>
              </w:rPr>
              <w:t>الحدیث الختامیّ</w:t>
            </w:r>
            <w:r>
              <w:rPr>
                <w:rStyle w:val="IndexLink"/>
                <w:rtl w:val="true"/>
              </w:rPr>
              <w:tab/>
            </w:r>
            <w:r>
              <w:rPr>
                <w:rStyle w:val="IndexLink"/>
              </w:rPr>
              <w:t>272</w:t>
            </w:r>
          </w:hyperlink>
        </w:p>
        <w:p>
          <w:pPr>
            <w:pStyle w:val="Contents2"/>
            <w:tabs>
              <w:tab w:val="clear" w:pos="8743"/>
              <w:tab w:val="right" w:pos="9026" w:leader="dot"/>
            </w:tabs>
            <w:rPr/>
          </w:pPr>
          <w:hyperlink w:anchor="__RefHeading___Toc1994544_581953129">
            <w:r>
              <w:rPr>
                <w:webHidden/>
                <w:rStyle w:val="IndexLink"/>
                <w:rtl w:val="true"/>
              </w:rPr>
              <w:t>المصادر والمراجع</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7_39045"/>
      <w:bookmarkStart w:id="1" w:name="pg5457_39045"/>
      <w:bookmarkEnd w:id="1"/>
    </w:p>
    <w:p>
      <w:pPr>
        <w:pStyle w:val="Heading2"/>
        <w:numPr>
          <w:ilvl w:val="1"/>
          <w:numId w:val="1"/>
        </w:numPr>
        <w:rPr/>
      </w:pPr>
      <w:bookmarkStart w:id="2" w:name="pg5457_39045"/>
      <w:bookmarkStart w:id="3" w:name="__RefHeading___Toc1993998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 من‌البحث‌العلمی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اسئلة و ردود فی مجال‌الدین والفکر والعقیدة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معاونیةالبحوث والدراسات‌التابعة لمجمع‌التعلیم‌العالی للفقه؛ تعریب رعد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مرکزالمصطفی‌العالمی للترجمة والنشرالتابعة لجامعةالمصطفی‌العالمیة؛ </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رعد،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آموزش عالی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۲۳۱۹۳۳۱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4000_581953129"/>
      <w:bookmarkStart w:id="6" w:name="_Toc2"/>
      <w:bookmarkEnd w:id="5"/>
      <w:r>
        <w:rPr>
          <w:rtl w:val="true"/>
        </w:rPr>
        <w:t>تقدیم</w:t>
      </w:r>
      <w:bookmarkEnd w:id="6"/>
    </w:p>
    <w:p>
      <w:pPr>
        <w:pStyle w:val="BookText"/>
        <w:rPr/>
      </w:pPr>
      <w:r>
        <w:rPr>
          <w:rFonts w:ascii="IRNazanin" w:hAnsi="IRNazanin" w:eastAsia="IRNazanin"/>
          <w:color w:val="111111"/>
          <w:sz w:val="28"/>
          <w:sz w:val="28"/>
          <w:szCs w:val="28"/>
          <w:rtl w:val="true"/>
          <w:lang w:bidi="fa-IR"/>
        </w:rPr>
        <w:t>بدأ التساؤل یظهر لدی الإنسان منذ باکورة الخِلقة، فرفَع الملائکة إلی مقامٍ سامٍ، وأنزل الشیطان إلی وادٍ سحیق، وأوصَل الإنسان إلی مقامِ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السّؤالَ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أَحسَنَ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قام قِسمُ الردّ علی الشبُهات الدینیّة، فی معاونیّة البحوث والدراسات التابعة لمجمَع التعلیم العالی للفقه، بمساعدتنا علی إظهار هذا الکتاب فی حلّته الجدیدة، علی شکلِ أسئلةٍ و 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نری من اللازم علینا أن نُثنی علی جمیع الموظّفین الکرام، وخاصّةً أعضاء اللجنة العلمیّة للفلسفة والکلام، والرابطة العلمیّة للکلام الإسلامیّ، الذین بذلوا جهوداً حثیثةً فی هذا المضمار، سائلین المولی العلیّ القدیر أن یَهبَهم مزیداً من النجاح والتوفیق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أنّنا عازمون، بمشیئة الله تعالی وعنایته وفی ظلّ ألطاف بقیّة الله الأعظم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المضیّ قُدُماً فی إخراج باقی حلَقَات هذه السلسلة، وتقدیمها إلی الأحبّة، من عشّاق طریق العلم والمعرفة، راجین تزویدنا بمقترحاتکم وانتقاداتکم البنّاءة؛ فی سبیل الارتقاء بالکتاب إلی المستوی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الله التوفیق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معاونیّة البحوث والدراسات التابعة لمَجمَع التعلیم العالی للفقه</w:t>
      </w:r>
      <w:bookmarkStart w:id="7" w:name="pg5457_39048"/>
    </w:p>
    <w:p>
      <w:pPr>
        <w:pStyle w:val="Heading2"/>
        <w:numPr>
          <w:ilvl w:val="1"/>
          <w:numId w:val="1"/>
        </w:numPr>
        <w:rPr/>
      </w:pPr>
      <w:bookmarkStart w:id="8" w:name="__RefHeading___Toc1994002_581953129"/>
      <w:bookmarkStart w:id="9" w:name="_Toc3"/>
      <w:bookmarkEnd w:id="7"/>
      <w:bookmarkEnd w:id="8"/>
      <w:r>
        <w:rPr>
          <w:rtl w:val="true"/>
        </w:rPr>
        <w:t>هویة الکتاب</w:t>
      </w:r>
      <w:bookmarkEnd w:id="9"/>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من‌البحث‌العلمی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و ردود فی مجال‌الدین والفکر والعقیده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مجتمع آموزش عالی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عربی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رعد،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آموزش عالی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2319331</w:t>
      </w:r>
    </w:p>
    <w:p>
      <w:pPr>
        <w:pStyle w:val="BookText"/>
        <w:rPr/>
      </w:pPr>
      <w:r>
        <w:rPr>
          <w:rFonts w:ascii="Amiri" w:hAnsi="Amiri" w:eastAsia="Amiri" w:cs="Amiri"/>
          <w:color w:val="111111"/>
          <w:sz w:val="28"/>
          <w:sz w:val="28"/>
          <w:szCs w:val="28"/>
          <w:rtl w:val="true"/>
          <w:lang w:bidi="ar-SA"/>
        </w:rPr>
        <w:t>قَبَسات من البحث العلمیّ</w:t>
      </w:r>
    </w:p>
    <w:p>
      <w:pPr>
        <w:pStyle w:val="BookText"/>
        <w:rPr/>
      </w:pPr>
      <w:r>
        <w:rPr>
          <w:rFonts w:ascii="Amiri" w:hAnsi="Amiri" w:eastAsia="Amiri" w:cs="Amiri"/>
          <w:color w:val="111111"/>
          <w:sz w:val="28"/>
          <w:sz w:val="28"/>
          <w:szCs w:val="28"/>
          <w:rtl w:val="true"/>
          <w:lang w:bidi="ar-SA"/>
        </w:rPr>
        <w:t xml:space="preserve">أسئلةٌ وردودٌ فی مجالِ الدینِ والفکرِ والعقیدة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معاونیّة البحوث والدراسات التابعة لمَجمَع التعلیم العالی للفقه</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الحجاج</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root@miup.ir</w:t>
      </w:r>
      <w:bookmarkStart w:id="10" w:name="pg5457_39049"/>
    </w:p>
    <w:p>
      <w:pPr>
        <w:pStyle w:val="Heading2"/>
        <w:numPr>
          <w:ilvl w:val="1"/>
          <w:numId w:val="1"/>
        </w:numPr>
        <w:rPr/>
      </w:pPr>
      <w:bookmarkStart w:id="11" w:name="__RefHeading___Toc1994004_581953129"/>
      <w:bookmarkStart w:id="12" w:name="_Toc4"/>
      <w:bookmarkEnd w:id="10"/>
      <w:bookmarkEnd w:id="11"/>
      <w:r>
        <w:rPr>
          <w:rtl w:val="true"/>
        </w:rPr>
        <w:t>کلمة الناشر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صلی الله علیه و آله وآله الهداة المهدیین وعترته المنتجبین واللعن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لهذا الجانب ترک التطوّر انطباعا موازیاً بیّنا فی العلوم الأدواتیة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الإنفلات من ظلّ الدین والأیدیولوجیة الدینیة وما یعرض فی مسرح أحداثه من تطوّر فی مسار نظریّات العلاقات الدولیة أو تصاعد الأسلئة المعرفیّة المتعلّقة بمفهوم الوجود ومستلزماته الشاغلة لذهن الإنسان الحاضر وکذلک ما حصل من توسّع لدی علم</w:t>
      </w:r>
    </w:p>
    <w:p>
      <w:pPr>
        <w:pStyle w:val="BookText"/>
        <w:rPr/>
      </w:pPr>
      <w:r>
        <w:rPr>
          <w:rFonts w:ascii="IRNazanin" w:hAnsi="IRNazanin" w:eastAsia="IRNazanin"/>
          <w:color w:val="111111"/>
          <w:sz w:val="28"/>
          <w:sz w:val="28"/>
          <w:szCs w:val="28"/>
          <w:rtl w:val="true"/>
          <w:lang w:bidi="fa-IR"/>
        </w:rPr>
        <w:t>الوجود الإنسانی فی ظلّ الأحداث والمتغیرات المعنیة بهذا الجانب؛ جعلت المفکّر الإسلامی فی أعلی مستوی من المسؤولیة أکثر ممّا 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رؤیة التصدّی لهذا الأمر فی عنایة من مؤسسی الحوزة العلمیة هذه الشجرة الطیبة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سیّما الإمام الخمینی رحمه الله 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للترجمه والنشر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هذا الدراسة قَبَسات من البحث العلمیّ جاءت بجهود فضیلة الأستاذ رعدالحجاج متوافقة مع نسق الرؤیة السائدة المتّبعة وهذه الأهداف السامیة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w:t>
      </w:r>
    </w:p>
    <w:p>
      <w:pPr>
        <w:pStyle w:val="BookText"/>
        <w:rPr/>
      </w:pPr>
      <w:r>
        <w:rPr>
          <w:rFonts w:ascii="IRNazanin" w:hAnsi="IRNazanin" w:eastAsia="IRNazanin"/>
          <w:color w:val="111111"/>
          <w:sz w:val="28"/>
          <w:sz w:val="28"/>
          <w:szCs w:val="28"/>
          <w:rtl w:val="true"/>
          <w:lang w:bidi="fa-IR"/>
        </w:rPr>
        <w:t>وخبرات علمیة ومنهجیة حصریة بالمساهمة معنا والمشارکة فی نشر علوم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3" w:name="pg5457_39053"/>
    </w:p>
    <w:p>
      <w:pPr>
        <w:pStyle w:val="Heading2"/>
        <w:numPr>
          <w:ilvl w:val="1"/>
          <w:numId w:val="1"/>
        </w:numPr>
        <w:rPr/>
      </w:pPr>
      <w:bookmarkStart w:id="14" w:name="__RefHeading___Toc1994006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حاجة الدین إلی مُفسّر ومُتوَلٍّ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سُبُل التخلّص من الهواجِس الفِکریّة للیافعین والشباب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العلم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التفکّر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الحدّ الأقلّ والحدّ الأکثر من البصیرة فی الدین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سؤال الحد الأقلّ والحدّ الأکثر من الدین من داخل الدین نفسه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الحدّ الأقلّ والحدّ الأکثر من خارج نطاق الدین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مناقشة رؤیة الحدّ الأکثر من الدین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مناقشة رؤیة الحدّ الأقلّ من الدین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حریّة العقیدة فی الإسلام وحُکمُ الارتداد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صدق المرتد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علّة الاختلاف بین الناس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الاختلافات من وجهة نظر القرآن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الأسباب الأُخری للاختلافات البشریّة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خلاصة واستنتاج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علم الله بمستقبل الإنسان ومسألة الاختیار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النظریّات المختلفة فی قضیّة الجبر والاختیار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نظریة الشهید المطهری رحمه الله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مناقشة الاستدلال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علاقة الإنسان بالقضاء والقدر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أهمیّة مسألة القضاء والقدر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خلفیّة بحث القضاء والقدر عند المسلمین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القضاء والقدر لغةً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القضاء والقدَر اصطلاحاً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السبب فی غموض المسألة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الجبر عند المادیّین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نتائج نظریّة الجبر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أسباب قول بعض الإلهیّین بالجبر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نظریّة التفویض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نتائج هذه النظریّة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بین الأمرَین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شرح هذه النظریّة فی عدّة نقاط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الحدیث الختامیّ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اختیار الإنسان والتأثیر الوراثیّ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الخلفیّة التاریخیّة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مفهوم الجبر والاختیار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البیئة والوراثة </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جهود المصلحین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البیئة والوراثة علی بعض الأفعال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البیئة والوراثة علّة ناقصة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إشکالیّة لیلة القدر واختیار الإنسان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مقاربات مختلفة فی مسألة الجبر والاختیار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مناقشة الرد الأوّل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الردّ الثانی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الرد الخاصّ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والنتیجة التی نخلص إلیها کالتالی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عصیان النبیّ آدم علیه السلام وخروج نسله من الجنّة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هل یعصی آدم علیه السلام أم لا؟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انطباق الآیة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علی عصمة النبیّ صلی الله علیه و آله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تناسق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الکهف مع عصمة النبیّ صلی الله علیه و آله المطلقة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الفرق بین العصمة والعدالة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عدَم التنافی بین العِصمة والبشریّة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أنواع العصمة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مراتب العصمة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العصمة من المعصیة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العصمة فی تلقّی الوحی وتبلیغ الرسالة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العصمة من الخطأ فی تطبیق الشریعة وشؤون الحیاة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أدلّة عصمة الأنبیاء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النقلیّ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مفاد آیة أَنَا بَشَرٌ مِثلُکُم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الشفاعة فی القرآن الکریم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التنافی بین الشفاعة مع 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البقرة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شرح الموضوع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الشفاعة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أقسام الشفاعة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الشفاعة فی القرآن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النافیة للشفاعة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المثبتة للشفاعة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آراء بعض علماء الإسلام فی الشفاعة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علاقة الشفاعة بالوحدانیّة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مطلق الشفاعة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الشفاعة التی قال بها الیهود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الشفاعة للکافرین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التشفّع بالأصنام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الشفاعة المختصّة بالله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الشفاعة بإذن الله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مواصفات الشُفعاء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الشفاعة الواقعیّة وغیر الواقعیّة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طلَب الشفاعة وصِلته بالوحدانیّة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الشفاعة عین الوحدانیّة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أقسام التوحید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صِلة الشفاعة بالسُّنَن الإلهیّة الثابتة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المعراج والعلوم الحدیثة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یتناسب معراج النبیّ المصطفی صلی الله علیه و آله مع العلوم الحدیثة؟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مفهوم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قصّة المعراج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المعراج بین الجسمانیّة والروحانیّة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أدلّة وقوع المعراج الجسمانیّ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الجواب عن شُبهة المعراج والعلوم الحدیثة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تفسیر سماء المعراج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مفهوم السماء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السماوات السبع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تفضیل الأئمّة علی الأنبیاء علیهم السلام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الأدلة القرآنیّة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المبارکة فی إمامة 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المباهلة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الأدلّة الروائیّة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علی أفضلیّة علیّ علیه السلام علی البشر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المحبّة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علی أفضلیّة الأئمّة علیهم السلام علی البشَر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آراء العلماء فی تفضیل الأئمّة علی الأنبیاء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العلاّمة الحلیّ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المحقّق النراقیّ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الشیخ 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العلاّمة المجلسیّ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الحاکم الحسکانیّ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عصمة الإمام علیّ علیه السلام واعترافه بالخطأ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الخطأ ومراتب المعصیة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المعصیة فی مقام المحبّة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تعیین النبیّ صلی الله علیه و آله للإمام علیّ علیه السلام خلیفةً 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الإمام علیه السلام شخصاً مؤهّلاً ولائقاً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خیر البشُر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أعلم النّاس وأقضاهم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ملازمة الحقّ لعلیّ علیه السلام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مع علیّ علیه السلام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علیّ علیه السلام معیار لمعرفة المؤمن من المنافق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باب العلم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عصارة الفضائل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علیّ علیه السلام لا تُحصی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الإمام علیه السلام خلیفةً للمسلمین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وارث النبیّ صلی الله علیه و آله وخلیفته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خلیفة النبیّ صلی الله علیه و آله فی المدینة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وصیّ النبیّ صلی الله علیه و آله فی الغدیر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أحادیث أُخری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الحدیث الختامیّ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ردّ الشمس وفضیلة الإمام علیّ علیه السلام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جواب الشقّ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قانون التکامل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الحکمة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الأولویّة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الآیات والروایات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جواب الشقّ الثانی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الحدیث الختامیّ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العدالة العالمیّة فی انتظار المهدیّ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مایستفاد من الروایات الاسلامیة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التهیّؤ والاستعداد الاجتماعیّ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 الفکریّ والثقافیّ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 العلمیّ والصناعیّ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العلمیّ الهائل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العقول البشریّة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التکامل الأخلاقیّ والمعنویّ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سیکولوجیا الانتظار ودوره فی الحیاة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النصر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شوکة الاستکبار وهیبته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المنتظرین وذمّ المستکبرین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 للانحرافات الاجتماعیّة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إیجاد حالة من التوازن بین الأمل والیأس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متطلّبات الانتظار البنّاء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الانتظار عامل من عوامل التحرّک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الانتظار یؤدّی إلی الإصلاح ومقارعة الظلم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الانتظار یصون الإیمان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الانتظار عامل لبقاء التشیّع ومقاومته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الانتظار یفضی إلی التزیّن بالعدل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الحدیث الختامیّ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علامات الانتظار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النفس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المجتمع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والابتهال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الأماکن والبقاع المنسوبة إلی الإمام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مصادر للمطالعة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الحدیث الختامیّ </w:t>
      </w:r>
      <w:r>
        <w:rPr>
          <w:rFonts w:eastAsia="IRNazanin" w:cs="IRNazanin"/>
          <w:color w:val="111111"/>
          <w:sz w:val="28"/>
          <w:szCs w:val="28"/>
          <w:lang w:bidi="fa-IR"/>
        </w:rPr>
        <w:t>276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277</w:t>
      </w:r>
      <w:bookmarkStart w:id="16" w:name="pg5457_39061"/>
    </w:p>
    <w:p>
      <w:pPr>
        <w:pStyle w:val="Heading2"/>
        <w:numPr>
          <w:ilvl w:val="1"/>
          <w:numId w:val="1"/>
        </w:numPr>
        <w:rPr/>
      </w:pPr>
      <w:bookmarkStart w:id="17" w:name="__RefHeading___Toc1994008_581953129"/>
      <w:bookmarkStart w:id="18" w:name="_Toc6"/>
      <w:bookmarkEnd w:id="16"/>
      <w:bookmarkEnd w:id="17"/>
      <w:r>
        <w:rPr>
          <w:rtl w:val="true"/>
        </w:rPr>
        <w:t>حاجة الدین إلی مُفسّر ومُتوَلٍّ</w:t>
      </w:r>
      <w:bookmarkEnd w:id="18"/>
    </w:p>
    <w:p>
      <w:pPr>
        <w:pStyle w:val="Heading3"/>
        <w:numPr>
          <w:ilvl w:val="2"/>
          <w:numId w:val="1"/>
        </w:numPr>
        <w:rPr/>
      </w:pPr>
      <w:bookmarkStart w:id="19" w:name="__RefHeading___Toc1994010_58195312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یحتاج الدین إلی مُفسّر ومُتولٍّ؟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بعض المنظّرین نظریّةً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والمعارف الدینیّة لیست بحاجة إلی مُفسّرٍ دینیّ خاصّ، بل الجمیع قادرون علی فَهم الدّین، وتفسیر التعالیم الدینیّة والأخذ منها؛ وبالتالی، القیام بواجباتهم وأداء تکالیفهم علی أساس فهمِهم وقراءتهم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الهدف الرئیس لهذه الثلّة من المنظّرین، هو اعتبار تفسیر الدین والشؤون والقضایا الدینیّة المختلفة أمراً شخصیّاً؛ وذلک من أجل أن یَعمدوا إلی تفسیر الدین والأحکام الدینیّة بالشکل الذی یحلو لهم، وبالطریقة التی یشاؤون، وفی نهایة المطاف، تکون لهم مساحة من الحریّة فی مقام العمل، ویتمکّنوا من تبریر وتوجیه أعمالهم، وإسنادها إلی تفسیرٍ وقراءةٍ خاصّةٍ للدین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الردّ علی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بعدم حاجة الدین إلی مفسّر رسمیّ یجب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الذی یتوخّاه هؤلاء من إطلاق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بالهدَف المقدّس، وإنّما یرمون من خلال ذلک إلی التحرّر من قیود الأحکام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النظریّة، وهذا المدّعی، یواجه إشکالات عدیدة، نبحثها ضِمن 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 القائل بأنّ الدین والمعارف الدینیّة لا تستلزم وجود مفسّر وعالم متخصّص فی تفسیر التعالیم الدینیّة، مساوق للنسبیّة فی الأحکام والمعارف الدینیّة؛ لأنّه فی حالة تقدیم کلّ إنسان لتفسیر خاصّ عن الدین، واعتقاده بأنّ هذا التفسیر حجّة بالنسبة له، وطرح الآخر لتفسیر مُغایر، وذهابه إلی حُجّیّة تفسیره أیضاً، لا یبقی أمرٌ ثابت فی الدین، والأحکام الدینیّة، وفقاً لهذه النظریّة؛ حیث یُعدُّ فهمُ کلِّ شخصٍ للتعالیم الدینیّة تفسیراً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أنّه لا مجال للنسبیّة بهذا المعنی، لا فی الدین ولا فی التعالیم الدینیّة؛ ذلک أنّ الأمر فیها یؤول إلی التناقض؛ لأنّه من المُمکن أن یَطرح شخصٌ ما تفسیراًً خاصّاً لمفردةٍ من مفردات التعالیم الدینیّة، بما یتلاءم والخلفیّات الذهنیّة التی یحملها، وفی الوقت عینه، یطرح غیره تفسیراً مخالفاً تماماً لهذا التفسیر فی المفردة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ومع توجیه کلَّ واحد من التفسیرین المذکورین، یلزم أن یکون لدینا تفسیران متضادّان ومتقابلان لمفردةٍ من مفردات التعالیم الدینیّة، وطِبقاً للفرض، یُعتبر کلا التفسیرین حُجّة علی صاحبَیهما، فی الوقت الذی ینفی أحدُهما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عقلَ الإنسان یحکم، کما أنّ سائر العلوم والتخصّصات،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الفیزیاء، التاریخ وآلاف الفروع العلمیّة التجریبیّة والإنسانیّة الأخری، تقتضی وجود مُفسّر ومُبیّن وشارح متخصّص فیها؛ فالدین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هو عبارة عن مجموعة من القوانین والأحکام الإلهیّة، وسائر التعالیم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یحتاج إلی عالمٍ ومُفسّر متخصّص فی شؤون الدین، والتعالیم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الدینیّة علی ثلاثة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الدینیّة البسیطة،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الدینیّة المتوسّطة،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الدینیّة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افترضنا أنّنا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عامّة الناس قادرون علی إدراک المعارف الدینیّة فی مستواها البسیط؛ بید أنّ المعارف الدینیّة لمّا تصل إلی المستویین المتوسّط والمعقّد، تخرج عن دائرة الفهم والإدراک العامّ، وهنا یتأکّد الاحتیاج إلی المختصّین وعلماء الدین، بل ویکون لازماً؛ من أجل بیان وتفسیر تلک المعارف العَصیّة علی فهم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والدلیل علی هذا الأمر، هو صدور آلاف الروایات والأحادیث عن الأئمّة المعصومین علیهم السلام، فی باب تفسیر القرآن والمعارف الدینیّة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آیات فی القرآن الکریم دالّة علی حاجة التعالیم الدینیّة إلی تفسیر وشرح، من قِبَل المُفسِّرین المختصّین فی هذا المجال، وهی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ففی هذه الآیة الشریفة، تمّت مخاطبة شخص النبیّ الکریم صلی الله علیه و آله، وأنیطت به مهمّة تبیین وشرح وتفسیر المعارف القرآنیّة؛ ما یدلّ علی انحصار التفسیر بجماعة من المتخصّصین، علی رأسهم النبیّ وأهل بیته الطیّبین الطاهرین علیهم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 الإسلام صلی الله علیه و آله إنّما اعتُبر مفسّراً ومبیّناً للقرآن انطلاقاً من</w:t>
      </w:r>
    </w:p>
    <w:p>
      <w:pPr>
        <w:pStyle w:val="BookText"/>
        <w:rPr/>
      </w:pPr>
      <w:r>
        <w:rPr>
          <w:rFonts w:ascii="IRNazanin" w:hAnsi="IRNazanin" w:eastAsia="IRNazanin"/>
          <w:color w:val="111111"/>
          <w:sz w:val="28"/>
          <w:sz w:val="28"/>
          <w:szCs w:val="28"/>
          <w:rtl w:val="true"/>
          <w:lang w:bidi="fa-IR"/>
        </w:rPr>
        <w:t>کونه معصوماً؛ وعلیه، لیس بمقدور غیر النبیّ صلی الله علیه و آله والأئمّة المعصومین علیهم السلام، القیام بهذا العمل؛ لافتقاره إلی شرط العِصمة اللازمة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لهذه الآیة الشریفة، یثبُت أصلُ احتیاج المعارف الدینیّة إلی مفسّر ومبیّن خاصّ؛ وأمّا کون وظیفة التبیین والتفسیر ونشر المعارف الدینیّة، فی عصر الغیبة ملقاةً علی عاتق العلماء الربّانیّین والفقهاء، فیثبُت بدلیلٍ آخر؛ إذ أنّنا ندّعی أنّ وظیفة تبیین الأحکام وتفسیر التعالیم الدینیّة، بالإضافة إلی إجراء تلک الأحکام فی عصر الغیبة، قد وضِعَت وِفقاً لروایاتٍ عدیدة عن الأئمّة المعصومین علیهم السلام، علی کاهل علماء الدین والفقهاء العاملین، نحو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قد روی حدیثَنا، ونظرَ فی حلالنا وحرامنا، وعرَفَ أحکامَنا، فإنّی قد جعلتُهُ علیکُم حاکماً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ونَصب هکذا شخص حاکماً من قِبَل المعصوم، یستلزم أن یکون عارفاً وعالماً ومفسّراً لأحکام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هناک بحوثٌ عدیدة فی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هُم؟ ویمکن أن نخلص من مجموع تلک البحوث، إلی أنّ المصداق البارز والکامل لأهل الذکر فی عصر الأئمّة المعصومین علیهم السلام، هم الأئمّة أنفسُهم، وفی عصر الغیبة، کُلّف الفقهاء وعلماء الدین بهذه المسؤولیّة العظیمة؛ کما ورد فی التوقیع الشریف عن الإمام الحجّة المنتظر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ردّاً علی سؤال إسحق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یرجع المؤمنون فی الأمور المستجدّة، والموضوعات المُستحدثة فی عصر الغیبة، لیأخذوا عنه أحکام دینِهم؟ فکتَب الإمام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فیها إلی رُواةِ حَدیثِنا؛ فإنّهم حُجَّتی علیکُم، وأنا حُجّةُ الله عَلیهِم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 ناحیة أخری، لا ریبَ فی أنّ عامّة الناس الذین لا یُجیدون اللغة العربیّة، ویجهلون قواعد اللغة، وقواعد علم الأصول والتفسیر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بوِسعِهم أن یکونوا مصداقاً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البدیهیّ والجلیّ أنّ هذه الطائفة من الأفراد غیر قادرة علی تفسیر وشرح النصوص الدینیّة، وبیان 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یُطرح هنا إشکالٌ وشُبهةٌ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 یُخطیء العلماء المنصَّبون کمفسِّرین للدین فی عصر الغیبة، فیقلبون حقیقة المعارف الدینیّة، ویطرحونها إلی الناس بشکلٍ بعیدٍ عن الواقع، الأمر الذی یفضی إلی إیقاع الناس فی الخطأ، وسلوک طریق مغایر لسبیل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دلّ هذا علی شیء، فإنّما یدلّ علی عدم حاجة الدین إلی مفسّر وعالم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الأخطاء التی یرتکبها عامّة الناس، تجاه التعالیم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بکثیر من الأخطاء التی یقع فیها الأفراد المختصّون فی العلوم والمعارف الدینیّة؛ ولذا، فلیس من العقل فی شیء، أن یُوکل تفسیر الدین والتعالیم الدینیّة إلی عامّة الناس، تحت ذریعة احتمال وقوع المفسّرین والشارحین للدین فی بعضِ الأخطاء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الخطأ والاشتباه وارد فی جمیع المجالات التخصّصیّة، وکافّة العلوم والفنون المختلفة؛ وعلیه، أوَلا یُخطیء المختصّون فی الأمور الطبّیّة؟ وهل یُمکن التشبّث باحتمال خطأ الأطبّاء فی العلاج، أو فی إعطاء الدواء، أو فی تشخیص المرض؛ لیکون دلیلاً علی عدم الرجوع إلیهم فی مثل هذه الحالات؟ لا شکّ فی أنّ عُقلاء العالمَ لا یفعلون ذلک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عددٌ کبیر من علماء أهل السنّة والشیعة، علی أنّ الفقیه لو امتلک الأدوات العلمیّة الکافیة، واللازمة للقیام بعملیّة الاستنباط، وتفسیر الأحکام الدینیّة، وسعی جاهداً لاستخدامها بالطریقة الصحیحة، لکنّه فی</w:t>
      </w:r>
      <w:bookmarkStart w:id="21" w:name="pg5457_39066"/>
    </w:p>
    <w:p>
      <w:pPr>
        <w:pStyle w:val="BookText"/>
        <w:rPr/>
      </w:pPr>
      <w:bookmarkEnd w:id="21"/>
      <w:r>
        <w:rPr>
          <w:rFonts w:ascii="IRNazanin" w:hAnsi="IRNazanin" w:eastAsia="IRNazanin"/>
          <w:color w:val="111111"/>
          <w:sz w:val="28"/>
          <w:sz w:val="28"/>
          <w:szCs w:val="28"/>
          <w:rtl w:val="true"/>
          <w:lang w:bidi="fa-IR"/>
        </w:rPr>
        <w:t>الوقت ذاته، لم یُفلح فی الوصول إلی الحکم الصحیح، وارتکب خطأً فی استنباط الحکم وتفسیره کما ینبغی، یکون حینئذٍ معذوراً؛ کما نقل العلاّمة السیّد شرف الدین، علی لسانِ عدد من علماء الإسلام،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کلّ من اجتهد فی شیء من ذلک، فدان بما رأی أنّه الحقّ، فإنّه مأجور علی کلّ حال؛ إن أصاب فأجران، وإن أخطأ فأجرٌ واحد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2" w:name="__RefHeading___Toc1994012_581953129"/>
      <w:bookmarkStart w:id="23" w:name="_Toc8"/>
      <w:bookmarkEnd w:id="22"/>
      <w:r>
        <w:rPr>
          <w:rtl w:val="true"/>
        </w:rPr>
        <w:t>مصادر للمطالعة</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غرویان، پرسش های فکری ودینی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فکریّة ودینیّة للشباب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یمین،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رضا شاکرین بالتعاون مع عدد من الباحثین، پرسش ها وپاسخ های برگزیده دانشجوئی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الأسئلة والردود للطلاب الجامعیّین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ممثلیّة الولیّ الفقیه فی الجامعات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4" w:name="__RefHeading___Toc1994014_581953129"/>
      <w:bookmarkStart w:id="25" w:name="_Toc9"/>
      <w:bookmarkEnd w:id="24"/>
      <w:r>
        <w:rPr>
          <w:rtl w:val="true"/>
        </w:rPr>
        <w:t>الحدیث الختامیّ</w:t>
      </w:r>
      <w:bookmarkEnd w:id="25"/>
    </w:p>
    <w:p>
      <w:pPr>
        <w:pStyle w:val="BookText"/>
        <w:rPr/>
      </w:pPr>
      <w:r>
        <w:rPr>
          <w:rFonts w:ascii="IRNazanin" w:hAnsi="IRNazanin" w:eastAsia="IRNazanin"/>
          <w:color w:val="111111"/>
          <w:sz w:val="28"/>
          <w:sz w:val="28"/>
          <w:szCs w:val="28"/>
          <w:rtl w:val="true"/>
          <w:lang w:bidi="fa-IR"/>
        </w:rPr>
        <w:t>قال أمیر المؤمنین الإمام علیّ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بَلیّةٌ فَاجعلُوا أَموالَکُم دُونَ أنفسِکُم، وإذا نَزَلَت نازلةٌ فَاجعَلوا أنفُسَکُم دُونَ دینِکُم، واعلَمُوا أنَّ الهالِکَ مَن هَلَکَ دِینُهُ، وَالحَریبَ</w:t>
      </w:r>
      <w:r>
        <w:rPr>
          <w:rStyle w:val="FootnoteAnchor"/>
          <w:rtl w:val="true"/>
        </w:rPr>
        <w:footnoteReference w:id="7"/>
      </w:r>
      <w:r>
        <w:rPr>
          <w:rFonts w:ascii="Amiri" w:hAnsi="Amiri" w:eastAsia="Amiri" w:cs="Amiri"/>
          <w:color w:val="111111"/>
          <w:sz w:val="28"/>
          <w:sz w:val="28"/>
          <w:szCs w:val="28"/>
          <w:rtl w:val="true"/>
          <w:lang w:bidi="ar-SA"/>
        </w:rPr>
        <w:t>مَن حَرَبَ دِینَهُ</w:t>
      </w:r>
      <w:r>
        <w:rPr>
          <w:rFonts w:eastAsia="Amiri" w:cs="Amiri" w:ascii="Amiri" w:hAnsi="Amiri"/>
          <w:color w:val="111111"/>
          <w:sz w:val="28"/>
          <w:szCs w:val="28"/>
          <w:rtl w:val="true"/>
          <w:lang w:bidi="ar-SA"/>
        </w:rPr>
        <w:t>».</w:t>
      </w:r>
      <w:r>
        <w:rPr>
          <w:rStyle w:val="FootnoteAnchor"/>
          <w:rtl w:val="true"/>
        </w:rPr>
        <w:footnoteReference w:id="8"/>
      </w:r>
      <w:bookmarkStart w:id="26" w:name="pg5457_39067"/>
    </w:p>
    <w:p>
      <w:pPr>
        <w:pStyle w:val="Heading2"/>
        <w:numPr>
          <w:ilvl w:val="1"/>
          <w:numId w:val="1"/>
        </w:numPr>
        <w:rPr/>
      </w:pPr>
      <w:bookmarkStart w:id="27" w:name="__RefHeading___Toc1994016_581953129"/>
      <w:bookmarkStart w:id="28" w:name="_Toc10"/>
      <w:bookmarkEnd w:id="26"/>
      <w:bookmarkEnd w:id="27"/>
      <w:r>
        <w:rPr>
          <w:rtl w:val="true"/>
        </w:rPr>
        <w:t>سُبُل التخلّص من الهواجِس الفِکریّة للیافعین والشباب</w:t>
      </w:r>
      <w:bookmarkEnd w:id="28"/>
    </w:p>
    <w:p>
      <w:pPr>
        <w:pStyle w:val="Heading3"/>
        <w:numPr>
          <w:ilvl w:val="2"/>
          <w:numId w:val="1"/>
        </w:numPr>
        <w:rPr/>
      </w:pPr>
      <w:bookmarkStart w:id="29" w:name="__RefHeading___Toc1994018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تُساور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أذهان الأحداث والشباب بشأن أحادیث وکلمات أئمّة الدین؟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الردّ علی هذا السؤال، لا بدّ من الإحاطة بما یجری فی مرحلة الشباب؛ فإلی جانب النموّ الجسدیّ، تنمو لدی هذه الفئة من الناس الهواجس، والرغبة فی حبّ الاستطلاع، والتفکّر والتدبّر فی السلوکیّات والاعتقادات والتوجّهات إلی الحیاة الدنیا، وهذا یُمثّل جُزءاً من التغیّرات، التی تطرأ بصورة طبیعیّة علی فکر الأحداث والیافعین والشباب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مرحلة الشباب فی غایة الخطورة والإثارة، وهی تتزامن مع تغییرات بدنیّة، فکریّة، نفسیّة کبیرة، بالإضافة إلی اکتساب التجارب الجدیدة وزیادة المدّخرات والرصید الفکریّ؛ ذلک أنّ هذه المرحلة هی مرحلة الابتعاد عن الاعتماد علی الآخرین، والحصول علی الاستقلال والهویّة المستقلّة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فهجوم الشکّ والوَساوِس علی الشابّ، وتوجیه الانتقادات لشتّی القضایا الهامّة فی الحیاة، لمن یبحث عن هویّته، ویُرید العثور علی ذاته، ویرغب بترسیخ معتقداته، وتأصیلها، بدلاً من الوضع الشبیه بالتقلید للآخرین، لیس شیئاً غیر طبیعیّ وغیر 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یرتبط بالأمور التربویّة الخاصّة بمرحلة الشباب، فمن الحریّ الالتفات إلی النقاط التالیة؛ لیتسنّی للشابّ الوقوف علی هویّته الأصیلة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علماء النفس عن فترة ومرحلة الشباب والصبا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هذه المرحلة بین مرحلَتَی الکهولة والطفولة، بحیث لا یکون الشابّ والفتی طفل الأمس، الذی یتعلّم کلّ شیء من الکبار، ولا الکبیر ذا الخبرة والتجربة؛ فالشابّ والیافع یبحث معظم الظواهر والأمور بنفسه، وبمعونة مدّخراته الفکریّة وتحلیله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للشابّ من الناحیة المعرفیّة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یذکر علماء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بدراسة المسائل الانتزاعیّة، من قبیل المذهب والأخلاق، والأنماط المتفاوتة للحیاة، وتقییمها بشکل منطقیّ ونظامیّ، وتتبلور فی ذهنه استدلالات منظّمة، تُتیح له إمکان إجراء مقارنة بین الحلول المطروحة لمسألةٍ ما، واختیار الحلّ الأمثَل والأنسَب؛ وبهذا العمل، یأخذ المحتوی الفکریّ نطاقاً أوسع وغوراً أبعد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لکن، برغم التطوّر والتقدّم الفکریّ، وتکوّن القدرة علی التحلیل والحکم علی الأشیاء، لا یزال الشابّ والفتی من حیث الاستقرار والتسلّط الفکریّ، فی طور العبور من مرحلة الصِّبا إلی مرحلة النضوج الفکری؛ ولا تکون قدرة الإدراک واتّخاذ القرارات لدیه من السِّعة والعُمق، بحیث تتّسم بالمرونة والشمولیّة والانسجام مع السُبُل الحدیثة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الشابّ الرشید مرحلة النُّضج والاستقرار، إلاّ بعد أن یکسو استدلالاته واستنتاجاته بطابعٍ شخصیّ واختصاصیّ، ویستعین علی حلّ القضایا المُبهمة والغامضة والشائکة بتجاربه الشخصیّة، ویستنفذ جمیع طاقاته وقُدراته النفسیّة، من منطق، ودوافع، وقِیَم، وأُصول، واستحقاقات اجتماعیّة، وثقافیّة، وتاریخیّة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فالشکّ فی بعض أصول الحیاة یُعدُّ مقدّمةً للتعرف علیه بشکلٍ أکبر وأعمَق، ولا داعی للقلَق والخوف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فترة الصبا هی مرحلة تحدید الهویّة؛ ومن هنا، تکتسب أهمیّة فائقة؛ إذ فی هذه الفترة بالتحدید، یبدأ الإنسان بطرح السؤال الجوهریّ بشأن هویّته وشخصیّته،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 ومَن 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بدّ له من العثور الجواب الوافی والشافی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یجب علی الشخص تکوین صورة ذات معنی مکتمل عن نفسه، بحیث تکون متّصلة بالماضی من جِهة، ومشتملة علی توجّهاته المستقبلیّة 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قال إریکسون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هویّة الفرد والقبول بها عبارةٌ عن تکلیف شاقّ وعسیر؛ حیث یجب علی الشابّ فی هذه المرحلة اختبار أدوار وإیدیولوجیّات مختلفة؛ بغیة اختیار الأنسَب والأفضل منها؛ فمن یتمکّن من الخروج من هذه المرحلة بشعور قویّ بالهویّة، یستطیع التأهّب لمواجهة مرحلة الرجولة بإحساس أوسع من الثقة بالنفس والاطمئنان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الفترة الزمنیّة، تترک الطبقات الاجتماعیّة التی یُعاشرها الشابّ أو الیافع ویترعرع فیها أثراً کبیراً علی مسیرة حیاته؛ إذ بمقدروها التأثیر علی ازدهار هویةّ الفرد بشکلٍ ملحوظ</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وعلی هذا الأساس، فإنّ اختیار الصدیق والأنموذج الدینیّ الذی یُحتذی به، أو انتخاب القُدوة غیر الدینیّة، له تأثیرات واسعة من حیث لا یشعر الإنسان، إلی درجة التأثیر علی السلوک والتصرّف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الیافع والشابّ، کما تُتاح له مجالات التقدّم والتطوّر، ویسیر فی طریق اکتشاف هویّته ومعرفة خالقه وبارئه، یرتقی سُلّم الحیاة بسهولة</w:t>
      </w:r>
      <w:bookmarkStart w:id="31" w:name="pg5457_39070"/>
    </w:p>
    <w:p>
      <w:pPr>
        <w:pStyle w:val="BookText"/>
        <w:rPr/>
      </w:pPr>
      <w:bookmarkEnd w:id="31"/>
      <w:r>
        <w:rPr>
          <w:rFonts w:ascii="IRNazanin" w:hAnsi="IRNazanin" w:eastAsia="IRNazanin"/>
          <w:color w:val="111111"/>
          <w:sz w:val="28"/>
          <w:sz w:val="28"/>
          <w:szCs w:val="28"/>
          <w:rtl w:val="true"/>
          <w:lang w:bidi="fa-IR"/>
        </w:rPr>
        <w:t>بمقتضی عنفوان الشباب والطاقة المتفجّرة فی داخله، وفی الوقت ذاته، یکون فی أشدّ الحاجة إلی الاستفادة من أفکار الأشخاص المطّلعین والأوفیاء، ورفده باستشاراتهم ونصائحهم؛ لئلاّ یکون عُرضةً للسقوط فی مسیرة العثور علی هویّته وذاته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سُبُل الخروج من الأزَمات والتحدّیات الفِکریّة</w:t>
      </w:r>
    </w:p>
    <w:p>
      <w:pPr>
        <w:pStyle w:val="BookText"/>
        <w:rPr/>
      </w:pPr>
      <w:r>
        <w:rPr>
          <w:rFonts w:ascii="IRNazanin" w:hAnsi="IRNazanin" w:eastAsia="IRNazanin"/>
          <w:color w:val="111111"/>
          <w:sz w:val="28"/>
          <w:sz w:val="28"/>
          <w:szCs w:val="28"/>
          <w:rtl w:val="true"/>
          <w:lang w:bidi="fa-IR"/>
        </w:rPr>
        <w:t>من أجل أن یسلک الشابّ المسار الصحیح لاکتشاف الذات، وبلوغ کنه الحقیقة، وفی سبیل أن تتأصّل المقوّمات الأساسیّة فی وجود الفتی، ویعمل وفق القواعد والضوابط من الناحیة التربویّة، یجب علیه الالتزام بالنقاط التالیة</w:t>
      </w:r>
      <w:r>
        <w:rPr>
          <w:rFonts w:eastAsia="IRNazanin" w:cs="IRNazanin"/>
          <w:color w:val="111111"/>
          <w:sz w:val="28"/>
          <w:szCs w:val="28"/>
          <w:rtl w:val="true"/>
          <w:lang w:bidi="fa-IR"/>
        </w:rPr>
        <w:t>:</w:t>
      </w:r>
    </w:p>
    <w:p>
      <w:pPr>
        <w:pStyle w:val="Heading3"/>
        <w:numPr>
          <w:ilvl w:val="2"/>
          <w:numId w:val="1"/>
        </w:numPr>
        <w:rPr/>
      </w:pPr>
      <w:bookmarkStart w:id="32" w:name="__RefHeading___Toc1994020_581953129"/>
      <w:bookmarkStart w:id="33" w:name="_Toc12"/>
      <w:bookmarkEnd w:id="32"/>
      <w:r>
        <w:rPr/>
        <w:t>1</w:t>
      </w:r>
      <w:r>
        <w:rPr>
          <w:rtl w:val="true"/>
        </w:rPr>
        <w:t xml:space="preserve">- </w:t>
      </w:r>
      <w:r>
        <w:rPr>
          <w:rtl w:val="true"/>
        </w:rPr>
        <w:t>تحصیل العلم</w:t>
      </w:r>
      <w:bookmarkEnd w:id="33"/>
    </w:p>
    <w:p>
      <w:pPr>
        <w:pStyle w:val="BookText"/>
        <w:rPr/>
      </w:pPr>
      <w:r>
        <w:rPr>
          <w:rFonts w:ascii="IRNazanin" w:hAnsi="IRNazanin" w:eastAsia="IRNazanin"/>
          <w:color w:val="111111"/>
          <w:sz w:val="28"/>
          <w:sz w:val="28"/>
          <w:szCs w:val="28"/>
          <w:rtl w:val="true"/>
          <w:lang w:bidi="fa-IR"/>
        </w:rPr>
        <w:t>أنّ الوطیفة الرئیسیة للشباب والیافعین هی تحصیل العلم؛ ذلک أنّ الاستزادة من العلم واکتساب المعرفة یُعدّ من أثمن الجواهر التی یمکن الحصول علیها، واستخدامها فی تسییر الحیاة ومختلف مساراتها، بل إنّ العلم والمعرفة أداة هامّة للمقدرة والکفاءة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الکتب الدینیّة هو السبیل الأمثَل لزیادة العلم بالعقائد؛ فالإنسان غیر المتعلّم لن یکون قادراً علی تشخیص تکالیفه الإلهیّة، والعمل بها بصورة صحیحة؛ وفی المحصّلة، قد یعجز عن فهم معنی الحیاة</w:t>
      </w:r>
      <w:r>
        <w:rPr>
          <w:rFonts w:eastAsia="IRNazanin" w:cs="IRNazanin"/>
          <w:color w:val="111111"/>
          <w:sz w:val="28"/>
          <w:szCs w:val="28"/>
          <w:rtl w:val="true"/>
          <w:lang w:bidi="fa-IR"/>
        </w:rPr>
        <w:t>.</w:t>
      </w:r>
    </w:p>
    <w:p>
      <w:pPr>
        <w:pStyle w:val="Heading3"/>
        <w:numPr>
          <w:ilvl w:val="2"/>
          <w:numId w:val="1"/>
        </w:numPr>
        <w:rPr/>
      </w:pPr>
      <w:bookmarkStart w:id="34" w:name="__RefHeading___Toc1994022_581953129"/>
      <w:bookmarkStart w:id="35" w:name="_Toc13"/>
      <w:bookmarkEnd w:id="34"/>
      <w:r>
        <w:rPr/>
        <w:t>2</w:t>
      </w:r>
      <w:r>
        <w:rPr>
          <w:rtl w:val="true"/>
        </w:rPr>
        <w:t xml:space="preserve">- </w:t>
      </w:r>
      <w:r>
        <w:rPr>
          <w:rtl w:val="true"/>
        </w:rPr>
        <w:t>التفکّر</w:t>
      </w:r>
      <w:bookmarkEnd w:id="35"/>
    </w:p>
    <w:p>
      <w:pPr>
        <w:pStyle w:val="BookText"/>
        <w:rPr/>
      </w:pPr>
      <w:r>
        <w:rPr>
          <w:rFonts w:ascii="IRNazanin" w:hAnsi="IRNazanin" w:eastAsia="IRNazanin"/>
          <w:color w:val="111111"/>
          <w:sz w:val="28"/>
          <w:sz w:val="28"/>
          <w:szCs w:val="28"/>
          <w:rtl w:val="true"/>
          <w:lang w:bidi="fa-IR"/>
        </w:rPr>
        <w:t>لا ریب فی أنّ تحصیل العلم عبارة عن الاستفادة من أفکار الآخرین المدوّنة فی صفحات الکتب وغیرها، وأمّا التفکّر فی مسار الحیاة والظروف والمواقف المختلفة، فهو أمرٌ شخصیّ، وبوسعه تقدیم الحلول اللازمة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العلم یزید من قدرة التفکّر لدی الإنسان، ویجعله</w:t>
      </w:r>
      <w:bookmarkStart w:id="36" w:name="pg5457_39071"/>
    </w:p>
    <w:p>
      <w:pPr>
        <w:pStyle w:val="BookText"/>
        <w:rPr/>
      </w:pPr>
      <w:bookmarkEnd w:id="36"/>
      <w:r>
        <w:rPr>
          <w:rFonts w:ascii="IRNazanin" w:hAnsi="IRNazanin" w:eastAsia="IRNazanin"/>
          <w:color w:val="111111"/>
          <w:sz w:val="28"/>
          <w:sz w:val="28"/>
          <w:szCs w:val="28"/>
          <w:rtl w:val="true"/>
          <w:lang w:bidi="fa-IR"/>
        </w:rPr>
        <w:t>قادراً علی دراسة وتحلیل الحوادث والمشکلات، التی یواجهها بشکل أفضلٍ، وتجاوزها بالنحو المطلوب</w:t>
      </w:r>
      <w:r>
        <w:rPr>
          <w:rFonts w:eastAsia="IRNazanin" w:cs="IRNazanin"/>
          <w:color w:val="111111"/>
          <w:sz w:val="28"/>
          <w:szCs w:val="28"/>
          <w:rtl w:val="true"/>
          <w:lang w:bidi="fa-IR"/>
        </w:rPr>
        <w:t>.</w:t>
      </w:r>
    </w:p>
    <w:p>
      <w:pPr>
        <w:pStyle w:val="Heading3"/>
        <w:numPr>
          <w:ilvl w:val="2"/>
          <w:numId w:val="1"/>
        </w:numPr>
        <w:rPr/>
      </w:pPr>
      <w:bookmarkStart w:id="37" w:name="__RefHeading___Toc1994024_581953129"/>
      <w:bookmarkStart w:id="38" w:name="_Toc14"/>
      <w:bookmarkEnd w:id="37"/>
      <w:r>
        <w:rPr/>
        <w:t>3</w:t>
      </w:r>
      <w:r>
        <w:rPr>
          <w:rtl w:val="true"/>
        </w:rPr>
        <w:t xml:space="preserve">- </w:t>
      </w:r>
      <w:r>
        <w:rPr>
          <w:rtl w:val="true"/>
        </w:rPr>
        <w:t>الإیمان</w:t>
      </w:r>
      <w:bookmarkEnd w:id="38"/>
    </w:p>
    <w:p>
      <w:pPr>
        <w:pStyle w:val="BookText"/>
        <w:rPr/>
      </w:pPr>
      <w:r>
        <w:rPr>
          <w:rFonts w:ascii="IRNazanin" w:hAnsi="IRNazanin" w:eastAsia="IRNazanin"/>
          <w:color w:val="111111"/>
          <w:sz w:val="28"/>
          <w:sz w:val="28"/>
          <w:szCs w:val="28"/>
          <w:rtl w:val="true"/>
          <w:lang w:bidi="fa-IR"/>
        </w:rPr>
        <w:t>المقصود بالإیمان الاعتقاد القلبیّ بالخالق، والتسلیم أمام أحکامه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والنواهی، وکلّما کان إیمان الإنسان أقوی تجلّی بصورة أوسع وأکبر، فی مختلف أبعاد وجود الإنسان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بناءً علی ذلک، من یلحظ الله جلّ وعلا فی جمیع شؤون حیاته، یزداد إیمانه صلابةً، ویرتفع مؤشّر ثقته بنفسه، ویکتسب طاقةً عظیمةً ترفده وتعینه فی جمیع الموارد</w:t>
      </w:r>
      <w:r>
        <w:rPr>
          <w:rFonts w:eastAsia="IRNazanin" w:cs="IRNazanin"/>
          <w:color w:val="111111"/>
          <w:sz w:val="28"/>
          <w:szCs w:val="28"/>
          <w:rtl w:val="true"/>
          <w:lang w:bidi="fa-IR"/>
        </w:rPr>
        <w:t>.</w:t>
      </w:r>
    </w:p>
    <w:p>
      <w:pPr>
        <w:pStyle w:val="Heading3"/>
        <w:numPr>
          <w:ilvl w:val="2"/>
          <w:numId w:val="1"/>
        </w:numPr>
        <w:rPr/>
      </w:pPr>
      <w:bookmarkStart w:id="39" w:name="__RefHeading___Toc1994026_581953129"/>
      <w:bookmarkStart w:id="40" w:name="_Toc15"/>
      <w:bookmarkEnd w:id="39"/>
      <w:r>
        <w:rPr/>
        <w:t>4</w:t>
      </w:r>
      <w:r>
        <w:rPr>
          <w:rtl w:val="true"/>
        </w:rPr>
        <w:t xml:space="preserve">- </w:t>
      </w:r>
      <w:r>
        <w:rPr>
          <w:rtl w:val="true"/>
        </w:rPr>
        <w:t>العمل</w:t>
      </w:r>
      <w:bookmarkEnd w:id="40"/>
    </w:p>
    <w:p>
      <w:pPr>
        <w:pStyle w:val="BookText"/>
        <w:rPr/>
      </w:pPr>
      <w:r>
        <w:rPr>
          <w:rFonts w:ascii="Amiri" w:hAnsi="Amiri" w:eastAsia="Amiri" w:cs="Amiri"/>
          <w:color w:val="111111"/>
          <w:sz w:val="28"/>
          <w:sz w:val="28"/>
          <w:szCs w:val="28"/>
          <w:rtl w:val="true"/>
          <w:lang w:bidi="ar-SA"/>
        </w:rPr>
        <w:t>القیام بالأعمال الإیجابیّة یوجب السلاسة والسهولة فی الحیاة، ویدعَم موقف الإنسان، حتّی أنّ القرآن الکریم أکّدَ علی أنّ الأعمال الصالحة توجب زیادة التکامل والازدهار، وإبراز الطاقات الکامنة لدی المؤمنین،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التعالیم الإسلامیّة أکّدت علی التأثیر الکبیر للعمل فی العلم والإیمان، کما أنّ الإیمان یدفع الإنسان باتّجاه مزید من العمل والاختیار الصحیح، علی أنّ العمل الصالح یوجب زیادة العلم والإیمان لدی الإنسان، ویُسهم فی تلبیة الاحتیاجات المناسبة والمعقولة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فخیر عمل یقوم به الإنسان أداء الأعمال والتکالیف الدینیّة، وحثّ الآخرین علی إنجاز الأعمال اللائقة والمناسبة، والامتناع عن الأعمال القبیحة؛ ذلک أنّ العمل بالتکالیف الإلهیّة یعزّز من دوافع التقدّم والتطوّر، ویجعل الإنسان یلمس وجود الله تعالی فی الحیاة، ویزید من الإیمان، ویضاعف الالتزام الدینیّ لدی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البصیرة والإدراک الشخصیّ یطوّر الإنسان، وینمّی قدراته، ویساعده علی انتخاب الخیار الأفضل فی خِضمّ المتغیّرات فی الحیاة الدنیا، ویأخُذ بیده لبلوغ أهدافه وتطلّعاته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نخلص إلی أنّه برغم کون مرحلة الشباب الخطیرة، بمثابة مرحلة الغلیان الفکریّ والتوقّد الذهنیّ؛ لأنّ البُنیة الأساسیّة للفرد لم تستقرّ بعد؛ ولأنّه فی معرَض مواجهة إشکالات وتحدّیات جَمّة، إلاّ أنّ الشابّ والیافع لو اشتغل بالتعلّم، والتفکّر، والقیام بالأعمال الصالحة والأُمور الحسنَة، وذِکر الله عزّ وجلّ فی جمیع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یکون بوسعه حینئذٍ وضع خُطاه فی طریق التقدّم الدینیّ، والعقلانیّ والأخلاقیّن والإجتماعیّ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ونَیل جمیع أهدافه وتطلّعاته</w:t>
      </w:r>
      <w:r>
        <w:rPr>
          <w:rFonts w:eastAsia="IRNazanin" w:cs="IRNazanin"/>
          <w:color w:val="111111"/>
          <w:sz w:val="28"/>
          <w:szCs w:val="28"/>
          <w:rtl w:val="true"/>
          <w:lang w:bidi="fa-IR"/>
        </w:rPr>
        <w:t>.</w:t>
      </w:r>
      <w:bookmarkStart w:id="41" w:name="pg5457_39073"/>
    </w:p>
    <w:p>
      <w:pPr>
        <w:pStyle w:val="Heading3"/>
        <w:numPr>
          <w:ilvl w:val="2"/>
          <w:numId w:val="1"/>
        </w:numPr>
        <w:rPr/>
      </w:pPr>
      <w:bookmarkStart w:id="42" w:name="__RefHeading___Toc1994028_581953129"/>
      <w:bookmarkStart w:id="43" w:name="_Toc16"/>
      <w:bookmarkEnd w:id="41"/>
      <w:bookmarkEnd w:id="42"/>
      <w:r>
        <w:rPr>
          <w:rtl w:val="true"/>
        </w:rPr>
        <w:t>مصادر للمطالعة</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 شناسی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لدی الیافعین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الدکتور إسماعیل بیابان‌گرد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 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جوانی، بزرگسالی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نفسیّة للنموّ عند الیافعین، والشباب، والکبار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الدکتور حسین لطف آبادی</w:t>
      </w:r>
      <w:r>
        <w:rPr>
          <w:rFonts w:eastAsia="IRNazanin" w:cs="IRNazanin"/>
          <w:color w:val="111111"/>
          <w:sz w:val="28"/>
          <w:szCs w:val="28"/>
          <w:rtl w:val="true"/>
          <w:lang w:bidi="fa-IR"/>
        </w:rPr>
        <w:t>.</w:t>
      </w:r>
    </w:p>
    <w:p>
      <w:pPr>
        <w:pStyle w:val="Heading3"/>
        <w:numPr>
          <w:ilvl w:val="2"/>
          <w:numId w:val="1"/>
        </w:numPr>
        <w:rPr/>
      </w:pPr>
      <w:bookmarkStart w:id="44" w:name="__RefHeading___Toc1994030_581953129"/>
      <w:bookmarkStart w:id="45" w:name="_Toc17"/>
      <w:bookmarkEnd w:id="44"/>
      <w:r>
        <w:rPr>
          <w:rtl w:val="true"/>
        </w:rPr>
        <w:t>الحدیث الختامیّ</w:t>
      </w:r>
      <w:bookmarkEnd w:id="45"/>
    </w:p>
    <w:p>
      <w:pPr>
        <w:pStyle w:val="BookText"/>
        <w:rPr/>
      </w:pPr>
      <w:r>
        <w:rPr>
          <w:rFonts w:ascii="IRNazanin" w:hAnsi="IRNazanin" w:eastAsia="IRNazanin"/>
          <w:color w:val="111111"/>
          <w:sz w:val="28"/>
          <w:sz w:val="28"/>
          <w:szCs w:val="28"/>
          <w:rtl w:val="true"/>
          <w:lang w:bidi="fa-IR"/>
        </w:rPr>
        <w:t>قال الإمام علیّ بن أبی طالب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سَرِیرَتَهُ أَصلَحَ اللهُ عَلاَنِیَتَهُ، وَمَن عَمِلَ لِدِینِهِ کَفَاهُ اللهُ أَمرَ دُنیَاهُ، وَمَن أَحسَنَ فِیَما بَینَهُ وبَینَ اللهِ کَفَاهُ اللهُ مَا بَینَهُ وَبَینَ النَّاسِ</w:t>
      </w:r>
      <w:r>
        <w:rPr>
          <w:rFonts w:eastAsia="Amiri" w:cs="Amiri" w:ascii="Amiri" w:hAnsi="Amiri"/>
          <w:color w:val="111111"/>
          <w:sz w:val="28"/>
          <w:szCs w:val="28"/>
          <w:rtl w:val="true"/>
          <w:lang w:bidi="ar-SA"/>
        </w:rPr>
        <w:t>».</w:t>
      </w:r>
      <w:r>
        <w:rPr>
          <w:rStyle w:val="FootnoteAnchor"/>
          <w:rtl w:val="true"/>
        </w:rPr>
        <w:footnoteReference w:id="13"/>
      </w:r>
      <w:bookmarkStart w:id="46" w:name="pg5457_39075"/>
    </w:p>
    <w:p>
      <w:pPr>
        <w:pStyle w:val="Heading2"/>
        <w:numPr>
          <w:ilvl w:val="1"/>
          <w:numId w:val="1"/>
        </w:numPr>
        <w:rPr/>
      </w:pPr>
      <w:bookmarkStart w:id="47" w:name="__RefHeading___Toc1994032_581953129"/>
      <w:bookmarkStart w:id="48" w:name="_Toc18"/>
      <w:bookmarkEnd w:id="46"/>
      <w:bookmarkEnd w:id="47"/>
      <w:r>
        <w:rPr>
          <w:rtl w:val="true"/>
        </w:rPr>
        <w:t>الحدّ الأقلّ والحدّ الأکثر من البصیرة فی الدین</w:t>
      </w:r>
      <w:bookmarkEnd w:id="48"/>
    </w:p>
    <w:p>
      <w:pPr>
        <w:pStyle w:val="Heading3"/>
        <w:numPr>
          <w:ilvl w:val="2"/>
          <w:numId w:val="1"/>
        </w:numPr>
        <w:rPr/>
      </w:pPr>
      <w:bookmarkStart w:id="49" w:name="__RefHeading___Toc1994034_581953129"/>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الحدّ الأقلّ والحدّ الأکثر من البصیرة فی الدین؟</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ومفهوم الدین فی حدّهِ الأدنی، والدین فی حدّهِ الأقصی؟</w:t>
      </w:r>
      <w:r>
        <w:rPr>
          <w:rStyle w:val="FootnoteAnchor"/>
          <w:rtl w:val="true"/>
        </w:rPr>
        <w:footnoteReference w:id="14"/>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الردّ علی هذا السؤال وتفسیر المطلوب بنحوَین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من خارج نطاق الدین، والتفسیر من داخل الدین نفسه</w:t>
      </w:r>
      <w:r>
        <w:rPr>
          <w:rFonts w:eastAsia="IRNazanin" w:cs="IRNazanin"/>
          <w:color w:val="111111"/>
          <w:sz w:val="28"/>
          <w:szCs w:val="28"/>
          <w:rtl w:val="true"/>
          <w:lang w:bidi="fa-IR"/>
        </w:rPr>
        <w:t>.</w:t>
      </w:r>
    </w:p>
    <w:p>
      <w:pPr>
        <w:pStyle w:val="Heading3"/>
        <w:numPr>
          <w:ilvl w:val="2"/>
          <w:numId w:val="1"/>
        </w:numPr>
        <w:rPr/>
      </w:pPr>
      <w:bookmarkStart w:id="51" w:name="__RefHeading___Toc1994036_581953129"/>
      <w:bookmarkStart w:id="52" w:name="_Toc20"/>
      <w:bookmarkEnd w:id="51"/>
      <w:r>
        <w:rPr>
          <w:rtl w:val="true"/>
        </w:rPr>
        <w:t>أ</w:t>
      </w:r>
      <w:r>
        <w:rPr>
          <w:rtl w:val="true"/>
        </w:rPr>
        <w:t xml:space="preserve">) </w:t>
      </w:r>
      <w:r>
        <w:rPr>
          <w:rtl w:val="true"/>
        </w:rPr>
        <w:t>الردّ علی سؤال الحد الأقلّ والحدّ الأکثر من الدین من داخل الدین نفسه</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النظر إلی الإشکال من داخل، الدین هو أنّه یجب البحث</w:t>
      </w:r>
    </w:p>
    <w:p>
      <w:pPr>
        <w:pStyle w:val="BookText"/>
        <w:rPr/>
      </w:pPr>
      <w:r>
        <w:rPr>
          <w:rFonts w:ascii="IRNazanin" w:hAnsi="IRNazanin" w:eastAsia="IRNazanin"/>
          <w:color w:val="111111"/>
          <w:sz w:val="28"/>
          <w:sz w:val="28"/>
          <w:szCs w:val="28"/>
          <w:rtl w:val="true"/>
          <w:lang w:bidi="fa-IR"/>
        </w:rPr>
        <w:t>والتدقیق فی التعالیم الدینیّة الواردة فی دینٍ ما، کالدین الإسلامیّ الحنیف مثلاً؛ من أجل معرفة التوصیات الموجودة فیه حول حیاة الإنسان، وهل أنّ هذه الأحکام والتعالیم تشمل جمیع مناحی الحیاة، وکافّة أبعاد الحیاة البشریّة، أم أنّها وردت فی بُعدٍ خاصّ فقط؟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التعالیم الدینیّة جاءت بأحکام وتوجیهات فی جمیع المجالات الفردیّة والاجتماعیّة؛ العقائدیّة والأخلاقیّة؛ وکذلک الأحکام العملیّة، أم أنّ الدین جاء بتلک الأحکام والتوجیهات فی بُعدٍ خاصّ فقط، نحو الأخلاق والسلوک، أو علی الصعید الشخصیّ والفردیّ فحسب؟</w:t>
      </w:r>
    </w:p>
    <w:p>
      <w:pPr>
        <w:pStyle w:val="BookText"/>
        <w:rPr/>
      </w:pPr>
      <w:r>
        <w:rPr>
          <w:rFonts w:ascii="IRNazanin" w:hAnsi="IRNazanin" w:eastAsia="IRNazanin"/>
          <w:color w:val="111111"/>
          <w:sz w:val="28"/>
          <w:sz w:val="28"/>
          <w:szCs w:val="28"/>
          <w:rtl w:val="true"/>
          <w:lang w:bidi="fa-IR"/>
        </w:rPr>
        <w:t>إلی ذلک، فإنّ القائلین بالحدّ الأقلّ من الدین، والمنظّرین فی هذا المجال، من وجهة النظر الداخلیّة للدین طبعاً، یطرحون إشکالاتهم ویلقون شُبُهاتهم حول الدین الإسلامیّ ببیانَین مختلفین، وضمن صیغتین 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الأولی للإشکال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القائلون بهذه النظریّة إلی أنّ الدین الإسلامیّ تدخّل فی القضایا والأمور السیاسیّة والحکومیّة بالحدّ الأقلّ من التدخّل، زاعمین أنّ الدین والتعالیم الدینیّة ذات طابع فردیّ وشخصیّ فی الغالب؛ فلا ینبغی إقحام الدین فی الشؤون الإجتماعیّة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القائلین بنظریّة لزوم الفصل بین الدین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الصیغة الأولی من الإشکال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معظم علماء الإسلام وأهل الرأی والنظر، علی أنّ النبیّ الکریم صلی الله علیه و آله من جملة الأنبیاء الإلهیّین، الذین نجحوا فی تأسیس وتثبیت حاکمیّة سیاسیّة ذات مشروعیّة إلهیّة فی المدینة المنوّرة؛ وعلی هذا، فهناک شُبه إجماع من علماء ومفکّری الدین الإسلامیّ، الشیعة والسنّة علی حدّ سَواء، علی أنّ رسول الله صلی الله علیه و آله والدین الإسلامیّ المبین، کان یتمیّز بالشأن السیاسیّ والحکومیّ، فلم یُخالف فی ذلک سِوی بعضُ من أطلق هذا</w:t>
      </w:r>
    </w:p>
    <w:p>
      <w:pPr>
        <w:pStyle w:val="BookText"/>
        <w:rPr/>
      </w:pPr>
      <w:r>
        <w:rPr>
          <w:rFonts w:ascii="IRNazanin" w:hAnsi="IRNazanin" w:eastAsia="IRNazanin"/>
          <w:color w:val="111111"/>
          <w:sz w:val="28"/>
          <w:sz w:val="28"/>
          <w:szCs w:val="28"/>
          <w:rtl w:val="true"/>
          <w:lang w:bidi="fa-IR"/>
        </w:rPr>
        <w:t>الإشکال، من المفکّرین والمتنوّرین الإسلامیّین، الذین شکّکوا فی الشأن السیاسیّ لنبیّ الرحمة صلی الله علیه و آله، وتأثّروا بفکرة فصل الدین عن السیاسة، والفکر العلمانیّ بصورة عامّة، ذاهبین علی أساس ذلک، إلی سلب الشأن السیاسیّ والحکومیّ عن النبیّ الکریم صلی الله علیه و آله، مشدّدین علی أنّه وإن فُرِض إقدامه علی تأسیس حکومة فی المدینة المنوّرة، إلاّ أنّ ذلک لم یکن إلاّ من باب الوظیفة الاجتماعیّة، لا من باب تکلیفه بوظیفة إلهیّة فی هذا المجال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ولکن یمکن الردّ علی هذا القول بما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إمامة النبیّ الکریم صلی الله علیه و آله، وتصدّیه للشأن الحکومیّ، وتأسیسه حکومة سیاسیّة، أمرٌ مفروغ عنه، ومُسلّم من قِبَل أغلَب العلماء والفقهاء الإسلامیّین؛ بالإضافة إلی أنّ النصوص القرآنیّة تعضد هذه المسألة، وتؤکّد علیها بصراحة ووضوح،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تکرّر فی أکثر من موضع فی القرآن الکریم،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 التاریخیّة کذلک تؤیّد هذا الموضوع، وتؤکّد علی أنّ نبیّ الإسلام صلی الله علیه و آله أقام حکومة سیاسیّة فی المدینة، وعلی أساسها أصدر أوامر حکومیّة، من قبیل إرساله الولاة إلی المناطق المختلفة، ومُطالبته</w:t>
      </w:r>
    </w:p>
    <w:p>
      <w:pPr>
        <w:pStyle w:val="BookText"/>
        <w:rPr/>
      </w:pPr>
      <w:r>
        <w:rPr>
          <w:rFonts w:ascii="IRNazanin" w:hAnsi="IRNazanin" w:eastAsia="IRNazanin"/>
          <w:color w:val="111111"/>
          <w:sz w:val="28"/>
          <w:sz w:val="28"/>
          <w:szCs w:val="28"/>
          <w:rtl w:val="true"/>
          <w:lang w:bidi="fa-IR"/>
        </w:rPr>
        <w:t>إیّاهم بالدعوة إلی الدین، وأداء الشؤون الدینیّة والاجتماعیّة المناطة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یرتبط بإثبات کون هذه الحکومة السیاسیّة للنبیّ المصطفی صلی الله علیه و آله مستمدّة من الدین الإسلامیّ المقدّس، فیجب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شمولیّة الدین الإسلامیّ، جعلت هذا الدین یشتمل علی سلسلة من الأمور والتکالیف التی لا یمکن إجراؤها وتطبیقها من دون الحاکمیّة السیاسیّة، وبسط النفوذ السیاسیّ، وذلک من قبیل تنفیذ الأحکام، وإقامة الحدود، وسائر الأمور الدینیّة الأُخری، کأخذ أموال الزکاة والخُمس، وتقسیم الغنائم، التی یتعذّر القیام بها دون وجود حکومة 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الآیات القرآنیّة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علی أنّ حاکمیّة النبیّ صلی الله علیه و آله علی الناس ذات منشأ إلهیّ، کقوله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الصیغة الثانیة للإشکال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بعض أتباع نظریّة الحد الأقلّ من الدین، المنطلقة من داخل الدین، أنّ شمولیّة الدین الإسلامیّ المُبین لا تقبل الإنکار، وأدرکوا أنّهم لا یستطیعون القَدح بالنطاق الواسع للأحکام الإسلامیّة، التی تشمل جمیع أبعاد حیاة الإنسان، عمدوا إلی طرح الشُّبهة، والإشکال بصیغة مغایرة،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والتعالیم الدینیّة وردَت لتلبیة متطلّبات واحتیاجات المجتمع الإسلامیّ فی عصرٍ خاصّ؛ حیث کانت تلک الأحکام مناسبة للمجتمع البدائیّ للمسلمین، الذی کان بعیداً عن الظروف والشرائط الزمانیّة والاجتماعیّة الشائکة والمعقّدة، وفی المحصّلة، معظم هذه الأحکام الدینیّة غیر قادرة علی توفیر مستلزمات الحیاة، وتلبیة المتطلّبات اللازمة فی المجتمع المتحضّر المعاصر، الذی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ثورات وقفَزات علمیّة هائلة من التقدّم والتطوّر،</w:t>
      </w:r>
      <w:bookmarkStart w:id="53" w:name="pg5457_39079"/>
    </w:p>
    <w:p>
      <w:pPr>
        <w:pStyle w:val="BookText"/>
        <w:rPr/>
      </w:pPr>
      <w:bookmarkEnd w:id="53"/>
      <w:r>
        <w:rPr>
          <w:rFonts w:ascii="IRNazanin" w:hAnsi="IRNazanin" w:eastAsia="IRNazanin"/>
          <w:color w:val="111111"/>
          <w:sz w:val="28"/>
          <w:sz w:val="28"/>
          <w:szCs w:val="28"/>
          <w:rtl w:val="true"/>
          <w:lang w:bidi="fa-IR"/>
        </w:rPr>
        <w:t>ویعیش ظروفاً زمانیّة ومکانیّة واجتماعیّة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متشابکة ومتداخلة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الردّ علی الشبهة والإشکال والجواب عنها بعدّة أجوبة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خاتمیّة النبوّة والشریعة التی تُعدّ من ضروریّات الدین الإسلامیّ المُبین، والتی هی مورد اتّفاق جمیع الفِرَق والمذاهب الإسلامیّة، ومُلتقی عُلماء الإسلام کافّة، تتعارض مع هذا التفسیر، من کون الدین والتعالیم الدینیّة فی حدّها الأقلّ والأدنی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المتینة والبراهین الساطعة، المسوقة فی باب خاتمیّة نبوّة نبیّنا الکریم صلی الله علیه و آله، وأبَدیّة الدین الإسلامیّ المُبین، تدحض هذه الشبهة، وتبطل هذا الإشکال؛ ذلک أنّ الدین الإسلامیّ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لأدلّة الخاتمیّة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خالدٌ وأبَدیّ، بحیث یُمکن تطبیق أحکامه وقوانینه فی جمیع الظروف والمتغیّرات الزمکانیّة، ولا تختصّ بمنطقة معیّنة، أو قوم بعینهم، أو زمن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روایات کثیرة عن الرسول الکریم صلی الله علیه و آله، تؤکّد علی أنّ أحکام الإسلام لا تُحَدّ بزمَن خاصّ، ولا تنفع فی زمنٍ دونَ زمن، بل هی أبَدیّة ومعتبَرة حتّی یوم القیامة، منها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القِیامةِ، وَحَرامُ مُحمّدٍ حَرامٌ أبداً إلی یومِ القِیامةِ</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ولا شکّ فی أنّ الأحکام التی من شأنها البقاء والخلود والاعتبار إلی یوم القیامة، هی التی تمتلک الکفاءة والقابلیّة اللازمة، للتکیّف مع مختلف الظروف الزمانیّة والمکانیّة المختلفة</w:t>
      </w:r>
      <w:r>
        <w:rPr>
          <w:rFonts w:eastAsia="IRNazanin" w:cs="IRNazanin"/>
          <w:color w:val="111111"/>
          <w:sz w:val="28"/>
          <w:szCs w:val="28"/>
          <w:rtl w:val="true"/>
          <w:lang w:bidi="fa-IR"/>
        </w:rPr>
        <w:t>.</w:t>
      </w:r>
    </w:p>
    <w:p>
      <w:pPr>
        <w:pStyle w:val="Heading3"/>
        <w:numPr>
          <w:ilvl w:val="2"/>
          <w:numId w:val="1"/>
        </w:numPr>
        <w:rPr/>
      </w:pPr>
      <w:bookmarkStart w:id="54" w:name="__RefHeading___Toc1994038_581953129"/>
      <w:bookmarkStart w:id="55" w:name="_Toc21"/>
      <w:bookmarkEnd w:id="54"/>
      <w:r>
        <w:rPr>
          <w:rtl w:val="true"/>
        </w:rPr>
        <w:t>ب</w:t>
      </w:r>
      <w:r>
        <w:rPr>
          <w:rtl w:val="true"/>
        </w:rPr>
        <w:t xml:space="preserve">) </w:t>
      </w:r>
      <w:r>
        <w:rPr>
          <w:rtl w:val="true"/>
        </w:rPr>
        <w:t>تفسیر الحدّ الأقلّ والحدّ الأکثر من خارج نطاق الدین</w:t>
      </w:r>
      <w:bookmarkEnd w:id="55"/>
    </w:p>
    <w:p>
      <w:pPr>
        <w:pStyle w:val="Heading4"/>
        <w:numPr>
          <w:ilvl w:val="3"/>
          <w:numId w:val="1"/>
        </w:numPr>
        <w:rPr/>
      </w:pPr>
      <w:bookmarkStart w:id="56" w:name="__RefHeading___Toc1994040_581953129"/>
      <w:bookmarkStart w:id="57" w:name="_Toc22"/>
      <w:bookmarkEnd w:id="56"/>
      <w:r>
        <w:rPr>
          <w:rtl w:val="true"/>
        </w:rPr>
        <w:t>اشارة</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موضوع الحدّ الأقلّ والحدّ الأکثر من الدین، من وجهة النظر الناظرة من خارج الدین، یعنی أنّه مع قطع النظر عن الأحکام والتوصیات التی یأتی بها</w:t>
      </w:r>
    </w:p>
    <w:p>
      <w:pPr>
        <w:pStyle w:val="BookText"/>
        <w:rPr/>
      </w:pPr>
      <w:r>
        <w:rPr>
          <w:rFonts w:ascii="IRNazanin" w:hAnsi="IRNazanin" w:eastAsia="IRNazanin"/>
          <w:color w:val="111111"/>
          <w:sz w:val="28"/>
          <w:sz w:val="28"/>
          <w:szCs w:val="28"/>
          <w:rtl w:val="true"/>
          <w:lang w:bidi="fa-IR"/>
        </w:rPr>
        <w:t>الدین لتنظیم حیاة البشر، یُطرح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المسائل والأمور ینبغی توقّع الإرشاد والتفسیر والتبیین من الدین؟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انتظار البشر من الدین؟ وهل یجب علی الدین تلبیة متطلّبات الإنسان، وتوفیر احتیاجاته فی جمیع الأبعاد والمجالات، أم أنّ أجوبة الدین محدودة ومقیّدة بحاجات خاصّة، وأبعاد معیّنة من حیاة البشر؟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هذا التساؤل بثلاثة أنواع من الأجوبة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واقعٌ فی دائرة الإفراط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الأکثر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واقعٌ فی دائرة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الأقلّ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یبدو لنا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فی حدّ الاعتدال والوسطیّة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الرؤیة المُفرِطة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أصحابُ هذه الرؤیة إلی أنّ الدین یتدخّل فی جمیع شؤون وأبعاد الحیاة، الفردیّة والاجتماعیّة، نحو طریقة الأکل والشرب، ارتداء اللباس، تشیید البیوت والعمارات، المشی والنوم، معاشرة الآخرین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المسائل التی من قبیل الحکومة، تحدید الواجبات والمسؤولیّات المُلقاة علی عاتق الحکّام والقادة، وبیان المسائل والقضایا العلمیّة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حاجة إلی الأحکام والتعالیم الدینیّة فی کافّة أبعاد الحیاة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البشَر أن یتوقّع من الدین والتعالیم الدینیّة، تقدیم أسرار وعوامل النجاح والموفقیّة إلی الإنسان، فی جمیع مجالات الحیاة وکافّة مستویاتها، من دون أن یتکلّف عَناء البحث والمطالعة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w:t>
      </w:r>
      <w:bookmarkStart w:id="58" w:name="pg5457_39081"/>
    </w:p>
    <w:p>
      <w:pPr>
        <w:pStyle w:val="BookText"/>
        <w:rPr/>
      </w:pPr>
      <w:bookmarkEnd w:id="58"/>
      <w:r>
        <w:rPr>
          <w:rFonts w:ascii="IRNazanin" w:hAnsi="IRNazanin" w:eastAsia="IRNazanin"/>
          <w:color w:val="111111"/>
          <w:sz w:val="28"/>
          <w:sz w:val="28"/>
          <w:szCs w:val="28"/>
          <w:rtl w:val="true"/>
          <w:lang w:bidi="fa-IR"/>
        </w:rPr>
        <w:t xml:space="preserve">هذه الرؤیة التی تکلّف الدین تلبیة جمیع متطلّبات الإنسان، وتوفیر جمیع احتیاجاته، 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w:t>
      </w:r>
    </w:p>
    <w:p>
      <w:pPr>
        <w:pStyle w:val="Heading4"/>
        <w:numPr>
          <w:ilvl w:val="3"/>
          <w:numId w:val="1"/>
        </w:numPr>
        <w:rPr/>
      </w:pPr>
      <w:bookmarkStart w:id="59" w:name="__RefHeading___Toc1994042_581953129"/>
      <w:bookmarkStart w:id="60" w:name="_Toc23"/>
      <w:bookmarkEnd w:id="59"/>
      <w:r>
        <w:rPr>
          <w:rtl w:val="true"/>
        </w:rPr>
        <w:t>مناقشة رؤیة الحدّ الأکثر من الدین</w:t>
      </w:r>
      <w:bookmarkEnd w:id="60"/>
    </w:p>
    <w:p>
      <w:pPr>
        <w:pStyle w:val="BookText"/>
        <w:rPr/>
      </w:pPr>
      <w:r>
        <w:rPr>
          <w:rFonts w:ascii="IRNazanin" w:hAnsi="IRNazanin" w:eastAsia="IRNazanin"/>
          <w:color w:val="111111"/>
          <w:sz w:val="28"/>
          <w:sz w:val="28"/>
          <w:szCs w:val="28"/>
          <w:rtl w:val="true"/>
          <w:lang w:bidi="fa-IR"/>
        </w:rPr>
        <w:t xml:space="preserve">النقد الأساسیّ الوارد علی هذ القول، هو أنّ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لهذهِ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 لجمیع توقّعات وانتظارات البشَر، ویترتّب علی ذلک، أنّه لا حاجة عندئذٍ إلی استفادة الإنسان من قوّة العقل، والاعتماد علی الغرائز والطاقات الفطریّة المُودَعة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 هذا النمط من التفکیر، والنظرة إلی الدین المُفضیة إلی تعطیل قوّة العقل غیرُ صحیحةٍ، جملةً وتفصیلاً، وبعیدةٌ کلّ البعد عن الحقیقة، ومُجافیةٌ للواقع؛ ذلک أنّه لا یمکن تأکید وجودِ دینٍ مُحِقٍّ، یعمل علی تَنحیَة العقل وقابلیّات الإنسان وفطرته الطبیعیّة عن مشهد الحیاة، ویعتبر نفسه الوحید القادر علی توفیر جمیع احتیاجات البشر ومتطلّباته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الرؤیة المُفَرِّطة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رفض الرؤیة الداعیة إلی الحدّ الأکثر من الدین، وعقب سَنَوات من الصراع والتجاذب بین أرباب الکنائس والساسة فی العالم الغربیّ، حول حدود وأُطُر الدین، بَرَزت فی نهایة المطاف رؤیةٌ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الرؤیة العلمانیّة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أبرز ما تمیّزت به هذه الرؤیة، الدعوة إلی فصل الدین عن السیاسة والأُمور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تؤکّد علی أنّ حیاة الإنسان مشتملة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وهذان القسمان منفصلان عن بعضهما البعض انفصالاً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یؤمن أصحاب هذا الرأی، بأنّ عمل الإنسان فی الأمور المتعلّقة بالدنیا لا یؤثّر قید أنملة علی مصیر الفرد فی الآخرة؛ ومن هنا، یمکن للإنسان أن یستمدّ الأوامر من الدین فی الأمور الأخرویّة، وفی موضوع علاقة الفرد بالله تعالی فقط، وأمّا</w:t>
      </w:r>
      <w:bookmarkStart w:id="61" w:name="pg5457_39082"/>
    </w:p>
    <w:p>
      <w:pPr>
        <w:pStyle w:val="BookText"/>
        <w:rPr/>
      </w:pPr>
      <w:bookmarkEnd w:id="61"/>
      <w:r>
        <w:rPr>
          <w:rFonts w:ascii="IRNazanin" w:hAnsi="IRNazanin" w:eastAsia="IRNazanin"/>
          <w:color w:val="111111"/>
          <w:sz w:val="28"/>
          <w:sz w:val="28"/>
          <w:szCs w:val="28"/>
          <w:rtl w:val="true"/>
          <w:lang w:bidi="fa-IR"/>
        </w:rPr>
        <w:t>فی الأُمور والشؤون الدنیویّة، والحیاة فی هذا العالم، فیُسمح للإنسان التصرّف کما یحلو له، وکما یشاء، ولیس من اللازم علیه فی هذه الأُمور اتّباع الأحکام الدینیّة، وتلقّی التعالیم من الله</w:t>
      </w:r>
      <w:r>
        <w:rPr>
          <w:rFonts w:eastAsia="IRNazanin" w:cs="IRNazanin"/>
          <w:color w:val="111111"/>
          <w:sz w:val="28"/>
          <w:szCs w:val="28"/>
          <w:rtl w:val="true"/>
          <w:lang w:bidi="fa-IR"/>
        </w:rPr>
        <w:t>.</w:t>
      </w:r>
    </w:p>
    <w:p>
      <w:pPr>
        <w:pStyle w:val="Heading4"/>
        <w:numPr>
          <w:ilvl w:val="3"/>
          <w:numId w:val="1"/>
        </w:numPr>
        <w:rPr/>
      </w:pPr>
      <w:bookmarkStart w:id="62" w:name="__RefHeading___Toc1994044_581953129"/>
      <w:bookmarkStart w:id="63" w:name="_Toc24"/>
      <w:bookmarkEnd w:id="62"/>
      <w:r>
        <w:rPr>
          <w:rtl w:val="true"/>
        </w:rPr>
        <w:t>مناقشة رؤیة الحدّ الأقلّ من الدین</w:t>
      </w:r>
      <w:bookmarkEnd w:id="63"/>
    </w:p>
    <w:p>
      <w:pPr>
        <w:pStyle w:val="BookText"/>
        <w:rPr/>
      </w:pPr>
      <w:r>
        <w:rPr>
          <w:rFonts w:ascii="IRNazanin" w:hAnsi="IRNazanin" w:eastAsia="IRNazanin"/>
          <w:color w:val="111111"/>
          <w:sz w:val="28"/>
          <w:sz w:val="28"/>
          <w:szCs w:val="28"/>
          <w:rtl w:val="true"/>
          <w:lang w:bidi="fa-IR"/>
        </w:rPr>
        <w:t xml:space="preserve">هذه الرؤیة أیضاً تواجه عدداً کبیراً من الإشکالات، لکنّ الإشکال الأهمّ فیها هو الفصل بین الحیاة الدنیویّة للإنسان، وبین عالم الآخرة؛ فصحیحٌ أنّ حیاة الإنسان تنقسم إلی قِسمَی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یَشرع القسم الدنیویّ ابتداءً من الولادة، وینتهی بالموت، ویبدأ القسم الأخرویّ اعتباراً من موت الإنسان، ویستمر إلی ما لا نهایة، ولکلِّ واحدٍ من هذین القسمَین خصائصه ومواصفاته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التقسیم طِبقاً لهذه النظریّة، یعنی أنّ الحیاة الدنیویّة للإنسان، وسلوکه وأعماله فی الدنیا، تنقسم إلی قسمین أیضاً، هما الأعمال الدنیویّة والأعمال الأخرویّة، وأنّهما لا یرتبطان ببعضهما بأیّ أنواع الارتباط؛ وبالتالی، لا تأثیر لأعمال الإنسان الدنیویّة علی حیاته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لهذه النظریّة ینحصر عمل الدین والتعالیم الدینیّة، بالأدعیة والطقوس الفردیّة والجماعیّة، التی تُؤدَّی فی الکنائس والمساجد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التعالیم الدینیّة تختصّ ببیان علاقة الفرد بالله فقط، ولا صِلة لها بالحیاة الاجتماعیّة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ذلک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إلی الدین دعوی من غیر دلیل؛ إذ لا تستند إلی دلیل وبرهان مُعتبرٍ وصائب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لا ینسجم مع محتوی ومضمون الأدیان الإلهیّة؛ فمِن البدیهیّ أنّ کلّ دین حقّ یدّعی بأنّ علی البشر مطابقة جمیع أعمالهم</w:t>
      </w:r>
    </w:p>
    <w:p>
      <w:pPr>
        <w:pStyle w:val="BookText"/>
        <w:rPr/>
      </w:pPr>
      <w:r>
        <w:rPr>
          <w:rFonts w:ascii="IRNazanin" w:hAnsi="IRNazanin" w:eastAsia="IRNazanin"/>
          <w:color w:val="111111"/>
          <w:sz w:val="28"/>
          <w:sz w:val="28"/>
          <w:szCs w:val="28"/>
          <w:rtl w:val="true"/>
          <w:lang w:bidi="fa-IR"/>
        </w:rPr>
        <w:t xml:space="preserve">وتصرّفاتهم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الفردیّة والاجتماعیّة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التعالیم والأحکام الواردة فی هذا الدین، ولیس للإنسان الانطلاق من أهوائه ورغباته لیقوم بکلّ ما یشتهی فی الحیاة الدنیا، وأن لا تأثیر لهذه الأعمال علی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یتّضح ویقبل الفهم والإدراک، من خِلال الرجوع إلی محتوی الأدیان الإلهیّة، ولا سیّما الدین الإسلامیّ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الرؤیة المعتدلة والوسطیّة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مناصَ من الإذعان بتقسیم حیاة الإنسان إلی مرحلة دنیویّة وأخری أخرویّة؛ لکنّ هذه النظریّة تذهب مذهباً آخر، مغایراً لما تبنّته النظریّة الثانیة، حول المرحلة الدنیویّة والأخرویّة من حیاة الإنسان؛ لأنّ الحیاة الأخرویّة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حصیلةً لسُلوک الإنسان فی هذه الدنیا، ونتیجةً حتمیّةً ودقیقةً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الدنیویّة الصادرة من الإنسان تؤثّر، بشکلٍ مباشرٍ وکبیر، علی مصیر الإنسان الأُخرویّ؛ وعلی هذا الأساس، فإنّ بمقدور الإنسان القیام بأعماله وأداء تکالیفه فی هذه الدنیا، بشکلٍ ینفعه فی عالم الآخرة، کما أنّه بوِسعه التصرّف بشکلٍ یؤول إلی ضَرَرِه وسُوء مصیره الأُخرویّ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موجودٌ مختار، ولا بدّ من استئثاره برسمِ سُلوکه وتحدید نمَط حیاته الدنیا، وتقریر مصیره فی عالم الآخرة بنفسه، فلو رغِب بکَسب السعادة الأبدیّة، والحصول علی الخیر والراحة الدائمیّة؛ فعلیه توخّی الدقّة فی اختیار السلوک الرشید، وتنظیم حیاته علی أساس المنهج الدینیّ الشامل، وتطبیقه فی جمیع شؤون الحیاة، ورعایة الأحکام والتکالیف والتعالیم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أنّ هذه الرؤیةَ متوافقةٌ مع الفکر الإسلامیّ الأصیل؛ لأنّنا نری بأنّ الرؤیة المعتدلة والوسطیّة، هی الرؤیة المتفادیة لإشکالیّات النظریّة المُفرِطة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والبعیدة عن محاذیر النظریّة المُفَرِّطة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الرؤیة نری</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لدی الدین مشروعاً متکاملاً ومنهجاً شاملاً ومستوعباً لتأمین السعادة فی الدنیا والآخرة؛ إذ أنّه یطرح أصولاً وأُسُساً کلیّة، فی جمیع أبعاد الحیاة الفردیّة، والاجتماعیّة، والاقتصادیّة، والسیاسیّة، والثقافیّة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لهذه الرؤیة، لا نتوقّع من الدین مدَّ الإنسان بالأحکام والتعالیم اللازمة، فی جمیع تفاصیل الحیاة الإنسانیّة، بما فیها شؤون الحیاة الیومیّة، والأُمور المتعلّقة بکافّة جوانب الحیاة الفردیّة، وإن أمکن استنباط هذه الأمور الجزئیّة من تلک الأصول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لهذه الرؤیة أیضاً، لا ریبَ فی احتواء الدین والتعالیم الدینیّة للأصول الکلیّة، والأُسُس العامّة للسلوک والعمل، الذی له تأثیر مباشر علی سعادة الإنسان؛ ولا شکّ أیضاً فی أنّ هناک أموراً، لم یلزم الشارع صاحبَها بأدائها بکیفیّةٍ وطریقةٍ معیّنة، وإنّما أُسند اتّخاذ القرار المناسب بشأنها، إلی العقل والقوّة الفکریّة المودعة فی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نظریّة الدین الإسلامیّ، والرؤیة المعتدلة المستفادة من هذا الدین المقدّس، المُستشفّة من تعالیمه القیّمة، من جهةٍ تنطوی علی برنامجٍ شاملٍ، وخطّةٍ مکتملةٍ؛ لتحدید سلوک الإنسان، بل وفکره أیضاً، ویمکن تقییم هذا السلوک فی إطار النظام الأخلاقیّ المنسجم فی الدین الإسلامیّ المبین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لم یکن الدین یوماً بصدد إطفاء نور العقل، وإلغاء التفکیر لدی الإنسان، بل حثّت الشریعة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وبشتّی الطُّرُق والوسائل، وبمختلف أنواع الخطاب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علی طلب العلم، وإنماء فکرهِ، وتطویر قدراته وقابلیّاته، والإستفادة من علوم الآخرین؛ فأوصی النبیّ</w:t>
      </w:r>
      <w:bookmarkStart w:id="64" w:name="pg5457_39085"/>
    </w:p>
    <w:p>
      <w:pPr>
        <w:pStyle w:val="BookText"/>
        <w:rPr/>
      </w:pPr>
      <w:bookmarkEnd w:id="64"/>
      <w:r>
        <w:rPr>
          <w:rFonts w:ascii="IRNazanin" w:hAnsi="IRNazanin" w:eastAsia="IRNazanin"/>
          <w:color w:val="111111"/>
          <w:sz w:val="28"/>
          <w:sz w:val="28"/>
          <w:szCs w:val="28"/>
          <w:rtl w:val="true"/>
          <w:lang w:bidi="fa-IR"/>
        </w:rPr>
        <w:t>الکریم صلی الله علیه و آله المسلمین بالتعلّم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وَلو بالصّینِ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وقال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65" w:name="__RefHeading___Toc1994046_581953129"/>
      <w:bookmarkStart w:id="66" w:name="_Toc25"/>
      <w:bookmarkEnd w:id="65"/>
      <w:r>
        <w:rPr>
          <w:rtl w:val="true"/>
        </w:rPr>
        <w:t>مصادر للمطالعة</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مصباح یزدی،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وردود،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الخمینیّ للدراسات والبحوث،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غرویان، پرسش های فکری ودینی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فکریّة ودینیّة للشباب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یمین،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أمین أحمدی، انتظار بشَر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توقّعات البشَر من الدین</w:t>
      </w:r>
      <w:r>
        <w:rPr>
          <w:rFonts w:eastAsia="IRNazanin" w:cs="IRNazanin"/>
          <w:color w:val="111111"/>
          <w:sz w:val="28"/>
          <w:szCs w:val="28"/>
          <w:rtl w:val="true"/>
          <w:lang w:bidi="fa-IR"/>
        </w:rPr>
        <w:t>).</w:t>
      </w:r>
    </w:p>
    <w:p>
      <w:pPr>
        <w:pStyle w:val="Heading3"/>
        <w:numPr>
          <w:ilvl w:val="2"/>
          <w:numId w:val="1"/>
        </w:numPr>
        <w:rPr/>
      </w:pPr>
      <w:bookmarkStart w:id="67" w:name="__RefHeading___Toc1994048_581953129"/>
      <w:bookmarkStart w:id="68" w:name="_Toc26"/>
      <w:bookmarkEnd w:id="67"/>
      <w:r>
        <w:rPr>
          <w:rtl w:val="true"/>
        </w:rPr>
        <w:t>الحدیث الختامیّ</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عَرَفَ دِینَهُ مِن کِتابِ اللهِ عَزَّ وَجلَّ، زَالَت الجِبالُ قَبلَ أن یَزولَ؛ ومَن دَخَلَ فی أمرٍ بِجَهلٍ، خَرجَ مِنهُ بِجَهلٍ</w:t>
      </w:r>
      <w:r>
        <w:rPr>
          <w:rFonts w:eastAsia="Amiri" w:cs="Amiri" w:ascii="Amiri" w:hAnsi="Amiri"/>
          <w:color w:val="111111"/>
          <w:sz w:val="28"/>
          <w:szCs w:val="28"/>
          <w:rtl w:val="true"/>
          <w:lang w:bidi="ar-SA"/>
        </w:rPr>
        <w:t>».</w:t>
      </w:r>
      <w:r>
        <w:rPr>
          <w:rStyle w:val="FootnoteAnchor"/>
          <w:rtl w:val="true"/>
        </w:rPr>
        <w:footnoteReference w:id="21"/>
      </w:r>
      <w:bookmarkStart w:id="69" w:name="pg5457_39087"/>
    </w:p>
    <w:p>
      <w:pPr>
        <w:pStyle w:val="Heading2"/>
        <w:numPr>
          <w:ilvl w:val="1"/>
          <w:numId w:val="1"/>
        </w:numPr>
        <w:rPr/>
      </w:pPr>
      <w:bookmarkStart w:id="70" w:name="__RefHeading___Toc1994050_581953129"/>
      <w:bookmarkStart w:id="71" w:name="_Toc27"/>
      <w:bookmarkEnd w:id="69"/>
      <w:bookmarkEnd w:id="70"/>
      <w:r>
        <w:rPr>
          <w:rtl w:val="true"/>
        </w:rPr>
        <w:t>حریّة العقیدة فی الإسلام وحُکمُ الارتداد</w:t>
      </w:r>
      <w:bookmarkEnd w:id="71"/>
    </w:p>
    <w:p>
      <w:pPr>
        <w:pStyle w:val="Heading3"/>
        <w:numPr>
          <w:ilvl w:val="2"/>
          <w:numId w:val="1"/>
        </w:numPr>
        <w:rPr/>
      </w:pPr>
      <w:bookmarkStart w:id="72" w:name="__RefHeading___Toc1994052_581953129"/>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الجمع بین حریّة العقیدة وحکم الإرتداد فی الإسلام؟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التوصّل إلی جوابٍ وافٍ فی هذا الصدد؛ یجب البحث بدقّة عن معنی حریّة العقیدة ومعنی الارتداد، وشروط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حریّة العقیدة تعنی أن یتمکّن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أیّ ضغط خارجیّ، وبحسب رغبته ومیله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اعتناق العقیدة والفکرة التی یؤمن بها، ویکون له الحقّ فی دراستها ومناقشتها، والدعوة لها من دون قیود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أمّا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بمعنی أن یتراجع الإنسان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هنا الدین الإسلامیّ تحدیداً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اعتنقه وآمَن به، وینکر صواب عقائده وتعالیمه</w:t>
      </w:r>
      <w:r>
        <w:rPr>
          <w:rFonts w:eastAsia="IRNazanin" w:cs="IRNazanin"/>
          <w:color w:val="111111"/>
          <w:sz w:val="28"/>
          <w:szCs w:val="28"/>
          <w:rtl w:val="true"/>
          <w:lang w:bidi="fa-IR"/>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فالإسلام یوافق علی حریّة المعتقد ضمن شروط وحدود خاصّة، فلا شکّ ولا ریب فی رجحان أصل حریّة العقیدة؛ لأنّ دعوة الإنبیاء</w:t>
      </w:r>
    </w:p>
    <w:p>
      <w:pPr>
        <w:pStyle w:val="BookText"/>
        <w:rPr/>
      </w:pPr>
      <w:r>
        <w:rPr>
          <w:rFonts w:ascii="IRNazanin" w:hAnsi="IRNazanin" w:eastAsia="IRNazanin"/>
          <w:color w:val="111111"/>
          <w:sz w:val="28"/>
          <w:sz w:val="28"/>
          <w:szCs w:val="28"/>
          <w:rtl w:val="true"/>
          <w:lang w:bidi="fa-IR"/>
        </w:rPr>
        <w:t>الإلهیّین متقوّمة بهذه الحریّة، ولو لم یکن الناس أحراراً فی اختیار الدین وانتخاب العقیدة المناسبة لهم؛ لما استطاع أحدٌ التخلّی عن عقیدته السابقة، والقبول بدعوة الأنبیاء والرسل؛ فلیس هناک توجیه منطقیّ لحجّیّة دعوة الأنبیاء وتصدیق المرسلین؛ إلاّ بقبول مبدأ حریّة العقیدة</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أضف إلی ذلک، لو أمعنّا النظر قلیلاً لأدرکنا أنّ العقیدة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الأمور الباطنیّة والقلبیّة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تکوینیّ، والأمر التکوینیّ لیس محلاّ للإجبار والإکراه، 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هذا البُعد التکوینیّ من حریّة المعتقد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وعلی هذا الأساس، لا یمکن فرض عقیدة أو فکرة ما علی أحدٍ قَسراً، ولا عن طریقِ الترغیبِ أو 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یضطرّ هکذا إنسان إلی الإقرار بما فُرِض علیه فی الظاهر، وعلی اللسان فقط؛ لکنّه حینما یعتقد بصواب تلک العقیدة، تدخل إلی أعماق قلبه، ویعتنقها طوعاً واختیاراً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صحیح أنّ الحریّة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مجال العقیدة، أم فی المجالات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مطلوب ومرغوبٌ فیه؛ إلاّ أنّ الحریّة المطلقة غیر ممکنة من جهة، ولا راجحة من جهةٍ أُخری؛ لأنّها تفضی إلی الضلال، والحیاد عن جادّة الصواب، وتؤدّی إلی نشر الفوضی والظلم والجور فی عموم أرجاء المجتمع؛ لذا، فلا أحدَ من العقلاء فی العالم یدافع عن الحریّة المطلقة، الفاقدة إلی القیود والشروط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حدوداً ووضَع أُطُراً معیّنة للحریّة؛ لکی یُصان المجتمع الإسلامیّ من الفوضی فی العقیدة، ویأمَن مؤامرات ودسائس الأعداء المتربّصین بالدین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الفارق بین الحریّة فی الفکر الغربیّ، والحریّة فی الفکر الإسلامیّ، یمکن تلخصیه فی أنّ الحریّة الغربیّة</w:t>
      </w:r>
      <w:r>
        <w:rPr>
          <w:rStyle w:val="FootnoteAnchor"/>
          <w:rtl w:val="true"/>
        </w:rPr>
        <w:footnoteReference w:id="26"/>
      </w:r>
      <w:r>
        <w:rPr>
          <w:rFonts w:ascii="IRNazanin" w:hAnsi="IRNazanin" w:eastAsia="IRNazanin"/>
          <w:color w:val="111111"/>
          <w:sz w:val="28"/>
          <w:sz w:val="28"/>
          <w:szCs w:val="28"/>
          <w:rtl w:val="true"/>
          <w:lang w:bidi="fa-IR"/>
        </w:rPr>
        <w:t>فی جمیع مجالاتها، مقیّدة بعدم إیجاد مزاحمة لحریّة باقی أفراد المجتمع، وعدم مخالفة سیاسات الحکومة واستراتیجیّات الدولة؛ فی حین أنّ الحریّة فی المفهوم الإسلامیّ مقیّدة برعایة القوانین والتعالیم الدینیّة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وتمتدّ حریّة التعبیر عن العقیدة فی الإسلام إلی آفاقٍ محدودة، بحیث لا تؤدّی إلی رواج الضلال، وتهدید سعادة الأفراد فی المجتمع الإسلامیّ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الإسلام لا یُجیز التفتیش عن عقائد الناس المکتومة، فیحقّ لأفراد المجتمع التمسّک بأیّ عقیدة ومذهب، وإن لم یکن صحیحاً، ولا حکمَ فی</w:t>
      </w:r>
    </w:p>
    <w:p>
      <w:pPr>
        <w:pStyle w:val="BookText"/>
        <w:rPr/>
      </w:pPr>
      <w:r>
        <w:rPr>
          <w:rFonts w:ascii="IRNazanin" w:hAnsi="IRNazanin" w:eastAsia="IRNazanin"/>
          <w:color w:val="111111"/>
          <w:sz w:val="28"/>
          <w:sz w:val="28"/>
          <w:szCs w:val="28"/>
          <w:rtl w:val="true"/>
          <w:lang w:bidi="fa-IR"/>
        </w:rPr>
        <w:t>الفقه والحقوق لهذهِ العقیدة، ما لم یُجاهر بها، ویُظهرها إلی العلَن، وإن أوجبت هذه العقیدة الخاطئة منع المعتقد بها، من بلوغ الکمال الحقیقیّ، أو جعلته مستحقّاً للعذاب الأخرویّ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إنّ التساؤل عن العقائد الدینیّة، والتفحّص فیها، لیس أمراً خالیاً عن الإشکال فحسب، وإنّما هو أمرُ مطلوب وراجح فی الإسلام؛ فالدین الإسلامیّ المقدّس یرحّب کلّ الترحیب، بالبحث والنقاش العلمیّ، بل ویتبنّی الدعوة إلی هذا النهج التبلیغیّ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کما ذمّ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واحدةٍ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التقلید الأعمی واتّباع الآباء والأجداد مراراً وتکراراً،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وشدّد الباری عزّ وجلّ علی نبیّه الکریم صلی الله علیه و آله أن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عن بصیرةٍ ووعیٍ کافٍ، فقال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لا إشکال فی بحث ومناقشة الشُّبُهات، التی تهجم بین الفَینة والأُخری علی فِکر الإنسان، حتّی لو کانت علی خلاف معارف الدین</w:t>
      </w:r>
      <w:bookmarkStart w:id="74" w:name="pg5457_39091"/>
    </w:p>
    <w:p>
      <w:pPr>
        <w:pStyle w:val="BookText"/>
        <w:rPr/>
      </w:pPr>
      <w:bookmarkEnd w:id="74"/>
      <w:r>
        <w:rPr>
          <w:rFonts w:ascii="IRNazanin" w:hAnsi="IRNazanin" w:eastAsia="IRNazanin"/>
          <w:color w:val="111111"/>
          <w:sz w:val="28"/>
          <w:sz w:val="28"/>
          <w:szCs w:val="28"/>
          <w:rtl w:val="true"/>
          <w:lang w:bidi="fa-IR"/>
        </w:rPr>
        <w:t>وضروریّاته، فذلک أمر طبیعیّ لا ضیرَ فیه، فمَن یبحث عن الحقیقة یجعل شُکوکه وتساؤلاته مقدّمةً للبحث والتحقیق، من أجل الوصول إلی الحقیقة؛ ومن هنا، فهکذا فردٌ لا یُعدّ مُرتدّاً</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5" w:name="__RefHeading___Toc1994054_581953129"/>
      <w:bookmarkStart w:id="76" w:name="_Toc29"/>
      <w:bookmarkEnd w:id="75"/>
      <w:r>
        <w:rPr>
          <w:rtl w:val="true"/>
        </w:rPr>
        <w:t>صدق المرتد</w:t>
      </w:r>
      <w:bookmarkEnd w:id="76"/>
    </w:p>
    <w:p>
      <w:pPr>
        <w:pStyle w:val="BookText"/>
        <w:rPr/>
      </w:pPr>
      <w:r>
        <w:rPr>
          <w:rFonts w:ascii="IRNazanin" w:hAnsi="IRNazanin" w:eastAsia="IRNazanin"/>
          <w:color w:val="111111"/>
          <w:sz w:val="28"/>
          <w:sz w:val="28"/>
          <w:szCs w:val="28"/>
          <w:rtl w:val="true"/>
          <w:lang w:bidi="fa-IR"/>
        </w:rPr>
        <w:t>ولا یصدق عنوان المرتدّ علی الشخص إلاّ إذا توفّرت فیه شروط البلوغ والعقل والاختیار، بالإضافة الی الشروط التالیة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إنکار ضرورة من ضروریّات الدین عالماً عامِداً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الثوابت الدینیّة، والأُمور التی لا یعتریها الشکّ والشبهة،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والصوم، والحجّ، وکذلک الإیمان بالتوحید، والمعاد، والجنّة والنار، وأمثالها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بأنّ لازم إنکار ذلک الحکم الضروریّ، إنکارُ صِدقِ نبوّة النبیّ الکریم صلی الله علیه و آله وأساس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أنکر أحدٌ ضروریّات الدین، بعد توفّر هذه الشروط، یُحکَم بخروجه عن رِبقة الإسلام، ویصدق علیه عنوان المرتدّ، سَواء توصّل إلی ذلک عن طریق البحث العلمیّ، أم أظهر ذلک من أجل بلوغ أهداف دنیویّة معیّنة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ولکن، لو قام شخص بإنکار الدین من دون سوء نیّة، بل بسبب الشبهات العلمیّة فقط، فهو معذور أمام الباری عزّ وجلّ، ولن یُبتلی بالعذاب الأُخرویّ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إن لم یوافق شخص ما علی مسألة من مسائل الدین</w:t>
      </w:r>
    </w:p>
    <w:p>
      <w:pPr>
        <w:pStyle w:val="BookText"/>
        <w:rPr/>
      </w:pPr>
      <w:r>
        <w:rPr>
          <w:rFonts w:ascii="IRNazanin" w:hAnsi="IRNazanin" w:eastAsia="IRNazanin"/>
          <w:color w:val="111111"/>
          <w:sz w:val="28"/>
          <w:sz w:val="28"/>
          <w:szCs w:val="28"/>
          <w:rtl w:val="true"/>
          <w:lang w:bidi="fa-IR"/>
        </w:rPr>
        <w:t>جهلاً بها، أو أقدم علی إنکار أمر غیر ضروریّ، أو لم یکن ملتفتاً إلی لوازم کلامه، التی تجرّ إلی إنکار القرآن وکلام المعصومین علیهم السلام، لکنّه بعد العلم والالتفات، لم یقبل بهذه اللوازم، فهکذا شخص لا یُعدّ مُرتدّاً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ویتّضح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وبالنظر إلی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الالتزام بلوازم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لا یشمل من ابتُلیَ بالشکّ والتردّد فی معتقداته الدینیّة؛ وعلی هذا الأساس، فالمرتدّ هو فقط من قصَد إنکارَ الدین أو إحدی ضروریّاته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تفاصیلَ کثیرةً ودقیقةً فی موضوع الارتداد، فلا بدّ من أخذها بالحُسبان، منها أنّه یجب العلم بأنّ هذا الحکم إجراءٌ رادعٌ، مقابل مؤامرات الأعداء الرامیة إلی قلب النظام الإسلامیّ، أو إضعاف الدین الإسلامیّ، لا أنّه حکمٌ یُراد منه منع دراسة ومناقشة العقائد الإسلامیّة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وفی هذا الإطار، نُشدّد علی أنّ الدین الإسلامیّ المقدّس أکثر الأدیان تأکیداً علی التعقّل والتفکّر، والإیمان المسند إلی العلم والبصیرة؛ فعارَض التقلید الأعمی، ونهی عنه، وحارب العقائد الخرافیّة والبِدَع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من له أدنی معرفة وإلمام بالمعارف الإسلامیّة الغنیّة، لا یتوهّم بأنّ الإسلام إنّما وضّع حکم الارتداد لمناهضة التقدّم العلمیّ والانفتاح الفکریّ؛ لأنّ إحدی مفاخر الدین الإسلامیّ دعوته إلی تحصیل العلم، والبحث عن الحقیقة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الکریم، وفی سیاق إماطة اللثام عن المخاطر التی تهدّد الإسلام، فضح بعض الطوائف من أهل الکتاب، التی تضمر الشرّ للإسلام، مبیّناً الحکمة والفلسفة من حکم الإرتداد،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مِن أَهلِ الکِتابِ آمِنُوا بِالَّذِی أُنزِلَ عَلَی الَّذِینَ آمَنُوا وَجهَ النَّهارِ وَ اکفُرُوا آخِرَهُ لَعَلَّهُم یَرجِعُونَ</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فهؤلاء کانوا یرومون من الإیمان أوّل النهار والکفر آخره، زعزعة إیمان المؤمنین، والتشکیک بصواب الدین الإسلامیّ، وصحّة التعالیم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 فی ذیل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بِالَّذِی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أن یُظهِر عدّة منهم الإیمان بالقرآن، ویلحقوا بجماعة المؤمنین، ثمّ یرتدّوا فی آخر النهار، بإظهار أنّهم إنّما آمنوا أوّل النهار لما کاد یلوح لهم من إمارات الصدق والحقّ، من ظاهر الدعوة الإسلامیة؛ وإنّما ارتدّوا آخر النهار لما تبیّن لهم من شواهد البطلان، وعدم انطباق ما عندهم من بشارات النبوّة، وعلائم الحقّانیّة علی النبیّ صلی الله علیه و آله؛ فیکون ذلک مکیدةٌ یُکاد بها المؤمنون، فیرتابون فی دینهم، ویهنون فی عزیمتهم؛ فینکسر بذلک سورهم، وتبطل أحدوثتّهم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ومن خلال التدبّر فی الشروط التی وضعها الإسلام لثبوت الارتداد، یتبیّن بکلّ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هدف الإسلام من وراء وضعِ هذه العقوبة الصارمة علی المرتدّ، هو منع إیجاد فتنة بین المسلمین، والاستهزاء بالإسلام والعقائد الدینیّة، بالإضافة إلی صیانة أهمّ القِیَم الإلهیّة والإنسانیّة، یعنی الإیمان والعقائد الإسلامیّة الصحیحة؛ لیتسنّی له بذلک، التأکید علی لزوم کون الإیمان ناشئاً عن وعیٍ وتدبّر، لا عن تقلیدِ الآباء، فضلاً عن قطع دابر الفتنة، وإغلاق الطریق بوجه مؤامرات الأعداء، الرامیة إلی إضعاف العقائد الإسلامیّة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أشرنا سابقاً، إن اقتصر ارتداد المسلم علی عقیدته الداخلیّة، لا تجری فی حقّه العقوبة وباقی الأحکام الفقهیّة، الواردة فی حقّ المرتدّ، وإن حرم نفسه من الکمال الأُخرویّ المناسب له، أمّا لو أفصح هذا الشخص عن عقیدته،</w:t>
      </w:r>
    </w:p>
    <w:p>
      <w:pPr>
        <w:pStyle w:val="BookText"/>
        <w:rPr/>
      </w:pPr>
      <w:r>
        <w:rPr>
          <w:rFonts w:ascii="IRNazanin" w:hAnsi="IRNazanin" w:eastAsia="IRNazanin"/>
          <w:color w:val="111111"/>
          <w:sz w:val="28"/>
          <w:sz w:val="28"/>
          <w:szCs w:val="28"/>
          <w:rtl w:val="true"/>
          <w:lang w:bidi="fa-IR"/>
        </w:rPr>
        <w:t>وسرَت أفکار الردّة التی یحملها فی المجتمع، فبما أنّه عملٌ خارجیٌّ، تترتّب علیه نتائج وتبِعات حقوقیّة وفقهیّة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لو أدّی الإفصاح عن تلک العقیدة، إلی إشاعة الظنون والأوهام غیر الصحیحة فی المجتمع الإسلامیّ، تبادر الحکومة والمجتمع الإسلامیّ نفسه، إلی منع انتشار العقائد المضلّة، وتُقیّد هذا الضرب من الحریّة، وهذه القضیّة أمرٌ معقول ومنطقیّ تماماً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ومن هنا، کما أنّ الأفراد والمجتمعات والحکومات مکلّفة باتّخاذ التدابیر الکفیلة بمنع انتشار الأوبئة والأمراض، لا بدّ من اتّخاذ الإجراءات اللازمة بشأن الحدّ من شیوع الأمراض النفسیّة والمعنویّة؛ لأنّ سلامة الإنسان وسعادته الدنیویّة والأخرویّة، الموقوفة علی اعتناق العقائد الصحیحة، لیست بأقلّ أهمیّة من السلامة البدنیّة والمادیّة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یخامرنا الشکّ فی معاقبة السارق، أو بائع المواد المخدّرة، أو الأدویة المضرّة، لا ینبغی التردّد أیضاً فی معاقبة سارق العقائد الحقّة، وناشر الأفکار المضلّة والفتّاکة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نجد أنّ الدین الإسلامیّ المقدّس، الذی یری العقیدة الصحیحة والإیمان الصحیح من أهمّ القِیَم العُلیا، أکثر حرصاً من غیره علی مراقبة سلامة العقائد الإلهیّة لدی الأفراد؛ ولهذا السبب، لا یُسمح بحریّة الإفصاح عن العقیدة، والدعوة والتبلیغ لها، إلاّ إذا کان ذلک ضامناً للسعادة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والسلامة الدنیویّة والأُخرویّة، المادیّة والمعنویّة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ولم یکن مثاراً لتهدید المجتمع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أخری، نؤکّد علی نقطة هامّة،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نعتقد بأنّ مبانی الإسلام وأُسُسه مطابقة لحقائق العالم، وکلّ مَن بحث عنها بالطریقة الصحیحة</w:t>
      </w:r>
      <w:bookmarkStart w:id="77" w:name="pg5457_39095"/>
    </w:p>
    <w:p>
      <w:pPr>
        <w:pStyle w:val="BookText"/>
        <w:rPr/>
      </w:pPr>
      <w:bookmarkEnd w:id="77"/>
      <w:r>
        <w:rPr>
          <w:rFonts w:ascii="IRNazanin" w:hAnsi="IRNazanin" w:eastAsia="IRNazanin"/>
          <w:color w:val="111111"/>
          <w:sz w:val="28"/>
          <w:sz w:val="28"/>
          <w:szCs w:val="28"/>
          <w:rtl w:val="true"/>
          <w:lang w:bidi="fa-IR"/>
        </w:rPr>
        <w:t xml:space="preserve">والمنطقیّة،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بصوابها وإلهیّتها، لکن، لو عمَد شخصٌ إلی إنکار ضرورةٍ من ضروریّات الدین، وبالتالی إنکار أصلِ الدین، أو صحّته وصوابه، نتیجةً للشُبُهات العلمیّة، فإنّه یُعدّ مرتدّاً، وإن کان معذوراً أمام الله تعالی، ولا یَطاله العذاب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فمنظومة الفکر الإسلامیّ تُتیح للإنسان التحقیق والبحث والتساؤل، ولکن، إذا أقدَم إنسانٌ علی إشاعة الأفکار الهدّامة، المخالفة للمعارف الإسلامیّة القطعیّة، والمتسالم علیها، والتبلیغ لها فی الأوساط الإسلامیّة، فإنّه یُمنع من الدسّ والهدم فی المجتمع الإسلامیّ</w:t>
      </w:r>
      <w:r>
        <w:rPr>
          <w:rFonts w:eastAsia="IRNazanin" w:cs="IRNazanin"/>
          <w:color w:val="111111"/>
          <w:sz w:val="28"/>
          <w:szCs w:val="28"/>
          <w:rtl w:val="true"/>
          <w:lang w:bidi="fa-IR"/>
        </w:rPr>
        <w:t>.</w:t>
      </w:r>
    </w:p>
    <w:p>
      <w:pPr>
        <w:pStyle w:val="Heading3"/>
        <w:numPr>
          <w:ilvl w:val="2"/>
          <w:numId w:val="1"/>
        </w:numPr>
        <w:rPr/>
      </w:pPr>
      <w:bookmarkStart w:id="78" w:name="__RefHeading___Toc1994056_581953129"/>
      <w:bookmarkStart w:id="79" w:name="_Toc30"/>
      <w:bookmarkEnd w:id="78"/>
      <w:r>
        <w:rPr>
          <w:rtl w:val="true"/>
        </w:rPr>
        <w:t>مصادر للمطالعة</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ارتداد وآزادی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 والحریّة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العام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صرامی، سیف الله، احکام مرتد از دیدگاه اسلام وحقوق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المرتدّ بنظر الإسلام وحقوق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نظریه حقوقی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الحقوقیّة فی الإسلام</w:t>
      </w:r>
      <w:r>
        <w:rPr>
          <w:rFonts w:eastAsia="IRNazanin" w:cs="IRNazanin"/>
          <w:color w:val="111111"/>
          <w:sz w:val="28"/>
          <w:szCs w:val="28"/>
          <w:rtl w:val="true"/>
          <w:lang w:bidi="fa-IR"/>
        </w:rPr>
        <w:t>).</w:t>
      </w:r>
    </w:p>
    <w:p>
      <w:pPr>
        <w:pStyle w:val="Heading3"/>
        <w:numPr>
          <w:ilvl w:val="2"/>
          <w:numId w:val="1"/>
        </w:numPr>
        <w:rPr/>
      </w:pPr>
      <w:bookmarkStart w:id="80" w:name="__RefHeading___Toc1994058_581953129"/>
      <w:bookmarkStart w:id="81" w:name="_Toc31"/>
      <w:bookmarkEnd w:id="80"/>
      <w:r>
        <w:rPr>
          <w:rtl w:val="true"/>
        </w:rPr>
        <w:t>الحدیث الختامیّ</w:t>
      </w:r>
      <w:bookmarkEnd w:id="81"/>
    </w:p>
    <w:p>
      <w:pPr>
        <w:pStyle w:val="BookText"/>
        <w:rPr/>
      </w:pP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بِکَ أَن نَذهَبَ عَن قَولِکَ، أَو نُفتَتَنَ عَن دِینِکَ، أَو تَتَابَعَ بِنَا أَهوَاؤُنَا دُونَ الهُدَی الَّذِی جَاءَ مِن عِندِکَ</w:t>
      </w:r>
      <w:r>
        <w:rPr>
          <w:rFonts w:eastAsia="Amiri" w:cs="Amiri" w:ascii="Amiri" w:hAnsi="Amiri"/>
          <w:color w:val="111111"/>
          <w:sz w:val="28"/>
          <w:szCs w:val="28"/>
          <w:rtl w:val="true"/>
          <w:lang w:bidi="ar-SA"/>
        </w:rPr>
        <w:t>».</w:t>
      </w:r>
      <w:r>
        <w:rPr>
          <w:rStyle w:val="FootnoteAnchor"/>
          <w:rtl w:val="true"/>
        </w:rPr>
        <w:footnoteReference w:id="41"/>
      </w:r>
      <w:bookmarkStart w:id="82" w:name="pg5457_39097"/>
    </w:p>
    <w:p>
      <w:pPr>
        <w:pStyle w:val="Heading2"/>
        <w:numPr>
          <w:ilvl w:val="1"/>
          <w:numId w:val="1"/>
        </w:numPr>
        <w:rPr/>
      </w:pPr>
      <w:bookmarkStart w:id="83" w:name="__RefHeading___Toc1994060_581953129"/>
      <w:bookmarkStart w:id="84" w:name="_Toc32"/>
      <w:bookmarkEnd w:id="82"/>
      <w:bookmarkEnd w:id="83"/>
      <w:r>
        <w:rPr>
          <w:rtl w:val="true"/>
        </w:rPr>
        <w:t>علّة الاختلاف بین الناس</w:t>
      </w:r>
      <w:bookmarkEnd w:id="84"/>
    </w:p>
    <w:p>
      <w:pPr>
        <w:pStyle w:val="Heading3"/>
        <w:numPr>
          <w:ilvl w:val="2"/>
          <w:numId w:val="1"/>
        </w:numPr>
        <w:rPr/>
      </w:pPr>
      <w:bookmarkStart w:id="85" w:name="__RefHeading___Toc1994062_581953129"/>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فی اختلاف الناس عن بعضهم البعض، وأیّ النظریّات هی المقبولة فی هذا المجال؟</w:t>
      </w:r>
    </w:p>
    <w:p>
      <w:pPr>
        <w:pStyle w:val="Heading3"/>
        <w:numPr>
          <w:ilvl w:val="2"/>
          <w:numId w:val="1"/>
        </w:numPr>
        <w:rPr/>
      </w:pPr>
      <w:bookmarkStart w:id="87" w:name="__RefHeading___Toc1994064_581953129"/>
      <w:bookmarkStart w:id="88" w:name="_Toc34"/>
      <w:bookmarkEnd w:id="87"/>
      <w:r>
        <w:rPr>
          <w:rtl w:val="true"/>
        </w:rPr>
        <w:t>تمهید</w:t>
      </w:r>
      <w:bookmarkEnd w:id="88"/>
    </w:p>
    <w:p>
      <w:pPr>
        <w:pStyle w:val="BookText"/>
        <w:rPr/>
      </w:pPr>
      <w:r>
        <w:rPr>
          <w:rFonts w:ascii="IRNazanin" w:hAnsi="IRNazanin" w:eastAsia="IRNazanin"/>
          <w:color w:val="111111"/>
          <w:sz w:val="28"/>
          <w:sz w:val="28"/>
          <w:szCs w:val="28"/>
          <w:rtl w:val="true"/>
          <w:lang w:bidi="fa-IR"/>
        </w:rPr>
        <w:t>من جملة الحقائق الواضحة الموجودة بین أبناء البشر، وجودُ اختلافات طائفیّة، وطبَقیّة، وعِرقیّة، ولُغویّة، وجنسیّة، وعقیدیّة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 هو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منشأ کلّ هذه الاختلافات؟ هل مردّها إلی أسباب مادیّة،</w:t>
      </w:r>
      <w:r>
        <w:rPr>
          <w:rStyle w:val="FootnoteAnchor"/>
          <w:rtl w:val="true"/>
        </w:rPr>
        <w:footnoteReference w:id="42"/>
      </w:r>
      <w:r>
        <w:rPr>
          <w:rFonts w:ascii="IRNazanin" w:hAnsi="IRNazanin" w:eastAsia="IRNazanin"/>
          <w:color w:val="111111"/>
          <w:sz w:val="28"/>
          <w:sz w:val="28"/>
          <w:szCs w:val="28"/>
          <w:rtl w:val="true"/>
          <w:lang w:bidi="fa-IR"/>
        </w:rPr>
        <w:t>أم أنّها نابعة من نظام الخلقة؟ فإن کانت الأسباب ناشئة من عوامِل مادیّة، فلماذا لم یتمّ إلی الآن اتّخاذ إجراءات کفیلة بحلّ المشکلة؟ وإن کانت الاختلافات معلولة لنظام التکوین والخلقة، فما الحکمة التی جعلت</w:t>
      </w:r>
      <w:bookmarkStart w:id="89" w:name="pg5457_39098"/>
    </w:p>
    <w:p>
      <w:pPr>
        <w:pStyle w:val="BookText"/>
        <w:rPr/>
      </w:pPr>
      <w:bookmarkEnd w:id="89"/>
      <w:r>
        <w:rPr>
          <w:rFonts w:ascii="IRNazanin" w:hAnsi="IRNazanin" w:eastAsia="IRNazanin"/>
          <w:color w:val="111111"/>
          <w:sz w:val="28"/>
          <w:sz w:val="28"/>
          <w:szCs w:val="28"/>
          <w:rtl w:val="true"/>
          <w:lang w:bidi="fa-IR"/>
        </w:rPr>
        <w:t>البشَر یعجزون عن اکتشافها؟ وما ثمرة استمرار وجودها فی حیاتهم؟</w:t>
      </w:r>
    </w:p>
    <w:p>
      <w:pPr>
        <w:pStyle w:val="BookText"/>
        <w:rPr/>
      </w:pPr>
      <w:r>
        <w:rPr>
          <w:rFonts w:ascii="IRNazanin" w:hAnsi="IRNazanin" w:eastAsia="IRNazanin"/>
          <w:color w:val="111111"/>
          <w:sz w:val="28"/>
          <w:sz w:val="28"/>
          <w:szCs w:val="28"/>
          <w:rtl w:val="true"/>
          <w:lang w:bidi="fa-IR"/>
        </w:rPr>
        <w:t>وللردّ علی هذه التساؤلات وأمثالها،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ظاهر الأسئلة، أنّ مقصود السائل وجود اختلافات ظاهریّة، وهی تلک الاختلافات التی تبرز فی سیاق اختلافات طائفیّة، وعرقیّة، ولغویّة، وما شاکَل، وقد تؤدّی فی بعض الأحیان إلی استعلاء بعض الناس علی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ما ینفعنا فی هذا المجال الرجوع إلی القرآن الکریم، واستبیان موقفه من خلال استنطاق آیاته الکریمة</w:t>
      </w:r>
      <w:r>
        <w:rPr>
          <w:rFonts w:eastAsia="IRNazanin" w:cs="IRNazanin"/>
          <w:color w:val="111111"/>
          <w:sz w:val="28"/>
          <w:szCs w:val="28"/>
          <w:rtl w:val="true"/>
          <w:lang w:bidi="fa-IR"/>
        </w:rPr>
        <w:t>.</w:t>
      </w:r>
    </w:p>
    <w:p>
      <w:pPr>
        <w:pStyle w:val="Heading3"/>
        <w:numPr>
          <w:ilvl w:val="2"/>
          <w:numId w:val="1"/>
        </w:numPr>
        <w:rPr/>
      </w:pPr>
      <w:bookmarkStart w:id="90" w:name="__RefHeading___Toc1994066_581953129"/>
      <w:bookmarkStart w:id="91" w:name="_Toc35"/>
      <w:bookmarkEnd w:id="90"/>
      <w:r>
        <w:rPr>
          <w:rtl w:val="true"/>
        </w:rPr>
        <w:t>الاختلافات من وجهة نظر القرآن</w:t>
      </w:r>
      <w:bookmarkEnd w:id="91"/>
    </w:p>
    <w:p>
      <w:pPr>
        <w:pStyle w:val="BookText"/>
        <w:rPr/>
      </w:pPr>
      <w:r>
        <w:rPr>
          <w:rFonts w:ascii="Amiri" w:hAnsi="Amiri" w:eastAsia="Amiri" w:cs="Amiri"/>
          <w:color w:val="111111"/>
          <w:sz w:val="28"/>
          <w:sz w:val="28"/>
          <w:szCs w:val="28"/>
          <w:rtl w:val="true"/>
          <w:lang w:bidi="ar-SA"/>
        </w:rPr>
        <w:t>إنّ أشهر الآیات القرآنیّة التی تبیّن علّة بروز الاختلافات بین الناس، والتی تَنسِب هذا العمل إلی الذات الإلهیّة المقدّسة، 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وممّا ورد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شَعب، أعمُّ من القبیلة،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قبیلة؛ فلا النسب ولا الشعب والقبیلة موجبة لرفع الإنسان وکرامته</w:t>
      </w:r>
      <w:r>
        <w:rPr>
          <w:rFonts w:eastAsia="IRNazanin" w:cs="IRNazanin"/>
          <w:color w:val="111111"/>
          <w:sz w:val="28"/>
          <w:szCs w:val="28"/>
          <w:rtl w:val="true"/>
          <w:lang w:bidi="fa-IR"/>
        </w:rPr>
        <w:t>».</w:t>
      </w:r>
      <w:r>
        <w:rPr>
          <w:rStyle w:val="FootnoteAnchor"/>
          <w:rtl w:val="true"/>
        </w:rPr>
        <w:footnoteReference w:id="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الراغب الإصفهانیّ فی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القبیلة المتشعّبة من حیٍّ واحدٍ، وجمعه شُعوبٌ،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شُعُوباً وَقَبَائِلَ، والشِّعبُ من الوادی ما اجتمع منه طَرَفٌ وتفرّق طرف، فإذا نظرت إلیه من الجانب الذی تَفرّق، أخذت فی وهمک واحداً یَتفرّق، وإذا نظرت من جانب الاجتماع، أخذت فی</w:t>
      </w:r>
    </w:p>
    <w:p>
      <w:pPr>
        <w:pStyle w:val="BookText"/>
        <w:rPr/>
      </w:pPr>
      <w:r>
        <w:rPr>
          <w:rFonts w:ascii="Amiri" w:hAnsi="Amiri" w:eastAsia="Amiri" w:cs="Amiri"/>
          <w:color w:val="111111"/>
          <w:sz w:val="28"/>
          <w:sz w:val="28"/>
          <w:szCs w:val="28"/>
          <w:rtl w:val="true"/>
          <w:lang w:bidi="ar-SA"/>
        </w:rPr>
        <w:t>وهمک اثنین اجتمعا؛ فلذلک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شَعَبتَ، إذا جَمعتَ، وشَعَبتَ، إذا فَرّقتَ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واستعمال الشُّعوب فی الآیة الشریفة، إنّما جاء لهدَفٍ خاصّ، بیّنه المفسّرون فی ذیل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فقد کان العرب فی السابق یقسّمون المجتمعات السکّانیّة إلی أقسامٍ مختلفة، أشهر تلک التقسیمات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والقبیلة، والعِمارة أو العَمارة، والبَطن، والفخذ، والفصیلة؛ وشعوب العرب عبارة عن رَبیعَة ومُضَر؛ ولهذا، کتب بعضُ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 ما انشعب إلی قبائل، مثل بکر من رَبیعَة، وتَمیم من مُضَر؛ والقبیلة تَنشَعب إلی عَمائر، والعِمارة إلی بُطُون، والبَطن إلی أفخاذ، والفخذ إلی فصائل</w:t>
      </w:r>
      <w:r>
        <w:rPr>
          <w:rFonts w:eastAsia="IRNazanin" w:cs="IRNazanin"/>
          <w:color w:val="111111"/>
          <w:sz w:val="28"/>
          <w:szCs w:val="28"/>
          <w:rtl w:val="true"/>
          <w:lang w:bidi="fa-IR"/>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وأشهر دلالات هذه الآیة الشریفة بیان بدایة خلقة الإنسان؛ فهی فی الواقع ردٌّ علی نظریّة بعض المادّیّین، نحو داروین، الذی ذهَبَ إلی أنّ أساس الإنسان من القِرد، حیث مرّ بمراحل متعدّدة من التغیّر والتطوّر، حتّی وصل إلی شکله الفعلیّ؛ ولهذا، 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ومحصّل ما تبیّنه تلک الآیات علی تفرّقها، أنّ النوع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 نوع إنسانیّ، بل هذا النسل الموجود من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نوعاً مشتقّاً من نوعٍ آخر، حیوانیّ أو غیره، حوّلته إلیه الطبیعة المتحوّلة المتکاملة، بل هو نوع أبدعه الله تعالی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افترضه علماء الطبیعة، من تحوّل الأنواع، وأنّ الإنسان مشتقّ من القرد، وعلیه مدار البحث الطبیعیّ الیوم، أو متحوّل من السمک، علی ما احتمله بعض، فإنّما هی فرضیّة، والفرضیّة غیر مستندة إلی العلم الیقینیّ، وإنّما توضع لتصحیح التعلیلات والبیانات العلمیّة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ولا ریب فی أنّ الاختلافات الملحوظة فی ذات الإنسان، أو فی ظاهر المجتمع ترمی إلی أهداف معیّنة؛ ومن هنا، قال العلاّمة الطباطبائیّ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القرائح والاستعدادات فی اقتناء مزایا الحیاة فی أفراد الإنسان، ممّا ینتهی إلی ُأصول طبیعیّة تکوینیّة، لا مناص عن تأثیرها فی فعلیّة اختلاف درجات الحیاة، وعلی ذلک جری الحال فی المجتمعات الإنسانیّة، من أقدَم عُهودها إلی یومنا هذا فیما نعلم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وعلیه، فهذا النحو من الاختلاف والتفاوت لا یرفع من قیمة الإنسان، ولا یبعث علی الافتخار والاستعلاء، وفقاً لما ذکر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المفسّرون أنّ الآیة مسوقة لنفی التفاخر بالأنساب؛ وعلیه، فالمراد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خلقناکم من أب وأمّ، تشترکون جمیعاً فیهما، من غیر فرق بین الأبیض والأسود، والعربیّ والأعجمیّ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وقال مُفسّرٌ آخر، فی ذیل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محلّ البحث تخاطب جمیع الناس، وتُبیّن أهمّ أصل یضمن النَّظم والثبات، وتمیّز المیزان الواقعیّ للقِیَم الإنسانیة عن القِیَم الکاذبة، والمغریات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خَلَقناکُم مِن ذَکَرٍ وَ أُنثی هو أصل الخلقة، وعودة أنساب النّاس إلی آدم وحوّاء؛ فطالما کان الجمیع من أصل واحد، فلا ینبغی أن تفتخر قبیلة علی أخری من حیث النسَب، وإذا کان الله سبحانه قد خلَق کلّ قبیلةٍ، وأولاها خصائصَ ووظائفَ معیّنة، فإنّما ذلک لحفظ نَظم حیاة الناس الاجتماعیّة؛ لأنّ هذه الاختلافات مَدعاة لمعرفةِ الناس</w:t>
      </w:r>
      <w:r>
        <w:rPr>
          <w:rFonts w:eastAsia="IRNazanin" w:cs="IRNazanin"/>
          <w:color w:val="111111"/>
          <w:sz w:val="28"/>
          <w:szCs w:val="28"/>
          <w:rtl w:val="true"/>
          <w:lang w:bidi="fa-IR"/>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وراء لحاظ الاختلاف فی البشریّة؟ وفی الجواب،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نفسه أجاب بشکلٍ واضح وشفّاف</w:t>
      </w:r>
      <w:bookmarkStart w:id="92" w:name="pg5457_39101"/>
    </w:p>
    <w:p>
      <w:pPr>
        <w:pStyle w:val="BookText"/>
        <w:rPr/>
      </w:pPr>
      <w:bookmarkEnd w:id="92"/>
      <w:r>
        <w:rPr>
          <w:rFonts w:ascii="IRNazanin" w:hAnsi="IRNazanin" w:eastAsia="IRNazanin"/>
          <w:color w:val="111111"/>
          <w:sz w:val="28"/>
          <w:sz w:val="28"/>
          <w:szCs w:val="28"/>
          <w:rtl w:val="true"/>
          <w:lang w:bidi="fa-IR"/>
        </w:rPr>
        <w:t>عن هذا السؤال، وبیّن السبب فی الاختلاف،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لِتَعارَفُوا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لتفاخروا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قال المفسّر الکبیر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جعلناکم کذلک لتعارفوا، فیَعرِف بعضُکم بعضاً بنَسَبه وأبیه وقومه؛ ولولا ذلک لفسدت المعاملات، وخربت الدنیا، ولما أمکن نقل حدیث</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عکرمة، عن ابن عبّاس،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أنتم من رجلٍ وامرأة، کجمام الصّاع، لیس لأحدٍ علی أحدٍ فضلٌ، إلاّ بالتقوی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وهذا هو عین ما فَهِمَه عالمٌ آخر من الآیة الکریمة، فقال بکلِّ صراحة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فُرض ارتفاع المعرفة من بین أفراد المجتمع، انفصم عقد الاجتماع، وبادت الإنسانیّة؛ فهذا هو الغرض من جعل الشعوب والقبائل، لا أن تتفاخروا بالأنساب، وتتباهوا بالآباء والأمّهات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وهکذا، قال فقیهٌ آخر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أنّ کلُّ إنسانٍ یرغب بفطرته أن یکون ذا قیمة وافتخار؛ ولذلک فهو یسعی بجمیع وجوده لکسب القِیَم، إلاّ أنّ معرفة مِعیار القِیَم یختلف باختلاف الثقافات تماماً، وربّما أخذت القیم الکاذبة مکاناً بارزاً، ولم تُبقِ للقِیَم الحقّة مکاناً فی قاموس الثقافة للفرد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3" w:name="__RefHeading___Toc1994068_581953129"/>
      <w:bookmarkStart w:id="94" w:name="_Toc36"/>
      <w:bookmarkEnd w:id="93"/>
      <w:r>
        <w:rPr>
          <w:rtl w:val="true"/>
        </w:rPr>
        <w:t>الأسباب الأُخری للاختلافات البشریّة</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یحاول البعض أن یعزو الأسباب الحقیقیّة للاختلافات بین البشَر إلی غیر ما ذُکِر، ویسعی لإثبات أنّها ناشئة من الجینات والهندَسة الوراثیّة والبیئة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طرَح هذه النظریّة فی علم الإجرام سیزار لومبروزو، الطبیب الإیطالیّ المعروف؛ حیث قام بدراسات مستفیضة علی جماجم المجرمین، وأسّس لنظریّته علی ذلک</w:t>
      </w:r>
    </w:p>
    <w:p>
      <w:pPr>
        <w:pStyle w:val="BookText"/>
        <w:rPr/>
      </w:pPr>
      <w:r>
        <w:rPr>
          <w:rFonts w:ascii="IRNazanin" w:hAnsi="IRNazanin" w:eastAsia="IRNazanin"/>
          <w:color w:val="111111"/>
          <w:sz w:val="28"/>
          <w:sz w:val="28"/>
          <w:szCs w:val="28"/>
          <w:rtl w:val="true"/>
          <w:lang w:bidi="fa-IR"/>
        </w:rPr>
        <w:t>الأساس، کما فتح بحثاً حول الإنسان المجرم بالفطرة، والجنوح بالفطرة،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یحصل علی جین الجریمة بالإرث؛ وعلیه فالمجرمون هم الأشخاص المصابون بالاختلال العقلیّ، ومن ثمّ یبدأون بالارتداد والتراجع علی إثر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هذا العالم إلی القول بانتقال هذا الجین من القرد إلی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 نظریّته بأقوال کلیّة، ثمّ دخل فی تفاصیل کثیرة، وطوّر هذه النظریّة مرّات عِدّة، مؤکّداً علی أنّ جمیع الصفات البدنیّة لدی الإنسان متأثّرة بهذه الجینات، نحو الطول، الشکل، الأنف، وما إلی ذلک، وقد تمّت الموافقة علی هذا القول آنذاک، ولکن، هل یمکن لصفاتنا الأخلاقیّة المکتسبة أن تکون ذات مَنشأ وراثیّ؟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أمّا فی الوقت الراهن، فلا أحد یقبل بهذا القول، فبقی فی إطار النظریّة وفی حدّ السماع فقط؛ لأنّ لازم القبول بهذه الفرضیّات، التشکیک باختیار الإنسان؛ إذ لو کان العامل الوراثیّ والجینات هی الباعثة علی ارتکاب الجریمة، أو الموجِبَة لاختلاف الناس فی آرائهم، فأین یکون بحث اختیار الإنسان؟ فلو کان الباعث للإنسان علی الجریمة، أو الشذوذ الخلقیّ هو جینٌ خاصّ، لا یبقی وجهٌ منطقیّ لمحاکمته ومعاقبته؛ لأنّ الإنسان المجبور معذور، ومع ذلک، فما الفائدة من تشکیل کلّ هذه المحاکم والتنظیمات القضائیّة فی العالم؟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فلا الجین ولا الوراثة هی السبب الرئیس فی الاختلافات البشریّة، والنظریّة التی طرحها لومبروزو باتت الیوم أحد الأقوال المهجورة فی هذا المجال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نعم، البیئة والمناخ تؤثّر فی</w:t>
      </w:r>
      <w:bookmarkStart w:id="95" w:name="pg5457_39103"/>
    </w:p>
    <w:p>
      <w:pPr>
        <w:pStyle w:val="BookText"/>
        <w:rPr/>
      </w:pPr>
      <w:bookmarkEnd w:id="95"/>
      <w:r>
        <w:rPr>
          <w:rFonts w:ascii="IRNazanin" w:hAnsi="IRNazanin" w:eastAsia="IRNazanin"/>
          <w:color w:val="111111"/>
          <w:sz w:val="28"/>
          <w:sz w:val="28"/>
          <w:szCs w:val="28"/>
          <w:rtl w:val="true"/>
          <w:lang w:bidi="fa-IR"/>
        </w:rPr>
        <w:t>سلوکیّات الإنسان، فمردّ شطر من جمال البشَر إلی السکن فی بیئة مناسبة، کما أنّ طبیعة التغذیة ومراعاة الأمور الصحیّة، دخیلةٌ فی هذا المورد أیضاً، حیث تبعث الطراوة والحیویّة والنشاط فی روح الإنسان، وکذلک الحال بالنسبة إلی التواصل مع الأرحام، وإقامة ارتباط روحیّ عمیق معهم، له دور هامّ فی الارتقاء بالسلوک الإنسانیّ، لکنّ هذه الأُمور لا توجب إحداث الاختلافات المذکورة فی السؤال، ولا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 تتسبّب فی نشوب نزاع دائم بین الناس، وإیجاد اختلافات متجذّرة وعمیقة بینهم</w:t>
      </w:r>
      <w:r>
        <w:rPr>
          <w:rFonts w:eastAsia="IRNazanin" w:cs="IRNazanin"/>
          <w:color w:val="111111"/>
          <w:sz w:val="28"/>
          <w:szCs w:val="28"/>
          <w:rtl w:val="true"/>
          <w:lang w:bidi="fa-IR"/>
        </w:rPr>
        <w:t>.</w:t>
      </w:r>
    </w:p>
    <w:p>
      <w:pPr>
        <w:pStyle w:val="Heading3"/>
        <w:numPr>
          <w:ilvl w:val="2"/>
          <w:numId w:val="1"/>
        </w:numPr>
        <w:rPr/>
      </w:pPr>
      <w:bookmarkStart w:id="96" w:name="__RefHeading___Toc1994070_581953129"/>
      <w:bookmarkStart w:id="97" w:name="_Toc37"/>
      <w:bookmarkEnd w:id="96"/>
      <w:r>
        <w:rPr>
          <w:rtl w:val="true"/>
        </w:rPr>
        <w:t>خلاصة واستنتاج</w:t>
      </w:r>
      <w:bookmarkEnd w:id="97"/>
    </w:p>
    <w:p>
      <w:pPr>
        <w:pStyle w:val="BookText"/>
        <w:rPr/>
      </w:pPr>
      <w:r>
        <w:rPr>
          <w:rFonts w:ascii="IRNazanin" w:hAnsi="IRNazanin" w:eastAsia="IRNazanin"/>
          <w:color w:val="111111"/>
          <w:sz w:val="28"/>
          <w:sz w:val="28"/>
          <w:szCs w:val="28"/>
          <w:rtl w:val="true"/>
          <w:lang w:bidi="fa-IR"/>
        </w:rPr>
        <w:t>برغم أنّ الاختلافات الموجودة بین المجتمعات البشَریّة، أو بین أفراد الناس أمر طبیعیّ، إلاّ أنّها لیست ناشئة من عوامل طبیعیّة، بل عمدة أسباب اختلاف البشّریّة، ناشئة من عوامل عقائدیّة وعملیّة، بالإضافة تقاطع مصالحهم وأذواقهم المتنوّعة، ولکن، لیس لأیّ واحد من هذه الاختلافات أدلّة موجّهة؛ وعلیه، فلا یُمکن العثور علی قولٍ صائبٍ فی هذا المجال؛ بَیدَ أنّ ما ذکره الباری عزّ وجلّ فی القرآن الکریم فی غایة المنطقیّة والرصانة العلمیّة، ویمکن توجیهه لیتّسق مع الواقع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الله تعالی هو السبب الرئیس والعلّة الأساسیّة لوجود هذه الاختلافات الظاهریّة؛ حیث إنّ وجود هذه الاختلافات وفقاً لدواعٍ خاصّة أمر ضروریّ، أشار له القرآن الکریم بصورة جلیّة وبعیدة عن الغموض؛ بمعنی أنّ الهدف الحقیقیّ للاختلاف التعارف بین الناس؛ لتنتظم العلاقات الإنسانیّة، وتظهر فی صیغة هادفة، وللحدّ من وقوع مشاکل وأزَمَات فی الحیاة؛ لأنّ الإنسان خُلِقَ بطریقةٍ لا یمکنه معها الاستقلال، بل هو محتاج إلی غیره فی جمیع الأمور</w:t>
      </w:r>
      <w:r>
        <w:rPr>
          <w:rFonts w:eastAsia="IRNazanin" w:cs="IRNazanin"/>
          <w:color w:val="111111"/>
          <w:sz w:val="28"/>
          <w:szCs w:val="28"/>
          <w:rtl w:val="true"/>
          <w:lang w:bidi="fa-IR"/>
        </w:rPr>
        <w:t>.</w:t>
      </w:r>
      <w:bookmarkStart w:id="98" w:name="pg5457_39104"/>
    </w:p>
    <w:p>
      <w:pPr>
        <w:pStyle w:val="BookText"/>
        <w:rPr/>
      </w:pPr>
      <w:bookmarkEnd w:id="98"/>
      <w:r>
        <w:rPr>
          <w:rFonts w:ascii="IRNazanin" w:hAnsi="IRNazanin" w:eastAsia="IRNazanin"/>
          <w:color w:val="111111"/>
          <w:sz w:val="28"/>
          <w:sz w:val="28"/>
          <w:szCs w:val="28"/>
          <w:rtl w:val="true"/>
          <w:lang w:bidi="fa-IR"/>
        </w:rPr>
        <w:t>ولو تصوّرنا حاجة الإنسان الشدیدة إلی بنی جنسه، إلی جانب افتراض تساوی أفراد البشر فی کلّ شیء، لأدرکنا الإشکالیّات الکبیرة والمُعضِلات العظیمة، التی ستنجم عن ذلک، التی قد تصل إلی حدّ اختلال نظام 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تفادی الوقوع فی مثل هذه المشکلة، اتُّخذت تدابیر إلهیّة حکیمة لتقیَ المجتمعات البشریّة من المهالک، ولتسهّل علیهم إقامة العلاقات الإنسانیّة الضروریّة واللازمة</w:t>
      </w:r>
      <w:r>
        <w:rPr>
          <w:rFonts w:eastAsia="IRNazanin" w:cs="IRNazanin"/>
          <w:color w:val="111111"/>
          <w:sz w:val="28"/>
          <w:szCs w:val="28"/>
          <w:rtl w:val="true"/>
          <w:lang w:bidi="fa-IR"/>
        </w:rPr>
        <w:t>.</w:t>
      </w:r>
    </w:p>
    <w:p>
      <w:pPr>
        <w:pStyle w:val="Heading3"/>
        <w:numPr>
          <w:ilvl w:val="2"/>
          <w:numId w:val="1"/>
        </w:numPr>
        <w:rPr/>
      </w:pPr>
      <w:bookmarkStart w:id="99" w:name="__RefHeading___Toc1994072_581953129"/>
      <w:bookmarkStart w:id="100" w:name="_Toc38"/>
      <w:bookmarkEnd w:id="99"/>
      <w:r>
        <w:rPr>
          <w:rtl w:val="true"/>
        </w:rPr>
        <w:t>مصادر للمطالعة</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الحسینیّ الشیرازیّ، تبیین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أمیر أبو الفتوح الحسینیّ الجرجانیّ، آیات الأحکام،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حسین الطباطبائیّ،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الطبرسیّ، تفسیر مجمع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مکارم الشیرازیّ، الأمثل فی تفسیر کتاب الله المنزّل، 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کی نیا، روان شناسی جنائی علم النفس الجنائیّ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رشد،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 w:name="pg5457_39105"/>
    </w:p>
    <w:p>
      <w:pPr>
        <w:pStyle w:val="Heading3"/>
        <w:numPr>
          <w:ilvl w:val="2"/>
          <w:numId w:val="1"/>
        </w:numPr>
        <w:rPr/>
      </w:pPr>
      <w:bookmarkStart w:id="102" w:name="__RefHeading___Toc1994074_581953129"/>
      <w:bookmarkStart w:id="103" w:name="_Toc39"/>
      <w:bookmarkEnd w:id="101"/>
      <w:bookmarkEnd w:id="102"/>
      <w:r>
        <w:rPr>
          <w:rtl w:val="true"/>
        </w:rPr>
        <w:t>الحدیث الختامیّ</w:t>
      </w:r>
      <w:bookmarkEnd w:id="103"/>
    </w:p>
    <w:p>
      <w:pPr>
        <w:pStyle w:val="BookText"/>
        <w:rPr/>
      </w:pPr>
      <w:r>
        <w:rPr>
          <w:rFonts w:ascii="IRNazanin" w:hAnsi="IRNazanin" w:eastAsia="IRNazanin"/>
          <w:color w:val="111111"/>
          <w:sz w:val="28"/>
          <w:sz w:val="28"/>
          <w:szCs w:val="28"/>
          <w:rtl w:val="true"/>
          <w:lang w:bidi="fa-IR"/>
        </w:rPr>
        <w:t>عن أمیر المؤمنین علیه السلام، وقد ذُکِرَ عِندهُ اختلاف الناس، 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بَینَهُم مَبَادِیءُ طِینِهِم، وَذلِکَ أَنَّهُم کَانُوا فِلقَةً مِن سَبَخِ أَرضٍ وَعَذبِهَا، وَحَزنِ تُربَةٍ وَسَهلِهَا، فَهُم عَلَی حَسَبِ قُربِ أَرضِهِم یَتَقَارَبُونَ، وَعَلَی قَدرِ اختِلاَفِهَا یَتَفَاوَتُونَ، فَتَامُّ الرُّوَاءِ</w:t>
      </w:r>
      <w:r>
        <w:rPr>
          <w:rStyle w:val="FootnoteAnchor"/>
          <w:rtl w:val="true"/>
        </w:rPr>
        <w:footnoteReference w:id="57"/>
      </w:r>
      <w:r>
        <w:rPr>
          <w:rFonts w:ascii="Amiri" w:hAnsi="Amiri" w:eastAsia="Amiri" w:cs="Amiri"/>
          <w:color w:val="111111"/>
          <w:sz w:val="28"/>
          <w:sz w:val="28"/>
          <w:szCs w:val="28"/>
          <w:rtl w:val="true"/>
          <w:lang w:bidi="ar-SA"/>
        </w:rPr>
        <w:t>نَاقِصُ العَقلِ، وَمَادُّ القَامَةِ قَصِیرُ الهِمَّةِ، وَزَاکِی العَمَلِ قَبِیحُ المَنظَرِ، وَقَرِیبُ القَعرِ</w:t>
      </w:r>
      <w:r>
        <w:rPr>
          <w:rStyle w:val="FootnoteAnchor"/>
          <w:rtl w:val="true"/>
        </w:rPr>
        <w:footnoteReference w:id="58"/>
      </w:r>
      <w:r>
        <w:rPr>
          <w:rFonts w:ascii="Amiri" w:hAnsi="Amiri" w:eastAsia="Amiri" w:cs="Amiri"/>
          <w:color w:val="111111"/>
          <w:sz w:val="28"/>
          <w:sz w:val="28"/>
          <w:szCs w:val="28"/>
          <w:rtl w:val="true"/>
          <w:lang w:bidi="ar-SA"/>
        </w:rPr>
        <w:t>بَعِیدُ السَّبرِ، مَعرُوفُ الضَّرِیبَةِ</w:t>
      </w:r>
      <w:r>
        <w:rPr>
          <w:rStyle w:val="FootnoteAnchor"/>
          <w:rtl w:val="true"/>
        </w:rPr>
        <w:footnoteReference w:id="59"/>
      </w:r>
      <w:r>
        <w:rPr>
          <w:rFonts w:ascii="Amiri" w:hAnsi="Amiri" w:eastAsia="Amiri" w:cs="Amiri"/>
          <w:color w:val="111111"/>
          <w:sz w:val="28"/>
          <w:sz w:val="28"/>
          <w:szCs w:val="28"/>
          <w:rtl w:val="true"/>
          <w:lang w:bidi="ar-SA"/>
        </w:rPr>
        <w:t>مُنکَرُ الجَلِیبَةِ،</w:t>
      </w:r>
      <w:r>
        <w:rPr>
          <w:rStyle w:val="FootnoteAnchor"/>
          <w:rtl w:val="true"/>
        </w:rPr>
        <w:footnoteReference w:id="60"/>
      </w:r>
      <w:r>
        <w:rPr>
          <w:rFonts w:ascii="Amiri" w:hAnsi="Amiri" w:eastAsia="Amiri" w:cs="Amiri"/>
          <w:color w:val="111111"/>
          <w:sz w:val="28"/>
          <w:sz w:val="28"/>
          <w:szCs w:val="28"/>
          <w:rtl w:val="true"/>
          <w:lang w:bidi="ar-SA"/>
        </w:rPr>
        <w:t>وَتَائِهُ القَلبِ مُتَفَرِّقُ اللُّبِّ، وَطَلِیقُ اللِّسَانِ حدِیدُ الجَنَانِ</w:t>
      </w:r>
      <w:r>
        <w:rPr>
          <w:rFonts w:eastAsia="Amiri" w:cs="Amiri" w:ascii="Amiri" w:hAnsi="Amiri"/>
          <w:color w:val="111111"/>
          <w:sz w:val="28"/>
          <w:szCs w:val="28"/>
          <w:rtl w:val="true"/>
          <w:lang w:bidi="ar-SA"/>
        </w:rPr>
        <w:t>».</w:t>
      </w:r>
      <w:r>
        <w:rPr>
          <w:rStyle w:val="FootnoteAnchor"/>
          <w:rtl w:val="true"/>
        </w:rPr>
        <w:footnoteReference w:id="61"/>
      </w:r>
      <w:bookmarkStart w:id="104" w:name="pg5457_39107"/>
    </w:p>
    <w:p>
      <w:pPr>
        <w:pStyle w:val="Heading2"/>
        <w:numPr>
          <w:ilvl w:val="1"/>
          <w:numId w:val="1"/>
        </w:numPr>
        <w:rPr/>
      </w:pPr>
      <w:bookmarkStart w:id="105" w:name="__RefHeading___Toc1994076_581953129"/>
      <w:bookmarkStart w:id="106" w:name="_Toc40"/>
      <w:bookmarkEnd w:id="104"/>
      <w:bookmarkEnd w:id="105"/>
      <w:r>
        <w:rPr>
          <w:rtl w:val="true"/>
        </w:rPr>
        <w:t>علم الله بمستقبل الإنسان ومسألة الاختیار</w:t>
      </w:r>
      <w:bookmarkEnd w:id="106"/>
    </w:p>
    <w:p>
      <w:pPr>
        <w:pStyle w:val="Heading3"/>
        <w:numPr>
          <w:ilvl w:val="2"/>
          <w:numId w:val="1"/>
        </w:numPr>
        <w:rPr/>
      </w:pPr>
      <w:bookmarkStart w:id="107" w:name="__RefHeading___Toc1994078_581953129"/>
      <w:bookmarkStart w:id="108" w:name="_Toc41"/>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یعنی علم الله بالمستقبل، أنّنا نُعدم الاختیار، وأنّ مصیرنا خارج عن نطاق إرادتنا، وأنّه مکتوبٌ علینا منذ البدایة؟</w:t>
      </w:r>
    </w:p>
    <w:p>
      <w:p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هذا السؤال تحت إطار موضوع الجبر والاختیار، وقد أجاب المتکلّمون المسلمون عن هذه الشُبهة، خلال ردّهم علی شُبهة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دعا إلی طرح هذه الشبهة هنا، هو مضامین عدد من النصوص القرآنیّة والروائیّة، التی صوّرت الباری جلّ وعلا، بالموجود العالم بماضی الإنسان وحاضره ومستقبله، بل والمطّلع علی مختلف الحالات النفسیّة الخفیّة لأفراد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الاطّلاع والمعرفة بأحوال الإنسان أمرٌ أزَلیّ؛ بمعنی أنّه موجود قبل أن یتحقّق مفهوم الزمان، ویکتسب هذا المعنی الموجود فعلاً، وقبل تَکوّن العالَم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الآیات القرآنیّة الکثیرة جدّاً الدالّة علی هذا المعنی، یمکن الإشارة إلی الآیات التالیة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یَعلَمُ ما فِی السَّماواتِ وَ ما فِی الأَرضِ وَ أَنَّ اللّهَ بِکُلِّ شَیءٍ عَلِیمٌ</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فِی السَّماواتِ وَ فِی الأَرضِ یَعلَمُ سِرَّکُم وَ جَهرَکُم وَ یَعلَمُ ما تَکسِبُونَ</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ومن جهةٍ أُخری، یؤکّد الإسلام علی أنّ الإنسان موجودٌ مختارٌ، وذو إرادةٍ واختیار، وهو مَن یقرّر مصیره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الآیات القرآنیّة المبیّنة لاختیار الإنسان، یمکن أن نشیر إلی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ومن البدیهیّ أنّه لا معنی للتکلیف من دون اختیار؛ فقیام الدین الإسلامیّ بوضع تکالیف علی عاتق العباد، وجعلهم مسؤولین تجاه تلک التکالیف، یُشیر إلی أنّ الإسلام یعتبر الإنسان موجوداً ذا اختیار وإرادة؛ وإلاّ أصبَح العملُ المذکورُ لغواً وعدیم الفائدة، والله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وصَف نفسه بالحکیم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الأفعال اللغویّة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وضعَ هاتین القضیّتین جنباً إلی جنب یوحی بالتناقض بحسب الظاهر، ویمکن بیان ذلک علی شکل قضیّة ذات حدّین، أو قضیّتین مترابطتین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افتُرض صواب القضیّة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عِلمَ الله تعالی محیطٌ بکلّ شیء، حتّی المصیر النهائیّ للإنسان مُنذ 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من الحکم بعدم صحّة القضیّة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الإنسان هو مَن یُقرّر مصیره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صحّت القضیّة الثانیة؛ فالقضیّة الأولی باطلة بلا ریب؛ لأنّ الله تبارک وتعالی</w:t>
      </w:r>
      <w:bookmarkStart w:id="109" w:name="pg5457_39109"/>
    </w:p>
    <w:p>
      <w:pPr>
        <w:pStyle w:val="BookText"/>
        <w:rPr/>
      </w:pPr>
      <w:bookmarkEnd w:id="109"/>
      <w:r>
        <w:rPr>
          <w:rFonts w:ascii="IRNazanin" w:hAnsi="IRNazanin" w:eastAsia="IRNazanin"/>
          <w:color w:val="111111"/>
          <w:sz w:val="28"/>
          <w:sz w:val="28"/>
          <w:szCs w:val="28"/>
          <w:rtl w:val="true"/>
          <w:lang w:bidi="fa-IR"/>
        </w:rPr>
        <w:t>إن کان عالماً بکلّ شیء، فمن المقطوع به أنّه یعلم أیضاً بما یرتکبه الإنسان من أعمال فی المستقبل؛ وبالتالی، فهو علی درایة بکونه من أهل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الآخر الذی یعنیه صحّة القضیّة الأولی عَبَثیّة سَعی الإنسان، وعدم فائدة عمله فی الحیاة الدنیا؛ إذ الأعمال التی سیرتکبها معلومة منذ البدایة، ولیست لدیه القدرة علی تغییر هذا المصیر المحتوم؛ وذلک لأنّه إن أمکن تغییر هذا المصیر، أخلّ هذا الأمر بعلم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الطبیعیّة والمنطقیّة لهذا البیان هو الجَبر، مع العلم بأنّ مفهوم الجَبر وسَلب القُدرة مرفوضٌ فی الدین الإسلامیّ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لأجل إدراک واستیعاب هذا السؤال الفلسفیّ العمیق،</w:t>
      </w:r>
      <w:r>
        <w:rPr>
          <w:rStyle w:val="FootnoteAnchor"/>
          <w:rtl w:val="true"/>
        </w:rPr>
        <w:footnoteReference w:id="67"/>
      </w:r>
      <w:r>
        <w:rPr>
          <w:rFonts w:ascii="IRNazanin" w:hAnsi="IRNazanin" w:eastAsia="IRNazanin"/>
          <w:color w:val="111111"/>
          <w:sz w:val="28"/>
          <w:sz w:val="28"/>
          <w:szCs w:val="28"/>
          <w:rtl w:val="true"/>
          <w:lang w:bidi="fa-IR"/>
        </w:rPr>
        <w:t>یلزم تقدیم مقدّمة</w:t>
      </w:r>
      <w:r>
        <w:rPr>
          <w:rFonts w:eastAsia="IRNazanin" w:cs="IRNazanin"/>
          <w:color w:val="111111"/>
          <w:sz w:val="28"/>
          <w:szCs w:val="28"/>
          <w:rtl w:val="true"/>
          <w:lang w:bidi="fa-IR"/>
        </w:rPr>
        <w:t>:</w:t>
      </w:r>
    </w:p>
    <w:p>
      <w:pPr>
        <w:pStyle w:val="Heading3"/>
        <w:numPr>
          <w:ilvl w:val="2"/>
          <w:numId w:val="1"/>
        </w:numPr>
        <w:rPr/>
      </w:pPr>
      <w:bookmarkStart w:id="110" w:name="__RefHeading___Toc1994080_581953129"/>
      <w:bookmarkStart w:id="111" w:name="_Toc42"/>
      <w:bookmarkEnd w:id="110"/>
      <w:r>
        <w:rPr>
          <w:rtl w:val="true"/>
        </w:rPr>
        <w:t>النظریّات المختلفة فی قضیّة الجبر والاختیار</w:t>
      </w:r>
      <w:bookmarkEnd w:id="111"/>
    </w:p>
    <w:p>
      <w:pPr>
        <w:pStyle w:val="BookText"/>
        <w:rPr/>
      </w:pPr>
      <w:r>
        <w:rPr>
          <w:rFonts w:ascii="IRNazanin" w:hAnsi="IRNazanin" w:eastAsia="IRNazanin"/>
          <w:color w:val="111111"/>
          <w:sz w:val="28"/>
          <w:sz w:val="28"/>
          <w:szCs w:val="28"/>
          <w:rtl w:val="true"/>
          <w:lang w:bidi="fa-IR"/>
        </w:rPr>
        <w:t>هذا السؤال یُعتبر جزءاً من السؤال الشهیر فی الجبر والاختیار، أو القضاء والقدَر، الوارد فی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إطار الردّ علیه، انتهجت بعض الفِرَق الکلامیّة فی الإسلام، کالأشاعرة سبیل التفریط، فاستسلمت له، وأنکرت کون الإنسان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سلَکَت بعضُ الفرَق الأُخری کالمعتزلة طریق الإفراط؛ ولأجل إثبات الاختیار للإنسان، أنکَرَت تأثیر الإرادة الإلهیّة، ومسألة القضاء والقدَر الإلهیّ فی أعمال الإنسان، لکنّ بعضاً مِن متکلّمی الأشاعرة طرحوا نظریّةً معتدلة فی هذا المجال، أُطلِق علیها نظریّة الکسب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مدرسة أهل البیت علیهم السلام المتجلّیة فی المذهب الشیعیّ، الذی یستلهم تعالیمه من الأئمّة المعصومین علیهم السلام، فقد طرحت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لا جبر تامّ ولا اختیار کامل لدی الإنسان، بل الطریق الوسَط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w:t>
      </w:r>
    </w:p>
    <w:p>
      <w:pPr>
        <w:pStyle w:val="BookText"/>
        <w:rPr/>
      </w:pPr>
      <w:r>
        <w:rPr>
          <w:rFonts w:ascii="IRNazanin" w:hAnsi="IRNazanin" w:eastAsia="IRNazanin"/>
          <w:color w:val="111111"/>
          <w:sz w:val="28"/>
          <w:sz w:val="28"/>
          <w:szCs w:val="28"/>
          <w:rtl w:val="true"/>
          <w:lang w:bidi="fa-IR"/>
        </w:rPr>
        <w:t>تمکّن الإنسان من حلّ هذه الإشکالیّة القدیمة، یُجاب عن هذا السؤال بشکلٍ تلقائیّ، ومن دون الحاجة إلی إطالة الکلام فی هذا المضمار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وفی مقام الردّ علی هذا التساؤل، أُجیب بجوابین أساسیّین، نحاول فیما یلی تسلیط الضوء علیهما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عِلم الله بالنظام العِلّیّ والمعلولیّ</w:t>
      </w:r>
    </w:p>
    <w:p>
      <w:pPr>
        <w:pStyle w:val="BookText"/>
        <w:rPr/>
      </w:pPr>
      <w:r>
        <w:rPr>
          <w:rFonts w:ascii="IRNazanin" w:hAnsi="IRNazanin" w:eastAsia="IRNazanin"/>
          <w:color w:val="111111"/>
          <w:sz w:val="28"/>
          <w:sz w:val="28"/>
          <w:szCs w:val="28"/>
          <w:rtl w:val="true"/>
          <w:lang w:bidi="fa-IR"/>
        </w:rPr>
        <w:t>هذا الجواب یُفهم من کلمات عدد من الفلاسفة، کالشهید مطهری وغیره من الفلاسفة السابقین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اتّضاح هذا الجواب بشکل وافٍ، لا بدّ من عرض مقدّمة فی بضعة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الفلاسفة إلی أنّ أصل العلیّة أصل لا یمکن الخروج عنه، مهما اختلفت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الدنیا أم الآخرة، وفی عالم المادّة أم عالم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وتبدّلت الأوضاع؛ إذ لا بدّ أن یکون لکلّ ظاهرة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العِلیّة أصلٌ طُولیّ؛ بمعنی أنّ المعلول یقَع، بحسَب مرتبته الوجودیّة، بعد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أو واجب الوجود وفقاً لاصلاح الفلاسة، یقف علی رأس هذه السلسلة؛ فجمیع العلل مآلها فی نهایة المطاف إلی ذات الباری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الله سبحانه علی الإنسان أن یکون موجوداً مختاراًَ، بخلاف الموجودات الأخری؛ ومعنی کونه مختاراً، أنّه یمتلک العلم والإرادة، ولمّا تواجهه خیارات مختلفة فی موضوع معیّن، یستفید من عقله وعلمه لتحلیل تلک الخیارات، ومن ثمّ اختیار ما یراه الأنسَب والأفضل، وتجنّب ما یحتمل فیه الضرر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هذه المقدّمة، یکون جواب الفلاسفة علی السؤال المذکور</w:t>
      </w:r>
      <w:bookmarkStart w:id="112" w:name="pg5457_39111"/>
    </w:p>
    <w:p>
      <w:pPr>
        <w:pStyle w:val="BookText"/>
        <w:rPr/>
      </w:pPr>
      <w:bookmarkEnd w:id="112"/>
      <w:r>
        <w:rPr>
          <w:rFonts w:ascii="IRNazanin" w:hAnsi="IRNazanin" w:eastAsia="IRNazanin"/>
          <w:color w:val="111111"/>
          <w:sz w:val="28"/>
          <w:sz w:val="28"/>
          <w:szCs w:val="28"/>
          <w:rtl w:val="true"/>
          <w:lang w:bidi="fa-IR"/>
        </w:rPr>
        <w:t>فی بدایة البحث بالشکل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تعالی یختصّ به وبفعله، وفعله عبارة عن نظام العلّة والمعلول، وهو النظام الذی یقتضی أن تتحقّق أفعال الإنسان طبقاً لاختیاره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فالله تعالی لیس له علمٌ مُباشرٌ بأفعال الإنسان وخیاراته، بل هو عالم بالنظام الذی وضَعَه وخلَقه، الذی یُعتبر اختیار الإنسان أحدَ مکوّناته وأجزائه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فالإنسان هو مَن یُقرّر مصیره بنفسه، والباری عزّ وجلّ یعلم بمصیر الإنسان بهذا الشکل؛ أی یعلم بأنّ الإنسان یصنع مستقبله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ثمّة مصیر قد تمّ تعیینه مُسبقاً فی علم الله تعالی؛ لأنّ علم الله لا یتعلّق بالمعدوم، والأفعال التی سیقوم بها الإنسان فی المستقبل معدومة فی الأزَل؛ ذلک أنّ الجزء الأخیر من العلّة، وهو اختیار الإنسان، معدوم</w:t>
      </w:r>
      <w:r>
        <w:rPr>
          <w:rFonts w:eastAsia="IRNazanin" w:cs="IRNazanin"/>
          <w:color w:val="111111"/>
          <w:sz w:val="28"/>
          <w:szCs w:val="28"/>
          <w:rtl w:val="true"/>
          <w:lang w:bidi="fa-IR"/>
        </w:rPr>
        <w:t>.</w:t>
      </w:r>
    </w:p>
    <w:p>
      <w:pPr>
        <w:pStyle w:val="Heading3"/>
        <w:numPr>
          <w:ilvl w:val="2"/>
          <w:numId w:val="1"/>
        </w:numPr>
        <w:rPr/>
      </w:pPr>
      <w:bookmarkStart w:id="113" w:name="__RefHeading___Toc1994082_581953129"/>
      <w:bookmarkStart w:id="114" w:name="_Toc43"/>
      <w:bookmarkEnd w:id="113"/>
      <w:r>
        <w:rPr>
          <w:rtl w:val="true"/>
        </w:rPr>
        <w:t>نظریة الشهید المطهری رحمه الله</w:t>
      </w:r>
      <w:bookmarkEnd w:id="114"/>
    </w:p>
    <w:p>
      <w:pPr>
        <w:pStyle w:val="Heading4"/>
        <w:numPr>
          <w:ilvl w:val="3"/>
          <w:numId w:val="1"/>
        </w:numPr>
        <w:rPr/>
      </w:pPr>
      <w:bookmarkStart w:id="115" w:name="__RefHeading___Toc1994084_581953129"/>
      <w:bookmarkStart w:id="116" w:name="_Toc44"/>
      <w:bookmarkEnd w:id="115"/>
      <w:r>
        <w:rPr>
          <w:rtl w:val="true"/>
        </w:rPr>
        <w:t>اشارة</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الإلهیّ الأزَلیّ علمٌ بالنظام؛ یعنی العلم بصدور معلولات مِن عِلَل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والعِلل والفَواعِل فی النظام الحسّیّ الخارجیّ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طبیعیّ والآخر شُعوریّ، وبعضها مختار والآخر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النظام العلمیّ أیضاً علی هذا المنوال؛ أی أنّ کلّ فاعلٍ موجود فی العالم الحسّیّ موجود فی العالم العلمیّ کذلک، بل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هو موجود فی العالم العلمیّ،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یقتضیه العلم الإلهیّ، وما یستوجبه صدور فعلِ الفاعل المختار من الفاعل المختار، وفعل الفاعل المجبور من الفاعل المجبور، فلا یوجب العلم الإلهیّ أن یُجبر الفاعل المختار، أو یختار الفاعل المجبور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الأزلیّ تعلّق بأفعال الإنسان وأعماله؛ بمعنی أنّه تعالی یعلم منذ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الحریّة والاختیار الذی یملکه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شخص یطیعه وأیّهم یعصیه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مختار بالإجبار؛ وعلیه،</w:t>
      </w:r>
      <w:bookmarkStart w:id="117" w:name="pg5457_39112"/>
    </w:p>
    <w:p>
      <w:pPr>
        <w:pStyle w:val="BookText"/>
        <w:rPr/>
      </w:pPr>
      <w:bookmarkEnd w:id="117"/>
      <w:r>
        <w:rPr>
          <w:rFonts w:ascii="Amiri" w:hAnsi="Amiri" w:eastAsia="Amiri" w:cs="Amiri"/>
          <w:color w:val="111111"/>
          <w:sz w:val="28"/>
          <w:sz w:val="28"/>
          <w:szCs w:val="28"/>
          <w:rtl w:val="true"/>
          <w:lang w:bidi="ar-SA"/>
        </w:rPr>
        <w:t>فلا دخل للعلم الأزَلیّ فی سلب ما کُتِب فی النظام العلمیّ والحسّیّ من لزوم الاختیار والحریّة</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118" w:name="__RefHeading___Toc1994086_581953129"/>
      <w:bookmarkStart w:id="119" w:name="_Toc45"/>
      <w:bookmarkEnd w:id="118"/>
      <w:r>
        <w:rPr>
          <w:rtl w:val="true"/>
        </w:rPr>
        <w:t>مناقشة الاستدلال</w:t>
      </w:r>
      <w:bookmarkEnd w:id="119"/>
    </w:p>
    <w:p>
      <w:pPr>
        <w:pStyle w:val="BookText"/>
        <w:rPr/>
      </w:pPr>
      <w:r>
        <w:rPr>
          <w:rFonts w:ascii="IRNazanin" w:hAnsi="IRNazanin" w:eastAsia="IRNazanin"/>
          <w:color w:val="111111"/>
          <w:sz w:val="28"/>
          <w:sz w:val="28"/>
          <w:szCs w:val="28"/>
          <w:rtl w:val="true"/>
          <w:lang w:bidi="fa-IR"/>
        </w:rPr>
        <w:t>لکنّ هذه الجواب غیر وافٍ برفع الإبهام المذکور فی السؤال بصورة تامّة؛ ذلک أنّ غایة ما أثبته، بأنّ علم الله لا یتعلّق بجزئیّات أفعال الإنسان، وإنّما تعلّق بالنظام فقط، وهذا النظام فی الإنسان، یقتضی بأنّ الإنسان هو مَن یُعیّن تفاصیل أفعاله بنفسه، لکنّ هذا البیان یستلزم محدودیّة العلم الإلهیّ؛ ولهذا، کان العلاّمة المجلسیّ علی علم بلازم قولِ الحکماء هذا، بل بصریح قولهم،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من ضروریّات المذهب کونه تعالی عالماً أزلاً وأبداً بجمیع الأشیاء، کلیّاتها وجزئیّاتها، من غیر تغیّر فی علمه تعالی، وخالف فی ذلک جمهور الحکماء، فنفوا العلم بالجزئیّات عنه تعالی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وهذا الأمر یستدعی تقدیم 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العلم فی مقام الذات والعلم فی مقام الفعل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الفلاسفة والحکماء، بالإضافة إلی عدد من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نوعین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فی مقام الذات، والعلم فی مقام الفعل، فعلِم الله فی مقام الذات علم إیجابیّ، بینما علمه فی مقام الفعل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فالباری تعالی قبل أن یقوم بإیجاد عالَم الخلقة، وباعتباره المهندس المصمّم والمبدع للخلقة،</w:t>
      </w:r>
    </w:p>
    <w:p>
      <w:pPr>
        <w:pStyle w:val="BookText"/>
        <w:rPr/>
      </w:pPr>
      <w:r>
        <w:rPr>
          <w:rFonts w:ascii="IRNazanin" w:hAnsi="IRNazanin" w:eastAsia="IRNazanin"/>
          <w:color w:val="111111"/>
          <w:sz w:val="28"/>
          <w:sz w:val="28"/>
          <w:szCs w:val="28"/>
          <w:rtl w:val="true"/>
          <w:lang w:bidi="fa-IR"/>
        </w:rPr>
        <w:t>علی ما ورد فی بعض الروایات،</w:t>
      </w:r>
      <w:r>
        <w:rPr>
          <w:rStyle w:val="FootnoteAnchor"/>
          <w:rtl w:val="true"/>
        </w:rPr>
        <w:footnoteReference w:id="71"/>
      </w:r>
      <w:r>
        <w:rPr>
          <w:rFonts w:ascii="IRNazanin" w:hAnsi="IRNazanin" w:eastAsia="IRNazanin"/>
          <w:color w:val="111111"/>
          <w:sz w:val="28"/>
          <w:sz w:val="28"/>
          <w:szCs w:val="28"/>
          <w:rtl w:val="true"/>
          <w:lang w:bidi="fa-IR"/>
        </w:rPr>
        <w:t>کان علی علمٍ بالخریطة الکلیّة للعالَم فی علمه الأزَلیّ والأبدیّ، وهذا العلم هو العلم بالنظام الأحسَن؛ یعنی أنّه یعلم مُنذ الأزَل بأنّ هذا النوع من الخلقة، أفضل الخیارات المتعدّدة المتاحة لإیجاد العالم، وأنّ الموجودات فیه ستبلغ أفضل مراتب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من الباری جلّ وعلا إیجابیّ؛ أی بموجبه تمّ خلق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جمیع خصوصیّات الأشیاء ومواصفات الموجودات مُتعیّنة فی عالَم عِلمِ الله؛ إذ أنّ هذهِ الخصوصیّات هی التی تُحدّد الغرَض والهدَف، الذی یخلق من أجله کلّ 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فهذا العلم یفرض أن یکون الإنسان موجوداً مختاراً، فیرسِم مستقبلهِ بنفسهِ، بعقله وعلمه من جهةٍ، وإرادته واطّلاعه 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العلم بکلّ شیء علماً بلوازم ذلک الشیء، فالله تبارک وتعالی عالم فی الأزَل بجمیع لوازم وآثار مخلوقاته التی لم تُخلَق بعد؛ لکنّ هذا العلم فی مقام الفعل، لا فی مقام الذات؛ لأنّ فعل الله تعالی أزَلیّ أیضاً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کلّه، فهو تعالی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الفعل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فلاناً من الناس سیقوم بالعمل الفلانیّ، استناداً إلی الاختیار المُوکَل إلیه، وبمحض إرادته؛ وبالتالی، سیکون مصیره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أنّ هذا العلم تبَعیّ، ویقع فی المرتبة التی تلی النظر إلی الماهیّة، أو بحسَب تعبیر العارفین بعد العَین</w:t>
      </w:r>
    </w:p>
    <w:p>
      <w:pPr>
        <w:pStyle w:val="BookText"/>
        <w:rPr/>
      </w:pPr>
      <w:r>
        <w:rPr>
          <w:rFonts w:ascii="IRNazanin" w:hAnsi="IRNazanin" w:eastAsia="IRNazanin"/>
          <w:color w:val="111111"/>
          <w:sz w:val="28"/>
          <w:sz w:val="28"/>
          <w:szCs w:val="28"/>
          <w:rtl w:val="true"/>
          <w:lang w:bidi="fa-IR"/>
        </w:rPr>
        <w:t>الثابتة للأشیاء، إلاّ أنّه لیس انفعالیّاً بتاتاً؛ بحیث لا یُوجد ذلک العلم فی الذات الإلهیّة ما لَم یوجد المعلوم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بناءً علی ذلک، الله جلّ وعلا عالِم بکلِّ تفاصیل أفعالنا، وکافّةِ جزئیّات أعمالنا؛ ولذا، نجده یخبر عن عاقبة الإنسان، وعن کونه من أهل الجنّة أم النار؛ بَید أنّ هذ العلم لا یستلزم الجبر؛ لأنّه معلوم تبَعاً للنظر إلی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ذلک، تصوّروا امتلاک علماء الأحیاء الخریطة الوراثیّة الکاملة للإنسان، من دون أیّ نقص فی جانب من جوانبها، فلا شکّ فی أنّهم سوف یکونون قادرین علی تحدید خصوصیّات الطفل الذی یُعرض علیهم، ومعرفة جمیع خصائصه الجسدیّة والفکریّة والنفسیّة، اعتماداً علی جیناته الوراثیّة، فعلم العلماء بتلک الخصوصیّات لا دخل له فی إیجادها، فلو کانت إحدی تلک الخصوصیّات تبیّن أنّ هذا الشخص سیرتکب فی الساعة الفلانیّة العمل الفلانیّ بملء إرادته وبمحض اختیاره، فهذا العلم لا یتسبّب فی سلب الإختیار عن هذا الشخص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القضیّة تصدِق أیضاً، فی موردِ عِلم الله بجزئیّات أفعال الإنسان؛ فهو عالِمٌ بکلّ تفاصیل أفعالنا وجزئیّاتها، وفی الحقیقة،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مصیرنا معلومٌ بنحوٍ مِن الأنحاء لله تعالی مُنذ البدایة، وسوف یؤول إلی تلک النتیجة المحتومة؛ لکنّ المسار الذی نسلکه نختاره بإرادتنا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نحن لا نُقدم، حین السیر فی هذا المسار الذی اخترناه بأنفسنا، علی تغییر ذلک المصیر؛ حیث إنّنا لا نمتلک مقوّمات وإمکانات التغییر، وخیرُ دلیلٍ علی هذا الأمر، الرجوع إلی الوجدان؛ فحینما نقف علی مفترق طُرُق، أحدهما یؤدّی</w:t>
      </w:r>
      <w:bookmarkStart w:id="120" w:name="pg5457_39115"/>
    </w:p>
    <w:p>
      <w:pPr>
        <w:pStyle w:val="BookText"/>
        <w:rPr/>
      </w:pPr>
      <w:bookmarkEnd w:id="120"/>
      <w:r>
        <w:rPr>
          <w:rFonts w:ascii="IRNazanin" w:hAnsi="IRNazanin" w:eastAsia="IRNazanin"/>
          <w:color w:val="111111"/>
          <w:sz w:val="28"/>
          <w:sz w:val="28"/>
          <w:szCs w:val="28"/>
          <w:rtl w:val="true"/>
          <w:lang w:bidi="fa-IR"/>
        </w:rPr>
        <w:t>إلی ارتکاب المعصیة، والآخر إلی ترکها، وعدنا إلی وجداننا، نری أنّ لدینا قدرة علی ترک هذا الفعل؛ غیر أنّ الله تعالی یعلم منذ الأزل بأنّنا سنختار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فالباری تبارک وتعالی عالم بمصیرنا منذ الأزل، من دون أن یؤثّر ذلک علی تضییق دائرة اختیارنا</w:t>
      </w:r>
      <w:r>
        <w:rPr>
          <w:rFonts w:eastAsia="IRNazanin" w:cs="IRNazanin"/>
          <w:color w:val="111111"/>
          <w:sz w:val="28"/>
          <w:szCs w:val="28"/>
          <w:rtl w:val="true"/>
          <w:lang w:bidi="fa-IR"/>
        </w:rPr>
        <w:t>.</w:t>
      </w:r>
    </w:p>
    <w:p>
      <w:pPr>
        <w:pStyle w:val="Heading3"/>
        <w:numPr>
          <w:ilvl w:val="2"/>
          <w:numId w:val="1"/>
        </w:numPr>
        <w:rPr/>
      </w:pPr>
      <w:bookmarkStart w:id="121" w:name="__RefHeading___Toc1994088_581953129"/>
      <w:bookmarkStart w:id="122" w:name="_Toc46"/>
      <w:bookmarkEnd w:id="121"/>
      <w:r>
        <w:rPr>
          <w:rtl w:val="true"/>
        </w:rPr>
        <w:t>مصادر للمطالعة</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فرهنگ عقاید ومذاهب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العقائد والمذاهب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3" w:name="__RefHeading___Toc1994090_581953129"/>
      <w:bookmarkStart w:id="124" w:name="_Toc47"/>
      <w:bookmarkEnd w:id="123"/>
      <w:r>
        <w:rPr>
          <w:rtl w:val="true"/>
        </w:rPr>
        <w:t>الحدیث الختامیّ</w:t>
      </w:r>
      <w:bookmarkEnd w:id="124"/>
    </w:p>
    <w:p>
      <w:pPr>
        <w:pStyle w:val="BookText"/>
        <w:rPr/>
      </w:pPr>
      <w:r>
        <w:rPr>
          <w:rFonts w:ascii="IRNazanin" w:hAnsi="IRNazanin" w:eastAsia="IRNazanin"/>
          <w:color w:val="111111"/>
          <w:sz w:val="28"/>
          <w:sz w:val="28"/>
          <w:szCs w:val="28"/>
          <w:rtl w:val="true"/>
          <w:lang w:bidi="fa-IR"/>
        </w:rPr>
        <w:t>قال الإمام محمّد الباقر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بِما یَکونُ، فَعلمُهُ بِهِ قَبلُ کَونِهِ کَعِلمِهِ بِهِ بَعدَ کَونِهِ</w:t>
      </w:r>
      <w:r>
        <w:rPr>
          <w:rFonts w:eastAsia="Amiri" w:cs="Amiri" w:ascii="Amiri" w:hAnsi="Amiri"/>
          <w:color w:val="111111"/>
          <w:sz w:val="28"/>
          <w:szCs w:val="28"/>
          <w:rtl w:val="true"/>
          <w:lang w:bidi="ar-SA"/>
        </w:rPr>
        <w:t>».</w:t>
      </w:r>
      <w:r>
        <w:rPr>
          <w:rStyle w:val="FootnoteAnchor"/>
          <w:rtl w:val="true"/>
        </w:rPr>
        <w:footnoteReference w:id="73"/>
      </w:r>
      <w:bookmarkStart w:id="125" w:name="pg5457_39117"/>
    </w:p>
    <w:p>
      <w:pPr>
        <w:pStyle w:val="Heading2"/>
        <w:numPr>
          <w:ilvl w:val="1"/>
          <w:numId w:val="1"/>
        </w:numPr>
        <w:rPr/>
      </w:pPr>
      <w:bookmarkStart w:id="126" w:name="__RefHeading___Toc1994092_581953129"/>
      <w:bookmarkStart w:id="127" w:name="_Toc48"/>
      <w:bookmarkEnd w:id="125"/>
      <w:bookmarkEnd w:id="126"/>
      <w:r>
        <w:rPr>
          <w:rtl w:val="true"/>
        </w:rPr>
        <w:t>علاقة الإنسان بالقضاء والقدر</w:t>
      </w:r>
      <w:bookmarkEnd w:id="127"/>
    </w:p>
    <w:p>
      <w:pPr>
        <w:pStyle w:val="Heading3"/>
        <w:numPr>
          <w:ilvl w:val="2"/>
          <w:numId w:val="1"/>
        </w:numPr>
        <w:rPr/>
      </w:pPr>
      <w:bookmarkStart w:id="128" w:name="__RefHeading___Toc1994094_581953129"/>
      <w:bookmarkStart w:id="129" w:name="_Toc49"/>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توجیه حریّة الإنسان وتقریر مصیره، فی ضَوء القضاءِ والقدر؟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القضایا الهامّة التی شَغَلت بالَ البشر فی مجال الإلهیّات، والمطروحة بین الأدیان الإلهیّة المتعدّدة، لا سیّما الدین الإسلامیّ المبُین، والتی طالما تعرّض لها الفلاسفة والمتکلّمون فی مبحث الإلهیّات،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أمورَ العالمَ تحدث طِبقاً لبرنامجٍ وخطّةٍ مُعدَّة سَلَفاً، ولا مَحید عنها، وأنّ هناک قدرةً غیرَ مرئیّة، وفی الوقت نفسه غیر مُنتهیة، باسم القضاء والقدرَ، تفرض هیمنتها وتبسط نفوذها علی جمیع الأحداث العالمیّة؛ وأنّ ما یحدث فی الوقت الراهن وفی المستقبل أیضاً أمرٌ تمّ تحدیده وإبرامه سَلَفاً؛ فیکون الإنسان مجبوراً فی ولادته وعیشه ورحیله عن هذه الدنیا، بل وفی کلّ ما یقوم به فی حیاته؟</w:t>
      </w:r>
    </w:p>
    <w:p>
      <w:pPr>
        <w:pStyle w:val="BookText"/>
        <w:rPr/>
      </w:pPr>
      <w:r>
        <w:rPr>
          <w:rFonts w:ascii="IRNazanin" w:hAnsi="IRNazanin" w:eastAsia="IRNazanin"/>
          <w:color w:val="111111"/>
          <w:sz w:val="28"/>
          <w:sz w:val="28"/>
          <w:szCs w:val="28"/>
          <w:rtl w:val="true"/>
          <w:lang w:bidi="fa-IR"/>
        </w:rPr>
        <w:t>أم لا وجود لشیء من هذا القبیل؛ فلا تحدث جمیع الأفعال فی العالم، ومنها أفعال الإنسان وتصرّفاته، وفقاً لخطّةٍ مُسبقةٍ وبرنامجٍ حتمیّ لا مناصَ عنه، بل الإنسان والعالمَ ککلِّ لا یخضعان لحکومةِ الجَبر والقضاء والقدر، فیتمتّع الإنسانُ بکامل الحریّة والاختیار والتسلّط التامّ علی مقدّراته وشؤونه؟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فرضٌ ثالث، هو أنّ القضاء والقدَر حاکمٌ ومسیطرٌ علی عُمومِ أرجاء</w:t>
      </w:r>
      <w:bookmarkStart w:id="130" w:name="pg5457_39118"/>
    </w:p>
    <w:p>
      <w:pPr>
        <w:pStyle w:val="BookText"/>
        <w:rPr/>
      </w:pPr>
      <w:bookmarkEnd w:id="130"/>
      <w:r>
        <w:rPr>
          <w:rFonts w:ascii="Amiri" w:hAnsi="Amiri" w:eastAsia="Amiri" w:cs="Amiri"/>
          <w:color w:val="111111"/>
          <w:sz w:val="28"/>
          <w:sz w:val="28"/>
          <w:szCs w:val="28"/>
          <w:rtl w:val="true"/>
          <w:lang w:bidi="ar-SA"/>
        </w:rPr>
        <w:t>العالمَ، ویتحکّم فی جمیع مُقدّراته، ویدیرُ حوادِثَه وأمُوره کافّة، ویَبسط نفوذَه علی المعمورة برمّتها؛ وفی الوقت ذاته، لا تؤثّر هذه القوّة الحتمیّة، وهذا النفوذ الذی لا یُردّ، أدنی تأثیر علی حُرّیّة الإنسان واختیاره؛ ومن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وافَق البعضُ علی عنصر القضاء والقدَر الإلهیّ، بالنسبة إلی أفعالِ الإنسان الاختیاریّة؛ لکنّه لم ینف الاختیار الحقیقیّ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البعضُ الآخر دائرةَ القضاء والقدَر علی الأمور والشؤون غیر الاختیاریّة، ذاهباً إلی خروج الأفعال الاختیاریّة للإنسان عن نطِاق القضاء والقدَر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حاولَت طائفةٌ ثالثةٌ انتهاج حلٍّ وسَط، فکانت بصدَد الجمع بین شمول القضاء والقدر لأفعال الإنسان الاختیاریّة، وبین إثبات حُریّة الاختیار فی تقریر مصیره بنفسه</w:t>
      </w:r>
      <w:r>
        <w:rPr>
          <w:rFonts w:eastAsia="IRNazanin" w:cs="IRNazanin"/>
          <w:color w:val="111111"/>
          <w:sz w:val="28"/>
          <w:szCs w:val="28"/>
          <w:rtl w:val="true"/>
          <w:lang w:bidi="fa-IR"/>
        </w:rPr>
        <w:t>.</w:t>
      </w:r>
    </w:p>
    <w:p>
      <w:pPr>
        <w:pStyle w:val="Heading3"/>
        <w:numPr>
          <w:ilvl w:val="2"/>
          <w:numId w:val="1"/>
        </w:numPr>
        <w:rPr/>
      </w:pPr>
      <w:bookmarkStart w:id="131" w:name="__RefHeading___Toc1994096_581953129"/>
      <w:bookmarkStart w:id="132" w:name="_Toc50"/>
      <w:bookmarkEnd w:id="131"/>
      <w:r>
        <w:rPr>
          <w:rtl w:val="true"/>
        </w:rPr>
        <w:t>أهمیّة مسألة القضاء والقدر</w:t>
      </w:r>
      <w:bookmarkEnd w:id="132"/>
    </w:p>
    <w:p>
      <w:pPr>
        <w:pStyle w:val="BookText"/>
        <w:rPr/>
      </w:pPr>
      <w:r>
        <w:rPr>
          <w:rFonts w:ascii="IRNazanin" w:hAnsi="IRNazanin" w:eastAsia="IRNazanin"/>
          <w:color w:val="111111"/>
          <w:sz w:val="28"/>
          <w:sz w:val="28"/>
          <w:szCs w:val="28"/>
          <w:rtl w:val="true"/>
          <w:lang w:bidi="fa-IR"/>
        </w:rPr>
        <w:t>تُعتبر مسألةُ القضاء والقدَر، والجبر والاختیار، أیضاً مسألةً کلامیّةً وفلسفیّة من جهةِ، وقضیّةً علمیّةً واجتماعیّة من جهةٍ أخری، کما أنّها تَقِف فی عِداد المباحِث التی تعرّضَت للطعن والتشهیر والمناقشة، مِن قِبَل المناوئین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تحظی دراسة هذا الموضوع بأهمیّةٍ فائقة، وتُعَدّ من المسائل الضروریّة التی ینبغی طرحها وتناولها بالبحث والتحلیل، کیما یتّضح الرأی الصحیح والنظریّة الصائبة فی هذا المجال، من خلال الآیات والروایات، بالإضافة إلی العقل والمنطق</w:t>
      </w:r>
      <w:r>
        <w:rPr>
          <w:rFonts w:eastAsia="IRNazanin" w:cs="IRNazanin"/>
          <w:color w:val="111111"/>
          <w:sz w:val="28"/>
          <w:szCs w:val="28"/>
          <w:rtl w:val="true"/>
          <w:lang w:bidi="fa-IR"/>
        </w:rPr>
        <w:t>.</w:t>
      </w:r>
    </w:p>
    <w:p>
      <w:pPr>
        <w:pStyle w:val="Heading3"/>
        <w:numPr>
          <w:ilvl w:val="2"/>
          <w:numId w:val="1"/>
        </w:numPr>
        <w:rPr/>
      </w:pPr>
      <w:bookmarkStart w:id="133" w:name="__RefHeading___Toc1994098_581953129"/>
      <w:bookmarkStart w:id="134" w:name="_Toc51"/>
      <w:bookmarkEnd w:id="133"/>
      <w:r>
        <w:rPr>
          <w:rtl w:val="true"/>
        </w:rPr>
        <w:t>خلفیّة بحث القضاء والقدر عند المسلمین</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النقل التاریخی، فإنّ البحوث التقلیدیة لهذا الموضوع بدأت فی النصف الأوّل من القرن الهجری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أقدَمَ مسألةٍ فی البحوث</w:t>
      </w:r>
    </w:p>
    <w:p>
      <w:pPr>
        <w:pStyle w:val="BookText"/>
        <w:rPr/>
      </w:pPr>
      <w:r>
        <w:rPr>
          <w:rFonts w:ascii="IRNazanin" w:hAnsi="IRNazanin" w:eastAsia="IRNazanin"/>
          <w:color w:val="111111"/>
          <w:sz w:val="28"/>
          <w:sz w:val="28"/>
          <w:szCs w:val="28"/>
          <w:rtl w:val="true"/>
          <w:lang w:bidi="fa-IR"/>
        </w:rPr>
        <w:t>الکلامیّة هی بحثُ القضاء والقدر، والجبر والاختیار؛ ولذا، کان طرحُ هذه المسألة بین المسلمین، فی الصدر الأوّل للإسلام أمراً طبیعیّاً؛ ذلک أنّها تستهوی کلّ مَن یتعرّض لها؛ لارتباطها الوثیق بمصیر الإنسان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ربّما لیس هناک إنسان یمتلک مقداراً ضئیلاً من الفکر العلمیّ والفلسفیّ، ولا تنقدح هذه المسألة فی ذهنه، أو تختلج فی صدره، کما قد لا یوجد مجتمع من المجتمعات التی دخلت مرحلة من مراحل التفکّر فی القضایا العلمیّة، ولم تتبادر له هذه المسألة، والمجتمع الإسلامیّ لیس بِدعاً من المجتمعات، فلا یُستثنی من هذا القانون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القرآن الکریم والسنّة المأثورة عن النبیّ الأعظم صلی الله علیه و آله، فقد طُرحت مسألة القضاء والقدر بکثرة، وبصورة واضحة لا یعتریها الشکّ والریب، کما تَطرّق عددٌ کبیر من الآیات القرآنیّة والروایات، إلی مسألة الاختیار والحریّة لدی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أنّ الضربة القویّة التی وجّهتها بعض المذاهب الفلسفیّة، إلی مفهوم القضاء والقدر، ومصیر الإنسان حَریّة بقدرٍ عالٍ من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تری الهجَمات تَتری علی الدین بتهمة تجمید العقل الإنسانیّ، فعلی سبیل المثال، قال أحد الکتّاب الغربیّین الذین لا یمتلکون اطّلاعاً کافیاً حول الأدیان، لا سیّما الدین الإسلامیّ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الأدیان جعلت الاعتقاد بالقضاء والقدر من ضمن مشاریعها الأساسیّة؛ ولهذا، فهی تصدّ الإنسان عن البحث والعمل الدؤوب، وتُعلّق الحوادث الفردیّة والاجتماعیّة، حَسَنها وسیّئها، علی موضوع القضاء والقدر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فبدلاً من أن تکون الأدیان عاملاً محرّکاً تجاه العمل والحرکة، أضحَت سبباً فی الرکود والجُمود والتحجّر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السیاق، لم یتخلّف</w:t>
      </w:r>
    </w:p>
    <w:p>
      <w:pPr>
        <w:pStyle w:val="BookText"/>
        <w:rPr/>
      </w:pPr>
      <w:r>
        <w:rPr>
          <w:rFonts w:ascii="IRNazanin" w:hAnsi="IRNazanin" w:eastAsia="IRNazanin"/>
          <w:color w:val="111111"/>
          <w:sz w:val="28"/>
          <w:sz w:val="28"/>
          <w:szCs w:val="28"/>
          <w:rtl w:val="true"/>
          <w:lang w:bidi="fa-IR"/>
        </w:rPr>
        <w:t xml:space="preserve">الشرقیّون عن إخوانهم الغربیّین، فسمَحوا لهذه التصوّرات الجوفاء والکلام الفارغ، الذی لا یُسمن ولا یُغنی من جوع إلی ولُوج أفکارهم، من أنّ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الدین الإسلامیّ الذی یُعدّ من الأدیان البشریّة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 بالقضاء والقدر، وتُعیق الإنسان عن ممارسة النشاط فی طریق إصلاح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سبب هذه الرؤیة یعود إلی جَهل الغربیّین، وعدَم اطّلاعهم علی الأدیان، وبخاصّة الدین الإسلامیّ المبین، فی حین أنّه یُمکن التماس ذلک فی المجتمعات الشرقیّة، فی الإقبال والإدبار الذی خیّم علیهم، فضلاً عن قِلّة المعلومات وعدم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المُسلّم به والثابت تأریخیّاً، أنّ کلَّ فردٍ أو مجتمع لم یتمکّن من بلوغ أهدافه وتطلّعاته المادیّة والمعنویةّ، أو لم یشأ ذلک، فإنّه یُعوّل علی تسلیة نفسِه بکلمات، من قبیل القضاء والقدر، المصیر، الحظّ والإقبال، الصُّدفة، وما 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المضمون ورد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فی آخِرِ هذهِ الأُمّةِ قَومٌ یَعمَلونَ بِالمَعاصِی، ثُمَّ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اللهِ قَضاءً وَقَدراً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لَقیتُموهُم فَأعلِموهُم أَنّی بَریءٌ مِنهُم</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ما یُستفاد من التاریخ ومن الآیات والروایات، وجود بحثِ القضاء والقدر فی صدر الإسلام؛ وعلیه، لا داعی أن نبحث عن دلیلٍ ومنشأ آخر لهذه المسألة القدیمة، وإن بدا أنّ المستشرقین یُحاولون بشتّی السبُل والطرُق الممکنة، أن یجدوا لجمیع العلوم المنتشرة بین المسلمین منشأً من خارج العالم الإسلامیّ، وبالتحدید من داخل عالم المسیحیّة، کلّ ذلک من أجل إنکار ونفی أصالة المعارف والعلوم الإسلامیّة</w:t>
      </w:r>
      <w:r>
        <w:rPr>
          <w:rFonts w:eastAsia="IRNazanin" w:cs="IRNazanin"/>
          <w:color w:val="111111"/>
          <w:sz w:val="28"/>
          <w:szCs w:val="28"/>
          <w:rtl w:val="true"/>
          <w:lang w:bidi="fa-IR"/>
        </w:rPr>
        <w:t>.</w:t>
      </w:r>
      <w:bookmarkStart w:id="135" w:name="pg5457_39121"/>
    </w:p>
    <w:p>
      <w:pPr>
        <w:pStyle w:val="Heading3"/>
        <w:numPr>
          <w:ilvl w:val="2"/>
          <w:numId w:val="1"/>
        </w:numPr>
        <w:rPr/>
      </w:pPr>
      <w:bookmarkStart w:id="136" w:name="__RefHeading___Toc1994100_581953129"/>
      <w:bookmarkStart w:id="137" w:name="_Toc52"/>
      <w:bookmarkEnd w:id="135"/>
      <w:bookmarkEnd w:id="136"/>
      <w:r>
        <w:rPr>
          <w:rtl w:val="true"/>
        </w:rPr>
        <w:t>القضاء والقدر لغةً</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الراغب فی مفرداته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الأمر، قولاً کان ذلک أو فِعلاً، وکلّ واحد منهما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والتقدیر تبیین کمّیة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فتقدیر الله الأشیاء علی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القدرة،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یجعلها علی مقدار مخصوص، ووجه مخصوص، حسبما اقتضت الحکمة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یعنی الحکم والقطع والفصل، والقاضی إنّما أُطلق علیه هذا الإسم لأنّه یحکم بین المتنازعین ویفصل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القدر فبمعنی القیاس والتقدیر والتعیین للأشیاء</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8" w:name="__RefHeading___Toc1994102_581953129"/>
      <w:bookmarkStart w:id="139" w:name="_Toc53"/>
      <w:bookmarkEnd w:id="138"/>
      <w:r>
        <w:rPr>
          <w:rtl w:val="true"/>
        </w:rPr>
        <w:t>القضاء والقدَر اصطلاحاً</w:t>
      </w:r>
      <w:bookmarkEnd w:id="139"/>
    </w:p>
    <w:p>
      <w:pPr>
        <w:pStyle w:val="BookText"/>
        <w:rPr/>
      </w:pPr>
      <w:r>
        <w:rPr>
          <w:rFonts w:ascii="IRNazanin" w:hAnsi="IRNazanin" w:eastAsia="IRNazanin"/>
          <w:color w:val="111111"/>
          <w:sz w:val="28"/>
          <w:sz w:val="28"/>
          <w:szCs w:val="28"/>
          <w:rtl w:val="true"/>
          <w:lang w:bidi="fa-IR"/>
        </w:rPr>
        <w:t>القضاءُ عبارةٌ عن قَونَنَة العالَم المُنشأ بقدرة الله تعالی، وتنظیمه بالشکل المطلوب، ولا صلةَ لهذا القضاء بالأعمال الاختیاریّة التی یقوم بها الإنسان عادةً، وإن کانت نتائجهما تنعکس فی مجموعةٍ متناسقة ومنسجمة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عبارة الجنبة التنظیمة لعالم الکون</w:t>
      </w:r>
      <w:r>
        <w:rPr>
          <w:rFonts w:eastAsia="IRNazanin" w:cs="IRNazanin"/>
          <w:color w:val="111111"/>
          <w:sz w:val="28"/>
          <w:szCs w:val="28"/>
          <w:rtl w:val="true"/>
          <w:lang w:bidi="fa-IR"/>
        </w:rPr>
        <w:t>.</w:t>
      </w:r>
      <w:r>
        <w:rPr>
          <w:rStyle w:val="FootnoteAnchor"/>
          <w:rtl w:val="true"/>
        </w:rPr>
        <w:footnoteReference w:id="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فنسبة القضاء إلی القدر هی نسبة العمَل إلی النتیجة؛ بمعنی أنّ فِعل الباری عزّ وجلّ قضاءٌ، وشکلَ جریان منظومة الکون هی القدَر؛ لأنّ القضاء عبارة عن خالقیّة الله تعالی؛ بمعنی أنّ قضاء الله إشارةٌ إلی أنّه جلّ وعلا الخالقُ لمنظومةٍ منضبطة ومنظّمة، هی عالم الکون، والقدَر عبارة عن</w:t>
      </w:r>
      <w:bookmarkStart w:id="140" w:name="pg5457_39122"/>
    </w:p>
    <w:p>
      <w:pPr>
        <w:pStyle w:val="BookText"/>
        <w:rPr/>
      </w:pPr>
      <w:bookmarkEnd w:id="140"/>
      <w:r>
        <w:rPr>
          <w:rFonts w:ascii="Amiri" w:hAnsi="Amiri" w:eastAsia="Amiri" w:cs="Amiri"/>
          <w:color w:val="111111"/>
          <w:sz w:val="28"/>
          <w:sz w:val="28"/>
          <w:szCs w:val="28"/>
          <w:rtl w:val="true"/>
          <w:lang w:bidi="ar-SA"/>
        </w:rPr>
        <w:t>نتیجة خالقیّته التی ترتسم علی الموجودات کافّة؛ وهذا هو معنی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3"/>
        <w:numPr>
          <w:ilvl w:val="2"/>
          <w:numId w:val="1"/>
        </w:numPr>
        <w:rPr/>
      </w:pPr>
      <w:bookmarkStart w:id="141" w:name="__RefHeading___Toc1994104_581953129"/>
      <w:bookmarkStart w:id="142" w:name="_Toc54"/>
      <w:bookmarkEnd w:id="141"/>
      <w:r>
        <w:rPr>
          <w:rtl w:val="true"/>
        </w:rPr>
        <w:t>السبب فی غموض المسألة</w:t>
      </w:r>
      <w:bookmarkEnd w:id="142"/>
    </w:p>
    <w:p>
      <w:pPr>
        <w:pStyle w:val="BookText"/>
        <w:rPr/>
      </w:pPr>
      <w:r>
        <w:rPr>
          <w:rFonts w:ascii="IRNazanin" w:hAnsi="IRNazanin" w:eastAsia="IRNazanin"/>
          <w:color w:val="111111"/>
          <w:sz w:val="28"/>
          <w:sz w:val="28"/>
          <w:szCs w:val="28"/>
          <w:rtl w:val="true"/>
          <w:lang w:bidi="fa-IR"/>
        </w:rPr>
        <w:t>إنّ السبب الرئیس فی الغموض الذی یکتنف هذه المسألة، هو أنّ الإنسان من جهة یری فی نفسه علامات الجبر، ومن جهة أُخری، یلمس فیها الاختیار والحریّة؛ بحیث یری أنّه لم یکن مختاراً فی ولادته وولوجه إلی عالم الدنیا، وإنّما وردها قَسراً وعنوةً، بل ونما وترعرع فی نظامٍ خاصّ خارج عن إرادته ومشیئته، کما أنّ العوامل الوراثیّة والثقافة والبیئة ترکت بصماتها الخاصّة فی روحه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وجد الإنسان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هذه العوامل اللا إرادیّة المؤثّرة فیه قبل الولادة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مُقیّداً ومُکبّلاً، لا یلوی علی شیء، ویسیر فی طریق معیّن ومرسوم له سلَفاً، ولو کان مختاراً وحرّاً فی الحرکة لما کان خاضعاً لتلک العوامل القهریّة المؤثّرة فیه من الخارج، والتی تسوقه باتّجاهٍ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الجهة الثانیة، بعدما یصل هذا الإنسان مرحلة البلوغ وسنّ الرشد، یستشعر فی نفسه لوناً من الاختیار، ویجد نفسه غیر مُلزماً ولا مُجبراً علی القیام بفعلٍ ما، وإن کانت قدماه قد وطأت هذا العالم من دون اختیار، وتربّی ونشأ فی نظام خاصّ؛ بید أنّه بات الیوم مُمسکاً بزمام الأمور، وقادراً علی الوقوف بوجه المشاکل، ورفع المعوّقات التی تعترض سبیله، وفِعل ما یراهُ مناسباً فی حیاته، ولا أحد ولا شیء أیضاً بوسعه إجباره علی ما لا یرغب فیه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التعقید والتشابک فی هذه الأُمور، دفع بالبعض إلی تبنّی مسلَک الجبر، والذهاب إلی عدَم أهمیّة مظاهر الاختیار فی أعمال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bookmarkStart w:id="143" w:name="pg5457_39123"/>
    </w:p>
    <w:p>
      <w:pPr>
        <w:pStyle w:val="BookText"/>
        <w:rPr/>
      </w:pPr>
      <w:bookmarkEnd w:id="143"/>
      <w:r>
        <w:rPr>
          <w:rFonts w:ascii="IRNazanin" w:hAnsi="IRNazanin" w:eastAsia="IRNazanin"/>
          <w:color w:val="111111"/>
          <w:sz w:val="28"/>
          <w:sz w:val="28"/>
          <w:szCs w:val="28"/>
          <w:rtl w:val="true"/>
          <w:lang w:bidi="fa-IR"/>
        </w:rPr>
        <w:t>المقابل، جرّ الإبهام الموجود فئة أُخری إلی القول بالاختیار الکامل، الذی مآله إلی تفویض أُمور الإنسان إلیه؛ وبالتالی، وُجد قُطبان متضادّان فی مجال الفلسفة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طائفة أُخری سلَکت طریقاً ثالثاً، فضّت فیه النزاع الدائر بین الفریقین، وما هذا الطریق الثالث إلاّ 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والتفویض؛ حیث صرّح به کلّ من الکتاب والسنّة، وقام علیه الدلیل العقلیّ والفلسفیّ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نحاول بحث المشارب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التفویض، الأمر بین الأمرین، والإشارة إلی بیان عواملها والنتائج المترتّبة علیها</w:t>
      </w:r>
      <w:r>
        <w:rPr>
          <w:rFonts w:eastAsia="IRNazanin" w:cs="IRNazanin"/>
          <w:color w:val="111111"/>
          <w:sz w:val="28"/>
          <w:szCs w:val="28"/>
          <w:rtl w:val="true"/>
          <w:lang w:bidi="fa-IR"/>
        </w:rPr>
        <w:t>:</w:t>
      </w:r>
    </w:p>
    <w:p>
      <w:pPr>
        <w:pStyle w:val="Heading3"/>
        <w:numPr>
          <w:ilvl w:val="2"/>
          <w:numId w:val="1"/>
        </w:numPr>
        <w:rPr/>
      </w:pPr>
      <w:bookmarkStart w:id="144" w:name="__RefHeading___Toc1994106_581953129"/>
      <w:bookmarkStart w:id="145" w:name="_Toc55"/>
      <w:bookmarkEnd w:id="144"/>
      <w:r>
        <w:rPr>
          <w:rtl w:val="true"/>
        </w:rPr>
        <w:t>الجبر عند المادیّین</w:t>
      </w:r>
      <w:bookmarkEnd w:id="145"/>
    </w:p>
    <w:p>
      <w:pPr>
        <w:pStyle w:val="BookText"/>
        <w:rPr/>
      </w:pPr>
      <w:r>
        <w:rPr>
          <w:rFonts w:ascii="IRNazanin" w:hAnsi="IRNazanin" w:eastAsia="IRNazanin"/>
          <w:color w:val="111111"/>
          <w:sz w:val="28"/>
          <w:sz w:val="28"/>
          <w:szCs w:val="28"/>
          <w:rtl w:val="true"/>
          <w:lang w:bidi="fa-IR"/>
        </w:rPr>
        <w:t>إنّ دوافع الإیمان بمسلک الجبر فی صفوف المادیّین، سواء علی مستوی العقیدة أم الأخلاق، لا تخرج عن شیئین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دوافع 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قانون العلّیّة والمعلولیّة، بمعنی أنّ لکلّ ظاهرة مادیّة علّةٌ ما، تنهل منها وجودها، وتنشأ بواسطتها، وعمل الإنسان عبارة عن ظاهرةٍ مادیّة تبرز فی دائرة حیاة الإنسان، وتحتاج فی وجودها إلی علّة أیضاً، وما العلّة النهائیّة لذلک إلاّ إرادة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الإرادة معلولة لسلسلة من العوامل المرئیّة وغیر المرئیّة الأُخری، التی هی عبارة عن الغرائز، الأحاسیس، الوراثة، التربیة، المجتمع، البیئة، المناخ، بالإضافة إلی العناصر الداخلیّة والخارجیّة الأُخری، التی تُوجِد الإرادة والمشیئة فی طینة الإنسان وفطرته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ینحرف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أم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العمل، حتّی یقوم بإنجازه بإرادته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دافع نفسیّ، بمعنی أنّ الإیمان بالحریّة</w:t>
      </w:r>
      <w:bookmarkStart w:id="146" w:name="pg5457_39124"/>
    </w:p>
    <w:p>
      <w:pPr>
        <w:pStyle w:val="BookText"/>
        <w:rPr/>
      </w:pPr>
      <w:bookmarkEnd w:id="146"/>
      <w:r>
        <w:rPr>
          <w:rFonts w:ascii="IRNazanin" w:hAnsi="IRNazanin" w:eastAsia="IRNazanin"/>
          <w:color w:val="111111"/>
          <w:sz w:val="28"/>
          <w:sz w:val="28"/>
          <w:szCs w:val="28"/>
          <w:rtl w:val="true"/>
          <w:lang w:bidi="fa-IR"/>
        </w:rPr>
        <w:t>والاختیار یستلزم القول بالمسؤولیّة والعمل بالوظیفة؛ ومن هنا، یعمد ذوو التوجّه المادیّ فی الجانب الأخلاقیّ إلی القول بالجبر، ویقومون بجعل مسألة الجبر غطاء لانتهاکهم القوانین ومخالفاتهم؛ من أجل النأی بأنفسهم عن المسؤولیّة الفردیّة والاجتماعیّة، واکتساب مزید من الحریّة فی ممارسة غرائزهم وأهوائهم</w:t>
      </w:r>
      <w:r>
        <w:rPr>
          <w:rFonts w:eastAsia="IRNazanin" w:cs="IRNazanin"/>
          <w:color w:val="111111"/>
          <w:sz w:val="28"/>
          <w:szCs w:val="28"/>
          <w:rtl w:val="true"/>
          <w:lang w:bidi="fa-IR"/>
        </w:rPr>
        <w:t>.</w:t>
      </w:r>
    </w:p>
    <w:p>
      <w:pPr>
        <w:pStyle w:val="Heading3"/>
        <w:numPr>
          <w:ilvl w:val="2"/>
          <w:numId w:val="1"/>
        </w:numPr>
        <w:rPr/>
      </w:pPr>
      <w:bookmarkStart w:id="147" w:name="__RefHeading___Toc1994108_581953129"/>
      <w:bookmarkStart w:id="148" w:name="_Toc56"/>
      <w:bookmarkEnd w:id="147"/>
      <w:r>
        <w:rPr>
          <w:rtl w:val="true"/>
        </w:rPr>
        <w:t>نتائج نظریّة الجبر</w:t>
      </w:r>
      <w:bookmarkEnd w:id="148"/>
    </w:p>
    <w:p>
      <w:pPr>
        <w:pStyle w:val="BookText"/>
        <w:rPr/>
      </w:pPr>
      <w:r>
        <w:rPr>
          <w:rFonts w:ascii="IRNazanin" w:hAnsi="IRNazanin" w:eastAsia="IRNazanin"/>
          <w:color w:val="111111"/>
          <w:sz w:val="28"/>
          <w:sz w:val="28"/>
          <w:szCs w:val="28"/>
          <w:rtl w:val="true"/>
          <w:lang w:bidi="fa-IR"/>
        </w:rPr>
        <w:t>یترتّب علی هذه النظریّة نتائجٌ وانعکاسات وتداعیات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الإرادة عن الإنسان، ووضعه فی عِداد الحیوانات الأُخری، التی تفتقر إلی کلّ أنواع الإختیار، وتنجِز أعمالها بغرائزها وشهَواتها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ما أضحی الإنسان فی إرادته واختیاره تابعاً إلی جُملةٍ من العوامل المادیّة الخارجیّة، بحیث تکون تلک العوامل فی الحقیقة هی مَن یُقرّر مصیره ویرسم مستقبله، فلا جدوی حینئذ من محاولات إصلاح الفرد والمجتمع، ودعوته إلی القِیم والأصول الأخلاقیّة البنّاءة؛ ذلک أنّ التعویل علی التربیة، ومحاولة تغییر المسار، والتمسّک بالقیم الأخلاقیّة، إنّما یصدق من موجود ذی اختیار وإرادة، لا ممّن هو مجبور ومقهور، وفاقد للإرادة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فنتیجة الاعتقاد بالجبر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تَنصّل الإنسان من کل أنواع المسؤولیّات والالتزامات المُلقاة علی عاتقه؛ لفقده لعنصر الاختیار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الجبر یوجّه ویُبرّر کلّ أنواع القُبح والظلم والمنکر؛ من حیث تقریره لمصیر الإنسان</w:t>
      </w:r>
      <w:r>
        <w:rPr>
          <w:rFonts w:eastAsia="IRNazanin" w:cs="IRNazanin"/>
          <w:color w:val="111111"/>
          <w:sz w:val="28"/>
          <w:szCs w:val="28"/>
          <w:rtl w:val="true"/>
          <w:lang w:bidi="fa-IR"/>
        </w:rPr>
        <w:t>.</w:t>
      </w:r>
      <w:bookmarkStart w:id="149" w:name="pg5457_39125"/>
    </w:p>
    <w:p>
      <w:pPr>
        <w:pStyle w:val="Heading3"/>
        <w:numPr>
          <w:ilvl w:val="2"/>
          <w:numId w:val="1"/>
        </w:numPr>
        <w:rPr/>
      </w:pPr>
      <w:bookmarkStart w:id="150" w:name="__RefHeading___Toc1994110_581953129"/>
      <w:bookmarkStart w:id="151" w:name="_Toc57"/>
      <w:bookmarkEnd w:id="149"/>
      <w:bookmarkEnd w:id="150"/>
      <w:r>
        <w:rPr>
          <w:rtl w:val="true"/>
        </w:rPr>
        <w:t>أسباب قول بعض الإلهیّین بالجبر</w:t>
      </w:r>
      <w:bookmarkEnd w:id="151"/>
    </w:p>
    <w:p>
      <w:pPr>
        <w:pStyle w:val="BookText"/>
        <w:rPr/>
      </w:pPr>
      <w:r>
        <w:rPr>
          <w:rFonts w:ascii="IRNazanin" w:hAnsi="IRNazanin" w:eastAsia="IRNazanin"/>
          <w:color w:val="111111"/>
          <w:sz w:val="28"/>
          <w:sz w:val="28"/>
          <w:szCs w:val="28"/>
          <w:rtl w:val="true"/>
          <w:lang w:bidi="fa-IR"/>
        </w:rPr>
        <w:t>لیس هناک أکثر من عامِلَین اثنین دَفعا بعضَ الموحّدین إلی التمسک بعقیدة الجبر،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الخالقیّة، حیث إنّ هذا الأمر یستوجب أن لا نؤمن بأکثر من مؤثّرٍ واحدٍ فی الکون،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المؤثّرات والآثار مستندةٌ إلی الله تبارک وتعالی؛ أی أنّه خالقٌ لجمیعِ الأشیاء بلا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التقدیرَ ومصیرَ الإنسان، یعنی أنّ جمیعَ الشرائع السماویّة قد اتّفقت کلِمتها، علی أنّ مسار الحیاة لکلّ فردٍ تمّ تعیینُه مُسبقاً؛ حیث سعی بعضُ الشعراء الغاوین والمُنهزمین من مسرح الحیاة والمنهمکین فی الفساد إلی تبریرِ فسادهم، وتوجیه فشَلهم الاجتماعیّ، عن طریق التشبّث بهذا الرأی، وإظهار أنّه مُستفادٌ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کما أنّ مضمون الآیات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الزمر،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غافر، تصبّ فی هذا الإطار أیضاً؛ بمعنی أنّه لو کان أصل التوحید فی الخالقیّة ثابتاً، وأنّ الله تعالی خالقٌ لجمیع الأشیاء فی الکون، فأفعال الإنسان من جملة تلک الأشیاء، فیکون الخالق لها هو الله أیضاً، ویکون الإنسان مجبوراً فی أدائها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دَحض هذه النظریّة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علی المفسدتَین السابقتین اللتین نتَجتا عن القول بهذه النظریّة، یوجب إنکار الاختیار لدی الإنسان سُقوط القِیَم والأُصول کافّة؛ وبالتالی، لا یکون ثمّة فرق بین الإنسان المُحسن والمُسیء، بل یتساوی الجمیع؛ إذ لا أحد منهم یقوم بعمله وهو مختار، وإنّما هو خاضعٌ لسلسلةٍ من العوامل الغامضة المرئیّة وغیر</w:t>
      </w:r>
      <w:bookmarkStart w:id="152" w:name="pg5457_39126"/>
    </w:p>
    <w:p>
      <w:pPr>
        <w:pStyle w:val="BookText"/>
        <w:rPr/>
      </w:pPr>
      <w:bookmarkEnd w:id="152"/>
      <w:r>
        <w:rPr>
          <w:rFonts w:ascii="IRNazanin" w:hAnsi="IRNazanin" w:eastAsia="IRNazanin"/>
          <w:color w:val="111111"/>
          <w:sz w:val="28"/>
          <w:sz w:val="28"/>
          <w:szCs w:val="28"/>
          <w:rtl w:val="true"/>
          <w:lang w:bidi="fa-IR"/>
        </w:rPr>
        <w:t>المرئیّة، فهی التی تسوقه باتّجاه الأعمال الصالحة تارةً، والطالحة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الآخر علی هذه النظریّة، هو أنّ الإنسان العاصی یَندم علی عملِه بعد مدّةٍ من الزمَن، فلو لم یکن للاختیار والحریّة مجالٌ، لا معنی للندَم عندئذ</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53" w:name="__RefHeading___Toc1994112_581953129"/>
      <w:bookmarkStart w:id="154" w:name="_Toc58"/>
      <w:bookmarkEnd w:id="153"/>
      <w:r>
        <w:rPr>
          <w:rtl w:val="true"/>
        </w:rPr>
        <w:t>نظریّة التفویض</w:t>
      </w:r>
      <w:bookmarkEnd w:id="154"/>
    </w:p>
    <w:p>
      <w:pPr>
        <w:pStyle w:val="BookText"/>
        <w:rPr/>
      </w:pPr>
      <w:r>
        <w:rPr>
          <w:rFonts w:ascii="IRNazanin" w:hAnsi="IRNazanin" w:eastAsia="IRNazanin"/>
          <w:color w:val="111111"/>
          <w:sz w:val="28"/>
          <w:sz w:val="28"/>
          <w:szCs w:val="28"/>
          <w:rtl w:val="true"/>
          <w:lang w:bidi="fa-IR"/>
        </w:rPr>
        <w:t xml:space="preserve">فی مقابل القائلین بالجبر، أمعنت طائفةٌ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الحفاظ علی العدل الإلهیّ فی مسألة اختیار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الأفعال إلی الإنسان، حتّی أنکَرت تأثیر جمیع المؤثّرات الأخری، بما فیها الله تعالی، علی حریّة الإنسان فی التصرّف، فاعتبروا تلک المؤثّرات مستقلّةً فی الإیجاب والتأثیر علی الخلق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ذهب کلٌّ من ابن سینا والعلاّمة الحلیّ، إلی أنّ هذه الطائفة لا تأبه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قادرٌ علی الاستمرار فی وجودهِ حتّی علی فرض عدم وجود الله؛ لأنّ العالَم إنّما یحتاج إلی الخالق فی أصل الحدوث والإیجاد، وقد زالت تلک الحاجة بأصل الإنشاء والإحداث، ولم تَعُد هناک حاجةٌ إلی الخالق فی البقاء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هذه الطائفة مقام الله بالنسبة إلی العالم کالبنّاء بالنسبة إلی البِناء، فقال العلاّمة الحلیّ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قومٌ غیرُ محقّقین إلی أنّ احتیاج الأثر إلی المؤثّر، إنّما هو آنَ حدوثه، فإذا أوجد الفاعل الفعل استغنی الفعل عنه، فجاز بقاؤه بعده، وتمثّلوا فی ذلک بالبناء الباقی بعد البنّاء، وغیره من الآثار</w:t>
      </w:r>
      <w:r>
        <w:rPr>
          <w:rFonts w:eastAsia="IRNazanin" w:cs="IRNazanin"/>
          <w:color w:val="111111"/>
          <w:sz w:val="28"/>
          <w:szCs w:val="28"/>
          <w:rtl w:val="true"/>
          <w:lang w:bidi="fa-IR"/>
        </w:rPr>
        <w:t>».</w:t>
      </w:r>
      <w:r>
        <w:rPr>
          <w:rStyle w:val="FootnoteAnchor"/>
          <w:rtl w:val="true"/>
        </w:rPr>
        <w:footnoteReference w:id="82"/>
      </w:r>
      <w:bookmarkStart w:id="155" w:name="pg5457_39127"/>
    </w:p>
    <w:p>
      <w:pPr>
        <w:pStyle w:val="Heading3"/>
        <w:numPr>
          <w:ilvl w:val="2"/>
          <w:numId w:val="1"/>
        </w:numPr>
        <w:rPr/>
      </w:pPr>
      <w:bookmarkStart w:id="156" w:name="__RefHeading___Toc1994114_581953129"/>
      <w:bookmarkStart w:id="157" w:name="_Toc59"/>
      <w:bookmarkEnd w:id="155"/>
      <w:bookmarkEnd w:id="156"/>
      <w:r>
        <w:rPr>
          <w:rtl w:val="true"/>
        </w:rPr>
        <w:t>نتائج هذه النظریّة</w:t>
      </w:r>
      <w:bookmarkEnd w:id="15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الإشراک بالله تعالی؛ بمعنی أنّ الإنسان لو قال بأصالة العِلَل الطبیعیّة فی الکون، وذهَب إلی أنّ العالم لیس محتاجاً فی بقائه إلی الأسباب والعِلَل، وأنّ مظاهر الکون مستقلّةٌ وأصیلة بصورةٍ کاملة، وغنیّة عن غیرها تماماً؛ فهذا هو الشرک؛ لأنّ لازم هذا الکلام أنّ النظام بعد اکتسابه الوجود والحدوث یُصبح واجب الوجود، شأنُه فی ذلک شأن الله، فیدیر نفسه بنفسه، ویقوم بأعماله دون الاعتماد علی مبدءٍ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وجود الله وقدرته؛ بمعنی أنّه حینما تکون أفعالُ الإنسان مرتبطةً بالإنسان نفسه، ولا دورَ لقدرة الله وإرادته فی هذا الأمر، فلا بدّ من أن تکون خارجة عن مجالِ الإرادة والمشیّة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یتمّ إنکار عمومیّة القدرة الإلهیّة، بل أکثر من ذلک، یؤول الأمر إلی تحدید وتقیید الذات الإلهیّة أیضاً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الآثار التربویّة السیّئة؛ ذلک أنّ الإنسان حینما یری نفسه غنیّاً عن الله، یُعرِض عن القوانین، ویَنأی بجانبه عن الضوابط والالتزامات الأُخری، ولا یفکّر فی شیء حینئذ سوی بإشباع رغباته وأهوائه ومیوله الشخصیّة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الإِنسانَ لَیَطغی أَن رَآهُ استَغنی</w:t>
      </w:r>
      <w:r>
        <w:rPr>
          <w:rFonts w:eastAsia="Amiri" w:cs="Amiri" w:ascii="Amiri" w:hAnsi="Amiri"/>
          <w:color w:val="111111"/>
          <w:sz w:val="28"/>
          <w:szCs w:val="28"/>
          <w:rtl w:val="true"/>
          <w:lang w:bidi="ar-SA"/>
        </w:rPr>
        <w:t>) .</w:t>
      </w:r>
      <w:r>
        <w:rPr>
          <w:rStyle w:val="FootnoteAnchor"/>
          <w:rtl w:val="true"/>
        </w:rPr>
        <w:footnoteReference w:id="83"/>
      </w:r>
      <w:r>
        <w:rPr>
          <w:rFonts w:ascii="Amiri" w:hAnsi="Amiri" w:eastAsia="Amiri" w:cs="Amiri"/>
          <w:color w:val="111111"/>
          <w:sz w:val="28"/>
          <w:sz w:val="28"/>
          <w:szCs w:val="28"/>
          <w:rtl w:val="true"/>
          <w:lang w:bidi="ar-SA"/>
        </w:rPr>
        <w:t>وأمّا لو اعتبر الإنسان نفسَه مدیناً فی وجوده إلی الله، ومحتاجاً إلی المَعین الإلهیّ الذی لا ینضب، یری أنّ کلّ شیء من الله، ویسعی لإرضائه من خلال رعایة القوانین، وتطبیقها امتثالاً لأوامره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w:t>
      </w:r>
      <w:r>
        <w:rPr>
          <w:rStyle w:val="FootnoteAnchor"/>
          <w:rtl w:val="true"/>
        </w:rPr>
        <w:footnoteReference w:id="84"/>
      </w:r>
      <w:bookmarkStart w:id="158" w:name="pg5457_39128"/>
    </w:p>
    <w:p>
      <w:pPr>
        <w:pStyle w:val="Heading3"/>
        <w:numPr>
          <w:ilvl w:val="2"/>
          <w:numId w:val="1"/>
        </w:numPr>
        <w:rPr/>
      </w:pPr>
      <w:bookmarkStart w:id="159" w:name="__RefHeading___Toc1994116_581953129"/>
      <w:bookmarkStart w:id="160" w:name="_Toc60"/>
      <w:bookmarkEnd w:id="158"/>
      <w:bookmarkEnd w:id="159"/>
      <w:r>
        <w:rPr>
          <w:rtl w:val="true"/>
        </w:rPr>
        <w:t>النظریّة الثالثة</w:t>
      </w:r>
      <w:r>
        <w:rPr>
          <w:rtl w:val="true"/>
        </w:rPr>
        <w:t xml:space="preserve">: </w:t>
      </w:r>
      <w:r>
        <w:rPr>
          <w:rtl w:val="true"/>
        </w:rPr>
        <w:t>الأمرُ بین الأمرَین</w:t>
      </w:r>
      <w:bookmarkEnd w:id="160"/>
    </w:p>
    <w:p>
      <w:pPr>
        <w:pStyle w:val="BookText"/>
        <w:rPr/>
      </w:pPr>
      <w:r>
        <w:rPr>
          <w:rFonts w:ascii="IRNazanin" w:hAnsi="IRNazanin" w:eastAsia="IRNazanin"/>
          <w:color w:val="111111"/>
          <w:sz w:val="28"/>
          <w:sz w:val="28"/>
          <w:szCs w:val="28"/>
          <w:rtl w:val="true"/>
          <w:lang w:bidi="fa-IR"/>
        </w:rPr>
        <w:t>هذه النظریّة من مبتکرات الأئمّة الهُداة علیهم السلام، وقد سعی الحُکَماء والمتکلّمون المنتمون إلی هذه الطائفة، إلی إنضاج وتعمیم هذا القول دائماً، ذاهبین إلی أنّه من أعظم ابتکارات الأئمّة الأطهار من أهل البیت علیهم السلام فی تاریخ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الرؤیة، تذهب إلی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للنباتات والحیوانات السجینة فی زنزانة القوی الحیوانیّة الطبیعیّة والغریزیّة، وعلی طرَفَی نقیضٍ، مع القول الذی یُفوّض أعمال الإنسان إلی الإنسان نفسه، الذی یُخرج الأفعال البشریّة عن دائرة العلم والمشیّة والقدرة الإلهیّة، وخلافاً للرؤیة المعطّلة للعقل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الإفادة من جمیع قواه الداخلیّة والخارجیّة، فضلاً عن الغرائز المودعة فیه، بصورة معقولة ومنطقیّة، واستخدامها فی مواصلة الحیاة والعمل الدؤوب؛ وفی الوقت ذاته، لا یَغفلُ ولا یُذهَل لحظةً واحدةًَ عن الخالق الباریء، الذی منح الوجود له وللعالَم بأسره، فبقیَت تربطه به صلةٌ وثیقة</w:t>
      </w:r>
      <w:r>
        <w:rPr>
          <w:rFonts w:eastAsia="IRNazanin" w:cs="IRNazanin"/>
          <w:color w:val="111111"/>
          <w:sz w:val="28"/>
          <w:szCs w:val="28"/>
          <w:rtl w:val="true"/>
          <w:lang w:bidi="fa-IR"/>
        </w:rPr>
        <w:t>.</w:t>
      </w:r>
    </w:p>
    <w:p>
      <w:pPr>
        <w:pStyle w:val="Heading3"/>
        <w:numPr>
          <w:ilvl w:val="2"/>
          <w:numId w:val="1"/>
        </w:numPr>
        <w:rPr/>
      </w:pPr>
      <w:bookmarkStart w:id="161" w:name="__RefHeading___Toc1994118_581953129"/>
      <w:bookmarkStart w:id="162" w:name="_Toc61"/>
      <w:bookmarkEnd w:id="161"/>
      <w:r>
        <w:rPr>
          <w:rtl w:val="true"/>
        </w:rPr>
        <w:t>شرح هذه النظریّة فی عدّة نقاط</w:t>
      </w:r>
      <w:bookmarkEnd w:id="1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حاجةَ المعلول إلی العلّة غیرُ مقصورةٍ علی حالةِ الحدوث والتحقّق والإیجاد فقط؛ ذلک أنّ نظام العالَم، ومنه الإنسان، نظامٌ إمکانیٌّ، والنظام الإمکانیّ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فهو محتاجٌ إلی العِلّة فی جمیع مراحل عُمُره، لا فی أصل الوجود والحدوث؛ فعلی سبیل المثال، الغرفة المظلمة تُضاء بالضغط علی زرّ الکهرباء،، وإنارة المصباح الکهربائیّ إنّما هی لأجل التیّار الکهربائیّ الساری فی الأسلاک، والذی یستمدّ وجوده من جهاز المولّد الکهربائیّ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الحاجة لیست حاجةً آنیّةً ومحدودة، بل هی حاجةٌ مستمرّةٌ ومداومة؛ والدلیل علی ذلک أنّ الظلام سیعمّ الغُرفة ما إن ینقطع الارتباط بین المصباح وبین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حاجة العالم والإنسان والموجودات الطبیعیّة کافّة إلی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تبعاً له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نظام إمکانیّ محتاج من جمیع الجهات إلی المبدأ الأزَلیّ، وغیرُ مالکٍ لأدنی مقوّمات الاستقلال فی ذاته؛ غیر أنّه فی الوقت نفسه، یوجد فی صُلب هذا النظام مراتبٌ ودرجات مختلفة للکائنات، بحیث یکون بعضها علّةً للبعض الآخر، وبعضها معلولاً لغیره، ومجموع النظام مرتبط بعِلّة العِلَل ومُسبّب الأسباب؛ فلیس أثرُ کلّ موجودٍ من الموجودات أثراً مباشراً لفعلِ الله تعالی، بل هناک سلسلةٌ من العِلَل والأسباب</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وعلی هذا الأساس، قال الإمام أبو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 بأسبابٍ؛ فجعلَ لکلِّ شیءٍ سبباً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کموجودٍ مختارٍ وقادرٍ علی اتّخاذ القرار الذی یَشاء، ومُنح لأجل تحقیق مطالبه وتلبیة احتیاجاته، قوّة للتشخیص والتمییز؛ فهو یمتلک تمام الاختیار والبصیرة والاطّلاع والحساب، کما أنّه حرّ فی ترجیح طرفٍ علی آخر، واختیار الأنسَب؛ بمعنی أنّ هذا الکائن مرتبطٌ بموجود أسمی وأرفع، وفی الوقت ذاته، هو عالم وقادر ومختار لما یرتأی ویرغب، من دون أن تؤثّر علیه قوّةٌ من الخارج أو الداخل، أو تضغط علیه وتجبره علی اختیارِ طرفٍ علی حساب طرفٍ آخر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الالتفات إلی النقاط الآنفة، تتّضح حقیقة الأمر بین الأمرین؛ بحیث یکون الإنسان بحکم الأمر الأوّل محتاجاً إلی الله تعالی حاجةً متواصلة ومستمرّة، ویتحقّق فی هذه الحالة التوحید فی الخالقیّة؛</w:t>
      </w:r>
    </w:p>
    <w:p>
      <w:pPr>
        <w:pStyle w:val="BookText"/>
        <w:rPr/>
      </w:pPr>
      <w:r>
        <w:rPr>
          <w:rFonts w:ascii="Amiri" w:hAnsi="Amiri" w:eastAsia="Amiri" w:cs="Amiri"/>
          <w:color w:val="111111"/>
          <w:sz w:val="28"/>
          <w:sz w:val="28"/>
          <w:szCs w:val="28"/>
          <w:rtl w:val="true"/>
          <w:lang w:bidi="ar-SA"/>
        </w:rPr>
        <w:t>لأنّ وجودَ کلِّ فاعلٍ مُمکن، وتأثیره فی عملٍ ما، بنفسه یمثّل جانباً من قُدرة الباری عزّ وجلّ، والموجود الممکن محتاج إلی مبدأ الوجود وقُدرته الواسِعة وجوداً وبقاءً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الأمر الثانی فقد اعتُبِر النظام الإمکانیّ نظاماً عِلّیاً ومعلولیّاً؛ أی من غیر الصحیح أن نعزو جمیعَ الأعمال والأفعال والآثار إلی الله بصورةٍ مباشرة، بل الله جلّ وعلا هو العلّة الأصلیّة، وهو مبدأ جمیع العِلَل والقدرات، وتأثیر وإبداع العوامل والعِلَل الأُخری إنّما هو فی امتداد إبداعه تعالی؛ لکن، ممّا لا یتخلّله الشکّ والشبهة، هو التأثیر الخاصّ لکلّ علّةٍ وأثرٍ طبیعیّ؛ فمثلاً، لا ینبغی التردّد فی تأثیر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الثالث فرَزَ بین الإنسان والفواعل الأُخری؛ إذ أنّ الموجود فی الفواعل الأخری لا یعدو الانتساب، کالإحراق فی النّار، ولا یمتلک الاختیار والحریّة، فلا یصحّ اعتباره مسؤولاً عن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الإنسان، فلمّا کان مختاراً وحُرّاً وقادراً علی حساب الأُمور،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انتساب الفعل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 عن أعماله، ویتحمّل المسؤولیّة ونتائج أفعاله فی مجالِ الأخلاق والاجتماع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یتمّ الحفاظ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أیّ إشکال علیه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الناحیة الفلسفیّة فلهذا الفعل 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الله تعالی؛ لأنّه خالق الکون والإنسان وکلّ ما فی الوجود، ونسبة إلی المخلوق؛ لأنّه هو من یقرّر، ویستخدم القوی الفطریّة المودعة فیه فی إنجاز أعماله، وتحقیق نوایاه، فی ضوء الاختیار الذی یتمتّع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وبرغم أنّ الفعل منسوب إلی الطرفین، فإنّ للعمل علّةً تامّةً، یجب بها وجوده، وهی إرادة الإنسان، وسلامة أدوات العمل منه، ووجود مادّة قابلة للعمل، والزمان، والمکان، وعدم الموانع والعوائق، إلی غیر ذلک؛ فإذا اجتمعت وتمّت وکمُلَت، کان ثبوت العمل ضروریّاً؛ فللعمل إلیها نسبة هی نسبة الوجوب، وله إلی کلّ واحد من أجزاء علّته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w:t>
      </w:r>
    </w:p>
    <w:p>
      <w:pPr>
        <w:pStyle w:val="BookText"/>
        <w:rPr/>
      </w:pPr>
      <w:r>
        <w:rPr>
          <w:rFonts w:ascii="IRNazanin" w:hAnsi="IRNazanin" w:eastAsia="IRNazanin"/>
          <w:color w:val="111111"/>
          <w:sz w:val="28"/>
          <w:sz w:val="28"/>
          <w:szCs w:val="28"/>
          <w:rtl w:val="true"/>
          <w:lang w:bidi="fa-IR"/>
        </w:rPr>
        <w:t xml:space="preserve">إرادة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هی نسبة الإمکان؛ فإنّ العمل لا یجب وجوده بمجرّد تحقّق الإرادة فقط، بل یمکن، وإنّما یجب لو انضمّت إلیه بقیّة أجزاء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المتحقّق بضرورة العلّة التامّة، فی عین هذا الحال، له نسبة الوجوب إلی مجموع العلّة التامّة، ونسبة الإمکان إلی إرادة الانسان، ولا تُبطل نسبته الوجوبیّة إلی العلّة التامّة نسبته الإمکانیة إلی إراده الإنسان، ولا تقلبها عن الإمکان إلی الضرورة، بل نسبةُ العملِ إلی الإنسان بالإمکان دائماً، کما أنّ نسبتَه إلی المجموع الحاصل من الإنسان وبقیّة أجزاء العلّة التامّة بالوجوب دائماً، وطرفا الفعل والترک متساویان بالنّسبة إلی الإنسان أبداً، کما أنّ أحد الطرفین من الفعل والترک متعیّن بالنظر إلی العلّة التامّة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وینتج، أنّ الفعلَ اختیاریٌّ للإنسان، فی عین أنّه لا یخلو فی وجوده عن علّة تامّة موجبة له، والقضاء الحتم من صفاته تعالی الفعلیّة، منتزع عن مقام الفعل، وهو سلسلة العلل المترتّبة بحسب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تعلّق عِلمُه تعالی بأنّ إنساناً ما سیشقی بکفره اختیاریّاً، فإنّ ذلک یستوجب تحقّق الشقوة التی عن الکفر، دون الشقوة المطلقة، سَواء کان هناک کفر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أنّ علمه تعالی بعمل الإنسان لا یستوجب بطلان الاختیار، وثبوت الإجبار، وإن کان معلومه تعالی لا یتخلّف عن عِلمه</w:t>
      </w:r>
      <w:r>
        <w:rPr>
          <w:rFonts w:eastAsia="IRNazanin" w:cs="IRNazanin"/>
          <w:color w:val="111111"/>
          <w:sz w:val="28"/>
          <w:szCs w:val="28"/>
          <w:rtl w:val="true"/>
          <w:lang w:bidi="fa-IR"/>
        </w:rPr>
        <w:t>.</w:t>
      </w:r>
      <w:r>
        <w:rPr>
          <w:rStyle w:val="FootnoteAnchor"/>
          <w:rtl w:val="true"/>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الحسن الرّضا علیه السلام، وقد ذُکر عنده الجبر والتفویض،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أُعطیکم فی هذا أصلاً لا تختلفون فیه، ولا تُخاصِمون علیه أحداً إلاّ کسرتموه؟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یُطَع بإکراه، ولم یُعصَ بغلَبة، ولم یَهمل العِباد فی مُلکه، هو المالک لِما ملّکهم، والقادرُ علی ما أقدَرهم علیه؛ فإن ائتمر العبادُ بطاعته لم یکن الله عنها صادّاً، ولا منها مانعاً، وإن</w:t>
      </w:r>
      <w:bookmarkStart w:id="163" w:name="pg5457_39132"/>
    </w:p>
    <w:p>
      <w:pPr>
        <w:pStyle w:val="BookText"/>
        <w:rPr/>
      </w:pPr>
      <w:bookmarkEnd w:id="163"/>
      <w:r>
        <w:rPr>
          <w:rFonts w:ascii="IRNazanin" w:hAnsi="IRNazanin" w:eastAsia="IRNazanin"/>
          <w:color w:val="111111"/>
          <w:sz w:val="28"/>
          <w:sz w:val="28"/>
          <w:szCs w:val="28"/>
          <w:rtl w:val="true"/>
          <w:lang w:bidi="fa-IR"/>
        </w:rPr>
        <w:t>ائتمروا بمعصیته، فشاءَ أن یَحول بینهم وبین ذلک فعَلَ، وإن لم یحُل وفعَلوه، فلیس هو الذی أدخلَهم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یضبط حدودَ هذا الکلام فقد خصَم مَن خالَفه</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164" w:name="__RefHeading___Toc1994120_581953129"/>
      <w:bookmarkStart w:id="165" w:name="_Toc62"/>
      <w:bookmarkEnd w:id="164"/>
      <w:r>
        <w:rPr>
          <w:rtl w:val="true"/>
        </w:rPr>
        <w:t>مصادر للمطالعة</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صدرا، ط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گرجیان، قضاء وقدر، جبر واختیار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والقدر، الجبر والاختیار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النشر التابعة لجامعة المدرّسین فی حوزة قم العلمیّة،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6" w:name="__RefHeading___Toc1994122_581953129"/>
      <w:bookmarkStart w:id="167" w:name="_Toc63"/>
      <w:bookmarkEnd w:id="166"/>
      <w:r>
        <w:rPr>
          <w:rtl w:val="true"/>
        </w:rPr>
        <w:t>الحدیث الختامیّ</w:t>
      </w:r>
      <w:r>
        <w:rPr>
          <w:rtl w:val="true"/>
        </w:rPr>
        <w:t>:</w:t>
      </w:r>
      <w:bookmarkEnd w:id="167"/>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بِقَضائی وَلَم یُؤمِن بِقَدَری فَلیَلتَمِس إلهاً غَیری</w:t>
      </w:r>
      <w:r>
        <w:rPr>
          <w:rFonts w:eastAsia="Amiri" w:cs="Amiri" w:ascii="Amiri" w:hAnsi="Amiri"/>
          <w:color w:val="111111"/>
          <w:sz w:val="28"/>
          <w:szCs w:val="28"/>
          <w:rtl w:val="true"/>
          <w:lang w:bidi="ar-SA"/>
        </w:rPr>
        <w:t>».</w:t>
      </w:r>
      <w:r>
        <w:rPr>
          <w:rStyle w:val="FootnoteAnchor"/>
          <w:rtl w:val="true"/>
        </w:rPr>
        <w:footnoteReference w:id="89"/>
      </w:r>
      <w:bookmarkStart w:id="168" w:name="pg5457_39133"/>
    </w:p>
    <w:p>
      <w:pPr>
        <w:pStyle w:val="Heading2"/>
        <w:numPr>
          <w:ilvl w:val="1"/>
          <w:numId w:val="1"/>
        </w:numPr>
        <w:rPr/>
      </w:pPr>
      <w:bookmarkStart w:id="169" w:name="__RefHeading___Toc1994124_581953129"/>
      <w:bookmarkStart w:id="170" w:name="_Toc64"/>
      <w:bookmarkEnd w:id="168"/>
      <w:bookmarkEnd w:id="169"/>
      <w:r>
        <w:rPr>
          <w:rtl w:val="true"/>
        </w:rPr>
        <w:t>اختیار الإنسان والتأثیر الوراثیّ</w:t>
      </w:r>
      <w:bookmarkEnd w:id="170"/>
    </w:p>
    <w:p>
      <w:pPr>
        <w:pStyle w:val="Heading3"/>
        <w:numPr>
          <w:ilvl w:val="2"/>
          <w:numId w:val="1"/>
        </w:numPr>
        <w:rPr/>
      </w:pPr>
      <w:bookmarkStart w:id="171" w:name="__RefHeading___Toc1994126_581953129"/>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الإنسانُ مختاراً فی أعماله بشکلٍ کامل، فأین هو مِن تأثیر العوامل الوراثیّة والبیئة؟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تعتبر مسألةُ الجبر والاختیار من المسائل العویصة التی أثارت جدَلاً واسعاً، وتمّ التعرّض لها بکثرة علی مرّ التاریخ؛ فلا شکّ فی أنّ من کان معتقداً بالاختیار یتصّرف بطریقةٍ مغایرةٍ لمن یؤمن بالجبر، ومع أنّ هذا الموضوع ذو طابع ومنحی فلسفیّ وکلامیّ، إلاّ أنّه الیوم یُنظَر إلیه من زاویةِ مبحث علم النفس والعلوم التربویّة، ویُبحث من منظار مدی تأثیر البیئة والوراثة فی هذا الموضوع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الإطار، ذهب أصحاب بعض المذاهب النفسیّة؛ نحو السلوکیّین والروحیّین وغیرهم إلی تأثیر البیئة والوراثة فی الإنسان بشکل کامل، ویفترضون أنّه کالآلة التی لا تمتلک أیّ لون من الإرادة والاختیار، فیجب علیه أن یقول ما یُملیه علیه المُتربّع علی عرش الأزَل، فهم یرون أنّ الإنسان فاقد للإرادة مطلقاً، وتابع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العوامل الفسلجیّة</w:t>
      </w:r>
      <w:bookmarkStart w:id="173" w:name="pg5457_39134"/>
    </w:p>
    <w:p>
      <w:pPr>
        <w:pStyle w:val="BookText"/>
        <w:rPr/>
      </w:pPr>
      <w:bookmarkEnd w:id="173"/>
      <w:r>
        <w:rPr>
          <w:rFonts w:ascii="IRNazanin" w:hAnsi="IRNazanin" w:eastAsia="IRNazanin"/>
          <w:color w:val="111111"/>
          <w:sz w:val="28"/>
          <w:sz w:val="28"/>
          <w:szCs w:val="28"/>
          <w:rtl w:val="true"/>
          <w:lang w:bidi="fa-IR"/>
        </w:rPr>
        <w:t>والبیئیّة، التی تتقاذفه کیفما وأینما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الأمر، وما مدی تأثیر العوامل البیئیّة والوارثیّة علی مصیر الإنسان، وإلی أیّ حدّ یمکن الموافقة علی ذلک؟</w:t>
      </w:r>
    </w:p>
    <w:p>
      <w:pPr>
        <w:pStyle w:val="BookText"/>
        <w:rPr/>
      </w:pPr>
      <w:r>
        <w:rPr>
          <w:rFonts w:ascii="IRNazanin" w:hAnsi="IRNazanin" w:eastAsia="IRNazanin"/>
          <w:color w:val="111111"/>
          <w:sz w:val="28"/>
          <w:sz w:val="28"/>
          <w:szCs w:val="28"/>
          <w:rtl w:val="true"/>
          <w:lang w:bidi="fa-IR"/>
        </w:rPr>
        <w:t>من المسلّم به، وکما اعترف به الکثیرون، أنّ للبیئة والوراثة تأثیراً عمیقاً علی الإنسان؛ لکنّ ذلک لا یبلغ مبلغ سلب الإرادة والاختیار عن الإنسان، کما علیه رأی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آیة الله جعفر السبحانیّ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تأثیرِ هذه العوامل فی تکوینِ الشخصیّة؛ ولکن، لیس تأثیرهُا إلی درجةٍ یسلب الاختیار من الإنسان</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74" w:name="__RefHeading___Toc1994128_581953129"/>
      <w:bookmarkStart w:id="175" w:name="_Toc66"/>
      <w:bookmarkEnd w:id="174"/>
      <w:r>
        <w:rPr>
          <w:rtl w:val="true"/>
        </w:rPr>
        <w:t>الخلفیّة التاریخیّة</w:t>
      </w:r>
      <w:bookmarkEnd w:id="175"/>
    </w:p>
    <w:p>
      <w:pPr>
        <w:pStyle w:val="BookText"/>
        <w:rPr/>
      </w:pPr>
      <w:r>
        <w:rPr>
          <w:rFonts w:ascii="IRNazanin" w:hAnsi="IRNazanin" w:eastAsia="IRNazanin"/>
          <w:color w:val="111111"/>
          <w:sz w:val="28"/>
          <w:sz w:val="28"/>
          <w:szCs w:val="28"/>
          <w:rtl w:val="true"/>
          <w:lang w:bidi="fa-IR"/>
        </w:rPr>
        <w:t>إنّ أساس هذا البحث ورَد من الفلسفة؛ لکنّ ازدهار العلوم التجریبیّة، أو انتشار مفهوم العلمویّة فی العالَم استوجب تصوّر الإنسان کالآلة الفاقدة للإرادة والاختیار، وأنّه محکومٌ للبیئة والوراثة والعوامل الأُخری التی تحدّد له مصیره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الجذور التاریخیّة للبحث موجودة فی الکلام والفلسفة من جِهة، وفی علم النفس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المجال الکلامیّ، قال الشهید مطهّریّ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البحوث الکلامیّة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مُستفادٌ من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النصف الثانی من القرن الهجریّ الأوّل، ومن بین البحوث الکلامیّة المختلفة، یبدو أنّ بحث الجبر والاختیار من أقدمها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أنّ مسألةَ الجبر والاختیار بالدرجة الأُولی مسألةٌ إنسانیّة، وبالدرجة الثانیة مسألةٌ إلهیّةٌ أو طبیعیّة؛ ذلک أنّ موضوع البحث فیها علی، کلّ حال، هو الإنسان، هل هو مختارٌ أم مجبور؟ وهو موضوع إنسانیّ، هذا من جهة، ومن جهةٍ أُخری، فإنّ الطرَف الآخر فی المسألة هو الله أو الطبیعة، وهل أنّ الإرادة والمشیّة،</w:t>
      </w:r>
      <w:bookmarkStart w:id="176" w:name="pg5457_39135"/>
    </w:p>
    <w:p>
      <w:pPr>
        <w:pStyle w:val="BookText"/>
        <w:rPr/>
      </w:pPr>
      <w:bookmarkEnd w:id="176"/>
      <w:r>
        <w:rPr>
          <w:rFonts w:ascii="Amiri" w:hAnsi="Amiri" w:eastAsia="Amiri" w:cs="Amiri"/>
          <w:color w:val="111111"/>
          <w:sz w:val="28"/>
          <w:sz w:val="28"/>
          <w:szCs w:val="28"/>
          <w:rtl w:val="true"/>
          <w:lang w:bidi="ar-SA"/>
        </w:rPr>
        <w:t>والقضاء والقدَر الإلهیّ، هی التی جعَلَت الإنسانَ مختاراً أو مجبوراً، أو أنّ العوامِل الجبریة والنظام العِلّی والمعلولی هی التی جعلَته کذالک؟ فهی إمّا مسألة إلهیّة أو طبیعیّة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هذا البحث ممّا یتبادر إلی ذِهن کلّ إنسان، سَواء کان التفکیر الحاکم علیه مادیّاً أم إلهیّاً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یؤمن بوجود الله تعالی، یحاول نسبة هذا العمل إلی الطبیعة أو العوامل الأُخری، کالبیئة والمحیط والوراثة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والاستعاضة بها عن الباری عزّ وجلّ، سَواء کانت هذه العوامل نابعة من داخل الإنسان، کالأفعال والانفعالات الکیمیاویّة للبدَن، أم مفروضة علیه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المدیر للکون، وصاحب القرار فی علم الکلام، هو الله جلّ وعلا، یُطرح البحث هنا حول علم الله ومدی تأثیره علی الإنسان؛ فی حین أنّ هذا البحث ینحو فی أوساط العلماء التجریبیّین وعلماء المادةّ والطبیعة منحی آخر، ویدور مدار البیئة والوراثة</w:t>
      </w:r>
      <w:r>
        <w:rPr>
          <w:rFonts w:eastAsia="IRNazanin" w:cs="IRNazanin"/>
          <w:color w:val="111111"/>
          <w:sz w:val="28"/>
          <w:szCs w:val="28"/>
          <w:rtl w:val="true"/>
          <w:lang w:bidi="fa-IR"/>
        </w:rPr>
        <w:t>.</w:t>
      </w:r>
    </w:p>
    <w:p>
      <w:pPr>
        <w:pStyle w:val="Heading3"/>
        <w:numPr>
          <w:ilvl w:val="2"/>
          <w:numId w:val="1"/>
        </w:numPr>
        <w:rPr/>
      </w:pPr>
      <w:bookmarkStart w:id="177" w:name="__RefHeading___Toc1994130_581953129"/>
      <w:bookmarkStart w:id="178" w:name="_Toc67"/>
      <w:bookmarkEnd w:id="177"/>
      <w:r>
        <w:rPr>
          <w:rtl w:val="true"/>
        </w:rPr>
        <w:t>مفهوم الجبر والاختیار</w:t>
      </w:r>
      <w:bookmarkEnd w:id="178"/>
    </w:p>
    <w:p>
      <w:pPr>
        <w:pStyle w:val="BookText"/>
        <w:rPr/>
      </w:pPr>
      <w:r>
        <w:rPr>
          <w:rFonts w:ascii="Amiri" w:hAnsi="Amiri" w:eastAsia="Amiri" w:cs="Amiri"/>
          <w:color w:val="111111"/>
          <w:sz w:val="28"/>
          <w:sz w:val="28"/>
          <w:szCs w:val="28"/>
          <w:rtl w:val="true"/>
          <w:lang w:bidi="ar-SA"/>
        </w:rPr>
        <w:t>الجَبر لغةً علی ما ذکر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تَجبُر إنساناً علی ما لا یُرید، وتُکرِهَهُ جَبَریّة علی کذا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 وقوع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 خلاف الکسر، جَبَرَ العظم</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الاختیار لغةً فهو الاصطفاء، وکذلک التخیّر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وقال الطریحیّ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والاختیار الإصطفاء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خیّرته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فوّضت إلیه الخیار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وعلیه، فمن یملک القدرة علی الفعل والترک هو المختار؛ خلافاً للمجبور، حیث یُفرض علیه العمل من العالم العلویّ أو البیئة والعوامل الوراثیّة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الجبر والاختیار فی اصطلاح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إلی الآن بشأن الجبر والاختیار کان عبارة عن المعانی اللغویّة؛ أمّا فی اصطلاح علم النفس، نحو المباحث المطروحة فی العلوم الأخری، فالحدیث حول هل أنّ الإنسان قادر علی الإختیار واتّخاذ القرار المناسب له فی مجمل أعماله وأفعاله المختلفة، أم لا؟ 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الاختیار هنا ضرب من القدرة النفسیّة الخاصّة بالإنسان، بحیث یستطیع الشخص بموجبها الأخذ بزمام التأثیرات البیئیّة والمناخیّة، وتطویعها لصالحه، ضمن نطاق خاصّ؛ وفی نهایة المطاف، التمکّن من تحدید سلوکه ورسم مسار التقدّم والتطوّر لدیه، عن علم ودرایة واطّلاع تامّ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والجبر یقابل الإختیار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صیاغةٍ أُخری،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ماهیّة الإنسان فی مسألةِ الجبر والاختیار؟ من بین الموضوعات الجوهریّة، التی توضّح التصوّر حول ماهیّة الإنسان الرجوع إلی الجدَل القدیم بین الإرادة المختارة والمجبورة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 المنظّرون فی کِلا الجانبین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نحن قادرون علی التحکّم بمنحی أعمالنا والقیام بها بذکاء ونباهة؟</w:t>
      </w:r>
    </w:p>
    <w:p>
      <w:pPr>
        <w:pStyle w:val="BookText"/>
        <w:rPr/>
      </w:pPr>
      <w:r>
        <w:rPr>
          <w:rFonts w:ascii="IRNazanin" w:hAnsi="IRNazanin" w:eastAsia="IRNazanin"/>
          <w:color w:val="111111"/>
          <w:sz w:val="28"/>
          <w:sz w:val="28"/>
          <w:szCs w:val="28"/>
          <w:rtl w:val="true"/>
          <w:lang w:bidi="fa-IR"/>
        </w:rPr>
        <w:t>وهل قادرون بشکلٍ تلقائیٍّ ومستقلٍّ، علی اختیار جهة أَفکارنا وسُلوکنا، والعمل علی انتقائها من بین الخیارات والحلول المتاحة بصورة منطقیّة؟</w:t>
      </w:r>
    </w:p>
    <w:p>
      <w:pPr>
        <w:pStyle w:val="BookText"/>
        <w:rPr/>
      </w:pPr>
      <w:r>
        <w:rPr>
          <w:rFonts w:ascii="Amiri" w:hAnsi="Amiri" w:eastAsia="Amiri" w:cs="Amiri"/>
          <w:color w:val="111111"/>
          <w:sz w:val="28"/>
          <w:sz w:val="28"/>
          <w:szCs w:val="28"/>
          <w:rtl w:val="true"/>
          <w:lang w:bidi="ar-SA"/>
        </w:rPr>
        <w:t>هل لدینا اطّلاعٌ تامّ ویَقظةٌ کافیة، ودرجة من الإرادة الذاتیّة؟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نحن مسلّطون علی مستقبلنا، أم أنّنا ضحیّة التجارب التی الماضیة، والعوامل البیئیّة، والقوی المتّسمة بالجُمود، والمحرّکات</w:t>
      </w:r>
      <w:bookmarkStart w:id="179" w:name="pg5457_39137"/>
    </w:p>
    <w:p>
      <w:pPr>
        <w:pStyle w:val="BookText"/>
        <w:rPr/>
      </w:pPr>
      <w:bookmarkEnd w:id="179"/>
      <w:r>
        <w:rPr>
          <w:rFonts w:ascii="IRNazanin" w:hAnsi="IRNazanin" w:eastAsia="IRNazanin"/>
          <w:color w:val="111111"/>
          <w:sz w:val="28"/>
          <w:sz w:val="28"/>
          <w:szCs w:val="28"/>
          <w:rtl w:val="true"/>
          <w:lang w:bidi="fa-IR"/>
        </w:rPr>
        <w:t>الخارجیّة المختلفة، وباقی العوامل التی نفتقر إلی السیطرة الفاعلة علیها؟</w:t>
      </w:r>
    </w:p>
    <w:p>
      <w:pPr>
        <w:pStyle w:val="BookText"/>
        <w:rPr/>
      </w:pPr>
      <w:r>
        <w:rPr>
          <w:rFonts w:ascii="IRNazanin" w:hAnsi="IRNazanin" w:eastAsia="IRNazanin"/>
          <w:color w:val="111111"/>
          <w:sz w:val="28"/>
          <w:sz w:val="28"/>
          <w:szCs w:val="28"/>
          <w:rtl w:val="true"/>
          <w:lang w:bidi="fa-IR"/>
        </w:rPr>
        <w:t>أَ إنّ الحوادث الخارجیّة أسهمت فی بَلوَرة وتکوین شخصیّتنا، إلی درجةٍ لم نَعُد، معها، قادرین علی تغییر سلوکنا؟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هذه جملة من الأسئلة التی یتعذّر الردّ علیها، ما لم یحدّد الإنسان موقفه من الجبر والاختیار</w:t>
      </w:r>
      <w:r>
        <w:rPr>
          <w:rFonts w:eastAsia="IRNazanin" w:cs="IRNazanin"/>
          <w:color w:val="111111"/>
          <w:sz w:val="28"/>
          <w:szCs w:val="28"/>
          <w:rtl w:val="true"/>
          <w:lang w:bidi="fa-IR"/>
        </w:rPr>
        <w:t>.</w:t>
      </w:r>
    </w:p>
    <w:p>
      <w:pPr>
        <w:pStyle w:val="Heading3"/>
        <w:numPr>
          <w:ilvl w:val="2"/>
          <w:numId w:val="1"/>
        </w:numPr>
        <w:rPr/>
      </w:pPr>
      <w:bookmarkStart w:id="180" w:name="__RefHeading___Toc1994132_581953129"/>
      <w:bookmarkStart w:id="181" w:name="_Toc68"/>
      <w:bookmarkEnd w:id="180"/>
      <w:r>
        <w:rPr>
          <w:rtl w:val="true"/>
        </w:rPr>
        <w:t>البیئة والوراثة</w:t>
      </w:r>
      <w:bookmarkEnd w:id="181"/>
    </w:p>
    <w:p>
      <w:pPr>
        <w:pStyle w:val="BookText"/>
        <w:rPr/>
      </w:pPr>
      <w:r>
        <w:rPr>
          <w:rFonts w:ascii="IRNazanin" w:hAnsi="IRNazanin" w:eastAsia="IRNazanin"/>
          <w:color w:val="111111"/>
          <w:sz w:val="28"/>
          <w:sz w:val="28"/>
          <w:szCs w:val="28"/>
          <w:rtl w:val="true"/>
          <w:lang w:bidi="fa-IR"/>
        </w:rPr>
        <w:t>تعریف البیئة والمحیط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هو خارج عن الإنسان، ومحیطٌ به یُعدّ محیطاً وبیئةً له، وقیل فی تعریف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یشتمل علی جمیع المتغیّرات الخارجة عن وجود الفرد، ممّا یحیط به ویؤثّر فیه، أو ما یتأثّر به الإنسان، منذ نشوئه وانعقاد نطفته، حتّی وقت ولادته، ومن ثمّ وفاته ورحیله عن الحیاة الدنیا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تعریف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انتقال الصفات من الآباء إلی الأبناء، عن طریق الجینات الموجودة فی الکروموسومات، وفی النتیجة، صناعة شخصیّة الإنسان</w:t>
      </w:r>
      <w:r>
        <w:rPr>
          <w:rFonts w:eastAsia="IRNazanin" w:cs="IRNazanin"/>
          <w:color w:val="111111"/>
          <w:sz w:val="28"/>
          <w:szCs w:val="28"/>
          <w:rtl w:val="true"/>
          <w:lang w:bidi="fa-IR"/>
        </w:rPr>
        <w:t>.</w:t>
      </w:r>
      <w:r>
        <w:rPr>
          <w:rStyle w:val="FootnoteAnchor"/>
          <w:rtl w:val="true"/>
        </w:rPr>
        <w:footnoteReference w:id="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کون البیئة والوراثة من العوامل المؤثّرة بشکلٍ کبیر علی الإنسان، ولمّا یلقی الإنسان نظرة أوّلیّة وظاهریّة، یتصوّر أنّ کلّ ما لدیه مُکتسبٌ من البیئة والمحیط والوراثة؛ لأنّه قلّما یوجد شخص نما وترعرع خلافاً للبیئة المتواجد فیها، وفی بعض الأحیان لا مناصَ للإنسان، من تقبّل</w:t>
      </w:r>
      <w:bookmarkStart w:id="182" w:name="pg5457_39138"/>
    </w:p>
    <w:p>
      <w:pPr>
        <w:pStyle w:val="BookText"/>
        <w:rPr/>
      </w:pPr>
      <w:bookmarkEnd w:id="182"/>
      <w:r>
        <w:rPr>
          <w:rFonts w:ascii="IRNazanin" w:hAnsi="IRNazanin" w:eastAsia="IRNazanin"/>
          <w:color w:val="111111"/>
          <w:sz w:val="28"/>
          <w:sz w:val="28"/>
          <w:szCs w:val="28"/>
          <w:rtl w:val="true"/>
          <w:lang w:bidi="fa-IR"/>
        </w:rPr>
        <w:t>ما یفرضه علیه محیطه والانصیاع له، ولا یخفی أنّ المحیط یبدأ مع الفرد مُذ کان فی رحِمِ أُمّه، ویشمل المجتمع والمدرسة وکلّ مفردات الحیاة، حتّی المناخ والطقس</w:t>
      </w:r>
      <w:r>
        <w:rPr>
          <w:rFonts w:eastAsia="IRNazanin" w:cs="IRNazanin"/>
          <w:color w:val="111111"/>
          <w:sz w:val="28"/>
          <w:szCs w:val="28"/>
          <w:rtl w:val="true"/>
          <w:lang w:bidi="fa-IR"/>
        </w:rPr>
        <w:t>.</w:t>
      </w:r>
    </w:p>
    <w:p>
      <w:pPr>
        <w:pStyle w:val="Heading3"/>
        <w:numPr>
          <w:ilvl w:val="2"/>
          <w:numId w:val="1"/>
        </w:numPr>
        <w:rPr/>
      </w:pPr>
      <w:bookmarkStart w:id="183" w:name="__RefHeading___Toc1994134_581953129"/>
      <w:bookmarkStart w:id="184" w:name="_Toc69"/>
      <w:bookmarkEnd w:id="183"/>
      <w:r>
        <w:rPr>
          <w:rtl w:val="true"/>
        </w:rPr>
        <w:t>الحلّ</w:t>
      </w:r>
      <w:bookmarkEnd w:id="184"/>
    </w:p>
    <w:p>
      <w:pPr>
        <w:pStyle w:val="Heading4"/>
        <w:numPr>
          <w:ilvl w:val="3"/>
          <w:numId w:val="1"/>
        </w:numPr>
        <w:rPr/>
      </w:pPr>
      <w:bookmarkStart w:id="185" w:name="__RefHeading___Toc1994136_581953129"/>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إنّ فکرة صناعة شخصیّة الإنسان علی ید البیئة، والثقافة السائدة والوارثة، من البحوث العریقة فی علم الکلام وعلم النفس، وله من السِّعة ما یُحیط بأطراف الکُرة الأرضیّة، فانتشر فی شرق الأرض وغربها؛ ولهذا، أذعَن الکثیرون بأنّ الإنسان حصیلةُ تنشئة البیئة والوارثة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قال روسو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نفقده فی الصِّبا، وسوف نحتاج إلیه فی الکِبَر، نحصل علیه من خلال التربیة، وهذه التربیة تتأتّی، إمّا عن طریق التعلّم من الطبیعة أو بنی البشر، أو الأشیاء الأُخری؛ ومن هنا، فإنّ تطویر الطاقات الداخلیّة وأعضاء البدَن إنّما یتمّ بواسطة التربیة المُتستمدّة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تربیة الناس فتُعلّمنا کیف ینبغی أن نستفید من تطویر الطاقات والقوی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نتعلّمه عبر اختبار الأشیاء المحیطة بنا والمؤثّرة علینا، فهو التربیة التی تُعلّمناها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فکلّ واحد منّا یتربّی بواسطة ثلاثة أساتذة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البشَر، الأشیاء الأُخری</w:t>
      </w:r>
      <w:r>
        <w:rPr>
          <w:rFonts w:eastAsia="IRNazanin" w:cs="IRNazanin"/>
          <w:color w:val="111111"/>
          <w:sz w:val="28"/>
          <w:szCs w:val="28"/>
          <w:rtl w:val="true"/>
          <w:lang w:bidi="fa-IR"/>
        </w:rPr>
        <w:t>».</w:t>
      </w:r>
      <w:r>
        <w:rPr>
          <w:rStyle w:val="FootnoteAnchor"/>
          <w:rtl w:val="true"/>
        </w:rPr>
        <w:footnoteReference w:id="10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وانطلاقاً من ذلک، فکما أنّ المناخ السلیم والبیئة الملائمة تترک بصَمَاتها علی طعم الفواکه ولونِها وشکلِها بصورة عامّة، فإنّها کذلک، تؤثّر أثرها علی الأخلاق والآداب والتربیة لأبناء البشَر؛ حیث یُشاهَد بوضوح الأثر العمیق الذی تترکه الوراثة والمحیط الذی یعیش فیه الإنسان علی نفسه وروحه،</w:t>
      </w:r>
      <w:bookmarkStart w:id="187" w:name="pg5457_39139"/>
    </w:p>
    <w:p>
      <w:pPr>
        <w:pStyle w:val="BookText"/>
        <w:rPr/>
      </w:pPr>
      <w:bookmarkEnd w:id="187"/>
      <w:r>
        <w:rPr>
          <w:rFonts w:ascii="IRNazanin" w:hAnsi="IRNazanin" w:eastAsia="IRNazanin"/>
          <w:color w:val="111111"/>
          <w:sz w:val="28"/>
          <w:sz w:val="28"/>
          <w:szCs w:val="28"/>
          <w:rtl w:val="true"/>
          <w:lang w:bidi="fa-IR"/>
        </w:rPr>
        <w:t>واجتذابه باتّجاه العادات والتقالید والرسوم السائدة فی ذلک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أنّ الطفلَ مُذ یبلغ السنّ الثالثة من العمر، وحتّی تثبیت شخصیّته، یتأثّر بالبیئة والمحیط أکثر من أیّ شیءٍ آخر، کما یظهر ذلک فی الحوارات والأفعال والعادات والتقالید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فالبیئة السلیمة تنتج إنساناً سلیماً، 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بنحوٍ ما، إلی القبول بتأثیر البیئة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برغم کلّ ذلک، فالبیئة والوراثة لیست هی العامل الوحید المُسیّر للإنسان، بل إنّ الإنسانَ رهنٌ بعمله، وهو مَن یُقرّر مصیره بنفسه؛ ولإثبات هذا الأمر، نستعرض عدداً من الأدلّة علی ذلک</w:t>
      </w:r>
      <w:r>
        <w:rPr>
          <w:rFonts w:eastAsia="IRNazanin" w:cs="IRNazanin"/>
          <w:color w:val="111111"/>
          <w:sz w:val="28"/>
          <w:szCs w:val="28"/>
          <w:rtl w:val="true"/>
          <w:lang w:bidi="fa-IR"/>
        </w:rPr>
        <w:t>:</w:t>
      </w:r>
    </w:p>
    <w:p>
      <w:pPr>
        <w:pStyle w:val="Heading4"/>
        <w:numPr>
          <w:ilvl w:val="3"/>
          <w:numId w:val="1"/>
        </w:numPr>
        <w:rPr/>
      </w:pPr>
      <w:bookmarkStart w:id="188" w:name="__RefHeading___Toc1994138_581953129"/>
      <w:bookmarkStart w:id="189" w:name="_Toc71"/>
      <w:bookmarkEnd w:id="188"/>
      <w:r>
        <w:rPr/>
        <w:t>1</w:t>
      </w:r>
      <w:r>
        <w:rPr>
          <w:rtl w:val="true"/>
        </w:rPr>
        <w:t xml:space="preserve">- </w:t>
      </w:r>
      <w:r>
        <w:rPr>
          <w:rtl w:val="true"/>
        </w:rPr>
        <w:t>جهود المصلحین</w:t>
      </w:r>
      <w:bookmarkEnd w:id="189"/>
    </w:p>
    <w:p>
      <w:pPr>
        <w:pStyle w:val="BookText"/>
        <w:rPr/>
      </w:pPr>
      <w:r>
        <w:rPr>
          <w:rFonts w:ascii="Amiri" w:hAnsi="Amiri" w:eastAsia="Amiri" w:cs="Amiri"/>
          <w:color w:val="111111"/>
          <w:sz w:val="28"/>
          <w:sz w:val="28"/>
          <w:szCs w:val="28"/>
          <w:rtl w:val="true"/>
          <w:lang w:bidi="ar-SA"/>
        </w:rPr>
        <w:t>إنّ الله تعالی بعث الأنبیاء والمرسلین فی کلّ زمانٍ ومکان، من أجل هدایة البشَر وحثّهم علی السیر علی الصراط القویم، وفی ذلک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فلو کان المحیط والبیئة والوراثة یؤثّر علی الإنسان إلی حدِّ الجبر، لما کان معنی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أَرضُ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فائدة مُتوخّاة من بعث الرُّسُل والأنبیاء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حازَ هذا الموضوع اهتماماً کبیراً فی علم الکلام الإسلامیّ کذلک، فتمّ التساؤل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أیِّ حدٍّ تؤثِّر البیئةُ والوراثة علی الإنسان؟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الصدَد، قال آیة الله جعفرالسبحانیّ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شکَّ فی تأثیر هذه</w:t>
      </w:r>
      <w:bookmarkStart w:id="190" w:name="pg5457_39140"/>
    </w:p>
    <w:p>
      <w:pPr>
        <w:pStyle w:val="BookText"/>
        <w:rPr/>
      </w:pPr>
      <w:bookmarkEnd w:id="190"/>
      <w:r>
        <w:rPr>
          <w:rFonts w:ascii="IRNazanin" w:hAnsi="IRNazanin" w:eastAsia="IRNazanin"/>
          <w:color w:val="111111"/>
          <w:sz w:val="28"/>
          <w:sz w:val="28"/>
          <w:szCs w:val="28"/>
          <w:rtl w:val="true"/>
          <w:lang w:bidi="fa-IR"/>
        </w:rPr>
        <w:t>العوامل فی تکوین الشخصیّة؛ ولکن، لیس تأثیرها إلی درجةٍ یَسلب الاختیار من الإنسان؛ إذ لو صحّ هذا، لِزم بُطلان جهود المُربّین، وصیرورة أعمال المصلحین هَواء فی شَبَک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وبهذا، یتبیّن أنّ اختیار الإنسان حاکمٌ علی التأثیر الوراثیّ والبیئیّ؛ فبرغم تأثّر الإنسان بهما إلاّ أنّه قادرٌ علی نَبذ کثیرٍ من الرذائل والمُوبِقات، وإن اقترن هذا العمل بمصاعب ومشاکل جمّة، وتطلّب جهوداً جبّارة</w:t>
      </w:r>
      <w:r>
        <w:rPr>
          <w:rFonts w:eastAsia="IRNazanin" w:cs="IRNazanin"/>
          <w:color w:val="111111"/>
          <w:sz w:val="28"/>
          <w:szCs w:val="28"/>
          <w:rtl w:val="true"/>
          <w:lang w:bidi="fa-IR"/>
        </w:rPr>
        <w:t>.</w:t>
      </w:r>
    </w:p>
    <w:p>
      <w:pPr>
        <w:pStyle w:val="Heading4"/>
        <w:numPr>
          <w:ilvl w:val="3"/>
          <w:numId w:val="1"/>
        </w:numPr>
        <w:rPr/>
      </w:pPr>
      <w:bookmarkStart w:id="191" w:name="__RefHeading___Toc1994140_581953129"/>
      <w:bookmarkStart w:id="192" w:name="_Toc72"/>
      <w:bookmarkEnd w:id="191"/>
      <w:r>
        <w:rPr/>
        <w:t>2</w:t>
      </w:r>
      <w:r>
        <w:rPr>
          <w:rtl w:val="true"/>
        </w:rPr>
        <w:t xml:space="preserve">- </w:t>
      </w:r>
      <w:r>
        <w:rPr>
          <w:rtl w:val="true"/>
        </w:rPr>
        <w:t>تأثیر البیئة والوراثة علی بعض الأفعال</w:t>
      </w:r>
      <w:bookmarkEnd w:id="192"/>
    </w:p>
    <w:p>
      <w:pPr>
        <w:pStyle w:val="BookText"/>
        <w:rPr/>
      </w:pPr>
      <w:r>
        <w:rPr>
          <w:rFonts w:ascii="IRNazanin" w:hAnsi="IRNazanin" w:eastAsia="IRNazanin"/>
          <w:color w:val="111111"/>
          <w:sz w:val="28"/>
          <w:sz w:val="28"/>
          <w:szCs w:val="28"/>
          <w:rtl w:val="true"/>
          <w:lang w:bidi="fa-IR"/>
        </w:rPr>
        <w:t>یقومُ الإنسان بأفعال متفاوتة ومتنوّعة؛ لکنّ إرادة الإنسان غیر دخیلة فی تکوین بعض الأفعال، بل هی، إمّا تابعة للوراثة، أو تابعة للبیئة التی یتواجد فیها؛ ومن هنا، عمد بعض الأفراد إلی تقسیم الصفات الجسدیّة والنفسیّة للإنسان إلی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قابلة للتغییر، وأخری غیر قابلة للتغییر؛ فذهبوا إلی أنّ الصفات غیر القابلة للتغییر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کلون العینین والصفات النفسیّة، من قَبیل الحماقة والجنون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متأثّرة بالوراثة؛ ولهذا السبب، فهی لا تقبل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یکون الإنسان مختاراً فی کثیر من الصفات الأُخری، نحو الشجاعة، والسَّخاء، البُخل، الجُبن،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هذه الصفات تخضع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اختیار الإنسان، ولا یکون مجبوراً فی هذا القسم من الصفات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فمبدأ الوراثة لا یتنافی مع اختیار الإنسان، فی تقریر مصیره بنفسه</w:t>
      </w:r>
      <w:r>
        <w:rPr>
          <w:rStyle w:val="FootnoteAnchor"/>
          <w:rtl w:val="true"/>
        </w:rPr>
        <w:footnoteReference w:id="103"/>
      </w:r>
      <w:r>
        <w:rPr>
          <w:rFonts w:ascii="IRNazanin" w:hAnsi="IRNazanin" w:eastAsia="IRNazanin"/>
          <w:color w:val="111111"/>
          <w:sz w:val="28"/>
          <w:sz w:val="28"/>
          <w:szCs w:val="28"/>
          <w:rtl w:val="true"/>
          <w:lang w:bidi="fa-IR"/>
        </w:rPr>
        <w:t>بل إنّ ما هو خارج عن دائرة اختیار الإنسان لا یُسبّب التمایز والتفاضل، ولا یؤدّی إلی الحصول علی ثواب الله تعالی ولا یُسبّب عِقابه للإنسان، وإنّما ملاک التفاضل فی الإسلام وعند الباری جلّ وعلا هو التقوی،</w:t>
      </w:r>
      <w:bookmarkStart w:id="193" w:name="pg5457_39141"/>
    </w:p>
    <w:p>
      <w:pPr>
        <w:pStyle w:val="BookText"/>
        <w:rPr/>
      </w:pPr>
      <w:bookmarkEnd w:id="193"/>
      <w:r>
        <w:rPr>
          <w:rFonts w:ascii="IRNazanin" w:hAnsi="IRNazanin" w:eastAsia="IRNazanin"/>
          <w:color w:val="111111"/>
          <w:sz w:val="28"/>
          <w:sz w:val="28"/>
          <w:szCs w:val="28"/>
          <w:rtl w:val="true"/>
          <w:lang w:bidi="fa-IR"/>
        </w:rPr>
        <w:t>وهو أمر اختیاریٌّ بلا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وهکذا، یتّضح أنّ أداء التکالیف المختلفة وامتلاک التقوی أو عدم امتلاکها، من الأُمور الواقعة تحت اختیار الإنسان؛ فصحیح أنّ البیئة والمحیط ذاتُ تأثیرٍ قویّ فی سهولة وصعوبة تعلّم التکالیف، أو إحراز التقوی، إلاّ أنّها فاقدة للتأثیر علی أصل الاختیار، فالفرد البشریّ هو مَن یُحدّد مساره طِبقاً لإرادته واختیاره، ولیس للبیئة والوراثة تأثیرٌ فی ذلک</w:t>
      </w:r>
      <w:r>
        <w:rPr>
          <w:rFonts w:eastAsia="IRNazanin" w:cs="IRNazanin"/>
          <w:color w:val="111111"/>
          <w:sz w:val="28"/>
          <w:szCs w:val="28"/>
          <w:rtl w:val="true"/>
          <w:lang w:bidi="fa-IR"/>
        </w:rPr>
        <w:t>.</w:t>
      </w:r>
    </w:p>
    <w:p>
      <w:pPr>
        <w:pStyle w:val="Heading4"/>
        <w:numPr>
          <w:ilvl w:val="3"/>
          <w:numId w:val="1"/>
        </w:numPr>
        <w:rPr/>
      </w:pPr>
      <w:bookmarkStart w:id="194" w:name="__RefHeading___Toc1994142_581953129"/>
      <w:bookmarkStart w:id="195" w:name="_Toc73"/>
      <w:bookmarkEnd w:id="194"/>
      <w:r>
        <w:rPr/>
        <w:t>3</w:t>
      </w:r>
      <w:r>
        <w:rPr>
          <w:rtl w:val="true"/>
        </w:rPr>
        <w:t xml:space="preserve">- </w:t>
      </w:r>
      <w:r>
        <w:rPr>
          <w:rtl w:val="true"/>
        </w:rPr>
        <w:t>البیئة والوراثة علّة ناقصة</w:t>
      </w:r>
      <w:bookmarkEnd w:id="195"/>
    </w:p>
    <w:p>
      <w:pPr>
        <w:pStyle w:val="BookText"/>
        <w:rPr/>
      </w:pPr>
      <w:r>
        <w:rPr>
          <w:rFonts w:ascii="IRNazanin" w:hAnsi="IRNazanin" w:eastAsia="IRNazanin"/>
          <w:color w:val="111111"/>
          <w:sz w:val="28"/>
          <w:sz w:val="28"/>
          <w:szCs w:val="28"/>
          <w:rtl w:val="true"/>
          <w:lang w:bidi="fa-IR"/>
        </w:rPr>
        <w:t>یُطرح موضوع تأثیر البیئة والوراثة علی الإنسان فی علم النفس الحدیث بشکل مُغایر لما سَبق،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الخصائص الروحیّة، فی الحقیقة ما هی إلاّ حصیلةٌ للتفاعل المتبادَل بین الوراثة والبیئة؛ فلم یَعُد هناک مجالٌ للحدیث عن الصراع القدیم، والتقابل بین الوراثة والبیئة، بل یتساءل الباحثون، بدلاً عن ذلک،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آلیّة العامل الوراثیّ فی الحدّ من القدرات الفردیّة للإنسان؟ وإلی أیّ حدٍّ بوِسع الشرائط البیئیّة المناسبة، أو غیر المناسبة إحداث تغییر فی القابلیّات الإرثیّة؟</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فکما أنّ الظروف البیئیّة والإرثیّة المختلفة تتعامل وتتفاعل مع بعضها البعض، ویعتبر کلّ واحد منهما من العوامل المکمّلة للبعض الآخر، لا بعنوان العِلّة التامّة، فکذلک هو تأثیرُ العوامل البیئیّة والمحیطیّة والوراثیّة فی</w:t>
      </w:r>
      <w:bookmarkStart w:id="196" w:name="pg5457_39142"/>
    </w:p>
    <w:p>
      <w:pPr>
        <w:pStyle w:val="BookText"/>
        <w:rPr/>
      </w:pPr>
      <w:bookmarkEnd w:id="196"/>
      <w:r>
        <w:rPr>
          <w:rFonts w:ascii="Amiri" w:hAnsi="Amiri" w:eastAsia="Amiri" w:cs="Amiri"/>
          <w:color w:val="111111"/>
          <w:sz w:val="28"/>
          <w:sz w:val="28"/>
          <w:szCs w:val="28"/>
          <w:rtl w:val="true"/>
          <w:lang w:bidi="ar-SA"/>
        </w:rPr>
        <w:t>بَلوَرة شخصیّة الإنسان، فتکون من قبیل العِلّة المُعِدّة</w:t>
      </w:r>
      <w:r>
        <w:rPr>
          <w:rStyle w:val="FootnoteAnchor"/>
          <w:rtl w:val="true"/>
        </w:rPr>
        <w:footnoteReference w:id="106"/>
      </w:r>
      <w:r>
        <w:rPr>
          <w:rFonts w:ascii="IRNazanin" w:hAnsi="IRNazanin" w:eastAsia="IRNazanin"/>
          <w:color w:val="111111"/>
          <w:sz w:val="28"/>
          <w:sz w:val="28"/>
          <w:szCs w:val="28"/>
          <w:rtl w:val="true"/>
          <w:lang w:bidi="fa-IR"/>
        </w:rPr>
        <w:t>والمکمّلة، لا العلّة التامّة، بل العلّة التامّة عبارةٌ عن إرادة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علی ذلک، فتأثیر البیئة والوارثة لا یبلُغ حدّ العِلّة التامّة، وإنّما یُمکن القبول به فی حدّ العلّة الناقصة فقط؛</w:t>
      </w:r>
      <w:r>
        <w:rPr>
          <w:rStyle w:val="FootnoteAnchor"/>
          <w:rtl w:val="true"/>
        </w:rPr>
        <w:footnoteReference w:id="107"/>
      </w:r>
      <w:r>
        <w:rPr>
          <w:rFonts w:ascii="IRNazanin" w:hAnsi="IRNazanin" w:eastAsia="IRNazanin"/>
          <w:color w:val="111111"/>
          <w:sz w:val="28"/>
          <w:sz w:val="28"/>
          <w:szCs w:val="28"/>
          <w:rtl w:val="true"/>
          <w:lang w:bidi="fa-IR"/>
        </w:rPr>
        <w:t>وفی هذه الحالة، لا یتمّ سلب الاختیار من الإنسان</w:t>
      </w:r>
      <w:r>
        <w:rPr>
          <w:rFonts w:eastAsia="IRNazanin" w:cs="IRNazanin"/>
          <w:color w:val="111111"/>
          <w:sz w:val="28"/>
          <w:szCs w:val="28"/>
          <w:rtl w:val="true"/>
          <w:lang w:bidi="fa-IR"/>
        </w:rPr>
        <w:t>.</w:t>
      </w:r>
    </w:p>
    <w:p>
      <w:pPr>
        <w:pStyle w:val="Heading3"/>
        <w:numPr>
          <w:ilvl w:val="2"/>
          <w:numId w:val="1"/>
        </w:numPr>
        <w:rPr/>
      </w:pPr>
      <w:bookmarkStart w:id="197" w:name="__RefHeading___Toc1994144_581953129"/>
      <w:bookmarkStart w:id="198" w:name="_Toc74"/>
      <w:bookmarkEnd w:id="197"/>
      <w:r>
        <w:rPr>
          <w:rtl w:val="true"/>
        </w:rPr>
        <w:t>النتیجة</w:t>
      </w:r>
      <w:bookmarkEnd w:id="1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الإنسان یخضع إلی تأثیر البیئة والمحیط والوراثة؛ لکنّ غرفة السیطرة فیه تتمثّل بالإرادة، لا العوامل البیئیّة والوراثیّة، فغایةُ ما یُمکن أن یُقال عن البیئة والوراثة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عِلّةٌ مُعِدّة وناقصة، ولیست من قبیل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إن کان الإنسانُ مجبوراً لتلک العوامل، فلا طائل حینئذ من الجهود والمساعی التی یبذلها المربّون والمصلحون والأنبیاء والمرسلون</w:t>
      </w:r>
      <w:r>
        <w:rPr>
          <w:rFonts w:eastAsia="IRNazanin" w:cs="IRNazanin"/>
          <w:color w:val="111111"/>
          <w:sz w:val="28"/>
          <w:szCs w:val="28"/>
          <w:rtl w:val="true"/>
          <w:lang w:bidi="fa-IR"/>
        </w:rPr>
        <w:t>.</w:t>
      </w:r>
      <w:bookmarkStart w:id="199" w:name="pg5457_39143"/>
    </w:p>
    <w:p>
      <w:pPr>
        <w:pStyle w:val="Heading3"/>
        <w:numPr>
          <w:ilvl w:val="2"/>
          <w:numId w:val="1"/>
        </w:numPr>
        <w:rPr/>
      </w:pPr>
      <w:bookmarkStart w:id="200" w:name="__RefHeading___Toc1994146_581953129"/>
      <w:bookmarkStart w:id="201" w:name="_Toc75"/>
      <w:bookmarkEnd w:id="199"/>
      <w:bookmarkEnd w:id="200"/>
      <w:r>
        <w:rPr>
          <w:rtl w:val="true"/>
        </w:rPr>
        <w:t>مصادر للمطالعة</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ربّانی گلبایگانی، جبر واختیار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سالاری، ومسعود أذربیجانی، روان شناسی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02" w:name="__RefHeading___Toc1994148_581953129"/>
      <w:bookmarkStart w:id="203" w:name="_Toc76"/>
      <w:bookmarkEnd w:id="202"/>
      <w:r>
        <w:rPr>
          <w:rtl w:val="true"/>
        </w:rPr>
        <w:t>الحدیث الختامیّ</w:t>
      </w:r>
      <w:bookmarkEnd w:id="203"/>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الجَلیسِ الصّالِحِ مَثَلُ العَطّارِ، إن لَم یُعطِکَ مِن عِطرِهِ أَصابَکَ مِن رِیحِهِ، وَمَثَلُ الجَلیسِ السُّوءِ مَثَلُ القَینِ،</w:t>
      </w:r>
      <w:r>
        <w:rPr>
          <w:rStyle w:val="FootnoteAnchor"/>
          <w:rtl w:val="true"/>
        </w:rPr>
        <w:footnoteReference w:id="108"/>
      </w:r>
      <w:r>
        <w:rPr>
          <w:rFonts w:ascii="Amiri" w:hAnsi="Amiri" w:eastAsia="Amiri" w:cs="Amiri"/>
          <w:color w:val="111111"/>
          <w:sz w:val="28"/>
          <w:sz w:val="28"/>
          <w:szCs w:val="28"/>
          <w:rtl w:val="true"/>
          <w:lang w:bidi="ar-SA"/>
        </w:rPr>
        <w:t>إن لَم یُحرِق ثَوبَکَ أَصابَکَ مِن رِیحِهِ</w:t>
      </w:r>
      <w:r>
        <w:rPr>
          <w:rFonts w:eastAsia="Amiri" w:cs="Amiri" w:ascii="Amiri" w:hAnsi="Amiri"/>
          <w:color w:val="111111"/>
          <w:sz w:val="28"/>
          <w:szCs w:val="28"/>
          <w:rtl w:val="true"/>
          <w:lang w:bidi="ar-SA"/>
        </w:rPr>
        <w:t>».</w:t>
      </w:r>
      <w:r>
        <w:rPr>
          <w:rStyle w:val="FootnoteAnchor"/>
          <w:rtl w:val="true"/>
        </w:rPr>
        <w:footnoteReference w:id="109"/>
      </w:r>
      <w:bookmarkStart w:id="204" w:name="pg5457_39145"/>
    </w:p>
    <w:p>
      <w:pPr>
        <w:pStyle w:val="Heading2"/>
        <w:numPr>
          <w:ilvl w:val="1"/>
          <w:numId w:val="1"/>
        </w:numPr>
        <w:rPr/>
      </w:pPr>
      <w:bookmarkStart w:id="205" w:name="__RefHeading___Toc1994150_581953129"/>
      <w:bookmarkStart w:id="206" w:name="_Toc77"/>
      <w:bookmarkEnd w:id="204"/>
      <w:bookmarkEnd w:id="205"/>
      <w:r>
        <w:rPr>
          <w:rtl w:val="true"/>
        </w:rPr>
        <w:t>إشکالیّة لیلة القدر واختیار الإنسان</w:t>
      </w:r>
      <w:bookmarkEnd w:id="206"/>
    </w:p>
    <w:p>
      <w:pPr>
        <w:pStyle w:val="Heading3"/>
        <w:numPr>
          <w:ilvl w:val="2"/>
          <w:numId w:val="1"/>
        </w:numPr>
        <w:rPr/>
      </w:pPr>
      <w:bookmarkStart w:id="207" w:name="__RefHeading___Toc1994152_581953129"/>
      <w:bookmarkStart w:id="208" w:name="_Toc78"/>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المقدّر علی الإنسان یتعیّن فی لیلة القدر، فما معنی عمل الإنسان، وما مدی صحّة کونه مختاراً؟</w:t>
      </w:r>
    </w:p>
    <w:p>
      <w:pPr>
        <w:pStyle w:val="BookText"/>
        <w:rPr/>
      </w:pPr>
      <w:r>
        <w:rPr>
          <w:rFonts w:ascii="IRNazanin" w:hAnsi="IRNazanin" w:eastAsia="IRNazanin"/>
          <w:color w:val="111111"/>
          <w:sz w:val="28"/>
          <w:sz w:val="28"/>
          <w:szCs w:val="28"/>
          <w:rtl w:val="true"/>
          <w:lang w:bidi="fa-IR"/>
        </w:rPr>
        <w:t>ولأجل أن یتّضِح هذا السؤال، لا بدّ من الالتفات إلی نُقطتین هامّتین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المنشأ لشُبهة التنافی، بین کتابة الآجال وتقدیر ما سیکون علی الإنسان وبین اختیار الإنسان؟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التقدیر وتعیین المقدّرات والمصائر من قبل الله تعالی فی لیلة القدر؟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توهّم المنافاة بین تقدیر أمور الإنسان وکتابة أجله فی لیلة القدر، وبین إرادة الإنسان واختیاره، إنّما نشأ من حیث إنّ کلّ ما یحدث علی الإنسان فی السنة إلی مثلها من العام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ورد فی الروایات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یقدّره الباری عزّ وجلّ فی لیلة القدر، ومن ثمّ یُسلّم إلی ولیّ الأمر عجل الله تعالی فرجه الشریف،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صرّحت الآیات والروایات بأنّ الإنسان هو من یقرّر مصیره ویحدّد الوجهة التی یعتزم السیر تجاهها؛ وعلیه، لو کان الإنسان قادراً علی تغییر هذا التقدیر</w:t>
      </w:r>
      <w:bookmarkStart w:id="209" w:name="pg5457_39146"/>
    </w:p>
    <w:p>
      <w:pPr>
        <w:pStyle w:val="BookText"/>
        <w:rPr/>
      </w:pPr>
      <w:bookmarkEnd w:id="209"/>
      <w:r>
        <w:rPr>
          <w:rFonts w:ascii="IRNazanin" w:hAnsi="IRNazanin" w:eastAsia="IRNazanin"/>
          <w:color w:val="111111"/>
          <w:sz w:val="28"/>
          <w:sz w:val="28"/>
          <w:szCs w:val="28"/>
          <w:rtl w:val="true"/>
          <w:lang w:bidi="fa-IR"/>
        </w:rPr>
        <w:t xml:space="preserve">المکتوب علیه والمعلوم لله تعالی، للزم کون علم الله عزّ وجلّ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فقدان التقدیر لمعناه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نتخلّص من هذَین المحذورین، ینبغی إنکار قدرة الإنسان علی تغییر مصیره المقدّر علیه، وهو ما یتّسق مع معنی الجبر</w:t>
      </w:r>
      <w:r>
        <w:rPr>
          <w:rFonts w:eastAsia="IRNazanin" w:cs="IRNazanin"/>
          <w:color w:val="111111"/>
          <w:sz w:val="28"/>
          <w:szCs w:val="28"/>
          <w:rtl w:val="true"/>
          <w:lang w:bidi="fa-IR"/>
        </w:rPr>
        <w:t>.</w:t>
      </w:r>
    </w:p>
    <w:p>
      <w:pPr>
        <w:pStyle w:val="Heading3"/>
        <w:numPr>
          <w:ilvl w:val="2"/>
          <w:numId w:val="1"/>
        </w:numPr>
        <w:rPr/>
      </w:pPr>
      <w:bookmarkStart w:id="210" w:name="__RefHeading___Toc1994154_581953129"/>
      <w:bookmarkStart w:id="211" w:name="_Toc79"/>
      <w:bookmarkEnd w:id="210"/>
      <w:r>
        <w:rPr>
          <w:rtl w:val="true"/>
        </w:rPr>
        <w:t>مقاربات مختلفة فی مسألة الجبر والاختیار</w:t>
      </w:r>
      <w:bookmarkEnd w:id="211"/>
    </w:p>
    <w:p>
      <w:pPr>
        <w:pStyle w:val="BookText"/>
        <w:rPr/>
      </w:pPr>
      <w:r>
        <w:rPr>
          <w:rFonts w:ascii="IRNazanin" w:hAnsi="IRNazanin" w:eastAsia="IRNazanin"/>
          <w:color w:val="111111"/>
          <w:sz w:val="28"/>
          <w:sz w:val="28"/>
          <w:szCs w:val="28"/>
          <w:rtl w:val="true"/>
          <w:lang w:bidi="fa-IR"/>
        </w:rPr>
        <w:t>بُغیة التوصّل إلی جوابٍ واضحٍ وشفّاف للسؤال المطروح، لا بدّ من الالتفات إلی أنّ بحثَ الجبر والاختیار من المباحث القدیمة جدّاً فی علم الکلام، وقد تمّ التطرّق لها من قِبل جمیع الکُتّاب والمذاهب الفکریّة والدینیّة، وقد أخذت لها مجالاً واسعاً من إثارة الجدَل علی مختلف المستویات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المسلّم به، أنّ الدین الإسلامیّ الحنیف أفرَز ثلاث مُقاربات ونظریّات رئیسیّة فی هذا المجال،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الجبر المطلق، التی تبنّاها مذهب الأشاعرة؛ ونظریّة الاختیار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تبنّاها مذهب المعتزلة، ونظریّة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التزم بها مذهب الإمامیّة، فقد استطاع أتباع مدرسة أهل البیت علیهم السلام، تبعاً للأئمّة الهُداة المعصومین من عترة النبیّ المصطفی صلی الله علیه و آله، من خلال الاستدلال العقلانیّ والمنطقیّ، إثبات صواب رؤیة الأمر بین الأمرین، التی نظَّر لها الأئمّة فی الأحادیث والروایات المأثورة عنهم؛ وذلک بمعنی أنّ أفعال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مخلوقة للإنسان نفسه، بصورةٍ مطلقة، بحیث تکون یدُ الباری تعالی مغلولة عن التصرّف فیها، ومن جهةٍ أُخری، لیست بمخلوقة لله جلّ وعلا، بحیث یلغو معنی الثواب والعِقاب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سیاق هذه المقاربة الثالثة، قدّم علماء المسلمین جوابین للردّ علی شبهة الجبر، بما یجعل شُبهة المنافاة بین تقدیر الأُمور والأحکام فی لیلة</w:t>
      </w:r>
      <w:bookmarkStart w:id="212" w:name="pg5457_39147"/>
    </w:p>
    <w:p>
      <w:pPr>
        <w:pStyle w:val="BookText"/>
        <w:rPr/>
      </w:pPr>
      <w:bookmarkEnd w:id="212"/>
      <w:r>
        <w:rPr>
          <w:rFonts w:ascii="IRNazanin" w:hAnsi="IRNazanin" w:eastAsia="IRNazanin"/>
          <w:color w:val="111111"/>
          <w:sz w:val="28"/>
          <w:sz w:val="28"/>
          <w:szCs w:val="28"/>
          <w:rtl w:val="true"/>
          <w:lang w:bidi="fa-IR"/>
        </w:rPr>
        <w:t>القدر، وبین اختیار الإنسان، تندرج فی هذا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أنّنا سنُقدّم ردّنا الخاصّ علی هذه الشبهة فی خاتمة البحث</w:t>
      </w:r>
      <w:r>
        <w:rPr>
          <w:rFonts w:eastAsia="IRNazanin" w:cs="IRNazanin"/>
          <w:color w:val="111111"/>
          <w:sz w:val="28"/>
          <w:szCs w:val="28"/>
          <w:rtl w:val="true"/>
          <w:lang w:bidi="fa-IR"/>
        </w:rPr>
        <w:t>.</w:t>
      </w:r>
    </w:p>
    <w:p>
      <w:pPr>
        <w:pStyle w:val="Heading3"/>
        <w:numPr>
          <w:ilvl w:val="2"/>
          <w:numId w:val="1"/>
        </w:numPr>
        <w:rPr/>
      </w:pPr>
      <w:bookmarkStart w:id="213" w:name="__RefHeading___Toc1994156_581953129"/>
      <w:bookmarkStart w:id="214" w:name="_Toc80"/>
      <w:bookmarkEnd w:id="213"/>
      <w:r>
        <w:rPr>
          <w:rtl w:val="true"/>
        </w:rPr>
        <w:t>الردّ الأوّل</w:t>
      </w:r>
      <w:bookmarkEnd w:id="214"/>
    </w:p>
    <w:p>
      <w:pPr>
        <w:pStyle w:val="Heading4"/>
        <w:numPr>
          <w:ilvl w:val="3"/>
          <w:numId w:val="1"/>
        </w:numPr>
        <w:rPr/>
      </w:pPr>
      <w:bookmarkStart w:id="215" w:name="__RefHeading___Toc1994158_581953129"/>
      <w:bookmarkStart w:id="216" w:name="_Toc81"/>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إنّ الله تبارک وتعالی خلَق العالَم وأحدث الکون بصورة نظام یحکمه قانون العِلّیّة؛ فجمیع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أوّل مخلوق أوجده الباری تعالی وخلقه بشکل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صدروا عن عِلَل عیّنها الخالق لهم؛ فعلی سبیل المثال، اتّسق نظام الطبیعة علی نحو خاصّ وقانون ثابت، وبموجب هذا القانون، إذا ما وضعت بذرة فی جوف الأرض، وِفق ظروف وشروط معیّنة، فإنّها تتحوّل إلی نبات، وکذلک، ما لو استقرّت نطفة فی رحمٍ ما، أعمّ من الإنسان أو الحیوان، فإنّها سوف تؤول إلی جنین وکائن حیّ، شئنا أم أبینا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العِلَل متفاوتة فی درجة تعقیدها، ولیست علی وتیرة واحدة من البساطة؛ فالعلل فی بعض الموجودات معقّدة وشائکة، حیث تدخل فیها عناصر مختلفة لا یمکن تشخیصها بسهولة، وأفعال الإنسان الاختیاریّة من هذا القبیل، فنظام العلّیّة فی الإنسان یعمل بطریقة یکون فیها لاختیار الإنسان وإرادته دخلٌ ودورٌ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یعدّ اختیار الإنسان جزءاً من هذا النظام الذی وضعه الباری تعالی</w:t>
      </w:r>
      <w:r>
        <w:rPr>
          <w:rFonts w:eastAsia="IRNazanin" w:cs="IRNazanin"/>
          <w:color w:val="111111"/>
          <w:sz w:val="28"/>
          <w:szCs w:val="28"/>
          <w:rtl w:val="true"/>
          <w:lang w:bidi="fa-IR"/>
        </w:rPr>
        <w:t>.</w:t>
      </w:r>
    </w:p>
    <w:p>
      <w:pPr>
        <w:pStyle w:val="Heading4"/>
        <w:numPr>
          <w:ilvl w:val="3"/>
          <w:numId w:val="1"/>
        </w:numPr>
        <w:rPr/>
      </w:pPr>
      <w:bookmarkStart w:id="217" w:name="__RefHeading___Toc1994160_581953129"/>
      <w:bookmarkStart w:id="218" w:name="_Toc82"/>
      <w:bookmarkEnd w:id="217"/>
      <w:r>
        <w:rPr>
          <w:rtl w:val="true"/>
        </w:rPr>
        <w:t>مناقشة الرد الأوّل</w:t>
      </w:r>
      <w:bookmarkEnd w:id="2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لهذا التحلیل، یکون معنی تقریر المصیر، أنّ الله تعالی أسنَد مصیر الإنسان إلیه، ولا معنی لهذا الکلام إلا أنّه تبارک وتعالی لا یتدخّل فی تحدید الإنسان لمصیره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هذه الأطروحة صیغت بطریقةٍ یُراد منها جعلها جزءاً من النظریّة، أو المقاربة الثالثة؛ إلا أنّها من ناحیة عملیّة لا تعدو معنی التفویض الباطل، الذی جاءت به المعتزلة، وبنَت علیه صَرح عقائدها</w:t>
      </w:r>
      <w:r>
        <w:rPr>
          <w:rFonts w:eastAsia="IRNazanin" w:cs="IRNazanin"/>
          <w:color w:val="111111"/>
          <w:sz w:val="28"/>
          <w:szCs w:val="28"/>
          <w:rtl w:val="true"/>
          <w:lang w:bidi="fa-IR"/>
        </w:rPr>
        <w:t>.</w:t>
      </w:r>
      <w:bookmarkStart w:id="219" w:name="pg5457_39148"/>
    </w:p>
    <w:p>
      <w:pPr>
        <w:pStyle w:val="BookText"/>
        <w:rPr/>
      </w:pPr>
      <w:bookmarkEnd w:id="219"/>
      <w:r>
        <w:rPr>
          <w:rFonts w:ascii="IRNazanin" w:hAnsi="IRNazanin" w:eastAsia="IRNazanin"/>
          <w:color w:val="111111"/>
          <w:sz w:val="28"/>
          <w:sz w:val="28"/>
          <w:szCs w:val="28"/>
          <w:rtl w:val="true"/>
          <w:lang w:bidi="fa-IR"/>
        </w:rPr>
        <w:t xml:space="preserve">علاوةً علی أنّه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لهذا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الإذعان بأنّ عِلم الله تعالی بالأفعال الاختیاریّة للإنسان، لا یخرج عن دائرة علمه بهذا النظام فقط؛ وبالتالی، عدَم الاطّلاع علی جزئیّات أفعال الإنسان، وعدم الإحاطة بتفاصیل أعماله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وهذا المعنی أیضاً مستفاد من کلام بعض الفلاسفة القُدَماء؛ غیر أنّ العلاّمة المجلسیّ، وعلی أساس فهمه الدقیق للقرآن والسنّة، رأی أنّ هذا المعنی مخالفٌ لضرورة الدین</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20" w:name="__RefHeading___Toc1994162_581953129"/>
      <w:bookmarkStart w:id="221" w:name="_Toc83"/>
      <w:bookmarkEnd w:id="220"/>
      <w:r>
        <w:rPr>
          <w:rtl w:val="true"/>
        </w:rPr>
        <w:t>الردّ الثانی</w:t>
      </w:r>
      <w:bookmarkEnd w:id="221"/>
    </w:p>
    <w:p>
      <w:pPr>
        <w:pStyle w:val="BookText"/>
        <w:rPr/>
      </w:pPr>
      <w:r>
        <w:rPr>
          <w:rFonts w:ascii="IRNazanin" w:hAnsi="IRNazanin" w:eastAsia="IRNazanin"/>
          <w:color w:val="111111"/>
          <w:sz w:val="28"/>
          <w:sz w:val="28"/>
          <w:szCs w:val="28"/>
          <w:rtl w:val="true"/>
          <w:lang w:bidi="fa-IR"/>
        </w:rPr>
        <w:t>التحلیل الثانی لمعنی تعیین المصیر، مع صِحّة ما فیه، أنّ الله تعالی خلَق نظام الکون، وأقامه علی أساس قانون العِلیّة، فأجری جمیع المُسبّبات بأسبابها؛ بَیدَ أنّه لیس بالشکل الذی یُفقِده القُدرة علی التصرّف بهذا النظام والقانون؛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الله عزّ وجلّ أوجد الأسباب، فإنّه قادر علی التصرّف بها کما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مثلما خلق الباری النار للإحراق، بوسعه تحویلها إلی مضادّ لها؛ أی جعلها حدیقة 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أنّ الله لم یضع قانون العلیّة، غیر أنّه وضع العِلَل الخاصّة؛ إذ أنّه هو من جعل النار عِلّة للإحراق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علی ذلک، فهو قادر علی تعطیل العلّة عن العلیّة، أو جعلها عِلّةً لشیءٍ آخر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لهذا التحلیل، فإنّ تعیین المصیر یعنی وضع العِلَل فی مسارِ جرَیان معلولاتٍ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یُعیّن مصیر الإنسان بشکلٍ دقیق، وهذا التعیین یحدث قبل لیلة القدر، وتحدیداً فی عالم تشکیل طینته، بل أکثر من ذلک، من المتعیّن فی العلم الإلهیّ الأزلیّ والأبدیّ من هم أهل السعادة ومن</w:t>
      </w:r>
    </w:p>
    <w:p>
      <w:pPr>
        <w:pStyle w:val="BookText"/>
        <w:rPr/>
      </w:pPr>
      <w:r>
        <w:rPr>
          <w:rFonts w:ascii="IRNazanin" w:hAnsi="IRNazanin" w:eastAsia="IRNazanin"/>
          <w:color w:val="111111"/>
          <w:sz w:val="28"/>
          <w:sz w:val="28"/>
          <w:szCs w:val="28"/>
          <w:rtl w:val="true"/>
          <w:lang w:bidi="fa-IR"/>
        </w:rPr>
        <w:t>هم أهل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لتعبیر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کلّ شخص إلی السعادة والشقاء معلومٌ وثابت؛ ولکن برغم ذلک، لا منافاةَ مع اختیار الإنسان؛ ذلک أنّ هذا التقدیر والتعیین نابع من العلم الإلهیّ الأزَلیّ، والعلم الإلهیّ الأزَلیّ تابع لاختیار الإنسان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وعلا یعلم أنّ الشخص الفلانیّ بماذا سیَقوم وما هی إرادته فی الساعة الفلانیّة، وفی الوضع الفلانیّ؛ فیقدّر له ما یشاء علی أساس ذلک الاختیار الذی منَحَهُ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وبالرجوع إلی الروایات الشریفة، نجد قبولاً لهذا التحلیل، لمعنی وحقیقة التقدیر من قِبَل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خلقاً فجعَل فیهم آلة الفِعل، ثمّ لَم یُفوّض إلیهم، فهم مُستطیعون للفعل، فی وقتِ الفِعل، مع الفعل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فنری أنّ الإمام علیه السلام فسّر التقدیر بإعطاء الله وسیلة الفعل وآلته إلی الإنسان، فهو یستفید من تلک الآلة للقیام بالفعل، وهذا الإعطاء یسبّب الفعل المعیّن، نحو المعصیة؛ ولهذا السبب، یعلم الله أنّ العبد سیختار الفعل الفلانیّ بملء إرادته واختیاره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بصیر،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 الصادق علیه السلام جالساً، وقد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من أین لحق الشقاء أهل المعصیة، حتّی حکَم الله علیهم فی علمه بالعذاب علی عملهم؟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السائل، حُکم الله عزّ وجلّ لا یقوم له أحد من خلقه بحقّه، فلمّا حَکَم بذلک، وهَب لأهل محبّته القوّة علی معرفته، ووضَع عنهم ثقل العمل بحقیقة ما هم أهله، ووهب لأهل المعصیة القوّة علی معصیتهم لسَبق عِلمه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الکاتب</w:t>
      </w:r>
      <w:bookmarkStart w:id="222" w:name="pg5457_39150"/>
    </w:p>
    <w:p>
      <w:pPr>
        <w:pStyle w:val="BookText"/>
        <w:rPr/>
      </w:pPr>
      <w:bookmarkEnd w:id="222"/>
      <w:r>
        <w:rPr>
          <w:rFonts w:ascii="IRNazanin" w:hAnsi="IRNazanin" w:eastAsia="IRNazanin"/>
          <w:color w:val="111111"/>
          <w:sz w:val="28"/>
          <w:sz w:val="28"/>
          <w:szCs w:val="28"/>
          <w:rtl w:val="true"/>
          <w:lang w:bidi="fa-IR"/>
        </w:rPr>
        <w:t>علی الروایة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الله علیهم نشأ من علمه باختیارهم طُرُق الشَّقاء</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ونظراً إلی هاتین الروایتین، یُمکن القول بشکلٍ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تقدیر الله تعالی لمُجریات الإنسان فی الأزَل، وفی علمه الأزَلیّ، إنّما یتمّ علی أساس أنّ الإنسان یختار عمله بإرادته؛ وهذا لا یستلزم أیّ ضرب من ضروب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یشبه تماماً ما لو أحاط شخص علماً بجمیع العوامل المؤثّرة علی الإنسان، فکان یعلم علی نحو الجزم والیقین، ومنذ بدایة الأمر، بما سیصدر عنه من عملٍ فی الساعة الفلانیّة؛ وعلیه، فهو قادر علی الإخبار عمّا سیجری علیه، وإصدار قائمة مفصّلة فی هذا الخصوص، وفی الوقت ذاته، إخباره غیر مساوق للجبر؛ لأنّه لم یفرض علیه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بشأن الإشکال المتعلّق بلیلة القدر،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الإلهیّ الأزَلیّ، أو قائمة أفعال الإنسان خلال عام من الزمن، التی لا تخرج عن دائرة هذا العلم، موجودة فی خزائن العلم الإلهیّ، وفی لیلة القدر یتمّ إنزالها وبیانها؛ فلا جبرَ فی البَین</w:t>
      </w:r>
      <w:r>
        <w:rPr>
          <w:rFonts w:eastAsia="IRNazanin" w:cs="IRNazanin"/>
          <w:color w:val="111111"/>
          <w:sz w:val="28"/>
          <w:szCs w:val="28"/>
          <w:rtl w:val="true"/>
          <w:lang w:bidi="fa-IR"/>
        </w:rPr>
        <w:t>.</w:t>
      </w:r>
    </w:p>
    <w:p>
      <w:pPr>
        <w:pStyle w:val="Heading3"/>
        <w:numPr>
          <w:ilvl w:val="2"/>
          <w:numId w:val="1"/>
        </w:numPr>
        <w:rPr/>
      </w:pPr>
      <w:bookmarkStart w:id="223" w:name="__RefHeading___Toc1994164_581953129"/>
      <w:bookmarkStart w:id="224" w:name="_Toc84"/>
      <w:bookmarkEnd w:id="223"/>
      <w:r>
        <w:rPr>
          <w:rtl w:val="true"/>
        </w:rPr>
        <w:t>الرد الخاصّ</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الجواب یسعی إلی تجاوز الردود الطبیعیّة لمسألة الجبر والاختیار، والترکیز علی ردّ أبعد غوراً من ذلک؛ فنقرّ کأصل موضوعیّ فی المقام، بأنّ ما یحصل فی لیلة القدر أبعد من قضیّة تنزیل العِلم الإلهیّ الأزَلیّ، وإنّما الموضوع هنا نوعٌ من التقدیر وتعیین مصیر الإنسان،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 الحاصل فی لیلة القدر لیس من قبیل التقدیر الحتمیّ والأمر المحتوم الذی لا بدّ منه؛ ولذا، ورد فی بعض الروایات، أنّ من لَم یُغفر له فی لیلة</w:t>
      </w:r>
    </w:p>
    <w:p>
      <w:pPr>
        <w:pStyle w:val="BookText"/>
        <w:rPr/>
      </w:pPr>
      <w:r>
        <w:rPr>
          <w:rFonts w:ascii="Amiri" w:hAnsi="Amiri" w:eastAsia="Amiri" w:cs="Amiri"/>
          <w:color w:val="111111"/>
          <w:sz w:val="28"/>
          <w:sz w:val="28"/>
          <w:szCs w:val="28"/>
          <w:rtl w:val="true"/>
          <w:lang w:bidi="ar-SA"/>
        </w:rPr>
        <w:t>القدر، یُمکن أن یُغفر له إن شهِد عرَفة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ومعنی هذا الکلام أنّ، التقدیر فی لیلة القدر، أو فی یوم عرَفة، أو باقی أیّام السنة، ممّا یقبل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بأنّ التقدیر فی لیلة القدر لیس تقدیراً حتمیّاً، وأنّ ما یَنزل علی القلب الطاهر للإنسان الکامل، ولیّ العصر والزمان عجل الله تعالی فرجه الشریف، لیس بالتقدیر التامّ والعمل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النازل فی لیلة القدر، هو العلم النازل من اللوح الخفیّ ولوح الإثبات، والقدَر المُتیقّن فی هذا التحلیل، أنّ ما یَنزل علی قلب الإمام لیس هو عِلم اللوح المحفوظ، الذی هو عبارة عن نسخة من العِلم الإلهیّ الأزَلیّ؛ لأنّه والحالة هذه، لا یَقبل النقض والتغییر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تقدیر الأمور فی لیلة القدر مثله مثل مُسوَّدة القانون، بحیث یستطیع الإنسان ببذل مزیدٍ من الجهود، التأثیر علی الصیاغة النهائیّة للقانون، والعمل علی تغییر الفقَرات غیر المناسبة لما هو أصلَح وأنسَب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أنّ الرجوع إلی الروایات المأثورة عن أئمّة الهدی علیهم السلام یکشف عن أنّ الأُمور التی تنزل علی الأئمّة فی لیلة القدر غیر حتمیّة، بل ممّا یقبل التغییر؛ ومثال علی ذلک، رُوی فی تفسیر العیّاشیّ،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لیلة القدر،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فیها الملائکة والکتَبَة إلی السماء الدنیا، فیکتبون ما یکون من أمر السنة، وما یصیب العِباد، وأمر عنده موقوف له فیه المشیّة، فیقدّم منه ما یشاء، ویؤخّر ما یشاء، ویَمحو ویُثبت وعنده أمّ الکتاب</w:t>
      </w:r>
      <w:r>
        <w:rPr>
          <w:rFonts w:eastAsia="IRNazanin" w:cs="IRNazanin"/>
          <w:color w:val="111111"/>
          <w:sz w:val="28"/>
          <w:szCs w:val="28"/>
          <w:rtl w:val="true"/>
          <w:lang w:bidi="fa-IR"/>
        </w:rPr>
        <w:t>».</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من کلمات الأئمّة المیامین علیهم السلام، بأنّهم لا یمتلکون العلم</w:t>
      </w:r>
      <w:bookmarkStart w:id="225" w:name="pg5457_39152"/>
    </w:p>
    <w:p>
      <w:pPr>
        <w:pStyle w:val="BookText"/>
        <w:rPr/>
      </w:pPr>
      <w:bookmarkEnd w:id="225"/>
      <w:r>
        <w:rPr>
          <w:rFonts w:ascii="IRNazanin" w:hAnsi="IRNazanin" w:eastAsia="IRNazanin"/>
          <w:color w:val="111111"/>
          <w:sz w:val="28"/>
          <w:sz w:val="28"/>
          <w:szCs w:val="28"/>
          <w:rtl w:val="true"/>
          <w:lang w:bidi="fa-IR"/>
        </w:rPr>
        <w:t>القطعیّ الذی لا یقبل التغییر، بل المشیئة الإلهیّة حاکمة علی ما عندهم من علم؛ فمثلاً، روی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آیة فی کتاب الله لحدّثتکم بما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وهناک عددٌ کبیرٌ من الروایات فی هذا المجال</w:t>
      </w:r>
      <w:r>
        <w:rPr>
          <w:rFonts w:eastAsia="IRNazanin" w:cs="IRNazanin"/>
          <w:color w:val="111111"/>
          <w:sz w:val="28"/>
          <w:szCs w:val="28"/>
          <w:rtl w:val="true"/>
          <w:lang w:bidi="fa-IR"/>
        </w:rPr>
        <w:t>.</w:t>
      </w:r>
    </w:p>
    <w:p>
      <w:pPr>
        <w:pStyle w:val="Heading3"/>
        <w:numPr>
          <w:ilvl w:val="2"/>
          <w:numId w:val="1"/>
        </w:numPr>
        <w:rPr/>
      </w:pPr>
      <w:bookmarkStart w:id="226" w:name="__RefHeading___Toc1994166_581953129"/>
      <w:bookmarkStart w:id="227" w:name="_Toc85"/>
      <w:bookmarkEnd w:id="226"/>
      <w:r>
        <w:rPr>
          <w:rtl w:val="true"/>
        </w:rPr>
        <w:t>والنتیجة التی نخلص إلیها کالتالی</w:t>
      </w:r>
      <w:r>
        <w:rPr>
          <w:rtl w:val="true"/>
        </w:rPr>
        <w:t>:</w:t>
      </w:r>
      <w:bookmarkEnd w:id="22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حلّ مشکلة الجبر ولیلة القدر عن طریق الأجوبة المتعارفة فی مجال الجبر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لا یخرج معنی التقدیر عن دائرة تنزیل العلم الإلهیّ الأزَلیّ، وهو تابع لاختیار الإنسان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وافقنا علی کون ما یحدث فی لیلة القدر من مقولة التعیّن، لا تَنزّل العلم؛ فما ذلک إلاّ لأنّه غیر حتمیّ، ولیس باب القضاء الذی لا یُردّ، بل للإنسان القدرة علی تغییره؛ فلا یکون مُستلزِماً للجبر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المطاف، لا یفوتنا التنویه بنقطة هامّة، هی أنّ مسوّدة التقدیر التی تُصاغ فی لیلة القدر لا تُوضع اعتباطاً ومن غیر دلیل، بل إنّما یصار إلیها فی ضوء الأعمال السابقة والوضع الفعلیّ للإنسان، فضلاً عن آلاف العوامل الأُخری غیر المنکشفة لنا، تلک العوامل التی قمنا بفعلها طیلة فترة حیاتنا، بملء إرادتنا واختیارنا، وربّما تکون قد غابت عن ذاکرتنا، لکنّها محفوظة فی العلم الإلهیّ المکنون، وفی کتاب الأعمال الذی لا یُغادر صغیرةً ولا کبیرة، إلاّ أحصاها</w:t>
      </w:r>
      <w:r>
        <w:rPr>
          <w:rFonts w:eastAsia="IRNazanin" w:cs="IRNazanin"/>
          <w:color w:val="111111"/>
          <w:sz w:val="28"/>
          <w:szCs w:val="28"/>
          <w:rtl w:val="true"/>
          <w:lang w:bidi="fa-IR"/>
        </w:rPr>
        <w:t>.</w:t>
      </w:r>
      <w:bookmarkStart w:id="228" w:name="pg5457_39153"/>
    </w:p>
    <w:p>
      <w:pPr>
        <w:pStyle w:val="Heading3"/>
        <w:numPr>
          <w:ilvl w:val="2"/>
          <w:numId w:val="1"/>
        </w:numPr>
        <w:rPr/>
      </w:pPr>
      <w:bookmarkStart w:id="229" w:name="__RefHeading___Toc1994168_581953129"/>
      <w:bookmarkStart w:id="230" w:name="_Toc86"/>
      <w:bookmarkEnd w:id="228"/>
      <w:bookmarkEnd w:id="229"/>
      <w:r>
        <w:rPr>
          <w:rtl w:val="true"/>
        </w:rPr>
        <w:t>مصادر للمطالعة</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المؤلّفین، پرسش ها وپاسخ های دانشجوئی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ماه مبارک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أسئلةٌ وردود للطلاب الجامعیّین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بشهر رمَضان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مکارم الشیرازیّ، الأمثل فی تفسیر کتاب الله المُنزَل،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ذیل سورة القدر</w:t>
      </w:r>
      <w:r>
        <w:rPr>
          <w:rFonts w:eastAsia="IRNazanin" w:cs="IRNazanin"/>
          <w:color w:val="111111"/>
          <w:sz w:val="28"/>
          <w:szCs w:val="28"/>
          <w:rtl w:val="true"/>
          <w:lang w:bidi="fa-IR"/>
        </w:rPr>
        <w:t>.</w:t>
      </w:r>
    </w:p>
    <w:p>
      <w:pPr>
        <w:pStyle w:val="Heading3"/>
        <w:numPr>
          <w:ilvl w:val="2"/>
          <w:numId w:val="1"/>
        </w:numPr>
        <w:rPr/>
      </w:pPr>
      <w:bookmarkStart w:id="231" w:name="__RefHeading___Toc1994170_581953129"/>
      <w:bookmarkStart w:id="232" w:name="_Toc87"/>
      <w:bookmarkEnd w:id="231"/>
      <w:r>
        <w:rPr>
          <w:rtl w:val="true"/>
        </w:rPr>
        <w:t>الحدیث الختامیّ</w:t>
      </w:r>
      <w:bookmarkEnd w:id="232"/>
    </w:p>
    <w:p>
      <w:pPr>
        <w:pStyle w:val="BookText"/>
        <w:rPr/>
      </w:pPr>
      <w:r>
        <w:rPr>
          <w:rFonts w:ascii="IRNazanin" w:hAnsi="IRNazanin" w:eastAsia="IRNazanin"/>
          <w:color w:val="111111"/>
          <w:sz w:val="28"/>
          <w:sz w:val="28"/>
          <w:szCs w:val="28"/>
          <w:rtl w:val="true"/>
          <w:lang w:bidi="fa-IR"/>
        </w:rPr>
        <w:t>عن أبی الحسن الرضا علیه السلام،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لا یَنامُ ثَلاثَ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ثَلاثٍ وَعِشرینَ مِن شَهرِ رَمَضانَ، وَلیلةِ الفِطرِ، وَلَیلةِ النِّصفِ مِن شَعبانَ، وَفیها تُقَسّمُ الأرزاقُ، وَالآجالُ، وَما یَکونُ فِی السَّنةِ</w:t>
      </w:r>
      <w:r>
        <w:rPr>
          <w:rFonts w:eastAsia="Amiri" w:cs="Amiri" w:ascii="Amiri" w:hAnsi="Amiri"/>
          <w:color w:val="111111"/>
          <w:sz w:val="28"/>
          <w:szCs w:val="28"/>
          <w:rtl w:val="true"/>
          <w:lang w:bidi="ar-SA"/>
        </w:rPr>
        <w:t>».</w:t>
      </w:r>
      <w:r>
        <w:rPr>
          <w:rStyle w:val="FootnoteAnchor"/>
          <w:rtl w:val="true"/>
        </w:rPr>
        <w:footnoteReference w:id="117"/>
      </w:r>
      <w:bookmarkStart w:id="233" w:name="pg5457_39155"/>
    </w:p>
    <w:p>
      <w:pPr>
        <w:pStyle w:val="Heading2"/>
        <w:numPr>
          <w:ilvl w:val="1"/>
          <w:numId w:val="1"/>
        </w:numPr>
        <w:rPr/>
      </w:pPr>
      <w:bookmarkStart w:id="234" w:name="__RefHeading___Toc1994172_581953129"/>
      <w:bookmarkStart w:id="235" w:name="_Toc88"/>
      <w:bookmarkEnd w:id="233"/>
      <w:bookmarkEnd w:id="234"/>
      <w:r>
        <w:rPr>
          <w:rtl w:val="true"/>
        </w:rPr>
        <w:t>عصیان النبیّ آدم علیه السلام وخروج نسله من الجنّة</w:t>
      </w:r>
      <w:bookmarkEnd w:id="235"/>
    </w:p>
    <w:p>
      <w:pPr>
        <w:pStyle w:val="Heading3"/>
        <w:numPr>
          <w:ilvl w:val="2"/>
          <w:numId w:val="1"/>
        </w:numPr>
        <w:rPr/>
      </w:pPr>
      <w:bookmarkStart w:id="236" w:name="__RefHeading___Toc1994174_581953129"/>
      <w:bookmarkStart w:id="237" w:name="_Toc89"/>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النبیّ آدم علیه السلام هو من عصی ربّه، ما السبب وراء إخراج نَسلِه أیضاً من‌الجنّة؟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 فَبَدَت لَهُما سَوآتُهُما وَ طَفِقا یَخصِفانِ عَلَیهِما مِن وَرَقِ الجَنَّةِ وَ عَصی آدَمُ</w:t>
      </w:r>
      <w:bookmarkStart w:id="238" w:name="pg5457_39156"/>
    </w:p>
    <w:p>
      <w:pPr>
        <w:pStyle w:val="BookText"/>
        <w:rPr/>
      </w:pPr>
      <w:bookmarkEnd w:id="238"/>
      <w:r>
        <w:rPr>
          <w:rFonts w:ascii="Amiri" w:hAnsi="Amiri" w:eastAsia="Amiri" w:cs="Amiri"/>
          <w:color w:val="111111"/>
          <w:sz w:val="28"/>
          <w:sz w:val="28"/>
          <w:szCs w:val="28"/>
          <w:rtl w:val="true"/>
          <w:lang w:bidi="ar-SA"/>
        </w:rPr>
        <w:t>رَبَّهُ فَغَوی</w:t>
      </w:r>
      <w:r>
        <w:rPr>
          <w:rFonts w:eastAsia="Amiri" w:cs="Amiri" w:ascii="Amiri" w:hAnsi="Amiri"/>
          <w:color w:val="111111"/>
          <w:sz w:val="28"/>
          <w:szCs w:val="28"/>
          <w:rtl w:val="true"/>
          <w:lang w:bidi="ar-SA"/>
        </w:rPr>
        <w:t>) .</w:t>
      </w:r>
      <w:r>
        <w:rPr>
          <w:rStyle w:val="FootnoteAnchor"/>
          <w:rtl w:val="true"/>
        </w:rPr>
        <w:footnoteReference w:id="118"/>
      </w:r>
      <w:r>
        <w:rPr>
          <w:rFonts w:ascii="IRNazanin" w:hAnsi="IRNazanin" w:eastAsia="IRNazanin"/>
          <w:color w:val="111111"/>
          <w:sz w:val="28"/>
          <w:sz w:val="28"/>
          <w:szCs w:val="28"/>
          <w:rtl w:val="true"/>
          <w:lang w:bidi="fa-IR"/>
        </w:rPr>
        <w:t>والسبب فی هذا الأمر عدم امتلاک آدم التجربة اللازمة والمعرفة الکافیة بإبلیس</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وعلی هذا الأساس، رُوی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الله آدم من الجنّة، نزل علیه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ألیس الله خلقک بیده، ونفخ فیک من روحه، وأسجد لک ملائکته، وزوّجک أمته حوّاء، وأسکنک الجنّة، وأباحها لک، ونهاک مشافهةً، أن لا تأکل من هذه الشجرة، فأکلت منها وعصیت الله؟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إبلیس حلف لی بالله أنّه لی ناصح، فما ظننت أنّ أحداً من خلقِ الله یحلف بالله کاذباً</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39" w:name="__RefHeading___Toc1994176_581953129"/>
      <w:bookmarkStart w:id="240" w:name="_Toc90"/>
      <w:bookmarkEnd w:id="239"/>
      <w:r>
        <w:rPr>
          <w:rtl w:val="true"/>
        </w:rPr>
        <w:t>هل یعصی آدم علیه السلام أم لا؟</w:t>
      </w:r>
      <w:bookmarkEnd w:id="240"/>
    </w:p>
    <w:p>
      <w:pPr>
        <w:pStyle w:val="Heading4"/>
        <w:numPr>
          <w:ilvl w:val="3"/>
          <w:numId w:val="1"/>
        </w:numPr>
        <w:rPr/>
      </w:pPr>
      <w:bookmarkStart w:id="241" w:name="__RefHeading___Toc1994178_581953129"/>
      <w:bookmarkStart w:id="242" w:name="_Toc9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وکیفما کان، هل أنّ هذا السلوک الصادر من النبیّ آدم علیه السلام یُعدّ معصیة ویُحتسَب ذنباً، أم لا؟ وقبل الجواب، لا بدّ من تقدیم مقدّمة فی هذا الخصوص</w:t>
      </w:r>
      <w:r>
        <w:rPr>
          <w:rFonts w:eastAsia="IRNazanin" w:cs="IRNazanin"/>
          <w:color w:val="111111"/>
          <w:sz w:val="28"/>
          <w:szCs w:val="28"/>
          <w:rtl w:val="true"/>
          <w:lang w:bidi="fa-IR"/>
        </w:rPr>
        <w:t>.</w:t>
      </w:r>
    </w:p>
    <w:p>
      <w:pPr>
        <w:pStyle w:val="Heading4"/>
        <w:numPr>
          <w:ilvl w:val="3"/>
          <w:numId w:val="1"/>
        </w:numPr>
        <w:rPr/>
      </w:pPr>
      <w:bookmarkStart w:id="243" w:name="__RefHeading___Toc1994180_581953129"/>
      <w:bookmarkStart w:id="244" w:name="_Toc92"/>
      <w:bookmarkEnd w:id="243"/>
      <w:r>
        <w:rPr>
          <w:rtl w:val="true"/>
        </w:rPr>
        <w:t>مقدّمة</w:t>
      </w:r>
      <w:bookmarkEnd w:id="24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الإلهیّة، الأعمّ من الأوامر والنواهی،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أحکام مولویّة أوإرشادیّة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الأحکام المولویّة تتضمّن تکالیف إلزامیّة، وقد وضَع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التکالیف ثواباً وعقاباً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الأحکام الإرشادیّة لیسَ فیها تکلیف أو وجوب من الباری تعالی، وغایةُ ما فیها الإرشاد إلی العمَل، والغرَض من صدورها هو التوجیه</w:t>
      </w:r>
    </w:p>
    <w:p>
      <w:pPr>
        <w:pStyle w:val="BookText"/>
        <w:rPr/>
      </w:pPr>
      <w:r>
        <w:rPr>
          <w:rFonts w:ascii="IRNazanin" w:hAnsi="IRNazanin" w:eastAsia="IRNazanin"/>
          <w:color w:val="111111"/>
          <w:sz w:val="28"/>
          <w:sz w:val="28"/>
          <w:szCs w:val="28"/>
          <w:rtl w:val="true"/>
          <w:lang w:bidi="fa-IR"/>
        </w:rPr>
        <w:t>والإرشاد من الله إلی العبد؛ لئلاّ یُبتلی بالضرَر، ویقَع فی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العبد ربّه إذا خالف أمره، وعصی فلان أمیره یعصیه عَصیاً وعِصیاناً ومَعصِیةً إذا لم یُطعهُ، فهو عاصٍ وعَصیٌّ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إذا لم یتبع أمّه؛ لأنّه کأنّه یعصیها، وقد عصی أُمّه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أمّا اصطلاحاً فلا یکون العصیان جُرماً ومعصیةً إلاّ إذا کان بمعنی المخالفة والتمرُّد علی الأحکام المولویّة؛ وعلیه، فمخالفة الأحکام الإرشادیّة لیس من باب المعصیة فی شیء</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والذَّنب فی الأصل الأخذ بذَنَب الشیء،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ذَنَبتُهُ أصبتُ ذَنَبَهُ، ویستعمل فی کلّ فعل یُستوخَم عُقباه اعتباراً بذَنَب الشیء؛ ولهذا یُسمّی الذَّنب تَبِعةً، اعتباراً لما یحصل من عاقبته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والقرآن الکریم أشار إلی هذا المعنی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یُخرِجَنَّکُما مِنَ الجَنَّةِ فَتَشقی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التی أقام فیها نبیُّ الله آدم علیه السلام، کانت تمثّل مرحلة ما قبل التکلیف والتشریع؛ فلم تکن هناک شریعة نزلت لیُمنع المکلّف من تناول ما فی الشجرة، وإنّما وطأ الإنسان عالَم التکلیف بعدما خرج من الجنّة وهبَط إلی الأرض؛ ولهذا، لم یَرتکِب النبیّ آدم علیه السلام معصیةً تکلیفیّة، هذا من جهة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اتّسم النهی المذکور بالطابع الإرشادیّ؛ لئلاّ یُعدُّ فعل آدم معصیةً وذنباً، والقرآن الکریم أشار إلی هذه النکتة من خلال نُصح آدم، بأنّ الأکل من هذه الشجرة یوجب الخروج من الجنّة، والهبوط إلی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هذا المدّعی الآیات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 حیث</w:t>
      </w:r>
      <w:bookmarkStart w:id="245" w:name="pg5457_39158"/>
    </w:p>
    <w:p>
      <w:pPr>
        <w:pStyle w:val="BookText"/>
        <w:rPr/>
      </w:pPr>
      <w:bookmarkEnd w:id="245"/>
      <w:r>
        <w:rPr>
          <w:rFonts w:ascii="IRNazanin" w:hAnsi="IRNazanin" w:eastAsia="IRNazanin"/>
          <w:color w:val="111111"/>
          <w:sz w:val="28"/>
          <w:sz w:val="28"/>
          <w:szCs w:val="28"/>
          <w:rtl w:val="true"/>
          <w:lang w:bidi="fa-IR"/>
        </w:rPr>
        <w:t>أشارت إلی عواقب الخروج من الجنّة، وأنّ هناک مصاعب ومشاقّ تترتّب علی هذا الأمر، وأنّ الخروج من الجنّة موجب للشقاء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 علیه السلام فی ردّه علی المامون لمّا سأله عن معنی عصیان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آدم وحوّا شاهدا قبل ذلک من یحلف بالله کاذباً، فدلاّهما بغرور، فأکلا منها ثقةً بیمینه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من آدم قبل النبوّة، ولم یکن ذلک بذنبٍ کبیرٍ استحقّ به دخول النار؛ وإنّما کان من الصغایر الموهوبة التی تجوز علی الأنبیاء قبل نزول الوحی علیهم، فلمّا اجتباه الله تعالی، وجعله نبیّاً، کان معصوماً لا یُذنب صغیرةً ولا کبیرةً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والدلیل الآخر علی أنّ عصیانَ آدم لم یبلغ درجة المعصیة، هو أنّ الله تعالی لم یتوعّد هذا العمل بالعذاب والجزاء الشدید، بل غایة ما ذکر أنّه یستلزم المشقّة والعناء والشقاء الدنیویّ فقط</w:t>
      </w:r>
      <w:r>
        <w:rPr>
          <w:rFonts w:eastAsia="IRNazanin" w:cs="IRNazanin"/>
          <w:color w:val="111111"/>
          <w:sz w:val="28"/>
          <w:szCs w:val="28"/>
          <w:rtl w:val="true"/>
          <w:lang w:bidi="fa-IR"/>
        </w:rPr>
        <w:t>.</w:t>
      </w:r>
    </w:p>
    <w:p>
      <w:pPr>
        <w:pStyle w:val="Heading4"/>
        <w:numPr>
          <w:ilvl w:val="3"/>
          <w:numId w:val="1"/>
        </w:numPr>
        <w:rPr/>
      </w:pPr>
      <w:bookmarkStart w:id="246" w:name="__RefHeading___Toc1994182_581953129"/>
      <w:bookmarkStart w:id="247" w:name="_Toc93"/>
      <w:bookmarkEnd w:id="246"/>
      <w:r>
        <w:rPr>
          <w:rtl w:val="true"/>
        </w:rPr>
        <w:t>النتیجة</w:t>
      </w:r>
      <w:bookmarkEnd w:id="2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لم یقدم النبیّ آدم علی ارتکاب أیّ معصیة أو ذنب، والعصیان الوارد فی الآیة الشریفة لیس بمعنی ارتکاب المعصیة والإذناب، بل هو زلّة ومخالفة للنهی الإرشادیّ الصادر من المولی، ولا شکّ فی أنّ مخالفة الأمر الإرشادیّ لا یعدّ ذنباً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آیة الله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یصدق علی عدم إصغاء الإنسان إلی کلام الناصح المشفق، المؤدّی إلی الوقوع فی المشقّة والعناء فی الحیاة الدنیا، هو الزلل لا المعصیة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لذا، واجه النبیّ آدم علیه السلام</w:t>
      </w:r>
      <w:bookmarkStart w:id="248" w:name="pg5457_39159"/>
    </w:p>
    <w:p>
      <w:pPr>
        <w:pStyle w:val="BookText"/>
        <w:rPr/>
      </w:pPr>
      <w:bookmarkEnd w:id="248"/>
      <w:r>
        <w:rPr>
          <w:rFonts w:ascii="IRNazanin" w:hAnsi="IRNazanin" w:eastAsia="IRNazanin"/>
          <w:color w:val="111111"/>
          <w:sz w:val="28"/>
          <w:sz w:val="28"/>
          <w:szCs w:val="28"/>
          <w:rtl w:val="true"/>
          <w:lang w:bidi="fa-IR"/>
        </w:rPr>
        <w:t xml:space="preserve">مخالفة للحکم الإرشادیّ، الأمر الذی أسفر عن خروجه من الجنّة، ومن ثمّ 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ونسله من الأجیال اللاحقة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مشاقِّ الحیاة الدنیویّة</w:t>
      </w:r>
      <w:r>
        <w:rPr>
          <w:rFonts w:eastAsia="IRNazanin" w:cs="IRNazanin"/>
          <w:color w:val="111111"/>
          <w:sz w:val="28"/>
          <w:szCs w:val="28"/>
          <w:rtl w:val="true"/>
          <w:lang w:bidi="fa-IR"/>
        </w:rPr>
        <w:t>.</w:t>
      </w:r>
    </w:p>
    <w:p>
      <w:pPr>
        <w:pStyle w:val="Heading3"/>
        <w:numPr>
          <w:ilvl w:val="2"/>
          <w:numId w:val="1"/>
        </w:numPr>
        <w:rPr/>
      </w:pPr>
      <w:bookmarkStart w:id="249" w:name="__RefHeading___Toc1994184_581953129"/>
      <w:bookmarkStart w:id="250" w:name="_Toc94"/>
      <w:bookmarkEnd w:id="249"/>
      <w:r>
        <w:rPr>
          <w:rtl w:val="true"/>
        </w:rPr>
        <w:t>مصادر للمطالعة</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الحویزیّ، تفسیر نور الثقلین،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عزیزی، داستان پیامبران یا قصه‌های قرآن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أو القصص القرآنی من آدم حتّی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هادی معرفت، تنزیه الأنبیاء</w:t>
      </w:r>
      <w:r>
        <w:rPr>
          <w:rFonts w:eastAsia="IRNazanin" w:cs="IRNazanin"/>
          <w:color w:val="111111"/>
          <w:sz w:val="28"/>
          <w:szCs w:val="28"/>
          <w:rtl w:val="true"/>
          <w:lang w:bidi="fa-IR"/>
        </w:rPr>
        <w:t>.</w:t>
      </w:r>
    </w:p>
    <w:p>
      <w:pPr>
        <w:pStyle w:val="Heading3"/>
        <w:numPr>
          <w:ilvl w:val="2"/>
          <w:numId w:val="1"/>
        </w:numPr>
        <w:rPr/>
      </w:pPr>
      <w:bookmarkStart w:id="251" w:name="__RefHeading___Toc1994186_581953129"/>
      <w:bookmarkStart w:id="252" w:name="_Toc95"/>
      <w:bookmarkEnd w:id="251"/>
      <w:r>
        <w:rPr>
          <w:rtl w:val="true"/>
        </w:rPr>
        <w:t>الحدیث الختامیّ</w:t>
      </w:r>
      <w:bookmarkEnd w:id="252"/>
    </w:p>
    <w:p>
      <w:pPr>
        <w:pStyle w:val="BookText"/>
        <w:rPr/>
      </w:pPr>
      <w:r>
        <w:rPr>
          <w:rFonts w:ascii="IRNazanin" w:hAnsi="IRNazanin" w:eastAsia="IRNazanin"/>
          <w:color w:val="111111"/>
          <w:sz w:val="28"/>
          <w:sz w:val="28"/>
          <w:szCs w:val="28"/>
          <w:rtl w:val="true"/>
          <w:lang w:bidi="fa-IR"/>
        </w:rPr>
        <w:t>قال الإمام علیّ علیه السلام فی خطبة له، ذمّ فیها إبلیس علی استکباره وترکه السجود لآدم علیه السلام، وبیّن أنّه أوّل من أظهَر العصبیّة، وتَبِع الحمیّة، مُحذّراً النّاس من سلوک طریقته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عَدُوَّ اللهِ أَن یُعدِیَکُم بِدَائِهِ، وَأَن یَستَفِزَّکُم بِنِدَائِهِ، وَأَن یُجلِبَ عَلَیکُم بِخَیلِهِ وَرَجِلِهِ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فَلَعَمرِی، لَقَد فَوَّقَ</w:t>
      </w:r>
      <w:r>
        <w:rPr>
          <w:rStyle w:val="FootnoteAnchor"/>
          <w:rtl w:val="true"/>
        </w:rPr>
        <w:footnoteReference w:id="127"/>
      </w:r>
      <w:r>
        <w:rPr>
          <w:rFonts w:ascii="Amiri" w:hAnsi="Amiri" w:eastAsia="Amiri" w:cs="Amiri"/>
          <w:color w:val="111111"/>
          <w:sz w:val="28"/>
          <w:sz w:val="28"/>
          <w:szCs w:val="28"/>
          <w:rtl w:val="true"/>
          <w:lang w:bidi="ar-SA"/>
        </w:rPr>
        <w:t>لَکُم سَهمَ الوَعِیدِ، وَأَغرَقَ</w:t>
      </w:r>
      <w:r>
        <w:rPr>
          <w:rStyle w:val="FootnoteAnchor"/>
          <w:rtl w:val="true"/>
        </w:rPr>
        <w:footnoteReference w:id="128"/>
      </w:r>
      <w:r>
        <w:rPr>
          <w:rFonts w:ascii="Amiri" w:hAnsi="Amiri" w:eastAsia="Amiri" w:cs="Amiri"/>
          <w:color w:val="111111"/>
          <w:sz w:val="28"/>
          <w:sz w:val="28"/>
          <w:szCs w:val="28"/>
          <w:rtl w:val="true"/>
          <w:lang w:bidi="ar-SA"/>
        </w:rPr>
        <w:t>لَکُم بِالنَّزعِ</w:t>
      </w:r>
      <w:r>
        <w:rPr>
          <w:rStyle w:val="FootnoteAnchor"/>
          <w:rtl w:val="true"/>
        </w:rPr>
        <w:footnoteReference w:id="129"/>
      </w:r>
      <w:r>
        <w:rPr>
          <w:rFonts w:ascii="Amiri" w:hAnsi="Amiri" w:eastAsia="Amiri" w:cs="Amiri"/>
          <w:color w:val="111111"/>
          <w:sz w:val="28"/>
          <w:sz w:val="28"/>
          <w:szCs w:val="28"/>
          <w:rtl w:val="true"/>
          <w:lang w:bidi="ar-SA"/>
        </w:rPr>
        <w:t>الشَّدِیدِ، وَرَمَاکُم مِن مَکَان قَرِیب</w:t>
      </w:r>
      <w:r>
        <w:rPr>
          <w:rFonts w:eastAsia="Amiri" w:cs="Amiri" w:ascii="Amiri" w:hAnsi="Amiri"/>
          <w:color w:val="111111"/>
          <w:sz w:val="28"/>
          <w:szCs w:val="28"/>
          <w:rtl w:val="true"/>
          <w:lang w:bidi="ar-SA"/>
        </w:rPr>
        <w:t>».</w:t>
      </w:r>
      <w:r>
        <w:rPr>
          <w:rStyle w:val="FootnoteAnchor"/>
          <w:rtl w:val="true"/>
        </w:rPr>
        <w:footnoteReference w:id="130"/>
      </w:r>
      <w:bookmarkStart w:id="253" w:name="pg5457_39161"/>
    </w:p>
    <w:p>
      <w:pPr>
        <w:pStyle w:val="Heading2"/>
        <w:numPr>
          <w:ilvl w:val="1"/>
          <w:numId w:val="1"/>
        </w:numPr>
        <w:rPr/>
      </w:pPr>
      <w:bookmarkStart w:id="254" w:name="__RefHeading___Toc1994188_581953129"/>
      <w:bookmarkStart w:id="255" w:name="_Toc96"/>
      <w:bookmarkEnd w:id="253"/>
      <w:bookmarkEnd w:id="254"/>
      <w:r>
        <w:rPr>
          <w:rtl w:val="true"/>
        </w:rPr>
        <w:t xml:space="preserve">انطباق الآیة </w:t>
      </w:r>
      <w:r>
        <w:rPr/>
        <w:t>43</w:t>
      </w:r>
      <w:r>
        <w:rPr>
          <w:rtl w:val="true"/>
        </w:rPr>
        <w:t xml:space="preserve"> </w:t>
      </w:r>
      <w:r>
        <w:rPr>
          <w:rtl w:val="true"/>
        </w:rPr>
        <w:t>من سورة التوبة علی عصمة النبیّ صلی الله علیه و آله</w:t>
      </w:r>
      <w:bookmarkEnd w:id="255"/>
    </w:p>
    <w:p>
      <w:pPr>
        <w:pStyle w:val="Heading3"/>
        <w:numPr>
          <w:ilvl w:val="2"/>
          <w:numId w:val="1"/>
        </w:numPr>
        <w:rPr/>
      </w:pPr>
      <w:bookmarkStart w:id="256" w:name="__RefHeading___Toc1994190_581953129"/>
      <w:bookmarkStart w:id="257" w:name="_Toc97"/>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فی سورة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w:t>
      </w:r>
      <w:r>
        <w:rPr>
          <w:rStyle w:val="FootnoteAnchor"/>
          <w:rtl w:val="true"/>
        </w:rPr>
        <w:footnoteReference w:id="131"/>
      </w:r>
      <w:r>
        <w:rPr>
          <w:rFonts w:ascii="IRNazanin" w:hAnsi="IRNazanin" w:eastAsia="IRNazanin"/>
          <w:color w:val="111111"/>
          <w:sz w:val="28"/>
          <w:sz w:val="28"/>
          <w:szCs w:val="28"/>
          <w:rtl w:val="true"/>
          <w:lang w:bidi="fa-IR"/>
        </w:rPr>
        <w:t>أی کان خیر لک لو صبرت، حتی یعلن کلّ من الصادقین والکاذبین عن أنفسهم؛ وعلیه، کیف یُمکن الجمع بین هذه الآیة وبین عصمة النبیّ صلی الله علیه و آله؟</w:t>
      </w:r>
    </w:p>
    <w:p>
      <w:p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الشریفة فی المنافقین الذین أبوا المشارکة فی غزوة تَبوک؛ ولهذا، جاءوا إلی النبی الکریم صلی الله علیه و آله، والتمسوا منه العُذر عن عدَم الاشتراک فی الحرب، متذرّعین ببعض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النبیّ صلی الله علیه و آله کان یعرفهم حقّ المعرفة، ویعلم بوهن عقیدتهم وضعف إیمانهم، أذِن لهم بالبقاء فی المدینة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نزلت هذه الآیة الشریفة، بیّنت أنّ الله جلّ وعلا عاتب نبیّه علی السماح لهم بالبقاء،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مالک أذنت لهم فی القعود عن الغزو حین استأذنوک، واعتلّوا لک بعِلَلِهم؟ وهلاّ استأنیت بالإذن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لَکَ الَّذِینَ صَدَقُوا وَتَعلَمَ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 من صدَق فی عُذره ممّن کذَب فیه، وتطّلع علی حقیقة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البعض إلی أنّ هذا العتاب المقرون بعفو الله تعالی بصریح الآیة الشریفة، دلیل علی أنّ إذن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خاطیء، ومخالف لعصمة الرسول الکریم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قال الزمخشریّ فی تفسیر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کنایة عن الجنایة؛ لأنّ العفو رادف لها، ومعناه أخطأت وبئس ما فعلت، و لِمَ أَذِنتَ لَهُم بیان لما کنّی عنه بالعفو</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الإجابة عن هذه الشبهة المطروحة فی الآیة الشریفة من جهتین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فی هذه الآیة الشریفة علی صدور الذنب والمعصیة والجنایة من رسول الله صلی الله علیه و آله، بل لیس فی ظاهر الآیة مفردة، أو لفظ، یُوحی بمعنی المعصیة والخطأ؛ لأنّ جمیع القرائن والشواهد تشیر إلی أنّ النبیّ صلی الله علیه و آله کان یعلم جیّداً بأنّه حتّی لو لم یأذن لهم، ولم یوافق علی طلبهم فی القعود والتخلّف عن الحرب، ماکان أولئک لیشترکوا فی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أنّه بالنظر إلی الآیات اللاحقة لهذه الآیة، لم یکن الله تعالی أیضاً راغباً فی مشارکتهم فی میدان الجهاد؛ ذلک أنّ حضورهم وتواجدهم هناک من شأنه أن یسهم فی تثبیط عزیمة سائر المقاتلین والمحاربین؛ لذا،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 .</w:t>
      </w:r>
      <w:r>
        <w:rPr>
          <w:rStyle w:val="FootnoteAnchor"/>
          <w:rtl w:val="true"/>
        </w:rPr>
        <w:footnoteReference w:id="1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 ذیل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مناسبات هذا المقام إلقاء العتاب إلی المخاطب، وتوبیخه والإنکار علیه، کأنّه هو الذی ستر علیهم فضائح أعمالهم، وسوء سریرتهم، وهو نوع من العنایة الکلامیّة، یتبیّن به</w:t>
      </w:r>
    </w:p>
    <w:p>
      <w:pPr>
        <w:pStyle w:val="BookText"/>
        <w:rPr/>
      </w:pPr>
      <w:r>
        <w:rPr>
          <w:rFonts w:ascii="IRNazanin" w:hAnsi="IRNazanin" w:eastAsia="IRNazanin"/>
          <w:color w:val="111111"/>
          <w:sz w:val="28"/>
          <w:sz w:val="28"/>
          <w:szCs w:val="28"/>
          <w:rtl w:val="true"/>
          <w:lang w:bidi="fa-IR"/>
        </w:rPr>
        <w:t>ظهور الأمر ووضوحه، لا یُراد أزیَد من ذلک؛ فهو من أقسام البیان علی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مع العلم بأنّ إذن النبیّ صلی الله علیه و آله لهم فی القعود لم یؤدِّ إلی تفویت أیّ مصلحة علی المسلمین، غایة الأمر، لو لم یکن النبیّ صلی الله علیه و آله قد أذن لهم، لکانت فضیحتهم وظهور حالهم فی النفاق أسرع، ولعرفهم الناس واکتشفوا فساد 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المقابل، لو لم یُؤذَن لهم لأظهروا الخلاف، ولکانت الفتنة أشدّ، والتفرّق فی کلمة الجماعة أوضح وأبین؛ لذا، لا تدلّ الآیة علی معصیة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تعارض بینها وبین العصمة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تعالی وصف المنافقین فی هذه الآیة المبارکة ببیان لطیف وکنایة بلیغة؛ بمعنی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تأذن لهم لاکتُشف أمرهم، ولکانت معالم النفاق بادیة فی وجوههم، بصورة أسرع وأوضح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کنایة عن لطف الله؛ کما هو الحال فی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المتداولة علی ألسنتنا، والتی تُقال من باب الرحمة، والشفَقة، وإظهار المودّة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الفخر الرازیّ فی معنی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یدلّ علی مبالغة الله فی تعظیمه وتوقیره، کما یقول الرجل لغیره إذا کان معظَّماً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ما صنعت فی أمری؟ ورضی الله عنک، ما جوابک عن کلامی؟ وعافاک الله، ما عرفت حقّی؛ فلا یکون غرضه من هذا الکلام، إلاّ مزید التبجیل والتعظیم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الجهم، فیما یخاطب به المتوکّل وقد أمر بنفیه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ألا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بعفوک إن أبعدا</w:t>
      </w:r>
      <w:r>
        <w:rPr>
          <w:rFonts w:eastAsia="IRNazanin" w:cs="IRNazanin"/>
          <w:color w:val="111111"/>
          <w:sz w:val="28"/>
          <w:szCs w:val="28"/>
          <w:rtl w:val="true"/>
          <w:lang w:bidi="fa-IR"/>
        </w:rPr>
        <w:t>».</w:t>
      </w:r>
      <w:r>
        <w:rPr>
          <w:rStyle w:val="FootnoteAnchor"/>
          <w:rtl w:val="true"/>
        </w:rPr>
        <w:footnoteReference w:id="135"/>
      </w:r>
      <w:bookmarkStart w:id="258" w:name="pg5457_39164"/>
    </w:p>
    <w:p>
      <w:pPr>
        <w:pStyle w:val="BookText"/>
        <w:rPr/>
      </w:pPr>
      <w:bookmarkEnd w:id="258"/>
      <w:r>
        <w:rPr>
          <w:rFonts w:ascii="IRNazanin" w:hAnsi="IRNazanin" w:eastAsia="IRNazanin"/>
          <w:color w:val="111111"/>
          <w:sz w:val="28"/>
          <w:sz w:val="28"/>
          <w:szCs w:val="28"/>
          <w:rtl w:val="true"/>
          <w:lang w:bidi="fa-IR"/>
        </w:rPr>
        <w:t>ومن الجلیّ هنا أنّ هذا الشاعر لم یکن بصدد إثبات صدور الذنب عن المتوکّل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لأنّ الشاعر یعلم بأنّه حینئذ سیزداد غضباً، ویفعل به أکثر من 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لمّا سأل المأمون العبّاسیّ الإمام الرضا علیه السلام عن معنی هذه الآیة، 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نزل بإیّاکَ أعنی واسمعی یا جارة، خاطب الله عزّ وجلّ بذلک نبیّه، وأراد به أمّته، وکذلک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ومجمل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منتهی اللطف والرحمة الإلهیّة بالنسبة إلی نبیّه الکریم، ولا دلالة فیها علی إثبات الذنب أو المعصیة</w:t>
      </w:r>
      <w:r>
        <w:rPr>
          <w:rFonts w:eastAsia="IRNazanin" w:cs="IRNazanin"/>
          <w:color w:val="111111"/>
          <w:sz w:val="28"/>
          <w:szCs w:val="28"/>
          <w:rtl w:val="true"/>
          <w:lang w:bidi="fa-IR"/>
        </w:rPr>
        <w:t>.</w:t>
      </w:r>
    </w:p>
    <w:p>
      <w:pPr>
        <w:pStyle w:val="Heading3"/>
        <w:numPr>
          <w:ilvl w:val="2"/>
          <w:numId w:val="1"/>
        </w:numPr>
        <w:rPr/>
      </w:pPr>
      <w:bookmarkStart w:id="259" w:name="__RefHeading___Toc1994192_581953129"/>
      <w:bookmarkStart w:id="260" w:name="_Toc98"/>
      <w:bookmarkEnd w:id="259"/>
      <w:r>
        <w:rPr>
          <w:rtl w:val="true"/>
        </w:rPr>
        <w:t>النتیجة</w:t>
      </w:r>
      <w:bookmarkEnd w:id="2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 لا تدلّ علی تفویت النبیّ صلی الله علیه و آله لمصلحة من المصالح علی المسلمین، ولا تثبت أنّه قد أذنب وعصی؛ وإنّما أراد الباری عزّ وجلّ إظهار منتهی اللطف والرحمة والرأفة لشخص النبیّ الکریم صلی الله علیه و آله، فعبّر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لا تضادّ بین الآیة وبین العصمة الثابتة للأنبیاء والمرسلین والأولیاء الصالحین</w:t>
      </w:r>
      <w:r>
        <w:rPr>
          <w:rFonts w:eastAsia="IRNazanin" w:cs="IRNazanin"/>
          <w:color w:val="111111"/>
          <w:sz w:val="28"/>
          <w:szCs w:val="28"/>
          <w:rtl w:val="true"/>
          <w:lang w:bidi="fa-IR"/>
        </w:rPr>
        <w:t>.</w:t>
      </w:r>
      <w:bookmarkStart w:id="261" w:name="pg5457_39165"/>
    </w:p>
    <w:p>
      <w:pPr>
        <w:pStyle w:val="Heading3"/>
        <w:numPr>
          <w:ilvl w:val="2"/>
          <w:numId w:val="1"/>
        </w:numPr>
        <w:rPr/>
      </w:pPr>
      <w:bookmarkStart w:id="262" w:name="__RefHeading___Toc1994194_581953129"/>
      <w:bookmarkStart w:id="263" w:name="_Toc99"/>
      <w:bookmarkEnd w:id="261"/>
      <w:bookmarkEnd w:id="262"/>
      <w:r>
        <w:rPr>
          <w:rtl w:val="true"/>
        </w:rPr>
        <w:t>مصادر للمطالعة</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هادی معرفت، تنزیه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عزیزی، داستان پیامبران یا قصه‌های قرآن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أو القصص القرآنی من آدم حتّی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4" w:name="__RefHeading___Toc1994196_581953129"/>
      <w:bookmarkStart w:id="265" w:name="_Toc100"/>
      <w:bookmarkEnd w:id="264"/>
      <w:r>
        <w:rPr>
          <w:rtl w:val="true"/>
        </w:rPr>
        <w:t>الحدیث الختامیّ</w:t>
      </w:r>
      <w:bookmarkEnd w:id="265"/>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أَتقاکُم وَأعلَمَکُم بِاللهِ أَنَا</w:t>
      </w:r>
      <w:r>
        <w:rPr>
          <w:rFonts w:eastAsia="Amiri" w:cs="Amiri" w:ascii="Amiri" w:hAnsi="Amiri"/>
          <w:color w:val="111111"/>
          <w:sz w:val="28"/>
          <w:szCs w:val="28"/>
          <w:rtl w:val="true"/>
          <w:lang w:bidi="ar-SA"/>
        </w:rPr>
        <w:t>».</w:t>
      </w:r>
      <w:r>
        <w:rPr>
          <w:rStyle w:val="FootnoteAnchor"/>
          <w:rtl w:val="true"/>
        </w:rPr>
        <w:footnoteReference w:id="137"/>
      </w:r>
      <w:bookmarkStart w:id="266" w:name="pg5457_39167"/>
    </w:p>
    <w:p>
      <w:pPr>
        <w:pStyle w:val="Heading2"/>
        <w:numPr>
          <w:ilvl w:val="1"/>
          <w:numId w:val="1"/>
        </w:numPr>
        <w:rPr/>
      </w:pPr>
      <w:bookmarkStart w:id="267" w:name="__RefHeading___Toc1994198_581953129"/>
      <w:bookmarkStart w:id="268" w:name="_Toc101"/>
      <w:bookmarkEnd w:id="266"/>
      <w:bookmarkEnd w:id="267"/>
      <w:r>
        <w:rPr>
          <w:rtl w:val="true"/>
        </w:rPr>
        <w:t xml:space="preserve">تناسق الآیة </w:t>
      </w:r>
      <w:r>
        <w:rPr/>
        <w:t>110</w:t>
      </w:r>
      <w:r>
        <w:rPr>
          <w:rtl w:val="true"/>
        </w:rPr>
        <w:t xml:space="preserve"> </w:t>
      </w:r>
      <w:r>
        <w:rPr>
          <w:rtl w:val="true"/>
        </w:rPr>
        <w:t>من سورة الکهف مع عصمة النبیّ صلی الله علیه و آله المطلقة</w:t>
      </w:r>
      <w:bookmarkEnd w:id="268"/>
    </w:p>
    <w:p>
      <w:pPr>
        <w:pStyle w:val="Heading3"/>
        <w:numPr>
          <w:ilvl w:val="2"/>
          <w:numId w:val="1"/>
        </w:numPr>
        <w:rPr/>
      </w:pPr>
      <w:bookmarkStart w:id="269" w:name="__RefHeading___Toc1994200_581953129"/>
      <w:bookmarkStart w:id="270" w:name="_Toc102"/>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نؤمن بالعِصمة المطلقة للنبیّ الکریم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الأحکام وفی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ولکن، هل أنّ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لتلک الآیات، أم لا؟ وإن کان مخصّصاً لها، فهل أنّ الآیات الآنفة دالّة علی العصمة فی الأحکام فقط؟</w:t>
      </w:r>
    </w:p>
    <w:p>
      <w:pPr>
        <w:pStyle w:val="Heading3"/>
        <w:numPr>
          <w:ilvl w:val="2"/>
          <w:numId w:val="1"/>
        </w:numPr>
        <w:rPr/>
      </w:pPr>
      <w:bookmarkStart w:id="271" w:name="__RefHeading___Toc1994202_581953129"/>
      <w:bookmarkStart w:id="272" w:name="_Toc103"/>
      <w:bookmarkEnd w:id="271"/>
      <w:r>
        <w:rPr>
          <w:rtl w:val="true"/>
        </w:rPr>
        <w:t>تقدیم</w:t>
      </w:r>
      <w:bookmarkEnd w:id="2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مسألة عصمة الأنبیاء من الموضوعات الهامّة التی تطرّقت لها الکتب الکلامیّة فی المباحث المتعلّقة بموضوع النبوّة، کما جری بحث هذا</w:t>
      </w:r>
    </w:p>
    <w:p>
      <w:pPr>
        <w:pStyle w:val="BookText"/>
        <w:rPr/>
      </w:pPr>
      <w:r>
        <w:rPr>
          <w:rFonts w:ascii="IRNazanin" w:hAnsi="IRNazanin" w:eastAsia="IRNazanin"/>
          <w:color w:val="111111"/>
          <w:sz w:val="28"/>
          <w:sz w:val="28"/>
          <w:szCs w:val="28"/>
          <w:rtl w:val="true"/>
          <w:lang w:bidi="fa-IR"/>
        </w:rPr>
        <w:t>الموضوع بمقدارٍ ما فی کتب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موضوع العصمة من المواضیع التی اختلفت فیها آراء وأقاویل العلماء فی الفرق والطوائف المختلفة، وکان للفرقة الإمامیّة رأیٌ خاصّ ومتمیّزٌ بشأن العِصمة؛ فقال الشیخ المفید فی هذا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الفِرَق الإسلامیّة من یوجب لهم العصمة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الشیعة الإمامیة</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ومن هنا، سنصبّ جهدنا من أجلِ تقدیم جواب وافٍ للسؤال، والترکیز بدایةً علی إثبات العصمة المطلقة، ثمّ نُبیّن مفادَ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إیضاح الموضوع وإنارة زوایاه المختلفة، لا بدّ من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ومفهوم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فارس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واحد صحیح یدلّ علی إمساکٍ ومنعٍ وملازمةٍ، والمعنی فی ذلک کلّه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العصمة، أن یعصم الله تعالی عبدَه من سُوءٍ یقَع فیه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العصمة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البعض إلی تفسیر العصمة باللطف، إلاّ أنّ الشیخ المفید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فی موضوع اللغة هو المنع، وقد خُصّ فی اصطلاح المتکلّمین بمن یمتنع باختیاره عن فِعلِ الذنوب والقبائح، عند اللطف الذی یحصل من الله تعالی فی حقّه</w:t>
      </w:r>
      <w:r>
        <w:rPr>
          <w:rFonts w:eastAsia="IRNazanin" w:cs="IRNazanin"/>
          <w:color w:val="111111"/>
          <w:sz w:val="28"/>
          <w:szCs w:val="28"/>
          <w:rtl w:val="true"/>
          <w:lang w:bidi="fa-IR"/>
        </w:rPr>
        <w:t>».</w:t>
      </w:r>
      <w:r>
        <w:rPr>
          <w:rStyle w:val="FootnoteAnchor"/>
          <w:rtl w:val="true"/>
        </w:rPr>
        <w:footnoteReference w:id="14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بعضُ العلماء العِصمةَ بالملَکَة النفسانیّة، فقال آیة الله جوادی آملی</w:t>
      </w:r>
      <w:r>
        <w:rPr>
          <w:rFonts w:eastAsia="Amiri" w:cs="Amiri" w:ascii="Amiri" w:hAnsi="Amiri"/>
          <w:color w:val="111111"/>
          <w:sz w:val="28"/>
          <w:szCs w:val="28"/>
          <w:rtl w:val="true"/>
          <w:lang w:bidi="ar-SA"/>
        </w:rPr>
        <w:t>:</w:t>
      </w:r>
      <w:bookmarkStart w:id="273" w:name="pg5457_39169"/>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ملَکَة نفسانیّة عظیمة، تتجلّی فی وجود الإنسان المعصوم دائماً، ولا قدرة لأیّ قوّة أُخری؛ نحو الغضب والشهوة، علی إزالتها</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74" w:name="__RefHeading___Toc1994204_581953129"/>
      <w:bookmarkStart w:id="275" w:name="_Toc104"/>
      <w:bookmarkEnd w:id="274"/>
      <w:r>
        <w:rPr>
          <w:rtl w:val="true"/>
        </w:rPr>
        <w:t>الفرق بین العصمة والعدالة</w:t>
      </w:r>
      <w:bookmarkEnd w:id="275"/>
    </w:p>
    <w:p>
      <w:pPr>
        <w:pStyle w:val="BookText"/>
        <w:rPr/>
      </w:pPr>
      <w:r>
        <w:rPr>
          <w:rFonts w:ascii="IRNazanin" w:hAnsi="IRNazanin" w:eastAsia="IRNazanin"/>
          <w:color w:val="111111"/>
          <w:sz w:val="28"/>
          <w:sz w:val="28"/>
          <w:szCs w:val="28"/>
          <w:rtl w:val="true"/>
          <w:lang w:bidi="fa-IR"/>
        </w:rPr>
        <w:t>لمّا جری التعبیر عن العصمة فی تعریفها بالملکة النفسانیّة، یتبادر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إذن بین العصمة والعدالة؛ إذ استفید من التعبیر بالملَکَة النفسانیّة فی تعریف العدالة أیضاً؟</w:t>
      </w:r>
    </w:p>
    <w:p>
      <w:pPr>
        <w:pStyle w:val="BookText"/>
        <w:rPr/>
      </w:pPr>
      <w:r>
        <w:rPr>
          <w:rFonts w:ascii="IRNazanin" w:hAnsi="IRNazanin" w:eastAsia="IRNazanin"/>
          <w:color w:val="111111"/>
          <w:sz w:val="28"/>
          <w:sz w:val="28"/>
          <w:szCs w:val="28"/>
          <w:rtl w:val="true"/>
          <w:lang w:bidi="fa-IR"/>
        </w:rPr>
        <w:t>یُمکن التفریق بین هاتین المقولتین فی إشارة إجمالیّة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أضعف من العصمة فی المرتبة الوجودیّة،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السهو والنسیان والغفلة لا تتزاحم مع العدالة؛ فی حین أنّها تزاحم العصمة وتتنافی معها، یُضاف إلی ذلک، أنّ العدالةَ نوعٌ من أنواع الملَکَة العمَلیّة، لا العِلمیّة</w:t>
      </w:r>
      <w:r>
        <w:rPr>
          <w:rFonts w:eastAsia="IRNazanin" w:cs="IRNazanin"/>
          <w:color w:val="111111"/>
          <w:sz w:val="28"/>
          <w:szCs w:val="28"/>
          <w:rtl w:val="true"/>
          <w:lang w:bidi="fa-IR"/>
        </w:rPr>
        <w:t>.</w:t>
      </w:r>
    </w:p>
    <w:p>
      <w:pPr>
        <w:pStyle w:val="Heading3"/>
        <w:numPr>
          <w:ilvl w:val="2"/>
          <w:numId w:val="1"/>
        </w:numPr>
        <w:rPr/>
      </w:pPr>
      <w:bookmarkStart w:id="276" w:name="__RefHeading___Toc1994206_581953129"/>
      <w:bookmarkStart w:id="277" w:name="_Toc105"/>
      <w:bookmarkEnd w:id="276"/>
      <w:r>
        <w:rPr>
          <w:rtl w:val="true"/>
        </w:rPr>
        <w:t>عدَم التنافی بین العِصمة والبشریّة</w:t>
      </w:r>
      <w:bookmarkEnd w:id="277"/>
    </w:p>
    <w:p>
      <w:pPr>
        <w:pStyle w:val="BookText"/>
        <w:rPr/>
      </w:pPr>
      <w:r>
        <w:rPr>
          <w:rFonts w:ascii="IRNazanin" w:hAnsi="IRNazanin" w:eastAsia="IRNazanin"/>
          <w:color w:val="111111"/>
          <w:sz w:val="28"/>
          <w:sz w:val="28"/>
          <w:szCs w:val="28"/>
          <w:rtl w:val="true"/>
          <w:lang w:bidi="fa-IR"/>
        </w:rPr>
        <w:t>إنّ خلق الإنسان یستأثر بحالةٍ خاصّة وفریدة من بین المخلوقات الأُخری؛ فالصانع الحکیم رکّب الوجود الإنسانیّ من قوی متضادّة ومختلفة مع بعضها البعض، ثمّ حبکها حبکاً وجعلها متداخلة ومتشابکة، حتّی صار هذا التداخل والتشابک رمزاً لتکامل البشَر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بات بإمکان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إیجاد حالة من التوازن بین القوی الداخلیّة المکوّنة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مرحلة الکمال، ونیل مقام العصمة، فی ظلّ العبودیّة والقرب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إدراک هذه الحقیقة صعبٌ علینا، حینما وضعنا أنفسنا فی دائرة الأهواء النفسانیّة، وعشنا خلف حُجُبها؛ بَیدَ</w:t>
      </w:r>
    </w:p>
    <w:p>
      <w:pPr>
        <w:pStyle w:val="BookText"/>
        <w:rPr/>
      </w:pPr>
      <w:r>
        <w:rPr>
          <w:rFonts w:ascii="IRNazanin" w:hAnsi="IRNazanin" w:eastAsia="IRNazanin"/>
          <w:color w:val="111111"/>
          <w:sz w:val="28"/>
          <w:sz w:val="28"/>
          <w:szCs w:val="28"/>
          <w:rtl w:val="true"/>
          <w:lang w:bidi="fa-IR"/>
        </w:rPr>
        <w:t>أنّ بُلوغ هذه القِلّة الرفیعة لیس بالأمر الممتنع، ولا تضادّ ولا تعارض بین مقام العصمة وبین کون المعصوم بشَراً؛ إذ أنّ کلّ إنسان یتمتّع بالعصمة النسبیّة، أی بما یتناسب مع ظرفیّته وقابلیّته الوجودیّة، أمّا العصمة المطلقة فمتعلّقة بالأنبیاء، کما تدلّ علی ذلک الأدلّة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منافاةَ بین بعضِ الأدلّة القرآنیّة التی تثبت العصمة العامّة لنبیّ الإسلام، وبین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دلیل یمنع من عصمة البشر؛ ولذا لا یوجد بین الآیات القرآنیّة الدالّة علی العصمة وبین هذه الآیة الشریفة نسبة العموم والخصوص،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الاعتقاد بتبعیض العِصمة، وتضییق دائرتها، من خلال التمسّک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وفقاً للأدلّة العقلیّة والنقلیّة التی سنبیّنها لاحقاً، یجب أن یکون الأنبیاء معصومین، کما ینبغی أن یکون النبیّ والرسول بشراً؛ لأنّهم إنّما یُبعثون إلی المجتمعات البشریّة؛ ولهذا، انتقد القرآن الکریم منطق الکفّار والمشرکین حینما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الرَّسُولِ یَأکُلُ الطَّعامَ وَ یَمشِی فِی الأَسواقِ لَو لا أُنزِلَ إِلَیهِ مَلَکٌ فَیَکُونَ مَعَهُ نَذِیراً</w:t>
      </w:r>
      <w:r>
        <w:rPr>
          <w:rFonts w:eastAsia="Amiri" w:cs="Amiri" w:ascii="Amiri" w:hAnsi="Amiri"/>
          <w:color w:val="111111"/>
          <w:sz w:val="28"/>
          <w:szCs w:val="28"/>
          <w:rtl w:val="true"/>
          <w:lang w:bidi="ar-SA"/>
        </w:rPr>
        <w:t>) .</w:t>
      </w:r>
      <w:r>
        <w:rPr>
          <w:rStyle w:val="FootnoteAnchor"/>
          <w:rtl w:val="true"/>
        </w:rPr>
        <w:footnoteReference w:id="14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موضع آخر، حکی القرآن الکریم علی لسانهم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إِلَیهِ مَلَکٌ</w:t>
      </w:r>
      <w:r>
        <w:rPr>
          <w:rFonts w:eastAsia="Amiri" w:cs="Amiri" w:ascii="Amiri" w:hAnsi="Amiri"/>
          <w:color w:val="111111"/>
          <w:sz w:val="28"/>
          <w:szCs w:val="28"/>
          <w:rtl w:val="true"/>
          <w:lang w:bidi="ar-SA"/>
        </w:rPr>
        <w:t>) .</w:t>
      </w:r>
      <w:r>
        <w:rPr>
          <w:rStyle w:val="FootnoteAnchor"/>
          <w:rtl w:val="true"/>
        </w:rPr>
        <w:footnoteReference w:id="144"/>
      </w:r>
      <w:r>
        <w:rPr>
          <w:rFonts w:ascii="IRNazanin" w:hAnsi="IRNazanin" w:eastAsia="IRNazanin"/>
          <w:color w:val="111111"/>
          <w:sz w:val="28"/>
          <w:sz w:val="28"/>
          <w:szCs w:val="28"/>
          <w:rtl w:val="true"/>
          <w:lang w:bidi="fa-IR"/>
        </w:rPr>
        <w:t>قال العلاّمة الطباطبائیّ فی ذیل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فسؤالهم إنزال الملَک إنّما کان لأحدِ أمرَین، علی ما یحکیه الله عنهم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یأتیهم بما یعدهم النبیّ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 علیهم الملَک؛ لیکون حاملاً لأعباء الرسالة، داعیاً إلی الله مکان النبیّ صلی الله علیه و آله، أو یکون معه رسولاً مثله، مصدّقاً لدعوته، شاهداً علی صِدقه</w:t>
      </w:r>
      <w:r>
        <w:rPr>
          <w:rFonts w:eastAsia="IRNazanin" w:cs="IRNazanin"/>
          <w:color w:val="111111"/>
          <w:sz w:val="28"/>
          <w:szCs w:val="28"/>
          <w:rtl w:val="true"/>
          <w:lang w:bidi="fa-IR"/>
        </w:rPr>
        <w:t>».</w:t>
      </w:r>
      <w:r>
        <w:rPr>
          <w:rStyle w:val="FootnoteAnchor"/>
          <w:rtl w:val="true"/>
        </w:rPr>
        <w:footnoteReference w:id="145"/>
      </w:r>
      <w:bookmarkStart w:id="278" w:name="pg5457_39171"/>
    </w:p>
    <w:p>
      <w:pPr>
        <w:pStyle w:val="BookText"/>
        <w:rPr/>
      </w:pPr>
      <w:bookmarkEnd w:id="278"/>
      <w:r>
        <w:rPr>
          <w:rFonts w:ascii="Amiri" w:hAnsi="Amiri" w:eastAsia="Amiri" w:cs="Amiri"/>
          <w:color w:val="111111"/>
          <w:sz w:val="28"/>
          <w:sz w:val="28"/>
          <w:szCs w:val="28"/>
          <w:rtl w:val="true"/>
          <w:lang w:bidi="ar-SA"/>
        </w:rPr>
        <w:t>أمّا القرآن الکریم فقد ردّ علی المشرکین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مَلَکاً لَجَعَلناهُ رَجُلاً</w:t>
      </w:r>
      <w:r>
        <w:rPr>
          <w:rFonts w:eastAsia="Amiri" w:cs="Amiri" w:ascii="Amiri" w:hAnsi="Amiri"/>
          <w:color w:val="111111"/>
          <w:sz w:val="28"/>
          <w:szCs w:val="28"/>
          <w:rtl w:val="true"/>
          <w:lang w:bidi="ar-SA"/>
        </w:rPr>
        <w:t>) .</w:t>
      </w:r>
      <w:r>
        <w:rPr>
          <w:rStyle w:val="FootnoteAnchor"/>
          <w:rtl w:val="true"/>
        </w:rPr>
        <w:footnoteReference w:id="146"/>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شئنا أن یکون رسولنا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یتّصف هذا الملَک بصفات الإنسان، وأن یظهر فی هیئة إنسان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ولذا، لا فرق بین الصورتین، فیجب أن یکون الرسول والنبیّ المبعوث إلی البشر من جنسِ البشَر، أو فی صورة وهیئة بشَر، علی أقلّ التقادیر، لا من جنسٍ 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وخلص العلاّمة الطباطبائیّ إلی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فإنزال الملَک رسولاً لا یترتّب علیه من النفع والأثر، أکثر ممّا یترتّب علی إرسال الرسول البشَریّ، ویکون حینئذٍ لغواً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وانطلاقاً من ذلک، لم یرَ القرآن الکریم بأساً فی موضوع إرسال البشَر رسولاً إلی الناس، طبعاً بعدما تتوفّر فیه الشروط اللازمة، ومنها العصمة، واعتبره أمراً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یلزم أوّلاً شرح أنواع العِصمة، ومن ثمّ بحث ومناقشة أدلّتها</w:t>
      </w:r>
      <w:r>
        <w:rPr>
          <w:rFonts w:eastAsia="IRNazanin" w:cs="IRNazanin"/>
          <w:color w:val="111111"/>
          <w:sz w:val="28"/>
          <w:szCs w:val="28"/>
          <w:rtl w:val="true"/>
          <w:lang w:bidi="fa-IR"/>
        </w:rPr>
        <w:t>.</w:t>
      </w:r>
    </w:p>
    <w:p>
      <w:pPr>
        <w:pStyle w:val="Heading3"/>
        <w:numPr>
          <w:ilvl w:val="2"/>
          <w:numId w:val="1"/>
        </w:numPr>
        <w:rPr/>
      </w:pPr>
      <w:bookmarkStart w:id="279" w:name="__RefHeading___Toc1994208_581953129"/>
      <w:bookmarkStart w:id="280" w:name="_Toc106"/>
      <w:bookmarkEnd w:id="279"/>
      <w:r>
        <w:rPr>
          <w:rtl w:val="true"/>
        </w:rPr>
        <w:t>أنواع العصمة</w:t>
      </w:r>
      <w:bookmarkEnd w:id="280"/>
    </w:p>
    <w:p>
      <w:pPr>
        <w:pStyle w:val="Heading4"/>
        <w:numPr>
          <w:ilvl w:val="3"/>
          <w:numId w:val="1"/>
        </w:numPr>
        <w:rPr/>
      </w:pPr>
      <w:bookmarkStart w:id="281" w:name="__RefHeading___Toc1994210_581953129"/>
      <w:bookmarkStart w:id="282" w:name="_Toc107"/>
      <w:bookmarkEnd w:id="281"/>
      <w:r>
        <w:rPr>
          <w:rtl w:val="true"/>
        </w:rPr>
        <w:t>اشارة</w:t>
      </w:r>
      <w:bookmarkEnd w:id="2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العصمة إلی العصمة العلمیّة والعصمة العملیّة، ولهذَین النوعین من العصمة أن ینفصلا عن بعضهما البعض، وعصمة الأنبیاء شاملة لکلا القسمین؛ بمعنی أنّ المعصوم یتمتّع بالعِصمة فی مجال العلم، وفی مجال العمَل، علی حدٍّ سَواء</w:t>
      </w:r>
      <w:r>
        <w:rPr>
          <w:rFonts w:eastAsia="IRNazanin" w:cs="IRNazanin"/>
          <w:color w:val="111111"/>
          <w:sz w:val="28"/>
          <w:szCs w:val="28"/>
          <w:rtl w:val="true"/>
          <w:lang w:bidi="fa-IR"/>
        </w:rPr>
        <w:t>.</w:t>
      </w:r>
      <w:r>
        <w:rPr>
          <w:rStyle w:val="FootnoteAnchor"/>
          <w:rtl w:val="true"/>
        </w:rPr>
        <w:footnoteReference w:id="149"/>
      </w:r>
      <w:bookmarkStart w:id="283" w:name="pg5457_39172"/>
    </w:p>
    <w:p>
      <w:pPr>
        <w:pStyle w:val="Heading4"/>
        <w:numPr>
          <w:ilvl w:val="3"/>
          <w:numId w:val="1"/>
        </w:numPr>
        <w:rPr/>
      </w:pPr>
      <w:bookmarkStart w:id="284" w:name="__RefHeading___Toc1994212_581953129"/>
      <w:bookmarkStart w:id="285" w:name="_Toc108"/>
      <w:bookmarkEnd w:id="283"/>
      <w:bookmarkEnd w:id="284"/>
      <w:r>
        <w:rPr>
          <w:rtl w:val="true"/>
        </w:rPr>
        <w:t>مراتب العصمة</w:t>
      </w:r>
      <w:bookmarkEnd w:id="285"/>
    </w:p>
    <w:p>
      <w:pPr>
        <w:pStyle w:val="Heading5"/>
        <w:numPr>
          <w:ilvl w:val="4"/>
          <w:numId w:val="1"/>
        </w:numPr>
        <w:rPr/>
      </w:pPr>
      <w:bookmarkStart w:id="286" w:name="__RefHeading___Toc1994214_581953129"/>
      <w:bookmarkStart w:id="287" w:name="_Toc109"/>
      <w:bookmarkEnd w:id="286"/>
      <w:r>
        <w:rPr/>
        <w:t>1</w:t>
      </w:r>
      <w:r>
        <w:rPr>
          <w:rtl w:val="true"/>
        </w:rPr>
        <w:t xml:space="preserve">- </w:t>
      </w:r>
      <w:r>
        <w:rPr>
          <w:rtl w:val="true"/>
        </w:rPr>
        <w:t>العصمة من المعصیة</w:t>
      </w:r>
      <w:bookmarkEnd w:id="287"/>
    </w:p>
    <w:p>
      <w:pPr>
        <w:pStyle w:val="BookText"/>
        <w:rPr/>
      </w:pPr>
      <w:r>
        <w:rPr>
          <w:rFonts w:ascii="IRNazanin" w:hAnsi="IRNazanin" w:eastAsia="IRNazanin"/>
          <w:color w:val="111111"/>
          <w:sz w:val="28"/>
          <w:sz w:val="28"/>
          <w:szCs w:val="28"/>
          <w:rtl w:val="true"/>
          <w:lang w:bidi="fa-IR"/>
        </w:rPr>
        <w:t>من جملة مراتب عصمة الأنبیاء، تنزیههم عن کلّ ألوان المعصیة والذنب؛ فمن یتکفّل بهدایة الآخرین، ویُعتبر أُسوة وأنموذجاً تربویّاً یَحتذون به، ویتحمّل عبء النهوض بإیصال رسالة الوحی الإلهیّ إلی الناس، لا بدّ أن یکون فی منتهی الطهارة والنزاهة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یُستفاد من الأدلّة العقلیّة والنقلیّة، أنّ الأنبیاء، وعلی رأسهم خاتم الأنبیاء والمرسلین صلی الله علیه و آله، یتمتّعون بالعصمة المطلقة؛ بمعنی أنّ تلک الذوات المقدّسة مصونة عن أیّ نوعٍ من أنواع المعصیة والقُبح</w:t>
      </w:r>
      <w:r>
        <w:rPr>
          <w:rFonts w:eastAsia="IRNazanin" w:cs="IRNazanin"/>
          <w:color w:val="111111"/>
          <w:sz w:val="28"/>
          <w:szCs w:val="28"/>
          <w:rtl w:val="true"/>
          <w:lang w:bidi="fa-IR"/>
        </w:rPr>
        <w:t>.</w:t>
      </w:r>
    </w:p>
    <w:p>
      <w:pPr>
        <w:pStyle w:val="Heading5"/>
        <w:numPr>
          <w:ilvl w:val="4"/>
          <w:numId w:val="1"/>
        </w:numPr>
        <w:rPr/>
      </w:pPr>
      <w:bookmarkStart w:id="288" w:name="__RefHeading___Toc1994216_581953129"/>
      <w:bookmarkStart w:id="289" w:name="_Toc110"/>
      <w:bookmarkEnd w:id="288"/>
      <w:r>
        <w:rPr/>
        <w:t>2</w:t>
      </w:r>
      <w:r>
        <w:rPr>
          <w:rtl w:val="true"/>
        </w:rPr>
        <w:t xml:space="preserve">- </w:t>
      </w:r>
      <w:r>
        <w:rPr>
          <w:rtl w:val="true"/>
        </w:rPr>
        <w:t>العصمة فی تلقّی الوحی وتبلیغ الرسالة</w:t>
      </w:r>
      <w:bookmarkEnd w:id="289"/>
    </w:p>
    <w:p>
      <w:pPr>
        <w:pStyle w:val="BookText"/>
        <w:rPr/>
      </w:pPr>
      <w:r>
        <w:rPr>
          <w:rFonts w:ascii="IRNazanin" w:hAnsi="IRNazanin" w:eastAsia="IRNazanin"/>
          <w:color w:val="111111"/>
          <w:sz w:val="28"/>
          <w:sz w:val="28"/>
          <w:szCs w:val="28"/>
          <w:rtl w:val="true"/>
          <w:lang w:bidi="fa-IR"/>
        </w:rPr>
        <w:t>المرتبة الثانیة من مراتب عصمة الأنبیاء عصمتهم فی تلقّی الوحی وتبلیغ الرسالة الإلهیّة الملقاة علی عاتقهم، من أجل أن یتحقّق الغرَض والهدَف من البعثة، ولا یتعرّض إلی التحریف أو التغییر؛ وإلاّ، فإن احتُمل الخطأ والزلَل سُلِبت منهم ثقةُ الناس بأقوالهم وأفعالهم، وانتقض الغرَض من البعثة</w:t>
      </w:r>
      <w:r>
        <w:rPr>
          <w:rFonts w:eastAsia="IRNazanin" w:cs="IRNazanin"/>
          <w:color w:val="111111"/>
          <w:sz w:val="28"/>
          <w:szCs w:val="28"/>
          <w:rtl w:val="true"/>
          <w:lang w:bidi="fa-IR"/>
        </w:rPr>
        <w:t>.</w:t>
      </w:r>
    </w:p>
    <w:p>
      <w:pPr>
        <w:pStyle w:val="Heading5"/>
        <w:numPr>
          <w:ilvl w:val="4"/>
          <w:numId w:val="1"/>
        </w:numPr>
        <w:rPr/>
      </w:pPr>
      <w:bookmarkStart w:id="290" w:name="__RefHeading___Toc1994218_581953129"/>
      <w:bookmarkStart w:id="291" w:name="_Toc111"/>
      <w:bookmarkEnd w:id="290"/>
      <w:r>
        <w:rPr/>
        <w:t>3</w:t>
      </w:r>
      <w:r>
        <w:rPr>
          <w:rtl w:val="true"/>
        </w:rPr>
        <w:t xml:space="preserve">- </w:t>
      </w:r>
      <w:r>
        <w:rPr>
          <w:rtl w:val="true"/>
        </w:rPr>
        <w:t>العصمة من الخطأ فی تطبیق الشریعة وشؤون الحیاة</w:t>
      </w:r>
      <w:bookmarkEnd w:id="291"/>
    </w:p>
    <w:p>
      <w:pPr>
        <w:pStyle w:val="BookText"/>
        <w:rPr/>
      </w:pPr>
      <w:r>
        <w:rPr>
          <w:rFonts w:ascii="IRNazanin" w:hAnsi="IRNazanin" w:eastAsia="IRNazanin"/>
          <w:color w:val="111111"/>
          <w:sz w:val="28"/>
          <w:sz w:val="28"/>
          <w:szCs w:val="28"/>
          <w:rtl w:val="true"/>
          <w:lang w:bidi="fa-IR"/>
        </w:rPr>
        <w:t>من الأُمور الأُخری التی یتحتّم توفّرها فی الأنبیاء، العصمة من الخطأ فی تطبیق الشریعة والأمور الیومیّة العادیّة؛ من قبیل السهو فی رکَعَات الصلاة، وإقامة الحدود، وتشخیص مصالح الأمور ومفاسدها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وعلیه، فالأنبیاء فی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مصونین عن جمیع أنواع الخطأ والنسیان؛ لأنّ الملاک فی لزوم العصمة، فیما تقدّم من المراتب والموارد، موجودٌ هنا أیضاً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وبالنظر إلی الأدلّة القطعیّة، العقلیّة والنقلیّة، التی سنُبیّنها، یکون الأنبیاء</w:t>
      </w:r>
    </w:p>
    <w:p>
      <w:pPr>
        <w:pStyle w:val="BookText"/>
        <w:rPr/>
      </w:pPr>
      <w:r>
        <w:rPr>
          <w:rFonts w:ascii="IRNazanin" w:hAnsi="IRNazanin" w:eastAsia="IRNazanin"/>
          <w:color w:val="111111"/>
          <w:sz w:val="28"/>
          <w:sz w:val="28"/>
          <w:szCs w:val="28"/>
          <w:rtl w:val="true"/>
          <w:lang w:bidi="fa-IR"/>
        </w:rPr>
        <w:t>الإلهیّون، وعلی رأسهم نبیّ الإسلام محمّد المصطفی صلی الله علیه و آله، معصومین من الخطأ وارتکاب المعصیة، فی المراحل والمراتب الثلاث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السیاق، استدلّ الشیخ المفید علی عصمة نبیّنا محمّد صلی الله علیه و آله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 ما ضَلَّ صاحِبُکُم وَ ما غَوی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 علی ذلک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فنفی بذلک عنه کلّ معصیة ونسیان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وعلی الرغم من کثرة الکلام عن سهو النبیّ صلی الله علیه و آله، وذهاب بعض العلماء إلی إمکان إسهائه من قِبَل الله تعالی فی بعضِ الموارد، طبقاً لعدد من الروایات فی هذا المجال، إلاّ أنّ العلماء الأعلام وفطاحل فقهاء التشیّع رفضوا مبدأ السهو علی النبیّ صلی الله علیه و آله، مؤکّدین علی سقوط هذه الروایات، لقیام الدلیل العقلیّ القطعیّ علی عدَم جواز السهو أو النسیان علی المعصوم، وألّفوا فی إثبات ذلک رسائل وکتب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فإنّ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روایات فی باب أحکام السهو فی الصلاة، وسهو النبیّ صلی الله علیه و آله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تمنع العقول منه</w:t>
      </w:r>
      <w:r>
        <w:rPr>
          <w:rFonts w:eastAsia="IRNazanin" w:cs="IRNazanin"/>
          <w:color w:val="111111"/>
          <w:sz w:val="28"/>
          <w:szCs w:val="28"/>
          <w:rtl w:val="true"/>
          <w:lang w:bidi="fa-IR"/>
        </w:rPr>
        <w:t>».</w:t>
      </w:r>
      <w:r>
        <w:rPr>
          <w:rStyle w:val="FootnoteAnchor"/>
          <w:rtl w:val="true"/>
        </w:rPr>
        <w:footnoteReference w:id="1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شکّ فیه أنّ معرفة الله تعالی والأنبیاء، والالتفات إلی أهداف البعثة، یکشف النقاب عن زیفِ وعدَم واقعیّة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المضمار أیضاً، قال 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الأنبیاء والرسل والأئمّة والملائکة صلوات الله علیهم، أنّهم معصومون، مطهّرون من کلّ دنس، وأنّهم لا یذنبون ذنباً، لا صغیراً ولا کبیراً، ولا یعصون الله ما أمرهم، ویفعلون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نفی عنهم العِصمة فی شیء من أحوالهم فقد 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واعتقادنا فیهم أنّهم موصوفون بالکمال والتمام</w:t>
      </w:r>
      <w:r>
        <w:rPr>
          <w:rFonts w:eastAsia="IRNazanin" w:cs="IRNazanin"/>
          <w:color w:val="111111"/>
          <w:sz w:val="28"/>
          <w:szCs w:val="28"/>
          <w:rtl w:val="true"/>
          <w:lang w:bidi="fa-IR"/>
        </w:rPr>
        <w:t>».</w:t>
      </w:r>
      <w:r>
        <w:rPr>
          <w:rStyle w:val="FootnoteAnchor"/>
          <w:rtl w:val="true"/>
        </w:rPr>
        <w:footnoteReference w:id="153"/>
      </w:r>
      <w:bookmarkStart w:id="292" w:name="pg5457_39174"/>
    </w:p>
    <w:p>
      <w:pPr>
        <w:pStyle w:val="BookText"/>
        <w:rPr/>
      </w:pPr>
      <w:bookmarkEnd w:id="292"/>
      <w:r>
        <w:rPr>
          <w:rFonts w:ascii="IRNazanin" w:hAnsi="IRNazanin" w:eastAsia="IRNazanin"/>
          <w:color w:val="111111"/>
          <w:sz w:val="28"/>
          <w:sz w:val="28"/>
          <w:szCs w:val="28"/>
          <w:rtl w:val="true"/>
          <w:lang w:bidi="fa-IR"/>
        </w:rPr>
        <w:t>ویظهر من رؤیة العارفین أنّ النبوّة والإمامة مبتنیة علی مقام الخلافة الإلهیّة، وهو ما یعنی لزوم تبلور الصفات الإلهیّة فی وجود الإنسان الکامل؛ أی أنّه یکون مظهراً لصفات الجمال والجلال الإلهیّ، وکما قال آیة الله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 هو الشخص الوحید القادر علی إظهار العصمة المطلقة، وإیصالها إلی مرحلة التجلّی</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93" w:name="__RefHeading___Toc1994220_581953129"/>
      <w:bookmarkStart w:id="294" w:name="_Toc112"/>
      <w:bookmarkEnd w:id="293"/>
      <w:r>
        <w:rPr>
          <w:rtl w:val="true"/>
        </w:rPr>
        <w:t>أدلّة عصمة الأنبیاء</w:t>
      </w:r>
      <w:bookmarkEnd w:id="294"/>
    </w:p>
    <w:p>
      <w:pPr>
        <w:pStyle w:val="Heading5"/>
        <w:numPr>
          <w:ilvl w:val="4"/>
          <w:numId w:val="1"/>
        </w:numPr>
        <w:rPr/>
      </w:pPr>
      <w:bookmarkStart w:id="295" w:name="__RefHeading___Toc1994222_581953129"/>
      <w:bookmarkStart w:id="296" w:name="_Toc113"/>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هناک جملة من الأدلّة العقلیّة والنقلیّة علی عصمة الأنبیاء، نحاول فیما یلی تسلیط الضوء علیها بصورة مختصرة</w:t>
      </w:r>
      <w:r>
        <w:rPr>
          <w:rFonts w:eastAsia="IRNazanin" w:cs="IRNazanin"/>
          <w:color w:val="111111"/>
          <w:sz w:val="28"/>
          <w:szCs w:val="28"/>
          <w:rtl w:val="true"/>
          <w:lang w:bidi="fa-IR"/>
        </w:rPr>
        <w:t>:</w:t>
      </w:r>
    </w:p>
    <w:p>
      <w:pPr>
        <w:pStyle w:val="Heading5"/>
        <w:numPr>
          <w:ilvl w:val="4"/>
          <w:numId w:val="1"/>
        </w:numPr>
        <w:rPr/>
      </w:pPr>
      <w:bookmarkStart w:id="297" w:name="__RefHeading___Toc1994224_581953129"/>
      <w:bookmarkStart w:id="298" w:name="_Toc114"/>
      <w:bookmarkEnd w:id="297"/>
      <w:r>
        <w:rPr>
          <w:rtl w:val="true"/>
        </w:rPr>
        <w:t>أ</w:t>
      </w:r>
      <w:r>
        <w:rPr>
          <w:rtl w:val="true"/>
        </w:rPr>
        <w:t xml:space="preserve">) </w:t>
      </w:r>
      <w:r>
        <w:rPr>
          <w:rtl w:val="true"/>
        </w:rPr>
        <w:t>الدلیل العقلیّ</w:t>
      </w:r>
      <w:bookmarkEnd w:id="298"/>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الدلیل علی العصمة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فی النبیّ العصمة؛ لیحصل الوثوق، فیحصَل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 الحلّی، فی شرح عبارة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المبعوث إلیهم، لو جوّزوا الکذب علی الأنبیاء والمعصیة، جوّزوا فی أمرهم ونهیهم وأفعالهم التی أمروهم باتّباعهم فیها ذلک، وحینئذ لا ینقادون إلی امتثال أوامرهم، وذلک نقضٌ للغرَض من البعثة</w:t>
      </w:r>
      <w:r>
        <w:rPr>
          <w:rFonts w:eastAsia="IRNazanin" w:cs="IRNazanin"/>
          <w:color w:val="111111"/>
          <w:sz w:val="28"/>
          <w:szCs w:val="28"/>
          <w:rtl w:val="true"/>
          <w:lang w:bidi="fa-IR"/>
        </w:rPr>
        <w:t>».</w:t>
      </w:r>
      <w:r>
        <w:rPr>
          <w:rStyle w:val="FootnoteAnchor"/>
          <w:rtl w:val="true"/>
        </w:rPr>
        <w:footnoteReference w:id="1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هذا الدلیل المختصر، والشامل فی الوقت نفسه، تتّضح أبعاد هذه المسألة، ویتبیّن أنّ موضوع عصمة الأنبیاء أمرٌ حتمیّ وضروریّ فی دائرة التحلیل العقلیّ؛ من أجل أن یطمئنّ الناس إلی صواب أقوالهم، ویأمنوا من الوقوع فی مهلَکة احتمال کذِبهم</w:t>
      </w:r>
      <w:r>
        <w:rPr>
          <w:rFonts w:eastAsia="IRNazanin" w:cs="IRNazanin"/>
          <w:color w:val="111111"/>
          <w:sz w:val="28"/>
          <w:szCs w:val="28"/>
          <w:rtl w:val="true"/>
          <w:lang w:bidi="fa-IR"/>
        </w:rPr>
        <w:t>.</w:t>
      </w:r>
      <w:bookmarkStart w:id="299" w:name="pg5457_39175"/>
    </w:p>
    <w:p>
      <w:pPr>
        <w:pStyle w:val="Heading5"/>
        <w:numPr>
          <w:ilvl w:val="4"/>
          <w:numId w:val="1"/>
        </w:numPr>
        <w:rPr/>
      </w:pPr>
      <w:bookmarkStart w:id="300" w:name="__RefHeading___Toc1994226_581953129"/>
      <w:bookmarkStart w:id="301" w:name="_Toc115"/>
      <w:bookmarkEnd w:id="299"/>
      <w:bookmarkEnd w:id="300"/>
      <w:r>
        <w:rPr>
          <w:rtl w:val="true"/>
        </w:rPr>
        <w:t>ب</w:t>
      </w:r>
      <w:r>
        <w:rPr>
          <w:rtl w:val="true"/>
        </w:rPr>
        <w:t xml:space="preserve">) </w:t>
      </w:r>
      <w:r>
        <w:rPr>
          <w:rtl w:val="true"/>
        </w:rPr>
        <w:t>الدلیل النقلیّ</w:t>
      </w:r>
      <w:bookmarkEnd w:id="301"/>
    </w:p>
    <w:p>
      <w:pPr>
        <w:pStyle w:val="BookText"/>
        <w:rPr/>
      </w:pPr>
      <w:r>
        <w:rPr>
          <w:rFonts w:ascii="IRNazanin" w:hAnsi="IRNazanin" w:eastAsia="IRNazanin"/>
          <w:color w:val="111111"/>
          <w:sz w:val="28"/>
          <w:sz w:val="28"/>
          <w:szCs w:val="28"/>
          <w:rtl w:val="true"/>
          <w:lang w:bidi="fa-IR"/>
        </w:rPr>
        <w:t xml:space="preserve">یُلاحَظ فی مواضع متعدّدة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واضح ولا غِبارَ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عصمة الأنبیاء، ولزوم صیانتهم من المعصیة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نُشیر إلی جملةٍ من هذه الآیات القرآنیّة، بما یسمح به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w:t>
      </w:r>
      <w:r>
        <w:rPr>
          <w:rStyle w:val="FootnoteAnchor"/>
          <w:rtl w:val="true"/>
        </w:rPr>
        <w:footnoteReference w:id="156"/>
      </w:r>
      <w:r>
        <w:rPr>
          <w:rFonts w:ascii="IRNazanin" w:hAnsi="IRNazanin" w:eastAsia="IRNazanin"/>
          <w:color w:val="111111"/>
          <w:sz w:val="28"/>
          <w:sz w:val="28"/>
          <w:szCs w:val="28"/>
          <w:rtl w:val="true"/>
          <w:lang w:bidi="fa-IR"/>
        </w:rPr>
        <w:t>ووفقاً لهذه الآیة الشریفة، فإنّ شریعة النبیّ صلی الله علیه و آله قائمة علی أنّ ما تلقّاه من السماء من لدن الوحی، ومن ثمّ بلّغه إلی الناس، لیس إلّا ما أرسله إلیه الله تعالی؛ بمعنی أنّ النبی الکریم صلی الله علیه و آله معصوماً ومصوناً عن الخطأ والمعصیة تماماً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آیات أخری تدلّل علی أنّ الأنبیاء معصومون من الخطأ فی إجراء الأوامر الوحیانیّة المکلّفین بها؛ أی أنّهم یتمتّعون بالعصمة فی تلقّی الوحی، وفی الحفاظ علی مضامینه وتنفیذها،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 وَ رَحمَتُهُ لَهَمَّت طائِفَةٌ مِنهُم أَن یُضِلُّوکَ وَ ما یُضِلُّونَ إِلاّ أَنفُسَهُم وَ ما یَضُرُّونَکَ مِن شَیءٍ وَ أَنزَلَ اللّهُ عَلَیکَ الکِتابَ وَ الحِکمَةَ وَ عَلَّمَکَ ما لَم تَکُن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آیة الله جوادی آملی فی ذیل هاتین الآیتین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هاتین الآیتین هو أنّ الهدف من بعث الکتب السماویّة هو القضاء بین الناس، علی أساس ذلک العلم الذی علّمه الله للنبیّ صلی الله علیه و آله،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فإنّ القضاء بالحقّ متوقّف علی معرفة الأحکام والموضوعات، مثلما دلّت علی ذلک الآیة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وقال العلاّمة الطباطبائیّ فی تفسیر الآیتین الآنفتین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الذی تتحقّق به العصمة نوعٌ من العِلم، یمنع صاحبه عن التلبّس بالمعصیة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مانع عن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یظهر أنّ هذه القوّة المسمّاة بقوّة العصمة، سببٌ شعوریّ علمیّ غیر مغلوب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الله تعالی إلیه فی خطابه الذی خصّ به نبیّه صلی الله علیه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 وَ عَلَّمَکَ ما لَم تَکُن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خاصّ، لا نفقهه حقیقة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من الآیات علی اختلافها أنّ المراد بالإنزال هو الوحی، وحی الکتاب والحکمة، وهو نوعُ تعلیمٍ إلهیٍّ لنبیّه صلی الله علیه و آله؛ غیر أنّ الذی 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الذی علّمه بوحی الکتاب والحکمة فقط؛ فإنّ مورد الآیة قضاء النبیّ صلی الله علیه و آله فی الحوادث الواقعة، والدعاوی التی تُرفع إلیه، برأیه الخاصّ، ولیس ذلک من الکتاب والحکمة بشیء، وإن کان متوقّفاً علیهما، بل رأیه ونظره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المراد بالإنزال والتعلیم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 اثنان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التعلیم بالوحی، ونزول الروح الأمین علی النبیّ صلی الله علیه و آله؛ والآخر التعلیم بنوع من الإلقاء فی القلب، والإلهام الخفیّ الإلهی، من غیر إنزال الملک</w:t>
      </w:r>
      <w:r>
        <w:rPr>
          <w:rFonts w:eastAsia="IRNazanin" w:cs="IRNazanin"/>
          <w:color w:val="111111"/>
          <w:sz w:val="28"/>
          <w:szCs w:val="28"/>
          <w:rtl w:val="true"/>
          <w:lang w:bidi="fa-IR"/>
        </w:rPr>
        <w:t>».</w:t>
      </w:r>
      <w:r>
        <w:rPr>
          <w:rStyle w:val="FootnoteAnchor"/>
          <w:rtl w:val="true"/>
        </w:rPr>
        <w:footnoteReference w:id="1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فالآیة الکریمة المشار إلیها تَعتبر النبیّ صلی الله علیه و آله مجهّزاً بنوعین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هو مصدر للحکم والقضاء، وعلم موجب لتشخیص الموضوعات؛ لذا فإنّ شأن نزول هذه الآیة الشریفة، علی ما ورد فی کُتُب</w:t>
      </w:r>
    </w:p>
    <w:p>
      <w:pPr>
        <w:pStyle w:val="BookText"/>
        <w:rPr/>
      </w:pPr>
      <w:r>
        <w:rPr>
          <w:rFonts w:ascii="IRNazanin" w:hAnsi="IRNazanin" w:eastAsia="IRNazanin"/>
          <w:color w:val="111111"/>
          <w:sz w:val="28"/>
          <w:sz w:val="28"/>
          <w:szCs w:val="28"/>
          <w:rtl w:val="true"/>
          <w:lang w:bidi="fa-IR"/>
        </w:rPr>
        <w:t>التفسیر، هو رفع شکوی إلی النبیّ صلی الله علیه و آله من قِبَل شخصین متخاصمین، وقد کان کلّ منهما یسعی إلی تبرئة نفسه، وإلقاء التهمة علی خصمه؛ فنزلَت هذه الآیة، وبیّنت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وطبقاً لهذه الآیة الکریمة، والآیات القرآنیّة الأخری التی لا یسع المجال لطرقها جمیعاً، یتنقّح الموضوع، وتتّضح أبعاده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فالأنبیاء الإلهیّون معصومون، وبخاصّة الأنبیاء من أولی العزم، وعلی رأسهم الرسول الخاتم صلی الله علیه و آله، حیث یتمتّع بأعلی درجات العصمة؛ ولهذا اعتبر القرآن‌الکریم إطاعة النبیّ صلی الله علیه و آله طاعةً لله جلّ وعلا،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قال الفخر الرازی فی ذَیلِ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أقوی الدلائل علی أنّه معصوم فی جمیع الأوامر والنواهی، وفی کل ما یبلّغه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وجَب أن یکون معصوماً فی جمیع أفعاله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ویمکن أن نخلص هنا، طِبقاً للدلیل العقلیّ والنقلیّ المذکور، إلی أنّ الأنبیاء، وخاصّة نبیّنا الکریم الذی یعتبر أفضل الأنبیاء والمرسلین، معصومون جمیعاً بالعصمة المطلقة؛ وهکذا، یدفعنا إطلاق الدلیل إلی الاعتقاد بشمول العصمة بنطاقها الواسع، إلی جمیع أبعاد وزوایا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کتَب محمّد جمیل حمود، ذَیل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 وَ جَعَلَنِی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الحاکی لقول النبیّ عیسی علیه السلام ما یلی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فرضنا أنّه غیر معصوم فی تشخیص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هذا عدم کونه مبارکاً</w:t>
      </w:r>
      <w:r>
        <w:rPr>
          <w:rFonts w:eastAsia="IRNazanin" w:cs="IRNazanin"/>
          <w:color w:val="111111"/>
          <w:sz w:val="28"/>
          <w:szCs w:val="28"/>
          <w:rtl w:val="true"/>
          <w:lang w:bidi="fa-IR"/>
        </w:rPr>
        <w:t>».</w:t>
      </w:r>
      <w:r>
        <w:rPr>
          <w:rStyle w:val="FootnoteAnchor"/>
          <w:rtl w:val="true"/>
        </w:rPr>
        <w:footnoteReference w:id="163"/>
      </w:r>
      <w:bookmarkStart w:id="302" w:name="pg5457_39178"/>
    </w:p>
    <w:p>
      <w:pPr>
        <w:pStyle w:val="Heading4"/>
        <w:numPr>
          <w:ilvl w:val="3"/>
          <w:numId w:val="1"/>
        </w:numPr>
        <w:rPr/>
      </w:pPr>
      <w:bookmarkStart w:id="303" w:name="__RefHeading___Toc1994228_581953129"/>
      <w:bookmarkStart w:id="304" w:name="_Toc116"/>
      <w:bookmarkEnd w:id="302"/>
      <w:bookmarkEnd w:id="303"/>
      <w:r>
        <w:rPr>
          <w:rtl w:val="true"/>
        </w:rPr>
        <w:t>مفاد آیة أَنَا بَشَرٌ مِثلُکُم</w:t>
      </w:r>
      <w:bookmarkEnd w:id="304"/>
    </w:p>
    <w:p>
      <w:pPr>
        <w:pStyle w:val="BookText"/>
        <w:rPr/>
      </w:pPr>
      <w:r>
        <w:rPr>
          <w:rFonts w:ascii="IRNazanin" w:hAnsi="IRNazanin" w:eastAsia="IRNazanin"/>
          <w:color w:val="111111"/>
          <w:sz w:val="28"/>
          <w:sz w:val="28"/>
          <w:szCs w:val="28"/>
          <w:rtl w:val="true"/>
          <w:lang w:bidi="fa-IR"/>
        </w:rPr>
        <w:t>بعد أن بیّنّا العصمة المطلقة للأنبیاء، فی ضوء الأدلّة القطعیّة من العقل والنقل، نشرع الآن بتحلیل مفاد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ذلک أنّ السؤال المطروح فی هذا المجال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الآیة المشار إلیها مخصّصة لتلک الآیات المثبتة لعصمة الأنبیاء بصورةٍ مطلقة، وبخاصّة خاتم الأنبیاء محمّد صلی الله علیه و آله، بحیث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الأنبیاء معصومین فی مورد الأحکام فقط؟</w:t>
      </w:r>
    </w:p>
    <w:p>
      <w:pPr>
        <w:pStyle w:val="BookText"/>
        <w:rPr/>
      </w:pPr>
      <w:r>
        <w:rPr>
          <w:rFonts w:ascii="IRNazanin" w:hAnsi="IRNazanin" w:eastAsia="IRNazanin"/>
          <w:color w:val="111111"/>
          <w:sz w:val="28"/>
          <w:sz w:val="28"/>
          <w:szCs w:val="28"/>
          <w:rtl w:val="true"/>
          <w:lang w:bidi="fa-IR"/>
        </w:rPr>
        <w:t>وللردّ علی هذا التساؤل،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أدلّة العصمة المطلقة، والآیات القرآنیّة، أنّ النبیّ الکریم صلی الله علیه و آله معصوم مطلقاً؛ بمعنی أنّه معصوم فی تلقّی الوحی، وفی الحفاظ علی ما تلقّی وتبلیغه، وفی تطبیق الأحکام الدینیّة، وإجراء شؤون الحیاة الیومیّة؛ فهو یتمتّع بالعصمة فی جمیع تلک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لیس ثمّة تخصیص وتعمیم بین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سورتی الکهف وفصّلت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والآیات الأخری المذکورة آنفاً، المثبتة لعصمة الأنبیاء؛ لیعتقد البعض بتبعیض العصمة من خلال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أورَد العلاّمة الطباطبائی، فی ذیلِ سورةِ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الآیة الکریمة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تُفید الحصر،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 صلی الله علیه و آله فی البشریّة المُماثلة لبشریّة النّاس، لا یزید علیهم بشیء، ولا یدّعیه لنفسه، قبال ما کانوا یزعمون أنّه إذا ادّعی النبوّة فقد ادّعی کینونة إلهیّة، وقدرة غیبیّة؛ ولذا کانوا یقترحون علیه بما لا یعلمه إلاّ الله، ولا یقدر علیه إلاّ الله، لکنّه صلی الله علیه و آله نفی ذلک کلّه بأمر الله عن نفسه، ولم یثبت لنفسه إلاّ أنّه یُوحی إلیه</w:t>
      </w:r>
      <w:r>
        <w:rPr>
          <w:rFonts w:eastAsia="IRNazanin" w:cs="IRNazanin"/>
          <w:color w:val="111111"/>
          <w:sz w:val="28"/>
          <w:szCs w:val="28"/>
          <w:rtl w:val="true"/>
          <w:lang w:bidi="fa-IR"/>
        </w:rPr>
        <w:t>».</w:t>
      </w:r>
      <w:r>
        <w:rPr>
          <w:rStyle w:val="FootnoteAnchor"/>
          <w:rtl w:val="true"/>
        </w:rPr>
        <w:footnoteReference w:id="16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سورة فصّلت، کانت هذه الآیة الشریفة فی مقام الردّ علی المشرکین،</w:t>
      </w:r>
      <w:bookmarkStart w:id="305" w:name="pg5457_39179"/>
    </w:p>
    <w:p>
      <w:pPr>
        <w:pStyle w:val="BookText"/>
        <w:rPr/>
      </w:pPr>
      <w:bookmarkEnd w:id="305"/>
      <w:r>
        <w:rPr>
          <w:rFonts w:ascii="Amiri" w:hAnsi="Amiri" w:eastAsia="Amiri" w:cs="Amiri"/>
          <w:color w:val="111111"/>
          <w:sz w:val="28"/>
          <w:sz w:val="28"/>
          <w:szCs w:val="28"/>
          <w:rtl w:val="true"/>
          <w:lang w:bidi="ar-SA"/>
        </w:rPr>
        <w:t>حیث قالوا 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فِی أَکِنَّةٍ مِمّا تَدعُونا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کون قلوبهم بحیث لا تفقه ما یدعو صلی الله علیه و آله إلیه من التوحید، کأنّها مغطّاة بأغطیة لا یتطرّق إلیها شیء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مقام الجواب عن قولهم هذا، خاطبهم الرسول الکریم صلی الله علیه و آله بالآیة الآنفة؛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أعاشرکم کما یُعاشر بعضُکم بَعضاً، وأکلّمکم کما یکلّم أحدکم صاحبه، فلست من جنس یباینکم کالمَلَک، حتّی یکون بینی وبینکم حجابٌمضروب</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وعلی هذا الأساس، لم تکن الآیة مورد البحث مخصّصة للآیات الأخری، بل إنّما جاءت لتدحض بعض المزاعم التی تَشدّق بها المشرکون، وتُبطِل أقاویلَهم وادّعاءاتهم الواهیة، التی لا تستند إلی أساسٍ من الصحّة؛ ولذلک أرادت الآیة الإشارة، إلی أنّ الرسول الأعظَم صلی الله علیه و آله بشَرٌ، حامل لرسالة النبوّة والوحی الإلهیّ</w:t>
      </w:r>
      <w:r>
        <w:rPr>
          <w:rFonts w:eastAsia="IRNazanin" w:cs="IRNazanin"/>
          <w:color w:val="111111"/>
          <w:sz w:val="28"/>
          <w:szCs w:val="28"/>
          <w:rtl w:val="true"/>
          <w:lang w:bidi="fa-IR"/>
        </w:rPr>
        <w:t>.</w:t>
      </w:r>
    </w:p>
    <w:p>
      <w:pPr>
        <w:pStyle w:val="Heading4"/>
        <w:numPr>
          <w:ilvl w:val="3"/>
          <w:numId w:val="1"/>
        </w:numPr>
        <w:rPr/>
      </w:pPr>
      <w:bookmarkStart w:id="306" w:name="__RefHeading___Toc1994230_581953129"/>
      <w:bookmarkStart w:id="307" w:name="_Toc117"/>
      <w:bookmarkEnd w:id="306"/>
      <w:r>
        <w:rPr>
          <w:rtl w:val="true"/>
        </w:rPr>
        <w:t>النتیجة</w:t>
      </w:r>
      <w:bookmarkEnd w:id="3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الأنبیاء معصومون، والنبیّ الخاتم صلی الله علیه و آله الذی هو من أولی العزم ومن أشرف الأنبیاء والمرسلین، یمتلک العصمة المطلقة، وهو ما یستفاد من الأدلّة العقلیّة والنقلیّة، التی تثبت بإطلاقها العصمة فی إطارها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فالآیة القرآنیّة الشریفة الآنفة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 بصلة إلی التخصیص؛ ومن هنا، قال الشیخ الصدوق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واعتقادنا فیهم أنّهم موصوفون بالکمال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یوصفون فی شیء من أحوالهم بنقص ولا عصیان ولا جهل</w:t>
      </w:r>
      <w:r>
        <w:rPr>
          <w:rFonts w:eastAsia="IRNazanin" w:cs="IRNazanin"/>
          <w:color w:val="111111"/>
          <w:sz w:val="28"/>
          <w:szCs w:val="28"/>
          <w:rtl w:val="true"/>
          <w:lang w:bidi="fa-IR"/>
        </w:rPr>
        <w:t>».</w:t>
      </w:r>
      <w:r>
        <w:rPr>
          <w:rStyle w:val="FootnoteAnchor"/>
          <w:rtl w:val="true"/>
        </w:rPr>
        <w:footnoteReference w:id="167"/>
      </w:r>
      <w:bookmarkStart w:id="308" w:name="pg5457_39180"/>
    </w:p>
    <w:p>
      <w:pPr>
        <w:pStyle w:val="Heading4"/>
        <w:numPr>
          <w:ilvl w:val="3"/>
          <w:numId w:val="1"/>
        </w:numPr>
        <w:rPr/>
      </w:pPr>
      <w:bookmarkStart w:id="309" w:name="__RefHeading___Toc1994232_581953129"/>
      <w:bookmarkStart w:id="310" w:name="_Toc118"/>
      <w:bookmarkEnd w:id="308"/>
      <w:bookmarkEnd w:id="309"/>
      <w:r>
        <w:rPr>
          <w:rtl w:val="true"/>
        </w:rPr>
        <w:t>مصادر للمطالعة</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مصباح یزدی، راهنماشناسی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شیروانی، معارف إسلامی در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الإسلامیّة فی آثار الشهید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معاونیّة شؤون الأساتذة والمعارف الإسلامیّة،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أمین ارزگانی، پیامبر أعظم در نگاه عرفانی إمام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الأعظم فی النظرة العرفانیّة للإمام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آثار الإمام الخمینیّ،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سعیدی مهر، آموزش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الکلام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طه الثقافیّة،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311" w:name="__RefHeading___Toc1994234_581953129"/>
      <w:bookmarkStart w:id="312" w:name="_Toc119"/>
      <w:bookmarkEnd w:id="311"/>
      <w:r>
        <w:rPr>
          <w:rtl w:val="true"/>
        </w:rPr>
        <w:t>الحدیث الختامیّ</w:t>
      </w:r>
      <w:bookmarkEnd w:id="312"/>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بَلاءً الأنبِیاءُ، ثُمَّ الأمثَلُ فَالأمثَلُ، یُبتَلی الرَّجُلُ عَلی حَسَبِ دِینِهِ</w:t>
      </w:r>
      <w:r>
        <w:rPr>
          <w:rFonts w:eastAsia="Amiri" w:cs="Amiri" w:ascii="Amiri" w:hAnsi="Amiri"/>
          <w:color w:val="111111"/>
          <w:sz w:val="28"/>
          <w:szCs w:val="28"/>
          <w:rtl w:val="true"/>
          <w:lang w:bidi="ar-SA"/>
        </w:rPr>
        <w:t>...».</w:t>
      </w:r>
      <w:r>
        <w:rPr>
          <w:rStyle w:val="FootnoteAnchor"/>
          <w:rtl w:val="true"/>
        </w:rPr>
        <w:footnoteReference w:id="168"/>
      </w:r>
      <w:bookmarkStart w:id="313" w:name="pg5457_39181"/>
    </w:p>
    <w:p>
      <w:pPr>
        <w:pStyle w:val="Heading2"/>
        <w:numPr>
          <w:ilvl w:val="1"/>
          <w:numId w:val="1"/>
        </w:numPr>
        <w:rPr/>
      </w:pPr>
      <w:bookmarkStart w:id="314" w:name="__RefHeading___Toc1994236_581953129"/>
      <w:bookmarkStart w:id="315" w:name="_Toc120"/>
      <w:bookmarkEnd w:id="313"/>
      <w:bookmarkEnd w:id="314"/>
      <w:r>
        <w:rPr>
          <w:rtl w:val="true"/>
        </w:rPr>
        <w:t>الشفاعة فی القرآن الکریم</w:t>
      </w:r>
      <w:bookmarkEnd w:id="315"/>
    </w:p>
    <w:p>
      <w:pPr>
        <w:pStyle w:val="Heading3"/>
        <w:numPr>
          <w:ilvl w:val="2"/>
          <w:numId w:val="1"/>
        </w:numPr>
        <w:rPr/>
      </w:pPr>
      <w:bookmarkStart w:id="316" w:name="__RefHeading___Toc1994238_581953129"/>
      <w:bookmarkStart w:id="317" w:name="_Toc121"/>
      <w:bookmarkEnd w:id="316"/>
      <w:r>
        <w:rPr>
          <w:rtl w:val="true"/>
        </w:rPr>
        <w:t xml:space="preserve">التنافی بین الشفاعة مع آیة </w:t>
      </w:r>
      <w:r>
        <w:rPr/>
        <w:t>123</w:t>
      </w:r>
      <w:r>
        <w:rPr>
          <w:rtl w:val="true"/>
        </w:rPr>
        <w:t xml:space="preserve"> </w:t>
      </w:r>
      <w:r>
        <w:rPr>
          <w:rtl w:val="true"/>
        </w:rPr>
        <w:t>من البقرة</w:t>
      </w:r>
      <w:bookmarkEnd w:id="317"/>
    </w:p>
    <w:p>
      <w:pPr>
        <w:pStyle w:val="Heading4"/>
        <w:numPr>
          <w:ilvl w:val="3"/>
          <w:numId w:val="1"/>
        </w:numPr>
        <w:rPr/>
      </w:pPr>
      <w:bookmarkStart w:id="318" w:name="__RefHeading___Toc1994240_581953129"/>
      <w:bookmarkStart w:id="319" w:name="_Toc122"/>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یتنافی موضوع الشفاعة مع الآیة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p>
    <w:p>
      <w:pPr>
        <w:pStyle w:val="BookText"/>
        <w:rPr/>
      </w:pPr>
      <w:r>
        <w:rPr>
          <w:rFonts w:ascii="Amiri" w:hAnsi="Amiri" w:eastAsia="Amiri" w:cs="Amiri"/>
          <w:color w:val="111111"/>
          <w:sz w:val="28"/>
          <w:sz w:val="28"/>
          <w:szCs w:val="28"/>
          <w:rtl w:val="true"/>
          <w:lang w:bidi="ar-SA"/>
        </w:rPr>
        <w:t>شرح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یُتَوهّم منافاة شفاعة النبیّ الکریم صلی الله علیه و آله، والأئمّة المعصومین، مع علیهم السلام الآیة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للسببین التالیین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الالتفات إلی ما قبل الآیة وما بعدها، وقصر النظر علی ظاهر الآیة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إلی الآیات القرآنیّة التی تحصر الشفاعة بالله تعالی فقط، وعدَم إیلاء اهتمام للآیات الکثیرة التی أجازت الشفاعة بالإذن الإلهیّ للنبیّ صلی الله علیه و آله، والأئمّة المعصومین علیهم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الشفاعة یوم القیامة من الأمور القطعیّة والمسلّمة عند المسلمین، ولم ینکر أحد منهم هذا الموضوع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لا تنفی الشفاعة أیضاً؛ لسبَبَین بسیطین، هما</w:t>
      </w:r>
      <w:r>
        <w:rPr>
          <w:rFonts w:eastAsia="IRNazanin" w:cs="IRNazanin"/>
          <w:color w:val="111111"/>
          <w:sz w:val="28"/>
          <w:szCs w:val="28"/>
          <w:rtl w:val="true"/>
          <w:lang w:bidi="fa-IR"/>
        </w:rPr>
        <w:t>:</w:t>
      </w:r>
      <w:bookmarkStart w:id="320" w:name="pg5457_39182"/>
    </w:p>
    <w:p>
      <w:pPr>
        <w:pStyle w:val="BookText"/>
        <w:rPr/>
      </w:pPr>
      <w:bookmarkEnd w:id="3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ما قبلها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الشفاعة التی کان الیهود وبنو إسرائیل یعتقدون بها لأنفسهم، ویتصوّرون أنّهم سینجون من العذاب الإلهیّ بفعل قربهم وعلوّ شأنهم، قیاساً لذلک علی الأمور الدنیویّة</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لذا، جاءت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هذه الآیة بمثابة الخطاب إلی بنی إسرائیل؛ بدلیل الآیة السابقة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الآیة الشریفة تنفی الشفاعة عن غیر الله تعالی علی نحو الاستقلال، ومن دون الإذن الإلهیّ؛ ولذا فهی لیست فی صدد نفی الشفاعة المقبولة عن المُذنبین والعُصاة، ولا یُمکن أن تُعتَبر دلیلاً فی هذا السیاق</w:t>
      </w:r>
      <w:r>
        <w:rPr>
          <w:rFonts w:eastAsia="IRNazanin" w:cs="IRNazanin"/>
          <w:color w:val="111111"/>
          <w:sz w:val="28"/>
          <w:szCs w:val="28"/>
          <w:rtl w:val="true"/>
          <w:lang w:bidi="fa-IR"/>
        </w:rPr>
        <w:t>.</w:t>
      </w:r>
    </w:p>
    <w:p>
      <w:pPr>
        <w:pStyle w:val="Heading4"/>
        <w:numPr>
          <w:ilvl w:val="3"/>
          <w:numId w:val="1"/>
        </w:numPr>
        <w:rPr/>
      </w:pPr>
      <w:bookmarkStart w:id="321" w:name="__RefHeading___Toc1994242_581953129"/>
      <w:bookmarkStart w:id="322" w:name="_Toc123"/>
      <w:bookmarkEnd w:id="321"/>
      <w:r>
        <w:rPr>
          <w:rtl w:val="true"/>
        </w:rPr>
        <w:t>شرح الموضوع</w:t>
      </w:r>
      <w:bookmarkEnd w:id="322"/>
    </w:p>
    <w:p>
      <w:pPr>
        <w:pStyle w:val="Heading5"/>
        <w:numPr>
          <w:ilvl w:val="4"/>
          <w:numId w:val="1"/>
        </w:numPr>
        <w:rPr/>
      </w:pPr>
      <w:bookmarkStart w:id="323" w:name="__RefHeading___Toc1994244_581953129"/>
      <w:bookmarkStart w:id="324" w:name="_Toc124"/>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من أجل إیضاح هذا البحث وتسلیط مزید من الأضواء علیه، لا بدّ من الالتفات إلی بضعة أُمور</w:t>
      </w:r>
      <w:r>
        <w:rPr>
          <w:rFonts w:eastAsia="IRNazanin" w:cs="IRNazanin"/>
          <w:color w:val="111111"/>
          <w:sz w:val="28"/>
          <w:szCs w:val="28"/>
          <w:rtl w:val="true"/>
          <w:lang w:bidi="fa-IR"/>
        </w:rPr>
        <w:t>:</w:t>
      </w:r>
    </w:p>
    <w:p>
      <w:pPr>
        <w:pStyle w:val="Heading5"/>
        <w:numPr>
          <w:ilvl w:val="4"/>
          <w:numId w:val="1"/>
        </w:numPr>
        <w:rPr/>
      </w:pPr>
      <w:bookmarkStart w:id="325" w:name="__RefHeading___Toc1994246_581953129"/>
      <w:bookmarkStart w:id="326" w:name="_Toc125"/>
      <w:bookmarkEnd w:id="325"/>
      <w:r>
        <w:rPr/>
        <w:t>1</w:t>
      </w:r>
      <w:r>
        <w:rPr>
          <w:rtl w:val="true"/>
        </w:rPr>
        <w:t xml:space="preserve">- </w:t>
      </w:r>
      <w:r>
        <w:rPr>
          <w:rtl w:val="true"/>
        </w:rPr>
        <w:t>معنی الشفاعة</w:t>
      </w:r>
      <w:bookmarkEnd w:id="326"/>
    </w:p>
    <w:p>
      <w:pPr>
        <w:pStyle w:val="BookText"/>
        <w:rPr/>
      </w:pPr>
      <w:r>
        <w:rPr>
          <w:rFonts w:ascii="IRNazanin" w:hAnsi="IRNazanin" w:eastAsia="IRNazanin"/>
          <w:color w:val="111111"/>
          <w:sz w:val="28"/>
          <w:sz w:val="28"/>
          <w:szCs w:val="28"/>
          <w:rtl w:val="true"/>
          <w:lang w:bidi="fa-IR"/>
        </w:rPr>
        <w:t xml:space="preserve">الشفاعة فی اللغة مأخوذة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واستعملت فی معانی مختلفة،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مقابل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مقابل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والزیادة، والالتماس، والتوسّط، والمساندة</w:t>
      </w:r>
      <w:r>
        <w:rPr>
          <w:rFonts w:eastAsia="IRNazanin" w:cs="IRNazanin"/>
          <w:color w:val="111111"/>
          <w:sz w:val="28"/>
          <w:szCs w:val="28"/>
          <w:rtl w:val="true"/>
          <w:lang w:bidi="fa-IR"/>
        </w:rPr>
        <w:t>.</w:t>
      </w:r>
      <w:r>
        <w:rPr>
          <w:rStyle w:val="FootnoteAnchor"/>
          <w:rtl w:val="true"/>
        </w:rPr>
        <w:footnoteReference w:id="17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 فی تفسیر معنی الشفاعة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من الشّفع، مقابل الوتر، کأنّ الشفیع ینضمّ إلی الوسیلة النّاقصة التی مع المستشفع، فیصیر</w:t>
      </w:r>
      <w:bookmarkStart w:id="327" w:name="pg5457_39183"/>
    </w:p>
    <w:p>
      <w:pPr>
        <w:pStyle w:val="BookText"/>
        <w:rPr/>
      </w:pPr>
      <w:bookmarkEnd w:id="327"/>
      <w:r>
        <w:rPr>
          <w:rFonts w:ascii="IRNazanin" w:hAnsi="IRNazanin" w:eastAsia="IRNazanin"/>
          <w:color w:val="111111"/>
          <w:sz w:val="28"/>
          <w:sz w:val="28"/>
          <w:szCs w:val="28"/>
          <w:rtl w:val="true"/>
          <w:lang w:bidi="fa-IR"/>
        </w:rPr>
        <w:t>به زوجاً بعد ما کان فرداً؛ فیقوی علی نیل ما یریده، لو لم یکن یناله وحده، لنقص وسیلته وضعفها، وقصورها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وعلی هذا الأساس، فالشفاعة متمّمة ومکمّلة للسببیّة؛ إذ أنّ التدقیق فی معناها یکشف عن أنّ الشفاعة فی الواقع من مصادیق السببیّة، حیث تصبح واسطة بین السبب الأوّل والمسبّب</w:t>
      </w:r>
      <w:r>
        <w:rPr>
          <w:rFonts w:eastAsia="IRNazanin" w:cs="IRNazanin"/>
          <w:color w:val="111111"/>
          <w:sz w:val="28"/>
          <w:szCs w:val="28"/>
          <w:rtl w:val="true"/>
          <w:lang w:bidi="fa-IR"/>
        </w:rPr>
        <w:t>.</w:t>
      </w:r>
    </w:p>
    <w:p>
      <w:pPr>
        <w:pStyle w:val="Heading5"/>
        <w:numPr>
          <w:ilvl w:val="4"/>
          <w:numId w:val="1"/>
        </w:numPr>
        <w:rPr/>
      </w:pPr>
      <w:bookmarkStart w:id="328" w:name="__RefHeading___Toc1994248_581953129"/>
      <w:bookmarkStart w:id="329" w:name="_Toc126"/>
      <w:bookmarkEnd w:id="328"/>
      <w:r>
        <w:rPr/>
        <w:t>2</w:t>
      </w:r>
      <w:r>
        <w:rPr>
          <w:rtl w:val="true"/>
        </w:rPr>
        <w:t xml:space="preserve">- </w:t>
      </w:r>
      <w:r>
        <w:rPr>
          <w:rtl w:val="true"/>
        </w:rPr>
        <w:t>أقسام الشفاعة</w:t>
      </w:r>
      <w:bookmarkEnd w:id="32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الشفاعة ذو معنی عامّ، شامل للموجودات کافّة، أی أنّ جمیع المخلوقات واسطة الرحمة الإلهیّة للإنسان،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المخلوقات، فی حقیقة الأمر، واسطةِ الفیض الإلهیّ، فتعمَل علی مُساعدة الإنسان لبُلوغ مقصده وهدفه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الشفاعة یشتمل علی کلّ نوع من أنواع التوسّط الذی یقود الإنسان إلی الصراط المستقیم والشریعة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بدوره ینطوی علی أقسام؛ لکن، لیس من الضروری الإشارة إلیها جمیعاً فی هذا البحث المختصر، غایة الأمر، نشیر هنا إلی أنّ أحدَ أقسامه شفاعةُ المغفرة، حیث تنفع فی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بشفاعةِ المغفرة الوساطة فی الصفح عن الذنوب والموبقات والرذائل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من الإیضاح فی هذا المضمار، من الضروریّ الإشارة إلی الآیات القرآنیّة الواردة فی الشفاعة، والبحث عنها، هل أنّها تُوافق علی مبدأ الشفاعة، أم لا؟</w:t>
      </w:r>
    </w:p>
    <w:p>
      <w:pPr>
        <w:pStyle w:val="Heading5"/>
        <w:numPr>
          <w:ilvl w:val="4"/>
          <w:numId w:val="1"/>
        </w:numPr>
        <w:rPr/>
      </w:pPr>
      <w:bookmarkStart w:id="330" w:name="__RefHeading___Toc1994250_581953129"/>
      <w:bookmarkStart w:id="331" w:name="_Toc127"/>
      <w:bookmarkEnd w:id="330"/>
      <w:r>
        <w:rPr/>
        <w:t>3</w:t>
      </w:r>
      <w:r>
        <w:rPr>
          <w:rtl w:val="true"/>
        </w:rPr>
        <w:t xml:space="preserve">- </w:t>
      </w:r>
      <w:r>
        <w:rPr>
          <w:rtl w:val="true"/>
        </w:rPr>
        <w:t>الشفاعة فی القرآن</w:t>
      </w:r>
      <w:bookmarkEnd w:id="331"/>
    </w:p>
    <w:p>
      <w:pPr>
        <w:pStyle w:val="Heading6"/>
        <w:numPr>
          <w:ilvl w:val="5"/>
          <w:numId w:val="1"/>
        </w:numPr>
        <w:rPr/>
      </w:pPr>
      <w:bookmarkStart w:id="332" w:name="__RefHeading___Toc1994252_581953129"/>
      <w:bookmarkStart w:id="333" w:name="_Toc128"/>
      <w:bookmarkEnd w:id="332"/>
      <w:r>
        <w:rPr>
          <w:rtl w:val="true"/>
        </w:rPr>
        <w:t>اشارة</w:t>
      </w:r>
      <w:bookmarkEnd w:id="3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تنقسم الآیات المتعرّضة للشفاعة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النافیة للشفاعة بشکل کلیّ، والآیات المثبتة للشفاعة بإذن الله تعالی</w:t>
      </w:r>
      <w:r>
        <w:rPr>
          <w:rFonts w:eastAsia="IRNazanin" w:cs="IRNazanin"/>
          <w:color w:val="111111"/>
          <w:sz w:val="28"/>
          <w:szCs w:val="28"/>
          <w:rtl w:val="true"/>
          <w:lang w:bidi="fa-IR"/>
        </w:rPr>
        <w:t>.</w:t>
      </w:r>
      <w:bookmarkStart w:id="334" w:name="pg5457_39184"/>
    </w:p>
    <w:p>
      <w:pPr>
        <w:pStyle w:val="Heading6"/>
        <w:numPr>
          <w:ilvl w:val="5"/>
          <w:numId w:val="1"/>
        </w:numPr>
        <w:rPr/>
      </w:pPr>
      <w:bookmarkStart w:id="335" w:name="__RefHeading___Toc1994254_581953129"/>
      <w:bookmarkStart w:id="336" w:name="_Toc129"/>
      <w:bookmarkEnd w:id="334"/>
      <w:bookmarkEnd w:id="335"/>
      <w:r>
        <w:rPr>
          <w:rtl w:val="true"/>
        </w:rPr>
        <w:t>أ</w:t>
      </w:r>
      <w:r>
        <w:rPr>
          <w:rtl w:val="true"/>
        </w:rPr>
        <w:t xml:space="preserve">) </w:t>
      </w:r>
      <w:r>
        <w:rPr>
          <w:rtl w:val="true"/>
        </w:rPr>
        <w:t>الآیات النافیة للشفاعة</w:t>
      </w:r>
      <w:r>
        <w:rPr>
          <w:rtl w:val="true"/>
        </w:rPr>
        <w:t>:</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 وَ لَو کانُوا لا یَملِکُونَ شَیئاً وَ لا یَعقِلُونَ قُل لِلّهِ الشَّفاعَةُ جَمِیعاً</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عَدلٌ وَ لا تَنفَعُها شَفاعَةٌ وَ لا هُم یُنصَرُونَ</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وکما هو ملاحَظ، فإنّ الآیات المذکورة جمیعاً تنفی الشفاعة وتنکر حصولها، وخاصّة الآیات الثلاث الأخیرة، حیث نفت وقوع الشفاعة یوم القیامة، بشکل صریح وقطعیّ</w:t>
      </w:r>
      <w:r>
        <w:rPr>
          <w:rFonts w:eastAsia="IRNazanin" w:cs="IRNazanin"/>
          <w:color w:val="111111"/>
          <w:sz w:val="28"/>
          <w:szCs w:val="28"/>
          <w:rtl w:val="true"/>
          <w:lang w:bidi="fa-IR"/>
        </w:rPr>
        <w:t>.</w:t>
      </w:r>
    </w:p>
    <w:p>
      <w:pPr>
        <w:pStyle w:val="Heading6"/>
        <w:numPr>
          <w:ilvl w:val="5"/>
          <w:numId w:val="1"/>
        </w:numPr>
        <w:rPr/>
      </w:pPr>
      <w:bookmarkStart w:id="337" w:name="__RefHeading___Toc1994256_581953129"/>
      <w:bookmarkStart w:id="338" w:name="_Toc130"/>
      <w:bookmarkEnd w:id="337"/>
      <w:r>
        <w:rPr>
          <w:rtl w:val="true"/>
        </w:rPr>
        <w:t>ب</w:t>
      </w:r>
      <w:r>
        <w:rPr>
          <w:rtl w:val="true"/>
        </w:rPr>
        <w:t xml:space="preserve">) </w:t>
      </w:r>
      <w:r>
        <w:rPr>
          <w:rtl w:val="true"/>
        </w:rPr>
        <w:t>الآیات المثبتة للشفاعة</w:t>
      </w:r>
      <w:r>
        <w:rPr>
          <w:rtl w:val="true"/>
        </w:rPr>
        <w:t>:</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الفَصلِ مِیقاتُهُم أَجمَعِینَ یَومَ لا یُغنِی مَولًی عَن مَولًی شَیئاً وَ لا هُم یُنصَرُونَ إِلاّ مَن رَحِمَ اللّهُ إِنَّهُ هُوَ العَزِیزُ الرَّحِیمُ</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مُکرَمُونَ لا یَسبِقُونَهُ بِالقَولِ وَ هُم بِأَمرِهِ یَعمَلُونَ 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وهکذا، نری أنّ الآیات القرآنیّة الواردة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من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الشفاعة فی یوم القیامة بإذن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هاتین الفئتین من الآیات إلی بعضهما البعض، یمکن الخلوص إلی 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یومَ الحشر تخضع لقانون کلیّ وضابطة عامّة؛ بمعنی عدَم حصول الشفاعة بصورة استقلالیّة، وإنّما تکون بإذن الربّ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أصلاً لله وحده؛ غیر أنّه یأذن لغیره من الأنبیاء والأولیاء الإلهیّین بالشفاعة أیضاً، انطلاقاً من لطفه ومنّه جلّ وعلا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تعتبر مسألة جواز الشفاعة یوم القیامة من الأمور المُحرَزة والمسلّمة؛ ولذلک أجمع علماء المسلمین علی هذا الأمر، وإذا ما وجد بینهم خلاف فمردّه إلی مفاد الشفاعة وتفسیر معناها، لا إلی إنکار أصل موضوع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الفرق والطوائف الإسلامیّة، ذهبت المعتزلة والخوارج فقط إلی الموافقة علی أصل قضیّة الشفاعة، لکنّها اختلفت مع باقی المسلمین فی</w:t>
      </w:r>
      <w:bookmarkStart w:id="339" w:name="pg5457_39186"/>
    </w:p>
    <w:p>
      <w:pPr>
        <w:pStyle w:val="BookText"/>
        <w:rPr/>
      </w:pPr>
      <w:bookmarkEnd w:id="339"/>
      <w:r>
        <w:rPr>
          <w:rFonts w:ascii="IRNazanin" w:hAnsi="IRNazanin" w:eastAsia="IRNazanin"/>
          <w:color w:val="111111"/>
          <w:sz w:val="28"/>
          <w:sz w:val="28"/>
          <w:szCs w:val="28"/>
          <w:rtl w:val="true"/>
          <w:lang w:bidi="fa-IR"/>
        </w:rPr>
        <w:t>تفسیرها لها؛ فقالت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للمطیعین والتائبین من المؤمنین، ولا تشمل الکافِر والفاسِق</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فائدة الشفاعة رفع مرتبةِ الشفیع، والدلالة علی منزلته من المشفوع، کما قالت المعتزلة، وإنّ موضوعها إنّما هو لدفع الضرَر عن المشفوع له لا غیر، کما قالت المرجّئة، إلی غیر ذلک من الآراء</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40" w:name="__RefHeading___Toc1994258_581953129"/>
      <w:bookmarkStart w:id="341" w:name="_Toc131"/>
      <w:bookmarkEnd w:id="340"/>
      <w:r>
        <w:rPr>
          <w:rtl w:val="true"/>
        </w:rPr>
        <w:t>آراء بعض علماء الإسلام فی الشفاعة</w:t>
      </w:r>
      <w:bookmarkEnd w:id="341"/>
    </w:p>
    <w:p>
      <w:pPr>
        <w:pStyle w:val="BookText"/>
        <w:rPr/>
      </w:pPr>
      <w:r>
        <w:rPr>
          <w:rFonts w:ascii="IRNazanin" w:hAnsi="IRNazanin" w:eastAsia="IRNazanin"/>
          <w:color w:val="111111"/>
          <w:sz w:val="28"/>
          <w:sz w:val="28"/>
          <w:szCs w:val="28"/>
          <w:rtl w:val="true"/>
          <w:lang w:bidi="fa-IR"/>
        </w:rPr>
        <w:t xml:space="preserve">استعرض العلاّمة الطباطبائیّ، ذیل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المبارکة، الآیات النافیة للشفاعة، والآیات المثبتة لها، وبعد أن بحث الطائفتین من تلک الآیات، خلُص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یظهر أنّ الآیات النافیة للشفاعة، إن کانت ناظرةً إلی یومِ القیامة، فإنّما تنفیها عن غیره تعالی بمعنی الإستقلال فی الملک، والآیات المثبتة تثبتها لله سُبحانه بنحو الأصالة، ولغیره تعالی بإذنه وتملیکه، فالشفاعة ثابتة لغیره تعالی بإذنه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وذهب الفخر الرازیّ، ذیل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أیضاً، إلی أنّ الشفاعة أمر مسلّم ومتّفق علیه بین المسلمین، وإن ذُکِر خلافُ المعتزلة مع غیرهم من الفِرَق الإسلامیةّ فی تفسیر معنی الشفاعة</w:t>
      </w:r>
      <w:r>
        <w:rPr>
          <w:rFonts w:eastAsia="IRNazanin" w:cs="IRNazanin"/>
          <w:color w:val="111111"/>
          <w:sz w:val="28"/>
          <w:szCs w:val="28"/>
          <w:rtl w:val="true"/>
          <w:lang w:bidi="fa-IR"/>
        </w:rPr>
        <w:t>.</w:t>
      </w:r>
      <w:r>
        <w:rPr>
          <w:rStyle w:val="FootnoteAnchor"/>
          <w:rtl w:val="true"/>
        </w:rPr>
        <w:footnoteReference w:id="1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الشیخ الطوسیّ، ذیل الآیة المذکورة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وَ لا یُقبَلُ مِنها شَفاعَةٌ مخصوص عندنا بالکفّار؛ لأنّ حقیقة الشفاعة عندنا أن یکون فی</w:t>
      </w:r>
    </w:p>
    <w:p>
      <w:pPr>
        <w:pStyle w:val="BookText"/>
        <w:rPr/>
      </w:pPr>
      <w:r>
        <w:rPr>
          <w:rFonts w:ascii="IRNazanin" w:hAnsi="IRNazanin" w:eastAsia="IRNazanin"/>
          <w:color w:val="111111"/>
          <w:sz w:val="28"/>
          <w:sz w:val="28"/>
          <w:szCs w:val="28"/>
          <w:rtl w:val="true"/>
          <w:lang w:bidi="fa-IR"/>
        </w:rPr>
        <w:t>إسقاط المضارّ، دون زیادة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عندنا یشفع لهم النبیّ صلی الله علیه و آله، فیشفّعه الله تعالی، ویُسقِط بها العِقاب عن المستحقّین من أهل الصلاة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الفتّال النیسابوریّ لمّا ذکر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فسّر المقام المحمود بشفاعة النبیّ صلی الله علیه و آله، وأورد روایة عنه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الّذی أَشفعُ فیهِ لأُمَّتی</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وقال المرحوم الطبرسیّ، ذیل هذه الآیة،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اجتمعت علی أنّ للنبیّ صلی الله علیه و آله شفاعةً مقبولةً، وإن اختلفوا فی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هی مختصة بدفع المضارّ، وإسقاط العقاب عن مستحقّیه من مذنبی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زیادة المنافع للمطیعین والتائبین دون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ثابتةٌ عندنا للنبی صلی الله علیه و آله، ولأصحابه المنتجبین، والأئمّة من أهل بیته الطّاهرین، ولصالحی المؤمنین، وینجّی الله تعالی بشفاعتهم کثیراً من الخاطئین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وقال أبو الفتوح الرازیّ فی ذیل تلک الآیة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ناظرة إلی الکافرین والیهود، فالمسلمون ما عدا المعتزلة یؤمنون بالشفاعة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استعرض عدد من الآیات الدالّة علی الشفاعة یوم القیامة</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کما أشار میمون بن محمّد النسفیّ إلی هذا المطلب أیضاً، ذاهباً إلی أنّ شفاعة النبیّ صلی الله علیه و آله لأمّته یوم القیامة أمر مسلّم ومفروغ منه عند المسلمین</w:t>
      </w:r>
      <w:r>
        <w:rPr>
          <w:rFonts w:eastAsia="IRNazanin" w:cs="IRNazanin"/>
          <w:color w:val="111111"/>
          <w:sz w:val="28"/>
          <w:szCs w:val="28"/>
          <w:rtl w:val="true"/>
          <w:lang w:bidi="fa-IR"/>
        </w:rPr>
        <w:t>.</w:t>
      </w:r>
      <w:r>
        <w:rPr>
          <w:rStyle w:val="FootnoteAnchor"/>
          <w:rtl w:val="true"/>
        </w:rPr>
        <w:footnoteReference w:id="1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حتّی الوهابیّین الذین أنکر أغلَب علمائهم الشفاعة، لم ینکروها بصورة</w:t>
      </w:r>
      <w:bookmarkStart w:id="342" w:name="pg5457_39188"/>
    </w:p>
    <w:p>
      <w:pPr>
        <w:pStyle w:val="BookText"/>
        <w:rPr/>
      </w:pPr>
      <w:bookmarkEnd w:id="342"/>
      <w:r>
        <w:rPr>
          <w:rFonts w:ascii="IRNazanin" w:hAnsi="IRNazanin" w:eastAsia="IRNazanin"/>
          <w:color w:val="111111"/>
          <w:sz w:val="28"/>
          <w:sz w:val="28"/>
          <w:szCs w:val="28"/>
          <w:rtl w:val="true"/>
          <w:lang w:bidi="fa-IR"/>
        </w:rPr>
        <w:t>کلیّة، بل وافقوا علی شفاعة النبیّ صلی الله علیه و آله یوم القیامة، بإذن من الله عزّ وجلّ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وعلی هذا الأساس، وفی ضوء ما تقدّم، یتّضح أنّ الآیات النافیة للشفاعة، نحو الآیة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ناظرة إلی الشفاعة من دون إذن الباری عزّ وجلّ، وإنکار هذا النوع منها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فالشفاعة أصلٌ مسلّم، والشکّ فیها شکّ فی عموم المسائل الإسلامیّة برمّتها</w:t>
      </w:r>
      <w:r>
        <w:rPr>
          <w:rFonts w:eastAsia="IRNazanin" w:cs="IRNazanin"/>
          <w:color w:val="111111"/>
          <w:sz w:val="28"/>
          <w:szCs w:val="28"/>
          <w:rtl w:val="true"/>
          <w:lang w:bidi="fa-IR"/>
        </w:rPr>
        <w:t>.</w:t>
      </w:r>
    </w:p>
    <w:p>
      <w:pPr>
        <w:pStyle w:val="Heading3"/>
        <w:numPr>
          <w:ilvl w:val="2"/>
          <w:numId w:val="1"/>
        </w:numPr>
        <w:rPr/>
      </w:pPr>
      <w:bookmarkStart w:id="343" w:name="__RefHeading___Toc1994260_581953129"/>
      <w:bookmarkStart w:id="344" w:name="_Toc132"/>
      <w:bookmarkEnd w:id="343"/>
      <w:r>
        <w:rPr>
          <w:rtl w:val="true"/>
        </w:rPr>
        <w:t>مصادر للمطالعة</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مجموعة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آیین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أصغر رضوانی، سلفی‌گری، وهابیت وپاسخ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 والوهابیّة والردّ علی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345" w:name="__RefHeading___Toc1994262_581953129"/>
      <w:bookmarkStart w:id="346" w:name="_Toc133"/>
      <w:bookmarkEnd w:id="345"/>
      <w:r>
        <w:rPr>
          <w:rtl w:val="true"/>
        </w:rPr>
        <w:t>الحدیث الختامیّ</w:t>
      </w:r>
      <w:bookmarkEnd w:id="346"/>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یَقبَل العُذرَ مِن مُتَنَصِّلٍ، صادِقاً کانَ أو کاذِباً، لَم یَنَل شَفاعَتِی</w:t>
      </w:r>
      <w:r>
        <w:rPr>
          <w:rFonts w:eastAsia="Amiri" w:cs="Amiri" w:ascii="Amiri" w:hAnsi="Amiri"/>
          <w:color w:val="111111"/>
          <w:sz w:val="28"/>
          <w:szCs w:val="28"/>
          <w:rtl w:val="true"/>
          <w:lang w:bidi="ar-SA"/>
        </w:rPr>
        <w:t>».</w:t>
      </w:r>
      <w:r>
        <w:rPr>
          <w:rStyle w:val="FootnoteAnchor"/>
          <w:rtl w:val="true"/>
        </w:rPr>
        <w:footnoteReference w:id="190"/>
      </w:r>
      <w:bookmarkStart w:id="347" w:name="pg5457_39189"/>
    </w:p>
    <w:p>
      <w:pPr>
        <w:pStyle w:val="Heading2"/>
        <w:numPr>
          <w:ilvl w:val="1"/>
          <w:numId w:val="1"/>
        </w:numPr>
        <w:rPr/>
      </w:pPr>
      <w:bookmarkStart w:id="348" w:name="__RefHeading___Toc1994264_581953129"/>
      <w:bookmarkStart w:id="349" w:name="_Toc134"/>
      <w:bookmarkEnd w:id="347"/>
      <w:bookmarkEnd w:id="348"/>
      <w:r>
        <w:rPr>
          <w:rtl w:val="true"/>
        </w:rPr>
        <w:t>علاقة الشفاعة بالوحدانیّة</w:t>
      </w:r>
      <w:bookmarkEnd w:id="349"/>
    </w:p>
    <w:p>
      <w:pPr>
        <w:pStyle w:val="Heading3"/>
        <w:numPr>
          <w:ilvl w:val="2"/>
          <w:numId w:val="1"/>
        </w:numPr>
        <w:rPr/>
      </w:pPr>
      <w:bookmarkStart w:id="350" w:name="__RefHeading___Toc1994266_581953129"/>
      <w:bookmarkStart w:id="351" w:name="_Toc135"/>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تتواءم شفاعةُ النبیّ الکریم صلی الله علیه و آله، والأئمّة الأطهار علیهم السلام، مع وحدانیّة الله تبارک وتعالی؟</w:t>
      </w:r>
    </w:p>
    <w:p>
      <w:p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أنّ الشفاعة أصل مسلّم لدی المسلمین، وتبیّن فی موضوع الشفاعة فی القرآن الکریم أنّ الشفاعة ثابتةٌ لرسولِ الله صلی الله علیه و آله، والأئمّة المیامین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فیتسنّی للإنسان العاصی والمذنب طلَب الشفاعة منهم، والصفح عن ذنوبه بجاههم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بالنسبة إلی الوهابیّة، وابن تیمیّة تحدیداً، علی العکس من ذلک، کما سیأتی فی الصفحات القادمة؛ فلو طلَب أحدٌ الشفاعة من النبیّ صلی الله علیه و آله، أو الأئّمّة المعصومین علیهم السلام، أو غیرِهم، یدخل بنظرهم فی زمرة المشرکین؛ لأنّه بذلک یکون قد وضع النبیّ صلی الله علیه و آله، والأئمّة علیهم السلام، والأولیاء الصالحین، إزاء الله تعالی، الأمر الذی یتنافی مع مسألة التوحید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لغةً مأخوذةٌ من الشَّفع،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ضمّ الشیء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والشفاعة الانضمام إلی آخر، ناصراً له وسائلاً عنه، وأکثر ما یستعمل فی انضمام مَن هو أعلی حرمةً ومرتبةً إلی مَن هو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p>
    <w:p>
      <w:pPr>
        <w:pStyle w:val="BookText"/>
        <w:rPr/>
      </w:pPr>
      <w:r>
        <w:rPr>
          <w:rFonts w:ascii="IRNazanin" w:hAnsi="IRNazanin" w:eastAsia="IRNazanin"/>
          <w:color w:val="111111"/>
          <w:sz w:val="28"/>
          <w:sz w:val="28"/>
          <w:szCs w:val="28"/>
          <w:rtl w:val="true"/>
          <w:lang w:bidi="fa-IR"/>
        </w:rPr>
        <w:t>الشفاعة فی القیامة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والشفاعة تعنی الانضمام إلی شیءٍ آخر للحصول علی النتیجة المطلوبة</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أمّا الشفاعة فی اصطلاحِ عِلم الکلام، فهی عبارة عن الرحمة والغُفران الإلهیّ، التی ینالها بعض عباد الله، بواسطة الأنبیاء والأولیاء</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لقد دأبَ المسلمون منذ عصر النبیّ الهادی صلی الله علیه و آله، وحتّی یومنا هذا، علی طلب الشفاعة من الشُفعاء الحقیقیّین فی عالم ما بعد الموت، ولم یرَ أیُّ أحدٍ من علماء المسلمین فی هذا الطلَب مخالفةً للأُصول والمبانی الإسلامیّة؛ غیر أنّ ابن تیمیّة انبری للوقوف بوجه هذه العقیدة، وغیرها من العقائد والسُّنَن الأُخری، فی القرن السابع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ثلاثة قرون من ذلک، ظهَر محمّد بن عبد الوهاب النجدیّ لیرفع رایةَ المناهضة لهذه العقیدة الإسلامیّة، ویُحیی مدرسة ابن تیمیّة مرّة أُخری</w:t>
      </w:r>
      <w:r>
        <w:rPr>
          <w:rFonts w:eastAsia="IRNazanin" w:cs="IRNazanin"/>
          <w:color w:val="111111"/>
          <w:sz w:val="28"/>
          <w:szCs w:val="28"/>
          <w:rtl w:val="true"/>
          <w:lang w:bidi="fa-IR"/>
        </w:rPr>
        <w:t>.</w:t>
      </w:r>
      <w:r>
        <w:rPr>
          <w:rStyle w:val="FootnoteAnchor"/>
          <w:rtl w:val="true"/>
        </w:rPr>
        <w:footnoteReference w:id="1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الفِرقة الوهابیّة وافقت علی أصلِ مبدأ الشفاعة، بید أنّها انفردت فی بعض الأحکام والخصوصیّات المتعلّقة بها؛ فذهبوا إلی أنّ الشفاعة غیر جائزة، إلاّ فی حالة أن یطلب الإنسان من الله تعالی بصورةٍ مباشرة، أن یشفّع فیه النبیّ صلی الله علیه و آله، أو من یحقّ له الشفاعة؛ ولهذا 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أحدٌ من النبیّ صلی الله علیه و آله وأولیاء الله أن یشفعوا له فی هذه الأُمور، من حیث قربهم من الله، فهذا من عمل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الشفاعة یجب أن یکون من الله فقط، لا الشُفعاء؛ أی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شفّع فینا محمّداً صلی الله علیه و آله یومَ القیامة</w:t>
      </w:r>
      <w:r>
        <w:rPr>
          <w:rFonts w:eastAsia="IRNazanin" w:cs="IRNazanin"/>
          <w:color w:val="111111"/>
          <w:sz w:val="28"/>
          <w:szCs w:val="28"/>
          <w:rtl w:val="true"/>
          <w:lang w:bidi="fa-IR"/>
        </w:rPr>
        <w:t>.</w:t>
      </w:r>
      <w:r>
        <w:rPr>
          <w:rStyle w:val="FootnoteAnchor"/>
          <w:rtl w:val="true"/>
        </w:rPr>
        <w:footnoteReference w:id="195"/>
      </w:r>
      <w:bookmarkStart w:id="352" w:name="pg5457_39191"/>
    </w:p>
    <w:p>
      <w:pPr>
        <w:pStyle w:val="BookText"/>
        <w:rPr/>
      </w:pPr>
      <w:bookmarkEnd w:id="352"/>
      <w:r>
        <w:rPr>
          <w:rFonts w:ascii="IRNazanin" w:hAnsi="IRNazanin" w:eastAsia="IRNazanin"/>
          <w:color w:val="111111"/>
          <w:sz w:val="28"/>
          <w:sz w:val="28"/>
          <w:szCs w:val="28"/>
          <w:rtl w:val="true"/>
          <w:lang w:bidi="fa-IR"/>
        </w:rPr>
        <w:t>إذا عرفت ذلک، یلزم الإشارة إلی الآیات الواردة فی الشفاعة، وتحدید الشفاعة الحقیقیّة عن غیر الحقیقیّة؛ لیتّضح مدی تواؤم وتناسب الشفاعة مع وحدانیّة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یمکن تقسیم الآیات المتعلّقة بالشفاعة إلی سَبعة طوائف، بحسَب ما یُستفاد من ظاهرها، ومن ثمّ ذکر آیةٍ واحدةٍ من کلّ طائفة، کمثال علیها</w:t>
      </w:r>
      <w:r>
        <w:rPr>
          <w:rFonts w:eastAsia="IRNazanin" w:cs="IRNazanin"/>
          <w:color w:val="111111"/>
          <w:sz w:val="28"/>
          <w:szCs w:val="28"/>
          <w:rtl w:val="true"/>
          <w:lang w:bidi="fa-IR"/>
        </w:rPr>
        <w:t>:</w:t>
      </w:r>
    </w:p>
    <w:p>
      <w:pPr>
        <w:pStyle w:val="Heading3"/>
        <w:numPr>
          <w:ilvl w:val="2"/>
          <w:numId w:val="1"/>
        </w:numPr>
        <w:rPr/>
      </w:pPr>
      <w:bookmarkStart w:id="353" w:name="__RefHeading___Toc1994268_581953129"/>
      <w:bookmarkStart w:id="354" w:name="_Toc136"/>
      <w:bookmarkEnd w:id="353"/>
      <w:r>
        <w:rPr/>
        <w:t>1</w:t>
      </w:r>
      <w:r>
        <w:rPr>
          <w:rtl w:val="true"/>
        </w:rPr>
        <w:t xml:space="preserve">- </w:t>
      </w:r>
      <w:r>
        <w:rPr>
          <w:rtl w:val="true"/>
        </w:rPr>
        <w:t>نفی مطلق الشفاعة</w:t>
      </w:r>
      <w:bookmarkEnd w:id="354"/>
    </w:p>
    <w:p>
      <w:pPr>
        <w:pStyle w:val="BookText"/>
        <w:rPr/>
      </w:pPr>
      <w:r>
        <w:rPr>
          <w:rFonts w:ascii="Amiri" w:hAnsi="Amiri" w:eastAsia="Amiri" w:cs="Amiri"/>
          <w:color w:val="111111"/>
          <w:sz w:val="28"/>
          <w:sz w:val="28"/>
          <w:szCs w:val="28"/>
          <w:rtl w:val="true"/>
          <w:lang w:bidi="ar-SA"/>
        </w:rPr>
        <w:t>هناک مجموعة من الآیات التی تنکر مطلق الشفاعة،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یَومٌ لا بَیعٌ فِیهِ وَ لا خُلَّةٌ وَ لا شَفاعَةٌ وَ الکافِرُونَ هُمُ الظّالِمُونَ</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لکنّ المتحصّل من القرائن والشواهد، الموجودة فی الآیات الأخری من هذه الطائفة، هو أنّ المقصود منها لیس نفی مطلق الشفاعة، بل هی تهدف إلی إنکار نوع خاصّ من الشفاعة، وهو الشفاعة الباطلة</w:t>
      </w:r>
      <w:r>
        <w:rPr>
          <w:rFonts w:eastAsia="IRNazanin" w:cs="IRNazanin"/>
          <w:color w:val="111111"/>
          <w:sz w:val="28"/>
          <w:szCs w:val="28"/>
          <w:rtl w:val="true"/>
          <w:lang w:bidi="fa-IR"/>
        </w:rPr>
        <w:t>.</w:t>
      </w:r>
    </w:p>
    <w:p>
      <w:pPr>
        <w:pStyle w:val="Heading3"/>
        <w:numPr>
          <w:ilvl w:val="2"/>
          <w:numId w:val="1"/>
        </w:numPr>
        <w:rPr/>
      </w:pPr>
      <w:bookmarkStart w:id="355" w:name="__RefHeading___Toc1994270_581953129"/>
      <w:bookmarkStart w:id="356" w:name="_Toc137"/>
      <w:bookmarkEnd w:id="355"/>
      <w:r>
        <w:rPr/>
        <w:t>2</w:t>
      </w:r>
      <w:r>
        <w:rPr>
          <w:rtl w:val="true"/>
        </w:rPr>
        <w:t xml:space="preserve">- </w:t>
      </w:r>
      <w:r>
        <w:rPr>
          <w:rtl w:val="true"/>
        </w:rPr>
        <w:t>نفی الشفاعة التی قال بها الیهود</w:t>
      </w:r>
      <w:bookmarkEnd w:id="356"/>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w:t>
      </w:r>
      <w:r>
        <w:rPr>
          <w:rStyle w:val="FootnoteAnchor"/>
          <w:rtl w:val="true"/>
        </w:rPr>
        <w:footnoteReference w:id="1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ناظرة إلی الشفاعة التی قال بها بنو إسرائیل لأنفسهم؛ حیث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الأنبیاء، فمهما ازدادت ذنوبنا، وثَقُلت کفّة معاصینا، فسیشفع لنا آباؤنا</w:t>
      </w:r>
      <w:r>
        <w:rPr>
          <w:rFonts w:eastAsia="IRNazanin" w:cs="IRNazanin"/>
          <w:color w:val="111111"/>
          <w:sz w:val="28"/>
          <w:szCs w:val="28"/>
          <w:rtl w:val="true"/>
          <w:lang w:bidi="fa-IR"/>
        </w:rPr>
        <w:t>.</w:t>
      </w:r>
      <w:bookmarkStart w:id="357" w:name="pg5457_39192"/>
    </w:p>
    <w:p>
      <w:pPr>
        <w:pStyle w:val="Heading3"/>
        <w:numPr>
          <w:ilvl w:val="2"/>
          <w:numId w:val="1"/>
        </w:numPr>
        <w:rPr/>
      </w:pPr>
      <w:bookmarkStart w:id="358" w:name="__RefHeading___Toc1994272_581953129"/>
      <w:bookmarkStart w:id="359" w:name="_Toc138"/>
      <w:bookmarkEnd w:id="357"/>
      <w:bookmarkEnd w:id="358"/>
      <w:r>
        <w:rPr/>
        <w:t>3</w:t>
      </w:r>
      <w:r>
        <w:rPr>
          <w:rtl w:val="true"/>
        </w:rPr>
        <w:t xml:space="preserve">- </w:t>
      </w:r>
      <w:r>
        <w:rPr>
          <w:rtl w:val="true"/>
        </w:rPr>
        <w:t>نفی الشفاعة للکافرین</w:t>
      </w:r>
      <w:bookmarkEnd w:id="359"/>
    </w:p>
    <w:p>
      <w:pPr>
        <w:pStyle w:val="BookText"/>
        <w:rPr/>
      </w:pPr>
      <w:r>
        <w:rPr>
          <w:rFonts w:ascii="Amiri" w:hAnsi="Amiri" w:eastAsia="Amiri" w:cs="Amiri"/>
          <w:color w:val="111111"/>
          <w:sz w:val="28"/>
          <w:sz w:val="28"/>
          <w:szCs w:val="28"/>
          <w:rtl w:val="true"/>
          <w:lang w:bidi="ar-SA"/>
        </w:rPr>
        <w:t>لقد صرّح القرآن الکریم بأن لیس للکافرین شَفیع، ولا تنفعهم الشفاعة، یوم القیامة،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w:t>
      </w:r>
      <w:r>
        <w:rPr>
          <w:rStyle w:val="FootnoteAnchor"/>
          <w:rtl w:val="true"/>
        </w:rPr>
        <w:footnoteReference w:id="198"/>
      </w:r>
    </w:p>
    <w:p>
      <w:pPr>
        <w:pStyle w:val="Heading3"/>
        <w:numPr>
          <w:ilvl w:val="2"/>
          <w:numId w:val="1"/>
        </w:numPr>
        <w:rPr/>
      </w:pPr>
      <w:bookmarkStart w:id="360" w:name="__RefHeading___Toc1994274_581953129"/>
      <w:bookmarkStart w:id="361" w:name="_Toc139"/>
      <w:bookmarkEnd w:id="360"/>
      <w:r>
        <w:rPr/>
        <w:t>4</w:t>
      </w:r>
      <w:r>
        <w:rPr>
          <w:rtl w:val="true"/>
        </w:rPr>
        <w:t xml:space="preserve">- </w:t>
      </w:r>
      <w:r>
        <w:rPr>
          <w:rtl w:val="true"/>
        </w:rPr>
        <w:t>انتقاد التشفّع بالأصنام</w:t>
      </w:r>
      <w:bookmarkEnd w:id="361"/>
    </w:p>
    <w:p>
      <w:pPr>
        <w:pStyle w:val="BookText"/>
        <w:rPr/>
      </w:pPr>
      <w:r>
        <w:rPr>
          <w:rFonts w:ascii="Amiri" w:hAnsi="Amiri" w:eastAsia="Amiri" w:cs="Amiri"/>
          <w:color w:val="111111"/>
          <w:sz w:val="28"/>
          <w:sz w:val="28"/>
          <w:szCs w:val="28"/>
          <w:rtl w:val="true"/>
          <w:lang w:bidi="ar-SA"/>
        </w:rPr>
        <w:t>ثمّة آیات فی کتاب الله المجید، توجّه سِهام النقد إلی الاستشفاع بالأصنام، کقوله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فلقد کان المشرکون یظنّون بأنّهم 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عبادة الأوثان التی صنعوها بأیدیهم، من الخشَب أو الحجَر أو المعدن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کسب رضا أُولئک؛ وبالتالی، الحصول علی شفاعتهم إلی الحضرة الإلهیّة</w:t>
      </w:r>
      <w:r>
        <w:rPr>
          <w:rFonts w:eastAsia="IRNazanin" w:cs="IRNazanin"/>
          <w:color w:val="111111"/>
          <w:sz w:val="28"/>
          <w:szCs w:val="28"/>
          <w:rtl w:val="true"/>
          <w:lang w:bidi="fa-IR"/>
        </w:rPr>
        <w:t>.</w:t>
      </w:r>
    </w:p>
    <w:p>
      <w:pPr>
        <w:pStyle w:val="Heading3"/>
        <w:numPr>
          <w:ilvl w:val="2"/>
          <w:numId w:val="1"/>
        </w:numPr>
        <w:rPr/>
      </w:pPr>
      <w:bookmarkStart w:id="362" w:name="__RefHeading___Toc1994276_581953129"/>
      <w:bookmarkStart w:id="363" w:name="_Toc140"/>
      <w:bookmarkEnd w:id="362"/>
      <w:r>
        <w:rPr/>
        <w:t>5</w:t>
      </w:r>
      <w:r>
        <w:rPr>
          <w:rtl w:val="true"/>
        </w:rPr>
        <w:t xml:space="preserve">- </w:t>
      </w:r>
      <w:r>
        <w:rPr>
          <w:rtl w:val="true"/>
        </w:rPr>
        <w:t>الشفاعة المختصّة بالله</w:t>
      </w:r>
      <w:bookmarkEnd w:id="363"/>
    </w:p>
    <w:p>
      <w:pPr>
        <w:pStyle w:val="BookText"/>
        <w:rPr/>
      </w:pPr>
      <w:r>
        <w:rPr>
          <w:rFonts w:ascii="Amiri" w:hAnsi="Amiri" w:eastAsia="Amiri" w:cs="Amiri"/>
          <w:color w:val="111111"/>
          <w:sz w:val="28"/>
          <w:sz w:val="28"/>
          <w:szCs w:val="28"/>
          <w:rtl w:val="true"/>
          <w:lang w:bidi="ar-SA"/>
        </w:rPr>
        <w:t>بعض الآیات القرآنیّة تؤکّد علی أنّ الشفاعة مختصّة بالذات الإلهیّة؛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 لَهُ مُلکُ السَّماواتِ وَ الأَرضِ ثُمَّ إِلَیهِ تُرجَعُونَ</w:t>
      </w:r>
      <w:r>
        <w:rPr>
          <w:rFonts w:eastAsia="Amiri" w:cs="Amiri" w:ascii="Amiri" w:hAnsi="Amiri"/>
          <w:color w:val="111111"/>
          <w:sz w:val="28"/>
          <w:szCs w:val="28"/>
          <w:rtl w:val="true"/>
          <w:lang w:bidi="ar-SA"/>
        </w:rPr>
        <w:t>) .</w:t>
      </w:r>
      <w:r>
        <w:rPr>
          <w:rStyle w:val="FootnoteAnchor"/>
          <w:rtl w:val="true"/>
        </w:rPr>
        <w:footnoteReference w:id="199"/>
      </w:r>
    </w:p>
    <w:p>
      <w:pPr>
        <w:pStyle w:val="Heading3"/>
        <w:numPr>
          <w:ilvl w:val="2"/>
          <w:numId w:val="1"/>
        </w:numPr>
        <w:rPr/>
      </w:pPr>
      <w:bookmarkStart w:id="364" w:name="__RefHeading___Toc1994278_581953129"/>
      <w:bookmarkStart w:id="365" w:name="_Toc141"/>
      <w:bookmarkEnd w:id="364"/>
      <w:r>
        <w:rPr/>
        <w:t>6</w:t>
      </w:r>
      <w:r>
        <w:rPr>
          <w:rtl w:val="true"/>
        </w:rPr>
        <w:t xml:space="preserve">- </w:t>
      </w:r>
      <w:r>
        <w:rPr>
          <w:rtl w:val="true"/>
        </w:rPr>
        <w:t>الشفاعة بإذن الله</w:t>
      </w:r>
      <w:bookmarkEnd w:id="3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بعضُ الآیات القرآنیّة الشریفة إلی اشتراط الشفاعة بإذنه جلّ وعلا؛</w:t>
      </w:r>
      <w:bookmarkStart w:id="366" w:name="pg5457_39193"/>
    </w:p>
    <w:p>
      <w:pPr>
        <w:pStyle w:val="BookText"/>
        <w:rPr/>
      </w:pPr>
      <w:bookmarkEnd w:id="366"/>
      <w:r>
        <w:rPr>
          <w:rFonts w:ascii="Amiri" w:hAnsi="Amiri" w:eastAsia="Amiri" w:cs="Amiri"/>
          <w:color w:val="111111"/>
          <w:sz w:val="28"/>
          <w:sz w:val="28"/>
          <w:szCs w:val="28"/>
          <w:rtl w:val="true"/>
          <w:lang w:bidi="ar-SA"/>
        </w:rPr>
        <w:t>نظیر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Style w:val="FootnoteAnchor"/>
          <w:rtl w:val="true"/>
        </w:rPr>
        <w:footnoteReference w:id="200"/>
      </w:r>
      <w:r>
        <w:rPr>
          <w:rFonts w:ascii="IRNazanin" w:hAnsi="IRNazanin" w:eastAsia="IRNazanin"/>
          <w:color w:val="111111"/>
          <w:sz w:val="28"/>
          <w:sz w:val="28"/>
          <w:szCs w:val="28"/>
          <w:rtl w:val="true"/>
          <w:lang w:bidi="fa-IR"/>
        </w:rPr>
        <w:t>بمعنی أنّه لا تُتاح الشفاعة إلاّ لمن إذن له الباری سُبحانه فی التشفّع لغیره، وفقاً لبعض المعاییر</w:t>
      </w:r>
      <w:r>
        <w:rPr>
          <w:rFonts w:eastAsia="IRNazanin" w:cs="IRNazanin"/>
          <w:color w:val="111111"/>
          <w:sz w:val="28"/>
          <w:szCs w:val="28"/>
          <w:rtl w:val="true"/>
          <w:lang w:bidi="fa-IR"/>
        </w:rPr>
        <w:t>.</w:t>
      </w:r>
    </w:p>
    <w:p>
      <w:pPr>
        <w:pStyle w:val="Heading3"/>
        <w:numPr>
          <w:ilvl w:val="2"/>
          <w:numId w:val="1"/>
        </w:numPr>
        <w:rPr/>
      </w:pPr>
      <w:bookmarkStart w:id="367" w:name="__RefHeading___Toc1994280_581953129"/>
      <w:bookmarkStart w:id="368" w:name="_Toc142"/>
      <w:bookmarkEnd w:id="367"/>
      <w:r>
        <w:rPr/>
        <w:t>7</w:t>
      </w:r>
      <w:r>
        <w:rPr>
          <w:rtl w:val="true"/>
        </w:rPr>
        <w:t xml:space="preserve">- </w:t>
      </w:r>
      <w:r>
        <w:rPr>
          <w:rtl w:val="true"/>
        </w:rPr>
        <w:t>بیان مواصفات الشُفعاء</w:t>
      </w:r>
      <w:bookmarkEnd w:id="368"/>
    </w:p>
    <w:p>
      <w:pPr>
        <w:pStyle w:val="BookText"/>
        <w:rPr/>
      </w:pPr>
      <w:r>
        <w:rPr>
          <w:rFonts w:ascii="Amiri" w:hAnsi="Amiri" w:eastAsia="Amiri" w:cs="Amiri"/>
          <w:color w:val="111111"/>
          <w:sz w:val="28"/>
          <w:sz w:val="28"/>
          <w:szCs w:val="28"/>
          <w:rtl w:val="true"/>
          <w:lang w:bidi="ar-SA"/>
        </w:rPr>
        <w:t>هناک آیات فی القرآن الکریم، لا تُنبِیء عن وجود شُفعاء فحسب، وإنّما تُحدّد مواصفاتهم ومزایاهم؛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 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وبشکل إجمالیّ،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المنکرة للشفاعة إنّما تنفی حصولها علی نحو استقلالیّ، والآیات المثبتة للشفاعة تنسبها بالدرجة الأولی إلی الله تعالی، بل تحصرها فیه، والآیات الأُخری تؤکّد علی أنّه جلّ وعلا، قد أحال هذا الحقّ الخاصّ به إلی عدد من عباده من الشفعاء الحقیقیّین؛ لیشفعوا بإذنه، ضِمن شروطٍ وظروفٍ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تنافِ بین أنواع الشفاعة المختلفة، غایةُ الأمر، شفاعة غیر الله مشروطة بإذنه تعالی، کما صرّح بذلک القرآن الکریم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 طلب الشفاعة عبارة عن طلب الدعاء، والقرآن الکریم أوصی بالدعاء للناس، کما أنّ سیرة الصحابة کانت قائمة علی طلب التشفّع من النبیّ الکریم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تیمیّة فقد ذهب إلی صحّة طلب الدعاء من الشخص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ذهب النظّام النیسابوریّ،</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حقیقة الشفاعة هی الدعاء للمسلمین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وفسّر الفخر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بالدعاء الی الباری عزّ وجلّ، حیث أکّد فی ذیل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هذه الآیة دالّة علی أنّ شفاعة حَمَلة العرش تختصُّ بأصحابِ الذنوب</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بناءً علی ذلک، فالشفاعةُ بنظَرِ الفخرِ الرازیّ عبارةٌ عن دعاء الشفیع بحقّ المذنب والعاصی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 فی الأحادیث أنّ دعاء المسلم لأخیه المسلم شفاعة،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مسلم یموت، فیقومُ علی جنازته أربعون رجلاً، لا یشرکون بالله شیئاً، إلاّ شفّعهم الله فیه</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وکما هو ملاحَظ، فإنّ الحدیث اعتبَر مَن یدعو للمیّت شَفیعاً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السیاق، قال 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طلَبِ الدعاء من الحیّ</w:t>
      </w:r>
      <w:r>
        <w:rPr>
          <w:rFonts w:eastAsia="IRNazanin" w:cs="IRNazanin"/>
          <w:color w:val="111111"/>
          <w:sz w:val="28"/>
          <w:szCs w:val="28"/>
          <w:rtl w:val="true"/>
          <w:lang w:bidi="fa-IR"/>
        </w:rPr>
        <w:t>.</w:t>
      </w:r>
      <w:r>
        <w:rPr>
          <w:rStyle w:val="FootnoteAnchor"/>
          <w:rtl w:val="true"/>
        </w:rPr>
        <w:footnoteReference w:id="206"/>
      </w:r>
      <w:bookmarkStart w:id="369" w:name="pg5457_39195"/>
    </w:p>
    <w:p>
      <w:pPr>
        <w:pStyle w:val="Heading3"/>
        <w:numPr>
          <w:ilvl w:val="2"/>
          <w:numId w:val="1"/>
        </w:numPr>
        <w:rPr/>
      </w:pPr>
      <w:bookmarkStart w:id="370" w:name="__RefHeading___Toc1994282_581953129"/>
      <w:bookmarkStart w:id="371" w:name="_Toc143"/>
      <w:bookmarkEnd w:id="369"/>
      <w:bookmarkEnd w:id="370"/>
      <w:r>
        <w:rPr>
          <w:rtl w:val="true"/>
        </w:rPr>
        <w:t>الشفاعة الواقعیّة وغیر الواقعیّة</w:t>
      </w:r>
      <w:bookmarkEnd w:id="371"/>
    </w:p>
    <w:p>
      <w:pPr>
        <w:pStyle w:val="BookText"/>
        <w:rPr/>
      </w:pPr>
      <w:r>
        <w:rPr>
          <w:rFonts w:ascii="IRNazanin" w:hAnsi="IRNazanin" w:eastAsia="IRNazanin"/>
          <w:color w:val="111111"/>
          <w:sz w:val="28"/>
          <w:sz w:val="28"/>
          <w:szCs w:val="28"/>
          <w:rtl w:val="true"/>
          <w:lang w:bidi="fa-IR"/>
        </w:rPr>
        <w:t>الفرق الجوهریّ بین الشفاعة الواقعیّة، والشفاعة الباطلة وغیر الواقعیّة یتلخّص فی أنّ الأُولی تبدأ من الله وتنتهی بالمذنب والعاصی، فی حین أنّ الثانیة علی العکس تماماً؛ ففی الشفاعة الواقعیّة، المشفوع عنده، وهو الله جلّ جلاله، هو الباعث والمحرّک للوسیلة، وهو الشفیع، وفی الشفاعة الباطلة، یکون المشفوع له، وهو الشخص العاصی، هو المحرّک والباعث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الشفیع فی الشفاعة غیر الواقعیّة، التی تکثر فی عالم الدنیا، یکتسب صفةَ کونِه وسیلةً من الشخص المذنب؛ ذلک أنّ المُذنِب هو مَن بعَث الوسیلة وألجأها إلی الشفاعة، بینما الأمر علی خِلاف ذلک فی الشفاعة الواقعیّة، التی تکون مجریً للأنبیاء والأولیاء الإلهیّین، حیث یُستفاد کون الشفیعِ وسیلةً من الله تعالی؛ إذ هو الذی جعل الأنبیاء والأولیاء وسیلة إلیه</w:t>
      </w:r>
      <w:r>
        <w:rPr>
          <w:rFonts w:eastAsia="IRNazanin" w:cs="IRNazanin"/>
          <w:color w:val="111111"/>
          <w:sz w:val="28"/>
          <w:szCs w:val="28"/>
          <w:rtl w:val="true"/>
          <w:lang w:bidi="fa-IR"/>
        </w:rPr>
        <w:t>.</w:t>
      </w:r>
    </w:p>
    <w:p>
      <w:pPr>
        <w:pStyle w:val="Heading3"/>
        <w:numPr>
          <w:ilvl w:val="2"/>
          <w:numId w:val="1"/>
        </w:numPr>
        <w:rPr/>
      </w:pPr>
      <w:bookmarkStart w:id="372" w:name="__RefHeading___Toc1994284_581953129"/>
      <w:bookmarkStart w:id="373" w:name="_Toc144"/>
      <w:bookmarkEnd w:id="372"/>
      <w:r>
        <w:rPr>
          <w:rtl w:val="true"/>
        </w:rPr>
        <w:t>طلَب الشفاعة وصِلته بالوحدانیّة</w:t>
      </w:r>
      <w:bookmarkEnd w:id="373"/>
    </w:p>
    <w:p>
      <w:pPr>
        <w:pStyle w:val="BookText"/>
        <w:rPr/>
      </w:pPr>
      <w:r>
        <w:rPr>
          <w:rFonts w:ascii="IRNazanin" w:hAnsi="IRNazanin" w:eastAsia="IRNazanin"/>
          <w:color w:val="111111"/>
          <w:sz w:val="28"/>
          <w:sz w:val="28"/>
          <w:szCs w:val="28"/>
          <w:rtl w:val="true"/>
          <w:lang w:bidi="fa-IR"/>
        </w:rPr>
        <w:t xml:space="preserve">إن کان کلّ نوع من الطلب والإطاعة داخلاً فی دائرة الشرک، فلازم ذلک أن یکون جمیع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عصر النبیّ آدم علیه السلام وحتّی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وکافرین؛ لأنّ کلّ شخص مارس أثناء فترة حیاته الطلب ممّن هو أعلی منه رتبةً، أو طاعته، فطالما کانت للأولاد والعبید والعمّال والجنود مطالب عند آبائهم وسادتهم وأصحاب عملهم وقادتهم، وکثیراً ما أطاعوهم فی أوامرهم وتوجیهاتهم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فلیس کلّ طلب من الغیر والطاعة له عبادة، کما أنّه لیس کلّ طلب یعدّ شرکاً؛ ذلک أنّ العبادة ما هی إلاّ طلب الحاجة المقرون بمنتهی الذلّ والخضوع، من الفاعل علی الإطلاق، فی أمور</w:t>
      </w:r>
    </w:p>
    <w:p>
      <w:pPr>
        <w:pStyle w:val="BookText"/>
        <w:rPr/>
      </w:pPr>
      <w:r>
        <w:rPr>
          <w:rFonts w:ascii="IRNazanin" w:hAnsi="IRNazanin" w:eastAsia="IRNazanin"/>
          <w:color w:val="111111"/>
          <w:sz w:val="28"/>
          <w:sz w:val="28"/>
          <w:szCs w:val="28"/>
          <w:rtl w:val="true"/>
          <w:lang w:bidi="fa-IR"/>
        </w:rPr>
        <w:t>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متی ما طُلِب شیء علی هذه الشاکلة من غیر الله، فهذا هو الشرک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ومن هنا قال العلاّمة الطباطبائیّ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فالشفیع لا یطلب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یُبطِل مولویّة نفسه، وعبودیّة عبده، فلا یعاقبه، ولا یطلب منه أن یرفع الید عن حکمه، وتکلیفه المجعول، أو ینسخه عموماً، أو فی خصوص الواقعة، فلا یُعاقبه، ولا یطلب منه أن یُبطِل قانون المجازاة عموماً أو خصوصاً، فلا یُعاقب لذلک رأسا، أو فی خصوص الواقعة، فلا نفوذ ولا تأثیر، للشفیع فی مولویّةٍ وعبودیّة، ولا فی حکمٍ، ولا فی جزاء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یسلّم جمیع الجهات الثلاث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بصفات فی المولی الحاکم، توجب العفو والصفح، کسؤدَدِه، وکرَمه، وسخائه، وشرافة محتده؛ وإمّا بصفات فی العبد، تستدعی الرأفة والحنان، وتثیر عوامل المغفرة، کمذلّته، ومسکنته، وحقارته، وسُوء حاله؛ وإمّا بصفات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نفس الشفیع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قربه إلی المولی، وکرامته، وعلوّ منزلته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أسألک إبطال مولویّتک وعبودیّته، ولا أن تُبطل حُکمک، ولا أن تُبطل الجزاء، بل أسألُک الصفح عنه، بأنّ لک سؤدَداً ورأفةً وکرَماً، لا تنتفع بعقابه، ولا یضرّک الصفح عن ذنبه، أو بأنّه جاهلٌ، حقیر، مسکین، لا یعتنی مثلک بشأنه، ولا یهتمّ بأمره، أو بأنّ لی عندک من المنزلة والکرامة، ما یُوجب إسعاف حاجتی، فی تخلیصه، والعفو عنه</w:t>
      </w:r>
      <w:r>
        <w:rPr>
          <w:rFonts w:eastAsia="IRNazanin" w:cs="IRNazanin"/>
          <w:color w:val="111111"/>
          <w:sz w:val="28"/>
          <w:szCs w:val="28"/>
          <w:rtl w:val="true"/>
          <w:lang w:bidi="fa-IR"/>
        </w:rPr>
        <w:t>».</w:t>
      </w:r>
      <w:r>
        <w:rPr>
          <w:rStyle w:val="FootnoteAnchor"/>
          <w:rtl w:val="true"/>
        </w:rPr>
        <w:footnoteReference w:id="2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واجب الوجود لیس معلولاً للغیر فی ذاته، فمن غیر الممکن أن یقع تحت تأثیر علّةٍ ما، فی صفاته وأفعاله؛ فهو المؤثّر</w:t>
      </w:r>
      <w:bookmarkStart w:id="374" w:name="pg5457_39197"/>
    </w:p>
    <w:p>
      <w:pPr>
        <w:pStyle w:val="BookText"/>
        <w:rPr/>
      </w:pPr>
      <w:bookmarkEnd w:id="374"/>
      <w:r>
        <w:rPr>
          <w:rFonts w:ascii="IRNazanin" w:hAnsi="IRNazanin" w:eastAsia="IRNazanin"/>
          <w:color w:val="111111"/>
          <w:sz w:val="28"/>
          <w:sz w:val="28"/>
          <w:szCs w:val="28"/>
          <w:rtl w:val="true"/>
          <w:lang w:bidi="fa-IR"/>
        </w:rPr>
        <w:t>المحض الذی لا یقبل التأثّر من أیّ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الباری جلّ وعلا هو من أراد لنا الاستفادة من هذه الوسائل والأسباب، ولیس ذلک من الشرک فی شیء، بل هو عین التوحید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ولذلک، لو کان هذا الأمر داخلاً فی عداد الشرک، لما طلب الناس التشفّع بالنبی صلی الله علیه و آله فی حیاته وبعد مماته</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75" w:name="__RefHeading___Toc1994286_581953129"/>
      <w:bookmarkStart w:id="376" w:name="_Toc145"/>
      <w:bookmarkEnd w:id="375"/>
      <w:r>
        <w:rPr>
          <w:rtl w:val="true"/>
        </w:rPr>
        <w:t>الشفاعة عین الوحدانیّة</w:t>
      </w:r>
      <w:bookmarkEnd w:id="376"/>
    </w:p>
    <w:p>
      <w:pPr>
        <w:pStyle w:val="BookText"/>
        <w:rPr/>
      </w:pPr>
      <w:r>
        <w:rPr>
          <w:rFonts w:ascii="IRNazanin" w:hAnsi="IRNazanin" w:eastAsia="IRNazanin"/>
          <w:color w:val="111111"/>
          <w:sz w:val="28"/>
          <w:sz w:val="28"/>
          <w:szCs w:val="28"/>
          <w:rtl w:val="true"/>
          <w:lang w:bidi="fa-IR"/>
        </w:rPr>
        <w:t>إنّ دراسة حقیقة التوحید دراسة دقیقة، وتطبیق الشفاعة علیها، لا یکشف عن مدی التوافق والانسجام بین الشفاعة والوحدانیّة فحسب، بل یتبیّن من خلال ذلک أنّ الشفاعة عین الوحدانیّة</w:t>
      </w:r>
      <w:r>
        <w:rPr>
          <w:rFonts w:eastAsia="IRNazanin" w:cs="IRNazanin"/>
          <w:color w:val="111111"/>
          <w:sz w:val="28"/>
          <w:szCs w:val="28"/>
          <w:rtl w:val="true"/>
          <w:lang w:bidi="fa-IR"/>
        </w:rPr>
        <w:t>.</w:t>
      </w:r>
    </w:p>
    <w:p>
      <w:pPr>
        <w:pStyle w:val="Heading3"/>
        <w:numPr>
          <w:ilvl w:val="2"/>
          <w:numId w:val="1"/>
        </w:numPr>
        <w:rPr/>
      </w:pPr>
      <w:bookmarkStart w:id="377" w:name="__RefHeading___Toc1994288_581953129"/>
      <w:bookmarkStart w:id="378" w:name="_Toc146"/>
      <w:bookmarkEnd w:id="377"/>
      <w:r>
        <w:rPr>
          <w:rtl w:val="true"/>
        </w:rPr>
        <w:t>أقسام التوحید</w:t>
      </w:r>
      <w:bookmarkEnd w:id="378"/>
    </w:p>
    <w:p>
      <w:pPr>
        <w:pStyle w:val="BookText"/>
        <w:rPr/>
      </w:pP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الله تعالی ذاتٌ لا مثیل لها ولا شریک، وفی مُقابل ذلک، یُطرح الاعتقاد بوجود الشریک، وهذا هو الشرک فی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الواقعیّ فی العالم واحد، وأثر کلّ موجود منه تعالی؛ فإحراق النار وقطع السیف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من الله جلّ جلاله، وتحدث بأمره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ذاتَ فی الوجود تستحقّ العبودیة مثلما یستحقّها الله، فلا موجود من الموجودات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الأوثان المصنوعة من الحجر وما شاکل، ولا غیرها، بل حتّی الأنبیاء والأولیاء الذین یمثّلون أعلی مظاهر الکمال فی عالم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 بالعبادة؛ إذ لا تلیق العبادة بغیر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ضوء أقسام التوحید هذه، لا یتسبّب طلب الشفاعة من الشفعاء الواقعیّین بأدنی منافاة للتوحید فی مراحله الثلاث الآنفة؛ ذلک أنّ الاستشفاع بالأولیاء لا یؤدّی إلی تعدّد الذات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یفضی إلی الاعتقاد باستقلالیّة موجودٍ ما فی التأثیر وإیصال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یسفر عن وضع طوق عبودیّة شخصٍ ما فی رقابنا، واعتباره معبوداً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العبادیّ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ومن هنا،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لا تتنافی مع أیٍّ من أنواع التوحید؛ لأنّ رحمة الشفیع لا تعدو کونها نبراساً من رحمة الله تعالی؛ إذ أنّ دوافع الشفاعة والرحمة من الخالق المنعم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وعلی هذا الأساس، إذا ما اعتُبر الشفیع إلهاً وربّاً مصغّراً، بحیث یکون مالکاً لمقام الشفاعة، من دون إذن الباری عزّ وجلّ، فیشفع لمن یشاء وکیف یشاء، فالاستشفاع بمثل هذا الشخص یعدّ عبادة لغیر الله، ویکون المستشفع حینئذ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عُدّ الشفیع مخلوقاً من المخلوقات الإلهیّة، وبإمکانه التشفّع لثلّة من الناس بإذن إلهیٍّ خاص، ثمّ تُطلب منه الشفاعة فی ضوء تلک القیود والشروط، فمن المسلّم به عندئذ أنّ هکذا طلب لا یختلف عن طلب أیّ عمل طبیعیّ آخر، ولا یخرج هذا العمل عن دائرة وحدود التوحید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ذلک، فتصوّر أنّ التشفّع بالأولیاء الإلهیّین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المشرکین، الذین یطلبون الشفاعة من الأصنام، أمرٌ عارٍ عن الصحّة، ولا أساس له؛ ذلک أنّ اعتقاد الموحّد حول أولیاء الله یتغایر تغایراً تامّاً مع اعتقاد المشرکین فی أصنامهم؛ إذ أنّ المشرکین یذهبون إلی کون</w:t>
      </w:r>
      <w:bookmarkStart w:id="379" w:name="pg5457_39199"/>
    </w:p>
    <w:p>
      <w:pPr>
        <w:pStyle w:val="BookText"/>
        <w:rPr/>
      </w:pPr>
      <w:bookmarkEnd w:id="379"/>
      <w:r>
        <w:rPr>
          <w:rFonts w:ascii="IRNazanin" w:hAnsi="IRNazanin" w:eastAsia="IRNazanin"/>
          <w:color w:val="111111"/>
          <w:sz w:val="28"/>
          <w:sz w:val="28"/>
          <w:szCs w:val="28"/>
          <w:rtl w:val="true"/>
          <w:lang w:bidi="fa-IR"/>
        </w:rPr>
        <w:t xml:space="preserve">الأصنام یمتلکون مقام الشفاعة، بحیث یمکنها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لأیّ شخصٍ تشاء، وکیفما شاءت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المُسلّم به أنّ هذه القضیّة نوع من الاعتقاد بألوهیّة الأوثان، وتُعدّ مصداقاً بارزاً من مصادیق الشرک، والحال أنّ المسلمین لا یؤمنون بوجود هکذا مقام، وامتلاک هکذا صفة، لأولیائهم؛</w:t>
      </w:r>
      <w:r>
        <w:rPr>
          <w:rStyle w:val="FootnoteAnchor"/>
          <w:rtl w:val="true"/>
        </w:rPr>
        <w:footnoteReference w:id="213"/>
      </w:r>
      <w:r>
        <w:rPr>
          <w:rFonts w:ascii="Amiri" w:hAnsi="Amiri" w:eastAsia="Amiri" w:cs="Amiri"/>
          <w:color w:val="111111"/>
          <w:sz w:val="28"/>
          <w:sz w:val="28"/>
          <w:szCs w:val="28"/>
          <w:rtl w:val="true"/>
          <w:lang w:bidi="ar-SA"/>
        </w:rPr>
        <w:t>والشاهد علی ذلک أنّهم یترنّمون علی مدار الیوم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3"/>
        <w:numPr>
          <w:ilvl w:val="2"/>
          <w:numId w:val="1"/>
        </w:numPr>
        <w:rPr/>
      </w:pPr>
      <w:bookmarkStart w:id="380" w:name="__RefHeading___Toc1994290_581953129"/>
      <w:bookmarkStart w:id="381" w:name="_Toc147"/>
      <w:bookmarkEnd w:id="380"/>
      <w:r>
        <w:rPr>
          <w:rtl w:val="true"/>
        </w:rPr>
        <w:t>النتیجة</w:t>
      </w:r>
      <w:bookmarkEnd w:id="381"/>
    </w:p>
    <w:p>
      <w:pPr>
        <w:pStyle w:val="BookText"/>
        <w:rPr/>
      </w:pPr>
      <w:r>
        <w:rPr>
          <w:rFonts w:ascii="IRNazanin" w:hAnsi="IRNazanin" w:eastAsia="IRNazanin"/>
          <w:color w:val="111111"/>
          <w:sz w:val="28"/>
          <w:sz w:val="28"/>
          <w:szCs w:val="28"/>
          <w:rtl w:val="true"/>
          <w:lang w:bidi="fa-IR"/>
        </w:rPr>
        <w:t>الشفاعة من الحقوق المختصّة بالباری عزّ وجلّ؛ لکنّه قد یمنح هذا الحقّ إلی بعض أولیائه وعباده الصالحین، ویأذن لهم بالاستفادة من الحقّ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الرحمة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من الرحمة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تبلغنا فی هذه الحیاة الدنیا عن طریق الأسباب؛ فعلی سبیل المثال، یبعث الله الرسل والأنبیاء لهدایة الإنسان إلی سبیل السعادة والهناء، وخلق الشمس لإنعاش الحیاة علی الکرة الأرضیّة؛ بإرسال أشعتّها الدافئة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تصلنا المغفرة والرحمة الإلهیّة عن طریق بعض الأسباب، کالأولیاء الإلهیّین،، فی حین أنّ المؤثّر الأساسیّ هو الله جلّ جلاله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ومن جهة أخری، إنّ الله تعالی یرمی من إعطاء مقام الشفاعة لأولیائه المنتجبین إلی تکریمهم وتبجیلهم بشکلٍ لائق بهم، وبیان قربهم منه، وتعریف الآخرین بقیمة وجودهم</w:t>
      </w:r>
      <w:r>
        <w:rPr>
          <w:rFonts w:eastAsia="IRNazanin" w:cs="IRNazanin"/>
          <w:color w:val="111111"/>
          <w:sz w:val="28"/>
          <w:szCs w:val="28"/>
          <w:rtl w:val="true"/>
          <w:lang w:bidi="fa-IR"/>
        </w:rPr>
        <w:t>.</w:t>
      </w:r>
      <w:r>
        <w:rPr>
          <w:rStyle w:val="FootnoteAnchor"/>
          <w:rtl w:val="true"/>
        </w:rPr>
        <w:footnoteReference w:id="214"/>
      </w:r>
      <w:bookmarkStart w:id="382" w:name="pg5457_39200"/>
    </w:p>
    <w:p>
      <w:pPr>
        <w:pStyle w:val="Heading3"/>
        <w:numPr>
          <w:ilvl w:val="2"/>
          <w:numId w:val="1"/>
        </w:numPr>
        <w:rPr/>
      </w:pPr>
      <w:bookmarkStart w:id="383" w:name="__RefHeading___Toc1994292_581953129"/>
      <w:bookmarkStart w:id="384" w:name="_Toc148"/>
      <w:bookmarkEnd w:id="382"/>
      <w:bookmarkEnd w:id="383"/>
      <w:r>
        <w:rPr>
          <w:rtl w:val="true"/>
        </w:rPr>
        <w:t>مصادر للمطالعة</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عدل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الطبسیّ، رویکرد عقلانی بر باورهای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عقلانیّة إلی عقائد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الأمین، الترجمة الفارسیّة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عن أتباع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علوی،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385" w:name="__RefHeading___Toc1994294_581953129"/>
      <w:bookmarkStart w:id="386" w:name="_Toc149"/>
      <w:bookmarkEnd w:id="385"/>
      <w:r>
        <w:rPr>
          <w:rtl w:val="true"/>
        </w:rPr>
        <w:t>الحدیث الختامیّ</w:t>
      </w:r>
      <w:bookmarkEnd w:id="386"/>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العالِمُ وَالعابِدُ عَلی الصِّراطِ، قِیلَ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تَنعَّم بِعِبادَتِکَ، وَقیلَ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فَاشفَع لِمَن أَحبَبتَ، فَإنَّکَ لا تَشفَع لأَحَدٍ إلاّ شُفِّعتَ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 الأنبِیاءِ</w:t>
      </w:r>
      <w:r>
        <w:rPr>
          <w:rFonts w:eastAsia="Amiri" w:cs="Amiri" w:ascii="Amiri" w:hAnsi="Amiri"/>
          <w:color w:val="111111"/>
          <w:sz w:val="28"/>
          <w:szCs w:val="28"/>
          <w:rtl w:val="true"/>
          <w:lang w:bidi="ar-SA"/>
        </w:rPr>
        <w:t>».</w:t>
      </w:r>
      <w:r>
        <w:rPr>
          <w:rStyle w:val="FootnoteAnchor"/>
          <w:rtl w:val="true"/>
        </w:rPr>
        <w:footnoteReference w:id="215"/>
      </w:r>
      <w:bookmarkStart w:id="387" w:name="pg5457_39201"/>
    </w:p>
    <w:p>
      <w:pPr>
        <w:pStyle w:val="Heading2"/>
        <w:numPr>
          <w:ilvl w:val="1"/>
          <w:numId w:val="1"/>
        </w:numPr>
        <w:rPr/>
      </w:pPr>
      <w:bookmarkStart w:id="388" w:name="__RefHeading___Toc1994296_581953129"/>
      <w:bookmarkStart w:id="389" w:name="_Toc150"/>
      <w:bookmarkEnd w:id="387"/>
      <w:bookmarkEnd w:id="388"/>
      <w:r>
        <w:rPr>
          <w:rtl w:val="true"/>
        </w:rPr>
        <w:t>صِلة الشفاعة بالسُّنَن الإلهیّة الثابتة</w:t>
      </w:r>
      <w:bookmarkEnd w:id="389"/>
    </w:p>
    <w:p>
      <w:pPr>
        <w:pStyle w:val="Heading3"/>
        <w:numPr>
          <w:ilvl w:val="2"/>
          <w:numId w:val="1"/>
        </w:numPr>
        <w:rPr/>
      </w:pPr>
      <w:bookmarkStart w:id="390" w:name="__RefHeading___Toc1994298_581953129"/>
      <w:bookmarkStart w:id="391" w:name="_Toc151"/>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الشفاعة تتنافی مع السُّنن الإلهیّة الثابتة التی لا تقبل التغییر؟</w:t>
      </w:r>
    </w:p>
    <w:p>
      <w:pPr>
        <w:pStyle w:val="BookText"/>
        <w:rPr/>
      </w:pPr>
      <w:r>
        <w:rPr>
          <w:rFonts w:ascii="Amiri" w:hAnsi="Amiri" w:eastAsia="Amiri" w:cs="Amiri"/>
          <w:color w:val="111111"/>
          <w:sz w:val="28"/>
          <w:sz w:val="28"/>
          <w:szCs w:val="28"/>
          <w:rtl w:val="true"/>
          <w:lang w:bidi="ar-SA"/>
        </w:rPr>
        <w:t>شرح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قوانین ثابتة ولا یطالها التغییر والتبدّل فی الکون، وفی عالم التشریع والتکوین،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کانت حاکمة علی الأزمنة الغابرة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حاکمة علی عالم الیوم، وعلی المستقبل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القرآن الکریم عن هذه القوانین بالسنن الإلهیّة،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ومن جملة مصادیق السنن الإلهیّة الثابتة، معاقبة المجرمین وتعذیب العُصاة، ولا شکّ فی أنّ العدل الإلهیّ یفترض تحدید عقوبات متشابهة ومتساویة من جمیع الجهات، للمعاصی والجرائم المشابهة لبعضها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إلی هذا الأمر، ألا تتنافی الشفاعة مع هذه السنن الإلهیّة الثابتة، القاضیة بالمساواة فی العقوبة؟ وألا یُعدّ عدم معاقبة المجرم نقضاً للغرض؟</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المغفرة والرحمة الإلهیّة الواسعة، والصفح عن المعاصی، فی ظلّ شفاعة الأنبیاء والأولیاء الإلهیّین، التی تشمل العصاة والمذنبین ضمن</w:t>
      </w:r>
    </w:p>
    <w:p>
      <w:pPr>
        <w:pStyle w:val="BookText"/>
        <w:rPr/>
      </w:pPr>
      <w:r>
        <w:rPr>
          <w:rFonts w:ascii="IRNazanin" w:hAnsi="IRNazanin" w:eastAsia="IRNazanin"/>
          <w:color w:val="111111"/>
          <w:sz w:val="28"/>
          <w:sz w:val="28"/>
          <w:szCs w:val="28"/>
          <w:rtl w:val="true"/>
          <w:lang w:bidi="fa-IR"/>
        </w:rPr>
        <w:t>شروط خاصّة، تعتبر فی حدّ ذاتها من السنن الإلهیّة للخالق المنّان، والتی لا تقبل التغییر والتبدّل؛ وعلیه، لمّا تکون الشفاعة نفسها من ضمن مصادیق السنن الإلهیّة الثابتة، کیف یمکن أن تکون متنافیة مع تلک السنن؟</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السنن الإلهیّة لا تقبل التغییر والتخلّف؛ ولکن، یجب الالتفات إلی أنّ سنّة الباری تعالی غیر قائمة علی صفةٍ واحدةٍ، من صفات الله عزّ وجلّ، وأنّ لله سنناً کثیرةً، کلّ واحدة منها سنّة تامّة ومکتملة وشاملة، وناشئة من 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إیضاح أزید، نسلّط الضوء علی أقوال عددٍ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سنّة الله تعالی جرت علی صون أفعاله من التخلّف والاختلاف، فما قضی وحکم به یُجریه علی وتیرةٍ واحدةٍ، من غیر استثناء، وعلی هذا جرت سنّة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صراطه تعالی مستقیم، وسنّته واحدة؛ لکنّ هذه السنّة الواحدة الغیر المختلفة، لیست قائمة علی أصل صفة واحدة من صفاته تعالی، کصفة التشریع والحکم مثلاً، حتّی لا یتخلّف حکم عن مورده، ولا جزاءُ حکمٍ عن محلّه قطّ، بل هی قائمةٌ علی ما یستوجبه جمیع صفاته المربوطة، عَلَت صفاته</w:t>
      </w:r>
      <w:r>
        <w:rPr>
          <w:rFonts w:eastAsia="IRNazanin" w:cs="IRNazanin"/>
          <w:color w:val="111111"/>
          <w:sz w:val="28"/>
          <w:szCs w:val="28"/>
          <w:rtl w:val="true"/>
          <w:lang w:bidi="fa-IR"/>
        </w:rPr>
        <w:t>».</w:t>
      </w:r>
      <w:r>
        <w:rPr>
          <w:rStyle w:val="FootnoteAnchor"/>
          <w:rtl w:val="true"/>
        </w:rPr>
        <w:footnoteReference w:id="21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یبدو أنّ المستشکل تصوّر أنّ العذاب والعقاب الإلهیّ من السُّنن الأصلیّة، أمّا العفو والمغفرة عن طریق الشفاعة فهو نوعٌ من الاستثناء من القانون، والحال أنّ لا واحدة من هذهِ السُّنن ذات طابع استثنائیّ بالنسبة إلی غیرها، بل کلّ واحد منها تمثّل سنّة من السُّنن القطعیّة، التی تُجری فی</w:t>
      </w:r>
    </w:p>
    <w:p>
      <w:pPr>
        <w:pStyle w:val="BookText"/>
        <w:rPr/>
      </w:pPr>
      <w:r>
        <w:rPr>
          <w:rFonts w:ascii="IRNazanin" w:hAnsi="IRNazanin" w:eastAsia="IRNazanin"/>
          <w:color w:val="111111"/>
          <w:sz w:val="28"/>
          <w:sz w:val="28"/>
          <w:szCs w:val="28"/>
          <w:rtl w:val="true"/>
          <w:lang w:bidi="fa-IR"/>
        </w:rPr>
        <w:t>موردها؛ ولذا لا ینبغی تفسیر بعضها بالسنّة الإلهیّة، واعتبار الأُخری خطوة علی خلاف السنن السائدة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عدَم تغیّر السُّنن الإلهیّة لا یعنی أنّ لیس له تعالی فی الکون سِوی سُنّةً واحدة، والحال أنّه بنفسه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بناءً علی ذلک، فکلّ عمل من أعمال الله تعالی، وکلّ مظهر من مظاهره، وتجلٍّ من تجلّیاته، یرتبط بصفة من صفاته</w:t>
      </w:r>
      <w:r>
        <w:rPr>
          <w:rFonts w:eastAsia="IRNazanin" w:cs="IRNazanin"/>
          <w:color w:val="111111"/>
          <w:sz w:val="28"/>
          <w:szCs w:val="28"/>
          <w:rtl w:val="true"/>
          <w:lang w:bidi="fa-IR"/>
        </w:rPr>
        <w:t>.</w:t>
      </w:r>
      <w:r>
        <w:rPr>
          <w:rStyle w:val="FootnoteAnchor"/>
          <w:rtl w:val="true"/>
        </w:rPr>
        <w:footnoteReference w:id="2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أنّ وقوع الشفاعة ورفع العذاب الإلهیّ عن شخصٍ ما، لا یستلزم التنافی مع السنن الإلهیّة الثابتة التی لا تقبل التغییر، بل الشفاعة أثر لبعض العوامل،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المغفرة، الحکم، القضاء، ورعایة حقّ ذی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أوکل الباری تعالی هذا الحقّ إلی النبیّ صلی الله علیه و آله، أو الأئمّة الأطهار علیهم السلام، لا یکون هذا العمل منافیاً للسنّة الإلهیّة</w:t>
      </w:r>
      <w:r>
        <w:rPr>
          <w:rFonts w:eastAsia="IRNazanin" w:cs="IRNazanin"/>
          <w:color w:val="111111"/>
          <w:sz w:val="28"/>
          <w:szCs w:val="28"/>
          <w:rtl w:val="true"/>
          <w:lang w:bidi="fa-IR"/>
        </w:rPr>
        <w:t>.</w:t>
      </w:r>
      <w:bookmarkStart w:id="392" w:name="pg5457_39204"/>
    </w:p>
    <w:p>
      <w:pPr>
        <w:pStyle w:val="Heading3"/>
        <w:numPr>
          <w:ilvl w:val="2"/>
          <w:numId w:val="1"/>
        </w:numPr>
        <w:rPr/>
      </w:pPr>
      <w:bookmarkStart w:id="393" w:name="__RefHeading___Toc1994300_581953129"/>
      <w:bookmarkStart w:id="394" w:name="_Toc152"/>
      <w:bookmarkEnd w:id="392"/>
      <w:bookmarkEnd w:id="393"/>
      <w:r>
        <w:rPr>
          <w:rtl w:val="true"/>
        </w:rPr>
        <w:t>مصادر للمطالعة</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جوادی آملی،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المعاد فی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شفاعت در قلمرو عقل، قرآن،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فی إطار العقل والقرآن 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السبحانیّ،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395" w:name="__RefHeading___Toc1994302_581953129"/>
      <w:bookmarkStart w:id="396" w:name="_Toc153"/>
      <w:bookmarkEnd w:id="395"/>
      <w:r>
        <w:rPr>
          <w:rtl w:val="true"/>
        </w:rPr>
        <w:t>الحدیث الختامیّ</w:t>
      </w:r>
      <w:bookmarkEnd w:id="396"/>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 بَینَ الشَّفاعةِ وَبَینَ أن یَدخُلَ شَطرُ أُمَّتی الجَنّةَ، فَاختَرتُ الشَّفاعةَ؛ لأنَّها أَعَمُّ وَأکفی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أَتَرَونَها لِلمُؤمِنینَ المُتَّقینَ؟ لا، وَلکنَّها لَلمُذنِبینَ المُتَلوِّثینَ الخَطّائینَ</w:t>
      </w:r>
      <w:r>
        <w:rPr>
          <w:rFonts w:eastAsia="Amiri" w:cs="Amiri" w:ascii="Amiri" w:hAnsi="Amiri"/>
          <w:color w:val="111111"/>
          <w:sz w:val="28"/>
          <w:szCs w:val="28"/>
          <w:rtl w:val="true"/>
          <w:lang w:bidi="ar-SA"/>
        </w:rPr>
        <w:t>».</w:t>
      </w:r>
      <w:r>
        <w:rPr>
          <w:rStyle w:val="FootnoteAnchor"/>
          <w:rtl w:val="true"/>
        </w:rPr>
        <w:footnoteReference w:id="220"/>
      </w:r>
      <w:bookmarkStart w:id="397" w:name="pg5457_39205"/>
    </w:p>
    <w:p>
      <w:pPr>
        <w:pStyle w:val="Heading2"/>
        <w:numPr>
          <w:ilvl w:val="1"/>
          <w:numId w:val="1"/>
        </w:numPr>
        <w:rPr/>
      </w:pPr>
      <w:bookmarkStart w:id="398" w:name="__RefHeading___Toc1994304_581953129"/>
      <w:bookmarkStart w:id="399" w:name="_Toc154"/>
      <w:bookmarkEnd w:id="397"/>
      <w:bookmarkEnd w:id="398"/>
      <w:r>
        <w:rPr>
          <w:rtl w:val="true"/>
        </w:rPr>
        <w:t>المعراج والعلوم الحدیثة</w:t>
      </w:r>
      <w:bookmarkEnd w:id="399"/>
    </w:p>
    <w:p>
      <w:pPr>
        <w:pStyle w:val="Heading3"/>
        <w:numPr>
          <w:ilvl w:val="2"/>
          <w:numId w:val="1"/>
        </w:numPr>
        <w:rPr/>
      </w:pPr>
      <w:bookmarkStart w:id="400" w:name="__RefHeading___Toc1994306_581953129"/>
      <w:bookmarkStart w:id="401" w:name="_Toc155"/>
      <w:bookmarkEnd w:id="400"/>
      <w:r>
        <w:rPr>
          <w:rtl w:val="true"/>
        </w:rPr>
        <w:t>السؤال</w:t>
      </w:r>
      <w:r>
        <w:rPr>
          <w:rtl w:val="true"/>
        </w:rPr>
        <w:t xml:space="preserve">: </w:t>
      </w:r>
      <w:r>
        <w:rPr>
          <w:rtl w:val="true"/>
        </w:rPr>
        <w:t>کیف یتناسب معراج النبیّ المصطفی صلی الله علیه و آله مع العلوم الحدیثة ؟</w:t>
      </w:r>
      <w:bookmarkEnd w:id="401"/>
    </w:p>
    <w:p>
      <w:p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أساس معراج النبیّ صلی الله علیه و آله من الأمور الدینیّة المسلّمة لدی المسلمین، حیث ورد بصراحة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یُنظر إلی قضیّة المعراج من خارج دائرة المعجزة والأمور الخارقة للعادة، ینشأ نحوٌ من التنافی، وعدم التناسب والتوافق، بین المعراج، وبین العلوم الحدیثة والعقل البشریّ؛ لأنّ الأسفار الفضائیّة تواجه کمّاً غیرَ قلیلٍ من المعوّقات والمشکلات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هذه المشکلات والمعوّقات، وشحّة الإمکانات فی ذلک العصر، کیف تمکّن النبیّ صلی الله علیه و آله من الصعود إلی السماء؟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إیضاح الجواب بشکلٍ شافٍ ووافٍ، بدایةً، لا بدّ من تعریف المعراج</w:t>
      </w:r>
      <w:r>
        <w:rPr>
          <w:rFonts w:eastAsia="IRNazanin" w:cs="IRNazanin"/>
          <w:color w:val="111111"/>
          <w:sz w:val="28"/>
          <w:szCs w:val="28"/>
          <w:rtl w:val="true"/>
          <w:lang w:bidi="fa-IR"/>
        </w:rPr>
        <w:t>.</w:t>
      </w:r>
    </w:p>
    <w:p>
      <w:pPr>
        <w:pStyle w:val="Heading3"/>
        <w:numPr>
          <w:ilvl w:val="2"/>
          <w:numId w:val="1"/>
        </w:numPr>
        <w:rPr/>
      </w:pPr>
      <w:bookmarkStart w:id="402" w:name="__RefHeading___Toc1994308_581953129"/>
      <w:bookmarkStart w:id="403" w:name="_Toc156"/>
      <w:bookmarkEnd w:id="402"/>
      <w:r>
        <w:rPr>
          <w:rtl w:val="true"/>
        </w:rPr>
        <w:t>مفهوم المعراج</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لغةً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العروج</w:t>
      </w:r>
      <w:bookmarkStart w:id="404" w:name="pg5457_39206"/>
    </w:p>
    <w:p>
      <w:pPr>
        <w:pStyle w:val="BookText"/>
        <w:rPr/>
      </w:pPr>
      <w:bookmarkEnd w:id="404"/>
      <w:r>
        <w:rPr>
          <w:rFonts w:ascii="Amiri" w:hAnsi="Amiri" w:eastAsia="Amiri" w:cs="Amiri"/>
          <w:color w:val="111111"/>
          <w:sz w:val="28"/>
          <w:sz w:val="28"/>
          <w:szCs w:val="28"/>
          <w:rtl w:val="true"/>
          <w:lang w:bidi="ar-SA"/>
        </w:rPr>
        <w:t>ذهابٌ فی 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والمعارِج المصاعد،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المَعَارِجِ، ولیلة المعراج سُمّیت لصعود الدعاء فیها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وعلی هذا الأساس، فحقیقة المعراج هی السیر فی الأرض والعوالم‌العلویّة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اصطلاحاً عبارة عن إعجاز النبیّ صلی الله علیه و آله فی السفر إلی السماوات، ووفقاً للروایات الواردة فی هذا الخصوص، فقد تمّ معراج رسول الله صلی الله علیه و آله علی مرحلتین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مسیره من المسجد الحرام إلی المسجد الأقصی، وبالعکس، والذی أُشیر له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w:t>
      </w:r>
      <w:r>
        <w:rPr>
          <w:rStyle w:val="FootnoteAnchor"/>
          <w:rtl w:val="true"/>
        </w:rPr>
        <w:footnoteReference w:id="222"/>
      </w:r>
      <w:r>
        <w:rPr>
          <w:rFonts w:ascii="IRNazanin" w:hAnsi="IRNazanin" w:eastAsia="IRNazanin"/>
          <w:color w:val="111111"/>
          <w:sz w:val="28"/>
          <w:sz w:val="28"/>
          <w:szCs w:val="28"/>
          <w:rtl w:val="true"/>
          <w:lang w:bidi="fa-IR"/>
        </w:rPr>
        <w:t xml:space="preserve">وقد أُطلق علی هذه الرحلة بحسب الاصطلاح التاریخیّ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 من المسجد الأقصی إلی السماوات، وقد أشارت الروایات المبارکة إلی أنّه صلی الله علیه و آله التقی فی هذا السفَر بالأنبیاء الإلهیّین والملائکة المقرّبین، وشاهد الجنّة وأهلها والنّار وأهلها، بل ورأی من آیات ربّه الکُبری ما حکاه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 هذا السفَر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05" w:name="__RefHeading___Toc1994310_581953129"/>
      <w:bookmarkStart w:id="406" w:name="_Toc157"/>
      <w:bookmarkEnd w:id="405"/>
      <w:r>
        <w:rPr>
          <w:rtl w:val="true"/>
        </w:rPr>
        <w:t>قصّة المعراج</w:t>
      </w:r>
      <w:bookmarkEnd w:id="406"/>
    </w:p>
    <w:p>
      <w:pPr>
        <w:pStyle w:val="BookText"/>
        <w:rPr/>
      </w:pPr>
      <w:r>
        <w:rPr>
          <w:rFonts w:ascii="IRNazanin" w:hAnsi="IRNazanin" w:eastAsia="IRNazanin"/>
          <w:color w:val="111111"/>
          <w:sz w:val="28"/>
          <w:sz w:val="28"/>
          <w:szCs w:val="28"/>
          <w:rtl w:val="true"/>
          <w:lang w:bidi="fa-IR"/>
        </w:rPr>
        <w:t>ذُکر معراج رسول الله صلی الله علیه و آله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السماوات بصورة إجمالیّة فی القرآن الکریم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سورة الإسراء، والآخر فی سورة النجم، وخلاصة قصّة المعراج فی ضوء الآیات والروایات عبارة عمّا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النبیّ الخاتم صلی الله علیه و آله</w:t>
      </w:r>
    </w:p>
    <w:p>
      <w:pPr>
        <w:pStyle w:val="BookText"/>
        <w:rPr/>
      </w:pPr>
      <w:r>
        <w:rPr>
          <w:rFonts w:ascii="IRNazanin" w:hAnsi="IRNazanin" w:eastAsia="IRNazanin"/>
          <w:color w:val="111111"/>
          <w:sz w:val="28"/>
          <w:sz w:val="28"/>
          <w:szCs w:val="28"/>
          <w:rtl w:val="true"/>
          <w:lang w:bidi="fa-IR"/>
        </w:rPr>
        <w:t>عرج إلی السماء لیلاً، فی السنوات الأخیرة من تواجده فی مکّة المکرّمة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وأمّا بشأن تحدید اللیلة التی تمّ فیها العروج، فلیس لدینا نقل دقیق ومتواتر فی هذا الخصوص، لکنّ العلاّمة المجلسیّ ذکر فی البحار ثلاثة أقوال،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المسری فی لیلة السبت، لسبع عشرة لیلة خلت من شهر رمضان، فی السنة الثانیة عشرة من النبوّة، قبل الهجرة بثمانیة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سبع عشرة من ربیع الأوّل، قبل الهجرة بسنة، من شعب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سبع وعشرین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الإسراء قبل الهجرة بسنة وشهرین، وذلک سنة ثلاث وخمسین من الفیل</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والمعروف أنّ النبیّ صلی الله علیه و آله کان فی تلک اللیلة فی بیت أمّ هانی، بنت أبی طالب، ومنه عرج إلی السماوات، وأنّ المدّة التی مکَثها أثناء ذهابه إلی المسجد الأقصی، ومنه إلی السماء، ثمّ رجوعه منها إلی المسجد الأقصی، وبعده إلی المسجد الحرام، لم تستغرق أکثر من لیلةٍ واحدةٍ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رسول الله صلی الله علیه و آله، أنّه کان فی بیت أُمّ هانی بین الیقظة والنوم، حیث جاءه جبرئیل،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یا محمّد، فنهَض وأخذ جبرئیل بیده، وقاده إلی بئر زمزم، ثمّ قال لأحد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محمّداً ماءً لیتوضّأ به، فجاء به، وتوضّأ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المسجد الحرام بأمر من جبرئیل، ثمّ أخذ جبرئیل بیده وأخرجه منه، فشاهد براقاً واقفاً علی 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فهذا هو المرکب الذی کان النبیّ إبراهیم علیه السلام یزور علیه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النبیّ علی البراق، حتّی أوصله إلی مسجد بیت المقدس، ومنه عُرج به إلی السماء، فشاهد أموراً</w:t>
      </w:r>
    </w:p>
    <w:p>
      <w:pPr>
        <w:pStyle w:val="BookText"/>
        <w:rPr/>
      </w:pPr>
      <w:r>
        <w:rPr>
          <w:rFonts w:ascii="IRNazanin" w:hAnsi="IRNazanin" w:eastAsia="IRNazanin"/>
          <w:color w:val="111111"/>
          <w:sz w:val="28"/>
          <w:sz w:val="28"/>
          <w:szCs w:val="28"/>
          <w:rtl w:val="true"/>
          <w:lang w:bidi="fa-IR"/>
        </w:rPr>
        <w:t>عجیبة کثیرة، وعرف کثیراً من أسرار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المطاف، أعادهُ البراق إلی مکّة المکرّمة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وجاء فی الروایات أنّ البراق توقّف به فی عدّة أماکن، صلّی فیها النبیّ صلی الله علیه و آله، أحدها فی المدینة، والأخری فی مسجد الکوفة، والثالثة فی طور سیناء، وبیت لحم، مسقط رأس النبیّ عیسی علیه السلام، ثمّ أوصله إلی المسجد الأقصی، فصلّی فیه النبیّ صلی الله علیه و آله، ومنه عرج إلی السماوات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وروی ابن هشام فی سیرته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 هانیء، بنت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واسمها هند، فی مسری رسول الله صلی الله علیه و آله، 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أُسری برسول الله صلی الله علیه و آله إلا وهو فی بیتی، نام عندی تلک اللیلة فی بیتی، فصلّی العشاء الآخرة، ثمّ نام ونمنا، فلمّا کان قُبیل الفجر أهبّنا رسول الله صلی الله علیه و آله، فلمّا صلّی الصبح وصلّینا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هانیء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صلّیت معکم العشاء الآخرة کما رأیت بهذا الوادی، ثمّ جئت بیت المقدس، فصلّیت فیه، ثمّ قد صلّیت صلاة الغداة معکم الآن کما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لیخرج، فأخذتُ بطرف ردائه، فتکشّف عن بطنه، کأنّه قبطیّة مطویّة،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بهذا الناس، فیکذّبوک ویؤذوک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لأحدّثنّهموه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لجاریةٍ لی حبَشیّة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اتبعی رسول الله صلی الله علیه و آله، حتّی تسمعی ما یقول للناس، وما یقولون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خرج رسول الله صلی الله علیه و آله إلی الناس، أخبرهم فعجبوا،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آیة</w:t>
      </w:r>
    </w:p>
    <w:p>
      <w:pPr>
        <w:pStyle w:val="BookText"/>
        <w:rPr/>
      </w:pPr>
      <w:r>
        <w:rPr>
          <w:rFonts w:ascii="IRNazanin" w:hAnsi="IRNazanin" w:eastAsia="IRNazanin"/>
          <w:color w:val="111111"/>
          <w:sz w:val="28"/>
          <w:sz w:val="28"/>
          <w:szCs w:val="28"/>
          <w:rtl w:val="true"/>
          <w:lang w:bidi="fa-IR"/>
        </w:rPr>
        <w:t>ذلک یا محمّد؟ فإنّا لم نسمع بمثل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ذلک أنّی مررت ببعیر بنی فلان، بوادی کذا وکذا، فأنفرهم حسّ الدابّة، فندّ لهم بعیر، فدللتهم علیه، وأنا موجّه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أقبلت حتّی إذا کنت بضجنان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عن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بِعیر بنی فلان، فوجدت القوم نیاماً، ولهم إناء فیه ماء، قد غطّوا علیه بشیء، فکُشف غطاءه وشربت ما فیه، ثمّ غطّیت علیه کما کان، وآیة ذلک أنّ عیرهم الآن تصوب من البیضاء، ثنیّة التنعیم، یقدمها جمل أورق، علیه غرارتان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سوداء، والأخری برقاء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القوم الثنیّة، فلم یلقهم أوّل من الجمل کما وصف لهم، وسألوهم عن الإناء، فأخبروهم أنّهم وضعوه مملوءاً ماءً، ثمّ غطّوه، وأنّهم هبّوا فوجدوه مغطّی کما غطّوه، ولم یجدوا فیه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وسألوا الآخرین، وهم بمکّة،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لقد أنفرنا فی الوادی الذی ذکر، وندّ لنا بعیر، فسمعنا صوت رجل یدعونا إلیه، حتّی أخذناه</w:t>
      </w:r>
      <w:r>
        <w:rPr>
          <w:rFonts w:eastAsia="IRNazanin" w:cs="IRNazanin"/>
          <w:color w:val="111111"/>
          <w:sz w:val="28"/>
          <w:szCs w:val="28"/>
          <w:rtl w:val="true"/>
          <w:lang w:bidi="fa-IR"/>
        </w:rPr>
        <w:t>».</w:t>
      </w:r>
      <w:r>
        <w:rPr>
          <w:rStyle w:val="FootnoteAnchor"/>
          <w:rtl w:val="true"/>
        </w:rPr>
        <w:footnoteReference w:id="22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 شکّ فی أصل موضوع المعراج؛ ولذا، ذهب العلاّمة الطباطبائیّ إلی أنّ أصل الإسراء والمعراج من الأمور التی لا یمکن إنکارها بحالٍ من الأحوال؛ حیث ورد الحدیث عنهما فی القرآن الکریم بالتفصیل، ووصلتنا فیها أخبار متواترة عن رسول الله صلی الله علیه و آله من الفریقین، فضلاً عن الأخبار الخاصّة المأثورة عن الأئمّة من أهل البیت علیهم السلام</w:t>
      </w:r>
      <w:r>
        <w:rPr>
          <w:rStyle w:val="FootnoteAnchor"/>
          <w:rtl w:val="true"/>
        </w:rPr>
        <w:footnoteReference w:id="229"/>
      </w:r>
      <w:r>
        <w:rPr>
          <w:rFonts w:ascii="IRNazanin" w:hAnsi="IRNazanin" w:eastAsia="IRNazanin"/>
          <w:color w:val="111111"/>
          <w:sz w:val="28"/>
          <w:sz w:val="28"/>
          <w:szCs w:val="28"/>
          <w:rtl w:val="true"/>
          <w:lang w:bidi="fa-IR"/>
        </w:rPr>
        <w:t>ونحاول أدناه الاکتفاء بعددٍ قلیل من الأمثلة علی ذلک</w:t>
      </w:r>
      <w:r>
        <w:rPr>
          <w:rFonts w:eastAsia="IRNazanin" w:cs="IRNazanin"/>
          <w:color w:val="111111"/>
          <w:sz w:val="28"/>
          <w:szCs w:val="28"/>
          <w:rtl w:val="true"/>
          <w:lang w:bidi="fa-IR"/>
        </w:rPr>
        <w:t>:</w:t>
      </w:r>
      <w:bookmarkStart w:id="407" w:name="pg5457_39210"/>
    </w:p>
    <w:p>
      <w:pPr>
        <w:pStyle w:val="BookText"/>
        <w:rPr/>
      </w:pPr>
      <w:bookmarkEnd w:id="407"/>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جعفر بن محمّد الصادق علیه السلام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أنکر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والمساءلة فی القبر، وخلق الجنّة والنّار، والشفاعة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بالمعراج، فقد کذّب رسول الله صلی الله علیه و آله</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08" w:name="__RefHeading___Toc1994312_581953129"/>
      <w:bookmarkStart w:id="409" w:name="_Toc158"/>
      <w:bookmarkEnd w:id="408"/>
      <w:r>
        <w:rPr>
          <w:rtl w:val="true"/>
        </w:rPr>
        <w:t>المعراج بین الجسمانیّة والروحانیّة</w:t>
      </w:r>
      <w:bookmarkEnd w:id="409"/>
    </w:p>
    <w:p>
      <w:pPr>
        <w:pStyle w:val="Heading4"/>
        <w:numPr>
          <w:ilvl w:val="3"/>
          <w:numId w:val="1"/>
        </w:numPr>
        <w:rPr/>
      </w:pPr>
      <w:bookmarkStart w:id="410" w:name="__RefHeading___Toc1994314_581953129"/>
      <w:bookmarkStart w:id="411" w:name="_Toc159"/>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من الأسئلة التی تُطرح فی مسألة المعراج، هل أنّ المعراج روحانیّ أم جسمانیّ؟</w:t>
      </w:r>
    </w:p>
    <w:p>
      <w:pPr>
        <w:pStyle w:val="BookText"/>
        <w:rPr/>
      </w:pPr>
      <w:r>
        <w:rPr>
          <w:rFonts w:ascii="IRNazanin" w:hAnsi="IRNazanin" w:eastAsia="IRNazanin"/>
          <w:color w:val="111111"/>
          <w:sz w:val="28"/>
          <w:sz w:val="28"/>
          <w:szCs w:val="28"/>
          <w:rtl w:val="true"/>
          <w:lang w:bidi="fa-IR"/>
        </w:rPr>
        <w:t>انطلاقاً من أنّ هذا الموضوع قریب من الشبهة التی نحن بصدد الردّ علیها؛ ذلک أنّ شطراً واسعاً من الإشکال یعود إلی جسمانیّة المعراج، نستعرض فیما یلی أهمّ النظریّات والأقوال المطروحة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الإسراء والمعراج بروح النبیّ صلی الله علیه و آله دون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بروحِه دون جسمه علی طریق الرؤیا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وقد استدلّ من التزم بهذه النظریّة لإثبات مدّعاه بدلیلین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الجسمانیّ لا یلتئم مع العقل البشریّ؛ لأنّ الحکماء والفلاسفة 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الجسم کثیف، ولا یقدر علی الحرکة</w:t>
      </w:r>
    </w:p>
    <w:p>
      <w:pPr>
        <w:pStyle w:val="BookText"/>
        <w:rPr/>
      </w:pPr>
      <w:r>
        <w:rPr>
          <w:rFonts w:ascii="IRNazanin" w:hAnsi="IRNazanin" w:eastAsia="IRNazanin"/>
          <w:color w:val="111111"/>
          <w:sz w:val="28"/>
          <w:sz w:val="28"/>
          <w:szCs w:val="28"/>
          <w:rtl w:val="true"/>
          <w:lang w:bidi="fa-IR"/>
        </w:rPr>
        <w:t>إلی الأعلی، بخلاف الروح، وما فوق الجسم یکون خفیفاً ولطیفاً عادةً، فعروج الجسم إلی السماء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القبول بالمعراج الجسمانیّ ملازم للخرق والالتیام فی الفلک، والحال أنّ الخرق والالتیام فی الفلک والفلکیّات ممتنع؛ طِبقاً للبراهین والأدلّة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إنّ عروج الجسم وسیره فی العوالم المختلفة یستلزم استغراق زمن طویل، فی حین أنّ المعراج لم یدُم إلاّ لیلةً أو جُزءَ لیلةٍ، بل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یدُم أکثر من آنٍ واحد، الأمر الذی یدلّ علی کونه روحانیّاً بلا نقاش</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لکنّ العلماء والمتکلّمین المسلمین ردّوا علی الحکماء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الکریم صلی الله علیه و آله عرج إلی السماوات بجسمه، وسار ببدنه هذا فی جمیع العوالم، حتّی بلغ الکرسیّ والعرش، اللذین یطلقون علیهما اسم الفلک الثامن والتاسع، وشاهد الموجودات الفلکیّة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الإشکال الذی طرحه الحکماء بشأن استلزام المعراج الجسمانیّ للخرق والالتیام، فإنّما نشأ من تصوّرهم أنّ السماء جسماً، وبالتالی، فإنّ عروجه صلی الله علیه و آله إلی السماء یقتضی خرقها، ومن ثمّ التیامها، وهو ما یتناقض مع العقل</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والحال أنّه ثبت بطلان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السماء جِسماً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وجهة نظر العلم الحدیث أیضاً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فی التراث الإسلامیّ ظاهرة فی کون معراج الرسول المصطفی صلی الله علیه و آله روحانیّاً، نحو ما رُوی عن یعقوب بن عتبة،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رؤیا من الله صادقة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وکذلک ما روی عن عائشة أنّها کانت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فُقد</w:t>
      </w:r>
    </w:p>
    <w:p>
      <w:pPr>
        <w:pStyle w:val="BookText"/>
        <w:rPr/>
      </w:pPr>
      <w:r>
        <w:rPr>
          <w:rFonts w:ascii="IRNazanin" w:hAnsi="IRNazanin" w:eastAsia="IRNazanin"/>
          <w:color w:val="111111"/>
          <w:sz w:val="28"/>
          <w:sz w:val="28"/>
          <w:szCs w:val="28"/>
          <w:rtl w:val="true"/>
          <w:lang w:bidi="fa-IR"/>
        </w:rPr>
        <w:t>جسد رسول الله صلی الله علیه و آله، ولکنّ الله أسری بروحه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ولکن، یرد علی هذه الروایات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یبدو أنّ لذلک منظوراً سیاسیّاً، لإخماد الضجّة التی أُثیرت حول قضیّة المعراج</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مخالفٌ لعددٍ کبیرٍ من الروایات المنقولة عن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الإسراء برسول الله صلی الله علیه و آله، إمّا أنّ عائشة لم تکن قد ولدت بعد، وإمّا أنّها کانت طفلة صغیرة، ولم یتزوّجها النبیّ صلی الله علیه و آله إلاّ بعد عِدّة سنوات من معراجه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العسقلانیّ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المبعث بأربعِ سنین أو خمس، فقد ثبت فی الصحیح أنّ النبی صلی الله علیه و آله تزوّجها وهی بنت ستّ،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بها وهی بنت تسع، وکان دخوله بها فی شوّال فی السنة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السنة الثانیة من الهجرة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ومن هنا، ولمّا وقع الإسراء والمعراج فی السنة الثانیة أو الثالثة من البعثة، فإنّ عائشة لم تکن قد ولدت فی ذلک الزمن،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اجتهدت فی هذا الخصوص</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الإسراء من مکّة إلی بیت المقدس کان جسمانیّاً، وعروج النبیّ صلی الله علیه و آله إلی السماوات والملکوت الأعلی کان روحانیّاً</w:t>
      </w:r>
      <w:r>
        <w:rPr>
          <w:rFonts w:eastAsia="IRNazanin" w:cs="IRNazanin"/>
          <w:color w:val="111111"/>
          <w:sz w:val="28"/>
          <w:szCs w:val="28"/>
          <w:rtl w:val="true"/>
          <w:lang w:bidi="fa-IR"/>
        </w:rPr>
        <w:t>.</w:t>
      </w:r>
      <w:r>
        <w:rPr>
          <w:rStyle w:val="FootnoteAnchor"/>
          <w:rtl w:val="true"/>
        </w:rPr>
        <w:footnoteReference w:id="24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تبنّی أتباع الشیخ أحمد الأحسائیّ، المعروفین بالشیخیّة،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w:t>
      </w:r>
    </w:p>
    <w:p>
      <w:pPr>
        <w:pStyle w:val="BookText"/>
        <w:rPr/>
      </w:pPr>
      <w:r>
        <w:rPr>
          <w:rFonts w:ascii="IRNazanin" w:hAnsi="IRNazanin" w:eastAsia="IRNazanin"/>
          <w:color w:val="111111"/>
          <w:sz w:val="28"/>
          <w:sz w:val="28"/>
          <w:szCs w:val="28"/>
          <w:rtl w:val="true"/>
          <w:lang w:bidi="fa-IR"/>
        </w:rPr>
        <w:t>أن ذهب القُدماء إلی أنّ بدَن الإنسان یتکوّن من أربعة عناصر،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والهواء والتراب والنار، جاء هؤلاء لیقولوا بأنّ النبیّ صلی الله علیه و آله وضع کلّ عنصر من عناصر البدن الأربعة فی الفلک الخاصّ به، ومن ثمّ سار فی السماوات ببدنه المثالیّ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تبنّت فرقتا الزیدیّة والمعتزلة هذه النظریّة، وقالتا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النبیّ الکریم صلی الله علیه و آله بجسمه وروحه إلی بیت المقدس،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الأَقصَی ، لکنّ عروجه إلی السماوات کان بروحه فقط</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الإسراء والمعراج حصلا فی الیقظة وبجسم النبیّ صلی الله علیه و آله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فالمشهور بین العلماء والمتکلّمین والمفکّرین المسلمین، هو أنّ المعراج کان فی عالم الواقع، کما أنّه جسمانیّ لا روحانیّ، ویُعدّ ذلک من المسلّمات فی الدین الإسلامیّ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الرؤیة الصحیحة فی هذا الإطار، وهی مدعومة بصریحِ الآیات والروایات المؤکّدة علی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الفقیه والمفسّر الشیعیّ الکبیر، المرحوم الطبرسیّ،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العلماء علی العروج الجسمانیّ</w:t>
      </w:r>
      <w:r>
        <w:rPr>
          <w:rFonts w:eastAsia="IRNazanin" w:cs="IRNazanin"/>
          <w:color w:val="111111"/>
          <w:sz w:val="28"/>
          <w:szCs w:val="28"/>
          <w:rtl w:val="true"/>
          <w:lang w:bidi="fa-IR"/>
        </w:rPr>
        <w:t>.</w:t>
      </w:r>
      <w:r>
        <w:rPr>
          <w:rStyle w:val="FootnoteAnchor"/>
          <w:rtl w:val="true"/>
        </w:rPr>
        <w:footnoteReference w:id="2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والتزم بهذه النظریّة أیضاً، کلّ من المحدّث الشیعیّ البارز، المرحوم العلاّمة المجلسیّ، والمفسّر السنیّ الشهیر،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عروجه صلی الله علیه و آله إلی بیتِ المقدِس، ثمّ إلی السماء، فی لیلةٍ واحدة، بجسده الشریف، ممّا دلّت علیه الآیات والأخبار المتواترة، من طُرُق الخاصّة والعامّة، وإنکار أمثال ذلک، أو تأویلها بالعروج الروحانیّ، أو بکونه فی المنام، ینشأ إمّا من قلّة التتبّع فی آثار الأئمّة الطاهرین، أو من قلّة التدیّن،</w:t>
      </w:r>
      <w:bookmarkStart w:id="412" w:name="pg5457_39214"/>
    </w:p>
    <w:p>
      <w:pPr>
        <w:pStyle w:val="BookText"/>
        <w:rPr/>
      </w:pPr>
      <w:bookmarkEnd w:id="412"/>
      <w:r>
        <w:rPr>
          <w:rFonts w:ascii="IRNazanin" w:hAnsi="IRNazanin" w:eastAsia="IRNazanin"/>
          <w:color w:val="111111"/>
          <w:sz w:val="28"/>
          <w:sz w:val="28"/>
          <w:szCs w:val="28"/>
          <w:rtl w:val="true"/>
          <w:lang w:bidi="fa-IR"/>
        </w:rPr>
        <w:t>وضعف الیقین، أو الانخداع بتسویلات المتفلسفین</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413" w:name="__RefHeading___Toc1994316_581953129"/>
      <w:bookmarkStart w:id="414" w:name="_Toc160"/>
      <w:bookmarkEnd w:id="413"/>
      <w:r>
        <w:rPr>
          <w:rtl w:val="true"/>
        </w:rPr>
        <w:t>أدلّة وقوع المعراج الجسمانیّ</w:t>
      </w:r>
      <w:bookmarkEnd w:id="414"/>
    </w:p>
    <w:p>
      <w:pPr>
        <w:pStyle w:val="BookText"/>
        <w:rPr/>
      </w:pPr>
      <w:r>
        <w:rPr>
          <w:rFonts w:ascii="IRNazanin" w:hAnsi="IRNazanin" w:eastAsia="IRNazanin"/>
          <w:color w:val="111111"/>
          <w:sz w:val="28"/>
          <w:sz w:val="28"/>
          <w:szCs w:val="28"/>
          <w:rtl w:val="true"/>
          <w:lang w:bidi="fa-IR"/>
        </w:rPr>
        <w:t>هناک أدلّة کثیرة علی کون معراج الرسول صلی الله علیه و آله إلی السماوات کان جسمانیّاً، لکنّنا سنستعرض بعضها فقط؛ رعایةً للاختصار وعدَم التطویل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حوت الآیة الشریفة المبیّنة للإسراء بالنبیّ صلی الله علیه و آله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جاء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وهی صریحة فی الدلالة علی کون الإسراء بالجسم الطاهر للرسول الکریم صلی الله علیه و آله؛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تطلق علی الإنسان المرکّب من جسم وروح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یُستفاد من هذه الآیة أنّ سفَر النبیّ صلی الله علیه و آله قد حدث فی الیقظة وبجسمه المبارک،؛ إذ لمّا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فلانَ إلی النقطة الفلانیّة، فهو یعنی حمله بجسمه المتضمّن لروحه، لا أنّه فی عالَم الرؤیا والخیال؛ إلاّ أن تدلّ قرینة علی الخلاف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قال سماحة الشیخ جعفر السبحانیّ، دعماً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استاءت قریش من خبر إسراء النبیّ الخاتم صلی الله علیه و آله إلی المسجد الأقصی، وعروجه إلی السماوات العلی، وبادرت إلی تکذیبه وتفنید قوله، وذلک بعد أن أصبَحت قضیّة المعراج حدیث الساعة فی أوساط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الموضوع عبارة عن رؤیا فقط، فلا معنی لتصدّی قریش لتکذیب النبیّ صلی الله علیه و آله، وإثارة جدَل حول هذا الموضوع؛ لأنّ ادّعاء شخصٍ ما بأنّه رأی فی منامه کذا وکذا،</w:t>
      </w:r>
    </w:p>
    <w:p>
      <w:pPr>
        <w:pStyle w:val="BookText"/>
        <w:rPr/>
      </w:pPr>
      <w:r>
        <w:rPr>
          <w:rFonts w:ascii="IRNazanin" w:hAnsi="IRNazanin" w:eastAsia="IRNazanin"/>
          <w:color w:val="111111"/>
          <w:sz w:val="28"/>
          <w:sz w:val="28"/>
          <w:szCs w:val="28"/>
          <w:rtl w:val="true"/>
          <w:lang w:bidi="fa-IR"/>
        </w:rPr>
        <w:t>لا یوجب النزاع والاختلاف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طبیعة ردّ فعل قریش علی هذه القضیّة، والضجّة التی أُثیرت حولها، یتّضح أنّ المعراج کان جسمانیّاً، وهو عین ما ادّعاه الرسول الکریم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بدایة سورة الإسراء حاکٍ عن الإعجاز فی هذا الموضوع المهمّ؛ فلأجل أن یقوم تعالی برفع استبعاد الناس لهکذا قضیّة غیر طبیعیّة، نزّه ذاته المقدّسة عن کلّ عیبٍ أو نقص أو عجز؛ إذ أنّ الإسراء بالروح فقط، من دون جسد، وبعد انسلاخها وتحرّرها عن القیود المادیّة، لا تستلزم مثل هذا التعبیر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استُعملت فی سورة النجم مادّة الرؤیة، 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طَغی لَقَد رَأی مِن آیاتِ رَبِّهِ الکُبری</w:t>
      </w:r>
      <w:r>
        <w:rPr>
          <w:rFonts w:eastAsia="Amiri" w:cs="Amiri" w:ascii="Amiri" w:hAnsi="Amiri"/>
          <w:color w:val="111111"/>
          <w:sz w:val="28"/>
          <w:szCs w:val="28"/>
          <w:rtl w:val="true"/>
          <w:lang w:bidi="ar-SA"/>
        </w:rPr>
        <w:t>) .</w:t>
      </w:r>
      <w:r>
        <w:rPr>
          <w:rStyle w:val="FootnoteAnchor"/>
          <w:rtl w:val="true"/>
        </w:rPr>
        <w:footnoteReference w:id="246"/>
      </w:r>
      <w:r>
        <w:rPr>
          <w:rFonts w:ascii="IRNazanin" w:hAnsi="IRNazanin" w:eastAsia="IRNazanin"/>
          <w:color w:val="111111"/>
          <w:sz w:val="28"/>
          <w:sz w:val="28"/>
          <w:szCs w:val="28"/>
          <w:rtl w:val="true"/>
          <w:lang w:bidi="fa-IR"/>
        </w:rPr>
        <w:t>وهاتان الآیتان الشریفتان تکشفان بوضوح عن أنّ هذه الرؤیة لم تکن فی عالم الرؤیا والمکاشفة، وإنّما حدثت فی حال الیقظة، وأُسری بجسم النبیّ صلی الله علیه و آله لا بروحه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الزمخشریّ فی تفسیره حدیثاً حول المعراج،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عُرج به إلی السماء فی تلک اللیلة، وکان العروج به من بیت المقدس، وأخبر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لقی الأنبیاء، وبلغ البیت المعمور وسِدرةَ المُنتهی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ظاهر فی المعراج الجسمانیّ؛ ومنه یتّضح أنّ الروایات الدالّة علی المعراج الروحانیّ فقط غیر قابلة للاعتماد والوثوق، بسبب مخالفتها لظاهر القرآن الکریم</w:t>
      </w:r>
      <w:r>
        <w:rPr>
          <w:rFonts w:eastAsia="IRNazanin" w:cs="IRNazanin"/>
          <w:color w:val="111111"/>
          <w:sz w:val="28"/>
          <w:szCs w:val="28"/>
          <w:rtl w:val="true"/>
          <w:lang w:bidi="fa-IR"/>
        </w:rPr>
        <w:t>.</w:t>
      </w:r>
      <w:bookmarkStart w:id="415" w:name="pg5457_39216"/>
    </w:p>
    <w:p>
      <w:pPr>
        <w:pStyle w:val="Heading3"/>
        <w:numPr>
          <w:ilvl w:val="2"/>
          <w:numId w:val="1"/>
        </w:numPr>
        <w:rPr/>
      </w:pPr>
      <w:bookmarkStart w:id="416" w:name="__RefHeading___Toc1994318_581953129"/>
      <w:bookmarkStart w:id="417" w:name="_Toc161"/>
      <w:bookmarkEnd w:id="415"/>
      <w:bookmarkEnd w:id="416"/>
      <w:r>
        <w:rPr>
          <w:rtl w:val="true"/>
        </w:rPr>
        <w:t>الجواب عن شُبهة المعراج والعلوم الحدیثة</w:t>
      </w:r>
      <w:bookmarkEnd w:id="417"/>
    </w:p>
    <w:p>
      <w:pPr>
        <w:pStyle w:val="BookText"/>
        <w:rPr/>
      </w:pPr>
      <w:r>
        <w:rPr>
          <w:rFonts w:ascii="IRNazanin" w:hAnsi="IRNazanin" w:eastAsia="IRNazanin"/>
          <w:color w:val="111111"/>
          <w:sz w:val="28"/>
          <w:sz w:val="28"/>
          <w:szCs w:val="28"/>
          <w:rtl w:val="true"/>
          <w:lang w:bidi="fa-IR"/>
        </w:rPr>
        <w:t>بعد بیان قصّة المعراج، وسرد أهمّ الأدلّة المسوقة علیها، نردّ علی أصل شبهة المعراج والعلوم الحدیثة، ویُمکن الردّ علیها بعدّة 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المعراج لیس من الأمور الطبیعیّة، بل هو یمثّل أحد معاجز نبیّ الإسلام محمّد المصطفی صلی الله علیه و آله، وبما أنّ المعجزة لا تتعلّق بالمحال العقلیّ، فالمعراج ممکن عقلاً، ولیس محالاً، ولا یتنافی مع العلوم الحدیثة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فلمّا ازدادت قدرات الإنسان بتطوّر العلوم وتقدّم التکنولوجیا التی ابتکرها، بعد قرون من البحثّ العلمیّ المضنیّ، حتّی بات بمقدوره صنع مرکبات ووسائل قادرة علی التنقّل به بمنتهی السرعة، وإخراجه عن دائرة الجاذبیّة الأرضیّة، ألیس بمقدور الباریّ جلّ وعلا، وهو الخالق لهذا الإنسان، أن یضَع تحت تصرّف نبیّه صلی الله علیه و آله مرکباً سریعاً، مناسباً لهذا السفر الفضائیّ، من أجل بلوغه المقصد المنشود، وصیانته من المخاطر المحتملة، وذلک قبل بضعة قرون علی ازدهار العلوم علی ید الإنسان؟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معراج النبیّ الکریم صلی الله علیه و آله هو القضیّة الأولی الخارقة للقدرات البشریّة المعتادة، وإنّما سبَق وأن وقعَت نظائر لذلک بین الأنبیاء السابقین أیضاً، مثل تسخیر الریاح لسلیمان علیه السلام؛ لتنقله بسرعةٍ فائقة إلی المکان الذی یَشاء، وعُروج النبیّ عیسی المسیح علیه السلام إلی الله سبحانه وتعالی، فقال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لکِن شُبِّهَ لَهُم وَ إِنَّ الَّذِینَ اختَلَفُوا فِیهِ لَفِی شَکٍّ مِنهُ ما لَهُم بِهِ مِن عِلمٍ إِلاَّ اتِّباعَ الظَّنِّ وَ ما قَتَلُوهُ یَقِیناً بَل رَفَعَهُ اللّهُ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إذاً، لمّا دلّ القرآن علی أنّ الریاح کانت تسیر بسلیمان علیه السلام إلی المواضع البعیدة فی الأوقات القلیلة، فذلک یدلّ علی أنّ مثل هذه الحرکة السریعة فی نفسها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ما دلّ علیه القرآن الکریم، من إحضار عرش بلقیس، من أقصی الیمن إلی أقصی الشام، فی مقدار لمح البصر، یدلّ علی جواز ذلک الأمر، وعدَم استحالته فی نفسه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یقرّ الإسلام بوجود أسرار وغرائب وعجائب کثیرة فی عالَم الکون، وقد توصّل الإنسان، بمقدار ما طوّر من العلوم الحدیثة، إلی اکتشاف بعض تلک الأسرار، ومنها وجود کائنات حیّة فی الکواکب الأخری، الأمر الذی أشارت إلیه الآیات القرآنیّة والروایات الشریفة، قبل أکثر 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والحال أنّ العلم البشریّ لم یتمکّن من اکتشاف ذلک إلاّ بَعد عِدّة قرون، وما یُدریک أنّ العلم سیکتشف فی المستقبل سماوات وعوامل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جاء فی إحدی المجلات العلمیّة ما یلی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نصب مرصد بالومر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مرصد فی العالم، ویقع فی الولایات المتّحدة الأمریکیّة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العالم فی نظرنا لا یزید علی خمسمائة 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الناظور وسّع عالمنا إلی ألف ملیون 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واکتُشِف علی أثر ذلک ملایین المجرّات الجدیدة، التی یبعد بعضها عنّا ألف ملیون 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هذه المسافة فیتراءی لنا فضاء عظیم مهیب مظلم، لا نبصر فیه شیئاً؛ أی أنّ النور لا ینفذ إلیه، کی یؤثّر علی صفحة التصویر فی 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شکّ، أنّ هذا الفضاء المهیب المظلم یحتوی علی مئات الملایین من المجرّات، التی تحافظ بجاذبیّتها علی هذا العالم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العالم العظیم المرئیّ، الحاوی علی مئات آلاف الملایین من المجرّات، لیس إلاّ جزءاً صغیراً جدّاً من</w:t>
      </w:r>
    </w:p>
    <w:p>
      <w:pPr>
        <w:pStyle w:val="BookText"/>
        <w:rPr/>
      </w:pPr>
      <w:r>
        <w:rPr>
          <w:rFonts w:ascii="IRNazanin" w:hAnsi="IRNazanin" w:eastAsia="IRNazanin"/>
          <w:color w:val="111111"/>
          <w:sz w:val="28"/>
          <w:sz w:val="28"/>
          <w:szCs w:val="28"/>
          <w:rtl w:val="true"/>
          <w:lang w:bidi="fa-IR"/>
        </w:rPr>
        <w:t>عالم أعظم، ولسنا واثقین من عدَمِ وجودِ عالَمٍ آخر، غیر هذا العالم الأعظم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وهکذا، فإنّ هنالک مئات الملایین من الکواکب والنجوم المضیئة فی مجرّة المنظومة الشمسیّة لوحدها، التی تُمثّل واحدةً من آلاف المجرّات الأُخری فی العالم العِلویّ، وبحسب الحسابات الفلکیّة للعلماء، ثمّة ملیارات الکائنات الحیّة القاطنة فی تلک الکواکب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مثال واحد من الاعترافات الکثیرة، فی علم الفضاء فی عصرنا الراهن، أهمّ ما فیه تصریحه بوجود کائنات حیّة فی الکواکب السیّارة الموجودة فی العالم العِلویّ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لکنّ هذه الحقیقة أوضحها القرآن الکریم، قبل أکثر من أربعة عشر قرن مضت، وقبل أن ینبیء علم الفلَک، وتتحدّث المراصد الکبری فی العالم، عن وجود کائنات حیّة فی بعض الکواکب السماویّة،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السَّماواتِ وَ ما فِی الأَرضِ مِن دابَّةٍ وَ المَلائِکَةُ</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ما بَثَّ فِیهِما مِن دابَّةٍ</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وقال أمیر المؤمنین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التی فی السماء مدائن، مثل المدائن التی فی الأرض</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وافق العلماء المختصّون، فی عصر التکنولوجیا الحدیثة، علی الفرضیّة العلمیّة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أمواج الجاذبیّة الأرضیّة قادرة علی الانتقال من</w:t>
      </w:r>
    </w:p>
    <w:p>
      <w:pPr>
        <w:pStyle w:val="BookText"/>
        <w:rPr/>
      </w:pPr>
      <w:r>
        <w:rPr>
          <w:rFonts w:ascii="IRNazanin" w:hAnsi="IRNazanin" w:eastAsia="IRNazanin"/>
          <w:color w:val="111111"/>
          <w:sz w:val="28"/>
          <w:sz w:val="28"/>
          <w:szCs w:val="28"/>
          <w:rtl w:val="true"/>
          <w:lang w:bidi="fa-IR"/>
        </w:rPr>
        <w:t>أقصی العالم إلی أقصاه، وإحداث تأثیرات عمیقة، خلال لحظَات قصیرة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یُحتمل، فی إطار الحرکة التکاملیّة للکون، وجود منظومات تتعامل بسرعة فائقة، تفوق سرعة النور، وتبتعد عن مرکز العالم، وقطب الأرض، بهکذا سرعة هائلة، وعندما یُمکن تصوّر مثل هذه الظواهر الخارقة التی تفوق التصوّر الإنسانیّ، وتخرج عن النطاق العقلیّ فی عالَم الکون، لا تُعدّ حینئذٍ قضیّةً، نظیرَ المعراج من المحال العقلیّ، بل یمکن مواءمتها مع الأسس العلمیّة للعصر الحدیث، وتوجیهها علی هذا الأساس</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معوّقات وعقَبات کثیرة فی الأسفار الفضائیّة، 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الجاذبیّة الأرضیّة، وهی من القوّة بمکان، بحیث یستلزم الفرار منها سرعة لا تقلّ عن أربعین ألف کیلو متر فی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الهواء فی الأجواء والفضاء الخارج عن سطح الکرة الأرضیّة، ومن دونه لا یستطیع الإنسان العیش ومواصلة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الأشعّة الخطیرة المتواجدة فی الأغلفة المحیطة بالأرض، وفی الکواکب الأخری، نحو الأشعّة الکونیّة، والأشعّة ما وراء البنفسجیّة، وأشعّة أکس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أنّها تلحق أضراراً بلیغةً ببدَن الإنسان، حتّی فی حال وصول جزء یسیر منها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وبرغم کلّ هذه المشکلات المتعدّدة، استطاع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التغلّب علیها بواسطة سلاح العلم، وتمکّن من السفر إلی الکواکب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تکشف عن إمکان وقوع المعراج، ولو بوسائل مغایرة لما هو 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مسألة المعراج کانت تبدو من الأمور المستبعدة فی العصور</w:t>
      </w:r>
    </w:p>
    <w:p>
      <w:pPr>
        <w:pStyle w:val="BookText"/>
        <w:rPr/>
      </w:pPr>
      <w:r>
        <w:rPr>
          <w:rFonts w:ascii="IRNazanin" w:hAnsi="IRNazanin" w:eastAsia="IRNazanin"/>
          <w:color w:val="111111"/>
          <w:sz w:val="28"/>
          <w:sz w:val="28"/>
          <w:szCs w:val="28"/>
          <w:rtl w:val="true"/>
          <w:lang w:bidi="fa-IR"/>
        </w:rPr>
        <w:t>القدیمة، إلا أنّ التقدّم العلمیّ الهائل، والفکر البشریّ الوقّاد، أثبتا بما لا یدع مجالاً للشکّ أنّ المعراج لیس من المحال العقلیّ؛ ذلک أنّ الإنسان قد شقّ طریقه إلی الفضاء الخارجیّ، وخرج من أجواء الکرة الأرضیّة، عبر صناعة المرکبات الفضائیّة المناسبة، وذات السرعة العالیة، واتّقی أضرار الأشعاعات المختلفة، من خلال صناعة لباس خاصّ، یمنع نفوذها إلی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صنع بنو آدم مرکبة قادرة علی الدوران حول الأرض فی غضون ساعة وعشر دقائق فقط؛ والحال أنّه لو ادّعی أحدٌ قبل مائة عام مثل هذا العمل، لاتُّهم بالجنون أو التخبّط فی القول وزَعم المحال، أو لربّما أدّی به الأمر إلی الإلقاء فی السجن، أو لفّ حبل المشنقة علی رقبته، کما حصل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حینما اکتشف کرویّة الأرض</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وعلی هذا الأساس، لمّا یتمکّن البشر بقدرتهم المحدودة من تبدیل المحال، بحسب الظاهر، إلی الممکن، ألا یکون بمقدور النبیّ الکریم صلی الله علیه و آله القیام بهذا الفعل، بإذن الله تبارک وتعالی؟</w:t>
      </w:r>
    </w:p>
    <w:p>
      <w:pPr>
        <w:pStyle w:val="BookText"/>
        <w:rPr/>
      </w:pPr>
      <w:r>
        <w:rPr>
          <w:rFonts w:ascii="IRNazanin" w:hAnsi="IRNazanin" w:eastAsia="IRNazanin"/>
          <w:color w:val="111111"/>
          <w:sz w:val="28"/>
          <w:sz w:val="28"/>
          <w:szCs w:val="28"/>
          <w:rtl w:val="true"/>
          <w:lang w:bidi="fa-IR"/>
        </w:rPr>
        <w:t>لا ریبَ فی أنّ القدرة الإلهیّة تفوق القدرة البشریّة بکثیر، فکما أنّه جلّ وعلا قد أبدل عصا موسی علیه السلام إلی حیّة تسعی، ولم یکن ذلک فی متناول أیدی الناس فی تلک الحقبة، فهو قادرٌ أیضاً علی تبدیل کلّ ما هو خارق للعادة برأینا إلی أمرٍ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أرباب الملل والنحل یسلّمون وجود إبلیس، ویسلّمون أنّه هو الذی یتولّی إلقاء الوسوسة فی قلوب بنی آدم، فلما سلّموا جواز مثل هذه الحرکة السریعة فی حقّ إبلیس؛ فلإن یسلّموا جوازها فی حقّ أکابر الأنبیاء، کان ذلک أولی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18" w:name="pg5457_39221"/>
    </w:p>
    <w:p>
      <w:pPr>
        <w:pStyle w:val="Heading3"/>
        <w:numPr>
          <w:ilvl w:val="2"/>
          <w:numId w:val="1"/>
        </w:numPr>
        <w:rPr/>
      </w:pPr>
      <w:bookmarkStart w:id="419" w:name="__RefHeading___Toc1994320_581953129"/>
      <w:bookmarkStart w:id="420" w:name="_Toc162"/>
      <w:bookmarkEnd w:id="418"/>
      <w:bookmarkEnd w:id="419"/>
      <w:r>
        <w:rPr>
          <w:rtl w:val="true"/>
        </w:rPr>
        <w:t>النتیجة</w:t>
      </w:r>
      <w:bookmarkEnd w:id="420"/>
    </w:p>
    <w:p>
      <w:pPr>
        <w:pStyle w:val="BookText"/>
        <w:rPr/>
      </w:pPr>
      <w:r>
        <w:rPr>
          <w:rFonts w:ascii="IRNazanin" w:hAnsi="IRNazanin" w:eastAsia="IRNazanin"/>
          <w:color w:val="111111"/>
          <w:sz w:val="28"/>
          <w:sz w:val="28"/>
          <w:szCs w:val="28"/>
          <w:rtl w:val="true"/>
          <w:lang w:bidi="fa-IR"/>
        </w:rPr>
        <w:t>إنّ العلم الحدیث یکشف عن إمکان وقوع المعراج، وینفی استبعاد هذا الأمر، وإن جری تصوّر بُعد ذلک فی الأزمنة القدیمة؛ وعلیه، فإنّ الجمیع یسلّم بوقوع المعراج، إذا ما ثبت بأدلّة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المصادر الإسلامیّة المعتمدة أدلّة 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نحو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وقوع مسألة المعراج، وأنّ الله تعالی قد أخبر عن صعود نبیّه صلی الله علیه و آله علی دابّة سریعة إلی السماوات، وتعهّد سبحانه بحفظه من المخاطر، ومن ثمّ أعادهُ إلی مکانه فی الأرض</w:t>
      </w:r>
      <w:r>
        <w:rPr>
          <w:rFonts w:eastAsia="IRNazanin" w:cs="IRNazanin"/>
          <w:color w:val="111111"/>
          <w:sz w:val="28"/>
          <w:szCs w:val="28"/>
          <w:rtl w:val="true"/>
          <w:lang w:bidi="fa-IR"/>
        </w:rPr>
        <w:t>.</w:t>
      </w:r>
    </w:p>
    <w:p>
      <w:pPr>
        <w:pStyle w:val="Heading3"/>
        <w:numPr>
          <w:ilvl w:val="2"/>
          <w:numId w:val="1"/>
        </w:numPr>
        <w:rPr/>
      </w:pPr>
      <w:bookmarkStart w:id="421" w:name="__RefHeading___Toc1994322_581953129"/>
      <w:bookmarkStart w:id="422" w:name="_Toc163"/>
      <w:bookmarkEnd w:id="421"/>
      <w:r>
        <w:rPr>
          <w:rtl w:val="true"/>
        </w:rPr>
        <w:t>مصادر للمطالعة</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هاشم رسولی محلاّتی، 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الشیخ الرئیس، معراج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دوانی، تاریخ اسلام از آغاز تا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 من بدء الدعوة إلی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إسلامی،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3" w:name="__RefHeading___Toc1994324_581953129"/>
      <w:bookmarkStart w:id="424" w:name="_Toc164"/>
      <w:bookmarkEnd w:id="423"/>
      <w:r>
        <w:rPr>
          <w:rtl w:val="true"/>
        </w:rPr>
        <w:t>الحدیث الختامیّ</w:t>
      </w:r>
      <w:bookmarkEnd w:id="424"/>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لَیلةَ أُسریَ بِیَ عَلی قَومٍ یَخمِشونَ وُجوهَهُم بأظافِیرِهِم،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جَبرائیلَ،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یَغتابونَ النّاسَ، وَیَقَعونَ فِی أَعراضِهِم</w:t>
      </w:r>
      <w:r>
        <w:rPr>
          <w:rFonts w:eastAsia="Amiri" w:cs="Amiri" w:ascii="Amiri" w:hAnsi="Amiri"/>
          <w:color w:val="111111"/>
          <w:sz w:val="28"/>
          <w:szCs w:val="28"/>
          <w:rtl w:val="true"/>
          <w:lang w:bidi="ar-SA"/>
        </w:rPr>
        <w:t>».</w:t>
      </w:r>
      <w:r>
        <w:rPr>
          <w:rStyle w:val="FootnoteAnchor"/>
          <w:rtl w:val="true"/>
        </w:rPr>
        <w:footnoteReference w:id="256"/>
      </w:r>
      <w:bookmarkStart w:id="425" w:name="pg5457_39223"/>
    </w:p>
    <w:p>
      <w:pPr>
        <w:pStyle w:val="Heading2"/>
        <w:numPr>
          <w:ilvl w:val="1"/>
          <w:numId w:val="1"/>
        </w:numPr>
        <w:rPr/>
      </w:pPr>
      <w:bookmarkStart w:id="426" w:name="__RefHeading___Toc1994326_581953129"/>
      <w:bookmarkStart w:id="427" w:name="_Toc165"/>
      <w:bookmarkEnd w:id="425"/>
      <w:bookmarkEnd w:id="426"/>
      <w:r>
        <w:rPr>
          <w:rtl w:val="true"/>
        </w:rPr>
        <w:t>تفسیر سماء المعراج</w:t>
      </w:r>
      <w:bookmarkEnd w:id="427"/>
    </w:p>
    <w:p>
      <w:pPr>
        <w:pStyle w:val="Heading3"/>
        <w:numPr>
          <w:ilvl w:val="2"/>
          <w:numId w:val="1"/>
        </w:numPr>
        <w:rPr/>
      </w:pPr>
      <w:bookmarkStart w:id="428" w:name="__RefHeading___Toc1994328_581953129"/>
      <w:bookmarkStart w:id="429" w:name="_Toc166"/>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بالسماء فی مسألة المعراج؟ فإن کان المراد من السماء الفضاء اللا محدود، الواقع بین الأرض والشمس، فمن الواضح، أنّ لا شیءَ باسمِ المعراج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به ما فوق الشمس، وأنّ الباری عزّ وجلّ موجودٌ خلفَ السماء السابعة، فلا وجود لهکذا أسقف وطبَقات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الأرض والسماء من جملة الأسرار فی عالم الکون، بحیث إنّ الإنسان، وبرغم التطوّر العلمیّ الهائل الذی أحرزه فی مستویات عدیدة، لم یتمکّن من فکّ شفرة السماء والأرض، ولم یبلغ 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المفسّرین قدّموا، فی تفسیرهم لآیات السماوات، بحوثاً مفصّلة فی هذا الإطار، ونحن سوف نشیر إلی مقتطفات من کلماتهم؛ من أجل أن یتّضح المقصود بالسماء، التی عرج لها النبیّ الکریم صلی الله علیه و آله لیلة المعراج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هذا السؤال من الشبهات الحدیثة المطروحة حول موضوع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سبیل الحصول علی الجواب الوافی فی هذا الخصوص،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معنی السماء، والسماوات السبع، والسماوات التی عرَج إلیها النبیّ صلی الله علیه و آله، فی ضوء الآیات والروایات</w:t>
      </w:r>
      <w:r>
        <w:rPr>
          <w:rFonts w:eastAsia="IRNazanin" w:cs="IRNazanin"/>
          <w:color w:val="111111"/>
          <w:sz w:val="28"/>
          <w:szCs w:val="28"/>
          <w:rtl w:val="true"/>
          <w:lang w:bidi="fa-IR"/>
        </w:rPr>
        <w:t>.</w:t>
      </w:r>
      <w:bookmarkStart w:id="430" w:name="pg5457_39224"/>
    </w:p>
    <w:p>
      <w:pPr>
        <w:pStyle w:val="Heading3"/>
        <w:numPr>
          <w:ilvl w:val="2"/>
          <w:numId w:val="1"/>
        </w:numPr>
        <w:rPr/>
      </w:pPr>
      <w:bookmarkStart w:id="431" w:name="__RefHeading___Toc1994330_581953129"/>
      <w:bookmarkStart w:id="432" w:name="_Toc167"/>
      <w:bookmarkEnd w:id="430"/>
      <w:bookmarkEnd w:id="431"/>
      <w:r>
        <w:rPr>
          <w:rtl w:val="true"/>
        </w:rPr>
        <w:t>مفهوم السماء</w:t>
      </w:r>
      <w:bookmarkEnd w:id="432"/>
    </w:p>
    <w:p>
      <w:pPr>
        <w:pStyle w:val="Heading4"/>
        <w:numPr>
          <w:ilvl w:val="3"/>
          <w:numId w:val="1"/>
        </w:numPr>
        <w:rPr/>
      </w:pPr>
      <w:bookmarkStart w:id="433" w:name="__RefHeading___Toc1994332_581953129"/>
      <w:bookmarkStart w:id="434" w:name="_Toc168"/>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 xml:space="preserve">السماء لغةً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أصل یدلّ علی العلوّ، وسماء کلّ شیء أعلاه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وذهب بعض اللغویّین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سماء بالإضافة إلی ما دونها فسماء، وبالإضافة إلی ما فوقها فأرض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المطر سماءً لخروجه منها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المؤلّف فی بیان معنی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هی القوس الظاهریّ الذی یُشاهده الناس فوق رؤوسهم، من جمیع النقاط، علی وجه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منظور فی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فی اللغة، یقال لکلّ ما ارتفع وعلا، قد سما یسمو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سقف فهو سماء؛ ومن هذا قیل للسحاب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لأنّها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علاک فأظلّک، ومنه قیل لسقف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وذهب العلاّمة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معنی السماء، إلی أنّ کلّ ما علا مطبقاً فهو سماء، وکذلک ما أظلّ کالسقف، والسحاب سماء أیضاً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والسماء فی الفیزیاء الحدیثة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معدومة، کالقبّة التی یشاهَد من خلالها النجوم والکواکب السیّارة</w:t>
      </w:r>
      <w:r>
        <w:rPr>
          <w:rFonts w:eastAsia="IRNazanin" w:cs="IRNazanin"/>
          <w:color w:val="111111"/>
          <w:sz w:val="28"/>
          <w:szCs w:val="28"/>
          <w:rtl w:val="true"/>
          <w:lang w:bidi="fa-IR"/>
        </w:rPr>
        <w:t>».</w:t>
      </w:r>
      <w:r>
        <w:rPr>
          <w:rStyle w:val="FootnoteAnchor"/>
          <w:rtl w:val="true"/>
        </w:rPr>
        <w:footnoteReference w:id="2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فی القرآن الکریم؛ لکنّها لم تُستعمل فی جمیعها بمعنی</w:t>
      </w:r>
    </w:p>
    <w:p>
      <w:pPr>
        <w:pStyle w:val="BookText"/>
        <w:rPr/>
      </w:pPr>
      <w:r>
        <w:rPr>
          <w:rFonts w:ascii="IRNazanin" w:hAnsi="IRNazanin" w:eastAsia="IRNazanin"/>
          <w:color w:val="111111"/>
          <w:sz w:val="28"/>
          <w:sz w:val="28"/>
          <w:szCs w:val="28"/>
          <w:rtl w:val="true"/>
          <w:lang w:bidi="fa-IR"/>
        </w:rPr>
        <w:t>واحد، ولا فی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وبصورة عامّة، استُخدمت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فی 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مادیّ، والآخر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تلک الموارد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بمعنی العلوّ والسموّ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المعنی موافق للمعنی اللغویّ للسماء، وهو مُستفاد من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 کَشَجَرَةٍ طَیِّبَةٍ أَصلُها ثابِتٌ وَ فَرعُها فِی السَّماءِ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المعنی ممّا ذکره بعض الأعلام من المفسّرین المعاصرین؛</w:t>
      </w:r>
      <w:r>
        <w:rPr>
          <w:rStyle w:val="FootnoteAnchor"/>
          <w:rtl w:val="true"/>
        </w:rPr>
        <w:footnoteReference w:id="262"/>
      </w:r>
      <w:r>
        <w:rPr>
          <w:rFonts w:ascii="IRNazanin" w:hAnsi="IRNazanin" w:eastAsia="IRNazanin"/>
          <w:color w:val="111111"/>
          <w:sz w:val="28"/>
          <w:sz w:val="28"/>
          <w:szCs w:val="28"/>
          <w:rtl w:val="true"/>
          <w:lang w:bidi="fa-IR"/>
        </w:rPr>
        <w:t>غیر أنّ البعض الآخر اتّخذ منحی مغایراً فی هذا المجال،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تُستعمل السماء فی القرآن الکریم بمعنی الفوقیّة وجهة العلوّ، بل من الممکن أن تکون قد استُعملت بصورة مجازیّة فی ذلک، أو وردت فیه من باب المسامحة؛ ذلک أنّه لا ُیمکن جمعُ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والجهة العلویّة غیر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أغلب الموارد بصیغة الجمع؛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وعلیه، فإنّ 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یُراد منه الفوقیّة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بمعنی الجوّ المحیط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فی الموضع الذی توجد فیه السُّحُب وطبقات الهواء المحیطة بالکرة الأرضیّة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مُبارَکاً</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بمعنی موضع الکواکب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جَعَلَ فِی السَّماءِ بُرُوجاً وَ جَعَلَ فِیها سِراجاً وَ قَمَراً مُنِیراً</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مقام القرب والحضور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تنتهی إلیه أزمّة الأُمور، کما أنّه محلّ تدبیر أمور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نجد بعض المفسّرین، کالعلاّمة الطباطبائیّ، فسّر السماء بهذا المعنی فی عدّة مواضع</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ومن جملة الآیات القرآنیّة الدالّة علی هذا المعنی،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الموجود العالی والحقیقیّ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السماء وردت فی القرآن الکریم بمعنی السماء المادیّة؛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السَّبعُ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استُعملت بمعنی العلوّ فی مرتبة الوجود والموجود العالی والسامی، وهی السماء المعنویّة، وعالم ما فوق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بأجمعه ینزل من تلک المرتبة العلیا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جدّاً أن تکون السماء بمعنی العالم المعنویّ، وعالم ما فوق المادّة، حیث یُستفاد من ظاهر الآیات أنّ کلّ ما هو موجود فی هذا العالم المادّیّ، إنّما ینزل من عالم ما فوق المادّة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Style w:val="FootnoteAnchor"/>
          <w:rtl w:val="true"/>
        </w:rPr>
        <w:footnoteReference w:id="269"/>
      </w:r>
      <w:bookmarkStart w:id="435" w:name="pg5457_39227"/>
    </w:p>
    <w:p>
      <w:pPr>
        <w:pStyle w:val="BookText"/>
        <w:rPr/>
      </w:pPr>
      <w:bookmarkEnd w:id="435"/>
      <w:r>
        <w:rPr>
          <w:rFonts w:ascii="IRNazanin" w:hAnsi="IRNazanin" w:eastAsia="IRNazanin"/>
          <w:color w:val="111111"/>
          <w:sz w:val="28"/>
          <w:sz w:val="28"/>
          <w:szCs w:val="28"/>
          <w:rtl w:val="true"/>
          <w:lang w:bidi="fa-IR"/>
        </w:rPr>
        <w:t xml:space="preserve">بناءً علی ذلک، لم تُستعمل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فی اللغة والعلم الحدیث والقرآن الکریم، بل وردت لها استعمالات فی معانٍ مختلفة</w:t>
      </w:r>
      <w:r>
        <w:rPr>
          <w:rFonts w:eastAsia="IRNazanin" w:cs="IRNazanin"/>
          <w:color w:val="111111"/>
          <w:sz w:val="28"/>
          <w:szCs w:val="28"/>
          <w:rtl w:val="true"/>
          <w:lang w:bidi="fa-IR"/>
        </w:rPr>
        <w:t>.</w:t>
      </w:r>
    </w:p>
    <w:p>
      <w:pPr>
        <w:pStyle w:val="Heading4"/>
        <w:numPr>
          <w:ilvl w:val="3"/>
          <w:numId w:val="1"/>
        </w:numPr>
        <w:rPr/>
      </w:pPr>
      <w:bookmarkStart w:id="436" w:name="__RefHeading___Toc1994334_581953129"/>
      <w:bookmarkStart w:id="437" w:name="_Toc169"/>
      <w:bookmarkEnd w:id="436"/>
      <w:r>
        <w:rPr>
          <w:rtl w:val="true"/>
        </w:rPr>
        <w:t>السماوات السبع</w:t>
      </w:r>
      <w:bookmarkEnd w:id="437"/>
    </w:p>
    <w:p>
      <w:pPr>
        <w:pStyle w:val="BookText"/>
        <w:rPr/>
      </w:pPr>
      <w:r>
        <w:rPr>
          <w:rFonts w:ascii="IRNazanin" w:hAnsi="IRNazanin" w:eastAsia="IRNazanin"/>
          <w:color w:val="111111"/>
          <w:sz w:val="28"/>
          <w:sz w:val="28"/>
          <w:szCs w:val="28"/>
          <w:rtl w:val="true"/>
          <w:lang w:bidi="fa-IR"/>
        </w:rPr>
        <w:t xml:space="preserve">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مرّات فی القرآن الکریم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والتدقیق فی تلک الآیات الشریفة، یُشیر إلی أنّ السماوات السبع عبارة عن أجرامٍ متداخلة، تشبه قشور البصل؛</w:t>
      </w:r>
      <w:r>
        <w:rPr>
          <w:rStyle w:val="FootnoteAnchor"/>
          <w:rtl w:val="true"/>
        </w:rPr>
        <w:footnoteReference w:id="271"/>
      </w:r>
      <w:r>
        <w:rPr>
          <w:rFonts w:ascii="Amiri" w:hAnsi="Amiri" w:eastAsia="Amiri" w:cs="Amiri"/>
          <w:color w:val="111111"/>
          <w:sz w:val="28"/>
          <w:sz w:val="28"/>
          <w:szCs w:val="28"/>
          <w:rtl w:val="true"/>
          <w:lang w:bidi="ar-SA"/>
        </w:rPr>
        <w:t xml:space="preserve">إذ أنّ معظم المفسّرین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بمطابقة بعضها بعضاً</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ووفقاً للآیات القرآنیّة الکریمة، فإنّ جمیع الطبقات المذکورة خُلِقت من طبقةٍ واحدة، وهی بدورها خُلقت من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 هِیَ دُخانٌ</w:t>
      </w:r>
      <w:r>
        <w:rPr>
          <w:rFonts w:eastAsia="Amiri" w:cs="Amiri" w:ascii="Amiri" w:hAnsi="Amiri"/>
          <w:color w:val="111111"/>
          <w:sz w:val="28"/>
          <w:szCs w:val="28"/>
          <w:rtl w:val="true"/>
          <w:lang w:bidi="ar-SA"/>
        </w:rPr>
        <w:t>) .</w:t>
      </w:r>
      <w:r>
        <w:rPr>
          <w:rStyle w:val="FootnoteAnchor"/>
          <w:rtl w:val="true"/>
        </w:rPr>
        <w:footnoteReference w:id="273"/>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قصد إلی خلق السماء، وکانت السماء دُخاناً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بخار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لأنّ السماء فی تلک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خلق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عبارة عن دُخان وبُخار، ومن ثمّ تحوّلت بالتدریج إلی سماوات سبع</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وکیفما کان، هناک احتمالان فی المقصود بالسماوات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یکون المراد منها طبَقات الغلاف الجویّ فی الکرة الأرضیّة، وهو ما یُستفاد من بعض الآیات القرآنیّة؛ إذ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یدلّ علی أنّ السماوات سبع طبقات، مرتّبة فوق 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علماء الجیولوجیا قسّموا الطبقات الجویّة، أو الغلاف الجویّ المحیط بالکرة الأرضیّة، إلی سبعة أقسام، تبعاً لوظائفها وموقعها، وهی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طبقة التروبوسفیر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طبقة الغلاف الجویّ الملاصقة لسطح الأرض، وهی الطبقة التی نعیش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 معظم التغییرات الجویّة والأمطار والثلوج فی هذه الطبقة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حدّ التروبوبوز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تقریباً فوق القطبین الشمالیّ والجنوبیّ، وعلی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فوق خط الاستواء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طبقة الاستراتوسفیر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وتمتد من التروبوبوز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فوق سطح الأرض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وکمیّة الرطوبة التی تصل هذه الطبقة من الغلاف الجویّ قلیلة جدّاً؛ لذلک فإنّ السحب نادرة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وتتمیّز بثبات درجة الحرارة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طبقة الأوزونسفیر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وتحوی هذه الطبقة جزءاً من الطبقة الثانیة أیضاً، وتسجّل ارتفاعاً یتراواح بین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هذا الجزء علی معظم غاز الأوزون الموجود فی الغلاف الجویّ؛ إذ یعمل الأوزون علی تسخین الهواء هناک، بسبب امتصاصه الأشعّة فوق البنفسجیّة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طبقة المیزوسفیر أو الغلاف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من حدّ الإستراتوبوز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 الطبقیّ القریب من طبقة الاستراتوسفیر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فوق سطح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مشاهدة ذیل من الغازات الحارّة تنساب فی هذه الطبقة بفعل الشهُب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ملاحظة هبوب ریاح فی غایة العنف ضِمنَ طبقة المیزوسفیر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طبقة الأیونوسفیر أو الغلاف الأیونیّ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هذه الطبقة دورًا کبیرًا فی الاتصالات الرادیویّة بعیدة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هذه الطبقة أیضاً بعکس الموجات الکهرومغنطیسیّة إلی الأرض عوضاً عن انتشارها فی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تبدأ من ارتفاع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 وتمتّد إلی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ولا یستطیع أیّ کائن حیّ العیش فیها بسبب الأشعّة ما وراء البنفسجیّة، وتساقط الشهُب</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طبقة الثیرموسفیر أو الغلاف الحراریّ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أعلی طبقة فی الغلاف 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تواجه طبقة الثیرموسفیر أشعّة الشمس بصورة مباشرة، فتعمل علی تسخین الهواء الخفیف إلی درجة عالیة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ترتطم أشعّة الشمس وغیرها من الإشعاعات القادمة من مصادر کونیّة أخری بطبقة الثیرموسفیر، فإنّ بعض الجزیئات والذرّات تُشحن بالکهرباء؛ أی تتأیّن، وتُسمّی هذه الذرّات المشحونة بالکهرباء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آیونات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طبقة الإکسوسفیر أوالغلاف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الجزء العلویّ من</w:t>
      </w:r>
    </w:p>
    <w:p>
      <w:pPr>
        <w:pStyle w:val="BookText"/>
        <w:rPr/>
      </w:pPr>
      <w:r>
        <w:rPr>
          <w:rFonts w:ascii="IRNazanin" w:hAnsi="IRNazanin" w:eastAsia="IRNazanin"/>
          <w:color w:val="111111"/>
          <w:sz w:val="28"/>
          <w:sz w:val="28"/>
          <w:szCs w:val="28"/>
          <w:rtl w:val="true"/>
          <w:lang w:bidi="fa-IR"/>
        </w:rPr>
        <w:t xml:space="preserve">طبقة الثیرموسفیر، وترتفع إلی حوالی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 سطح الأرض، إلی أن تنتهی فی الریاح الشمسیّة، ولا یوجد فی الأکسوسفیر إلاَّ القلیل من الهواء، ولا تجد السفن الفضائیّة والأقمار الصناعیّة التی تدور حول الأرض فی هذه المنطقة مقاومة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وتتحرّک بعض الذرّات والجزیئات فی الأکسوسفیر بسرعة هائلة جدّاً، حیث تتغلّب علی قوّة جاذبیّة الأرض، وتنطلق إلی الفضاء الخارجیّ</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العدد سبع ربّما جاء هنا للکثرة؛ بمعنی أنّ هناک سماوات کثیرة وأجرام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یکون الرقم للعدد؛ أی أنّ عدد السماوات هی سبع 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التقیید، فإنّ جمیع ما نری من کواکب ونجوم ثابتة وسیّارة هی من السماء الأولی، وبذلک یکون عالم الخلقة متشکّلاً من سبع مجموعات کبری، واحدة منها فقط أمام أنظار البشریّة، وأنّ الأجهزة العلمیّة الفلکیّة الدقیقة، وبحوث الإنسان، لم تتوصّل إلی ما هو أبعد من السماء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تکون العوالم الستّة الأخری؟ وممّ تتشکّل؟ فهو أمر لا یعلمه إلا الله تعالی</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وقال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زَیَّنَّا السَّماءَ الدُّنیا بِمَصابِیحَ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w:t>
      </w:r>
      <w:r>
        <w:rPr>
          <w:rStyle w:val="FootnoteAnchor"/>
          <w:rtl w:val="true"/>
        </w:rPr>
        <w:footnoteReference w:id="281"/>
      </w:r>
      <w:r>
        <w:rPr>
          <w:rFonts w:ascii="IRNazanin" w:hAnsi="IRNazanin" w:eastAsia="IRNazanin"/>
          <w:color w:val="111111"/>
          <w:sz w:val="28"/>
          <w:sz w:val="28"/>
          <w:szCs w:val="28"/>
          <w:rtl w:val="true"/>
          <w:lang w:bidi="fa-IR"/>
        </w:rPr>
        <w:t>ویتّضح من هاتین الآیتین أنّ ما نراه وما یتکوّن منه عالم الأفلاک، هو جزء من السماء الأولی، وما وراء هذه السماء ستّ سماوات أخری، لیس لدینا الیوم معلومات عن تفاصیلها</w:t>
      </w:r>
      <w:r>
        <w:rPr>
          <w:rFonts w:eastAsia="IRNazanin" w:cs="IRNazanin"/>
          <w:color w:val="111111"/>
          <w:sz w:val="28"/>
          <w:szCs w:val="28"/>
          <w:rtl w:val="true"/>
          <w:lang w:bidi="fa-IR"/>
        </w:rPr>
        <w:t>».</w:t>
      </w:r>
      <w:r>
        <w:rPr>
          <w:rStyle w:val="FootnoteAnchor"/>
          <w:rtl w:val="true"/>
        </w:rPr>
        <w:footnoteReference w:id="28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تقدّم، یمکن الردّ علی السؤال المذکور بما یلی</w:t>
      </w:r>
      <w:r>
        <w:rPr>
          <w:rFonts w:eastAsia="IRNazanin" w:cs="IRNazanin"/>
          <w:color w:val="111111"/>
          <w:sz w:val="28"/>
          <w:szCs w:val="28"/>
          <w:rtl w:val="true"/>
          <w:lang w:bidi="fa-IR"/>
        </w:rPr>
        <w:t>:</w:t>
      </w:r>
      <w:bookmarkStart w:id="438" w:name="pg5457_39231"/>
    </w:p>
    <w:p>
      <w:pPr>
        <w:pStyle w:val="BookText"/>
        <w:rPr/>
      </w:pPr>
      <w:bookmarkEnd w:id="4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المراد من السماء التی عرج إلیها النبیّ صلی الله علیه و آله، لیلة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طبقات الغلاف الجویّ المحیط بالکرة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إنّما یتأتّی فی حالة اعتبار المعراج سیراً فی تلک الطبقات؛ ذلک أنّه جری الحدیث فی معراج النبیّ صلی الله علیه و آله عن وجود سماوات سبع، والظاهر من ذلک وجود سماوات وراء الغلاف الجویّ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بعض المفسّرین، من أنّ هذه السماوات السبع جمیعاً من الخلق الجسمانیّ، فکأنّها طبقات سبع متطابقة من عالم الأجسام، أقربها منّا عالم النجوم والکواکب، ولم یصف القرآن شیئاً من السماوات الستّ الباقیة، أکثر من کونه ذکَر أنّها أطَباق</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عروج النبیّ صلی الله علیه و آله إلی السماء السابعة من جملة أسرار عالم الکون، ومن ضمن المعجزات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نری سوی السماء الدنیا، ولا نعلم، هل أنّ وراءها ووراء المجرّات الأُخری کرات وموجودات أُخری، أم لا؟ فالمحدودیّة فی العلم البشریّ لا تعدّ دلیلاً علی انعدام الکواکب والسماوات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البشر الیوم، وبکلّ التقدّم العلمیّ الذی أحرزه علی مختلف المستویات، لیس بوسعهم ادّعاء أنّ الکواکب الموجودة فی المنظومة الشمسیّة، ما هی إلا ما اکتشفه الإنسان 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کیف یسوغ إنکار وجود سماوات أخری، سوی السماء الدنیا؟</w:t>
      </w:r>
    </w:p>
    <w:p>
      <w:pPr>
        <w:pStyle w:val="Heading3"/>
        <w:numPr>
          <w:ilvl w:val="2"/>
          <w:numId w:val="1"/>
        </w:numPr>
        <w:rPr/>
      </w:pPr>
      <w:bookmarkStart w:id="439" w:name="__RefHeading___Toc1994336_581953129"/>
      <w:bookmarkStart w:id="440" w:name="_Toc170"/>
      <w:bookmarkEnd w:id="439"/>
      <w:r>
        <w:rPr>
          <w:rtl w:val="true"/>
        </w:rPr>
        <w:t>النتیجة</w:t>
      </w:r>
      <w:bookmarkEnd w:id="4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نخلص ممّا تقدّم إلی أنّ المراد من السماوات فی قضیّة المعراج، لیست هی طبقات الغلاف الجویّ، والفضاء اللا محدود الفاصل بین الکرة الأرضیّة والشمس، بل المقصود بها طبقات السماوات المختلفة، التی لا نری منها إلا</w:t>
      </w:r>
      <w:bookmarkStart w:id="441" w:name="pg5457_39232"/>
    </w:p>
    <w:p>
      <w:pPr>
        <w:pStyle w:val="BookText"/>
        <w:rPr/>
      </w:pPr>
      <w:bookmarkEnd w:id="441"/>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التقدّم العلمیّ الهائل للبشر، إلاّ أنّ الإنسان، لعجزه ومحدودیّة قدرته، لم یتمکّن إلی الآن من اکتشاف السماوات الستّ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الأدلّة فی هذا الإطار یتمثّل بالکشوف العلمیّة الحدیثة فی مجال الرصد الفلکیّ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یحقّ للإنسان إنکار وجود ما یعجز عن استکشافه بأدواته المادیّة المحدودة؛ لأنّ العلم البشریّ علی اتّساعه محدود، ولا یُمکن إنکار اللا محدود بهذا العلم الناقص والمحدود</w:t>
      </w:r>
      <w:r>
        <w:rPr>
          <w:rFonts w:eastAsia="IRNazanin" w:cs="IRNazanin"/>
          <w:color w:val="111111"/>
          <w:sz w:val="28"/>
          <w:szCs w:val="28"/>
          <w:rtl w:val="true"/>
          <w:lang w:bidi="fa-IR"/>
        </w:rPr>
        <w:t>.</w:t>
      </w:r>
    </w:p>
    <w:p>
      <w:pPr>
        <w:pStyle w:val="Heading3"/>
        <w:numPr>
          <w:ilvl w:val="2"/>
          <w:numId w:val="1"/>
        </w:numPr>
        <w:rPr/>
      </w:pPr>
      <w:bookmarkStart w:id="442" w:name="__RefHeading___Toc1994338_581953129"/>
      <w:bookmarkStart w:id="443" w:name="_Toc171"/>
      <w:bookmarkEnd w:id="442"/>
      <w:r>
        <w:rPr>
          <w:rtl w:val="true"/>
        </w:rPr>
        <w:t>مصادر للمطالعة</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أکبر قرشی، قاموس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مصباح یزدی،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القرآنیّة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الخمینیّ للدراسات والبحوث،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حسین الطباطبائیّ، المیزان فی تفسیر القرآن،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44" w:name="__RefHeading___Toc1994340_581953129"/>
      <w:bookmarkStart w:id="445" w:name="_Toc172"/>
      <w:bookmarkEnd w:id="444"/>
      <w:r>
        <w:rPr>
          <w:rtl w:val="true"/>
        </w:rPr>
        <w:t>الحدیث الختامیّ</w:t>
      </w:r>
      <w:bookmarkEnd w:id="445"/>
    </w:p>
    <w:p>
      <w:pPr>
        <w:pStyle w:val="BookText"/>
        <w:rPr/>
      </w:pPr>
      <w:r>
        <w:rPr>
          <w:rFonts w:ascii="Amiri" w:hAnsi="Amiri" w:eastAsia="Amiri" w:cs="Amiri"/>
          <w:color w:val="111111"/>
          <w:sz w:val="28"/>
          <w:sz w:val="28"/>
          <w:szCs w:val="28"/>
          <w:rtl w:val="true"/>
          <w:lang w:bidi="ar-SA"/>
        </w:rPr>
        <w:t>عن أبی بصیر،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فی هَذا المَوضِعِ أَمیرُ المُؤمِنینَ، وَالطّارُِق الّذی یَطرِقُ الأَئِمَّةَ مِن عِندِ اللهِ، مِمّا یَحدُثُ بِالّلیلِ وَالنَّهارِ، وَهوَ الرُّوحُ الَّذی مَعَ الأَئِمَّةِ، یُسَدِّدُهُم</w:t>
      </w:r>
      <w:r>
        <w:rPr>
          <w:rFonts w:eastAsia="Amiri" w:cs="Amiri" w:ascii="Amiri" w:hAnsi="Amiri"/>
          <w:color w:val="111111"/>
          <w:sz w:val="28"/>
          <w:szCs w:val="28"/>
          <w:rtl w:val="true"/>
          <w:lang w:bidi="ar-SA"/>
        </w:rPr>
        <w:t>...».</w:t>
      </w:r>
      <w:r>
        <w:rPr>
          <w:rStyle w:val="FootnoteAnchor"/>
          <w:rtl w:val="true"/>
        </w:rPr>
        <w:footnoteReference w:id="284"/>
      </w:r>
      <w:bookmarkStart w:id="446" w:name="pg5457_39233"/>
    </w:p>
    <w:p>
      <w:pPr>
        <w:pStyle w:val="Heading2"/>
        <w:numPr>
          <w:ilvl w:val="1"/>
          <w:numId w:val="1"/>
        </w:numPr>
        <w:rPr/>
      </w:pPr>
      <w:bookmarkStart w:id="447" w:name="__RefHeading___Toc1994342_581953129"/>
      <w:bookmarkStart w:id="448" w:name="_Toc173"/>
      <w:bookmarkEnd w:id="446"/>
      <w:bookmarkEnd w:id="447"/>
      <w:r>
        <w:rPr>
          <w:rtl w:val="true"/>
        </w:rPr>
        <w:t>تفضیل الأئمّة علی الأنبیاء علیهم السلام</w:t>
      </w:r>
      <w:bookmarkEnd w:id="448"/>
    </w:p>
    <w:p>
      <w:pPr>
        <w:pStyle w:val="Heading3"/>
        <w:numPr>
          <w:ilvl w:val="2"/>
          <w:numId w:val="1"/>
        </w:numPr>
        <w:rPr/>
      </w:pPr>
      <w:bookmarkStart w:id="449" w:name="__RefHeading___Toc1994344_581953129"/>
      <w:bookmarkStart w:id="450" w:name="_Toc174"/>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یصرّ الشیعة علی أنّ الأئمّة المعصومین علیهم السلام أفضل من الأنبیاء علیهم السلام، ومقدّمون علیهم؟</w:t>
      </w:r>
    </w:p>
    <w:p>
      <w:pPr>
        <w:pStyle w:val="BookText"/>
        <w:rPr/>
      </w:pPr>
      <w:r>
        <w:rPr>
          <w:rFonts w:ascii="IRNazanin" w:hAnsi="IRNazanin" w:eastAsia="IRNazanin"/>
          <w:color w:val="111111"/>
          <w:sz w:val="28"/>
          <w:sz w:val="28"/>
          <w:szCs w:val="28"/>
          <w:rtl w:val="true"/>
          <w:lang w:bidi="fa-IR"/>
        </w:rPr>
        <w:t>شرح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هذا السؤال من جملة الأسئلة الدینیّة الهامّة التی کانت مطروحة منذ القدم، ولا زالت تَطرَح نفسها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نشوِء هذه الشبهة، یُمکن العثور علی بعض القرائن فی کلام رسول الله صلی الله علیه و آله، من شأنها أن تُثبت أصل هذا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قال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بالتفضیل قول قدیم، قد قال به کثیر من الصّحابة والتّابعین</w:t>
      </w:r>
      <w:r>
        <w:rPr>
          <w:rFonts w:eastAsia="IRNazanin" w:cs="IRNazanin"/>
          <w:color w:val="111111"/>
          <w:sz w:val="28"/>
          <w:szCs w:val="28"/>
          <w:rtl w:val="true"/>
          <w:lang w:bidi="fa-IR"/>
        </w:rPr>
        <w:t>».</w:t>
      </w:r>
      <w:r>
        <w:rPr>
          <w:rStyle w:val="FootnoteAnchor"/>
          <w:rtl w:val="true"/>
        </w:rPr>
        <w:footnoteReference w:id="2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أنّ هذا الأمر لیس أمراً مستحدثاً، وإنّما کان موجوداً منذ صدر الإسلام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لم یتوانَ کبار علماء التشیّع فی تبیین فضائل الأئمّة الأطهار علیهم السلام، فسردت شخصیّات، کالشیخ المفید، والشیخ الطوسیّ، والعلاّمة الحلیّ، والعلاّمة المجلسیّ، وأمثالهم من الفقهاء المعاصرین، فی کتبهم ومؤلّفاتهم، الأدلّة علی هذه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نحاول بیان بعض استدلالاتهم بصورة مختصرة وموجزة</w:t>
      </w:r>
      <w:r>
        <w:rPr>
          <w:rFonts w:eastAsia="IRNazanin" w:cs="IRNazanin"/>
          <w:color w:val="111111"/>
          <w:sz w:val="28"/>
          <w:szCs w:val="28"/>
          <w:rtl w:val="true"/>
          <w:lang w:bidi="fa-IR"/>
        </w:rPr>
        <w:t>.</w:t>
      </w:r>
      <w:bookmarkStart w:id="451" w:name="pg5457_39234"/>
    </w:p>
    <w:p>
      <w:pPr>
        <w:pStyle w:val="BookText"/>
        <w:rPr/>
      </w:pPr>
      <w:bookmarkEnd w:id="451"/>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3"/>
        <w:numPr>
          <w:ilvl w:val="2"/>
          <w:numId w:val="1"/>
        </w:numPr>
        <w:rPr/>
      </w:pPr>
      <w:bookmarkStart w:id="452" w:name="__RefHeading___Toc1994346_581953129"/>
      <w:bookmarkStart w:id="453" w:name="_Toc175"/>
      <w:bookmarkEnd w:id="452"/>
      <w:r>
        <w:rPr/>
        <w:t>1</w:t>
      </w:r>
      <w:r>
        <w:rPr>
          <w:rtl w:val="true"/>
        </w:rPr>
        <w:t xml:space="preserve">- </w:t>
      </w:r>
      <w:r>
        <w:rPr>
          <w:rtl w:val="true"/>
        </w:rPr>
        <w:t>الأدلة القرآنیّة</w:t>
      </w:r>
      <w:bookmarkEnd w:id="453"/>
    </w:p>
    <w:p>
      <w:pPr>
        <w:pStyle w:val="Heading4"/>
        <w:numPr>
          <w:ilvl w:val="3"/>
          <w:numId w:val="1"/>
        </w:numPr>
        <w:rPr/>
      </w:pPr>
      <w:bookmarkStart w:id="454" w:name="__RefHeading___Toc1994348_581953129"/>
      <w:bookmarkStart w:id="455" w:name="_Toc176"/>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ذهب علماء التشیّع، وبعض فرق أهل السنّة، إلی تفضیل الأئمّة الکرام علیهم السلام، وخاصّة أمیر المؤمنین علیّ بن أبی طالب علیه السلام، علی البشر کافّة، حتّی الأنبیاء، ما عدا نبیّ الإسلام محمّد بن عبد الله صلی الله علیه و آله، مستدلّین علی ذلک بجملة من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نشیر إلی بعضها</w:t>
      </w:r>
      <w:r>
        <w:rPr>
          <w:rFonts w:eastAsia="IRNazanin" w:cs="IRNazanin"/>
          <w:color w:val="111111"/>
          <w:sz w:val="28"/>
          <w:szCs w:val="28"/>
          <w:rtl w:val="true"/>
          <w:lang w:bidi="fa-IR"/>
        </w:rPr>
        <w:t>:</w:t>
      </w:r>
    </w:p>
    <w:p>
      <w:pPr>
        <w:pStyle w:val="Heading4"/>
        <w:numPr>
          <w:ilvl w:val="3"/>
          <w:numId w:val="1"/>
        </w:numPr>
        <w:rPr/>
      </w:pPr>
      <w:bookmarkStart w:id="456" w:name="__RefHeading___Toc1994350_581953129"/>
      <w:bookmarkStart w:id="457" w:name="_Toc177"/>
      <w:bookmarkEnd w:id="456"/>
      <w:r>
        <w:rPr>
          <w:rtl w:val="true"/>
        </w:rPr>
        <w:t>أ</w:t>
      </w:r>
      <w:r>
        <w:rPr>
          <w:rtl w:val="true"/>
        </w:rPr>
        <w:t xml:space="preserve">) </w:t>
      </w:r>
      <w:r>
        <w:rPr>
          <w:rtl w:val="true"/>
        </w:rPr>
        <w:t>الآیة المبارکة فی إمامة إبراهیم علیه السلام</w:t>
      </w:r>
      <w:r>
        <w:rPr>
          <w:rtl w:val="true"/>
        </w:rPr>
        <w:t>:</w:t>
      </w:r>
      <w:bookmarkEnd w:id="457"/>
    </w:p>
    <w:p>
      <w:pPr>
        <w:pStyle w:val="BookText"/>
        <w:rPr/>
      </w:pP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وقالوا فی وجه دلالة الآیة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الشریفة تنقل لنا أهمّ مفصل من مفاصل سیرة حیاة بطل التوحید النبیّ إبراهیم علیه السلام؛ أی الابتلاء الکبیر الذی تعرّض له هذا النبیّ، واجتیازه له مکلّلاً بالنجاح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تِلک الاختبارات الشاقّة، التی أظهرت عظمة مقام النبیّ إبراهیم علیه السلام، وأبرزت جلالة شخصیّته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اجتاز هذه الاختبارات العسیرة بنجاح، استحقّ أن یَمنحه الله الوسام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أهمّ الاختبارات المتتالیة، التی مرّ بها النبیّ إبراهیم علیه السلام، فکالتالی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ولده إلی المذبَح، والاستعداد التامّ لذبحه؛ إطاعةً لأمر الله سُبحانه، وعدَم تأثّره بالوساوس الشیطانیّة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إسکان الزوج والولَد فی وادٍ غیرِ ذی زرعٍ بمکّةَ، حیث لم یسکُن فیه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هدَفه من ذلک إطاعةَ أوامرِ الحقّ جلّ شأنه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النهوض بوجهِ عبَدَة الأصنام وتحطیم أصنامهم، والوقوف ببطولة فی تلک المحاکمة التاریخیّة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إلقاؤه فی وسط النیران، وثباته ورباطة جأشه، فی کلّ هذه المراحل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الهجرة من أرض عبدة الأصنام، والابتعاد عن الوطن، والاتّجاه نحو أصقاعٍ نائیة لأداء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کان کلُّ واحدٍ من هذه الاختبارات والمسؤولیّات الجسیمة، التی وضِعت علی عاتق هذا النبیّ الإلهیّ، یمثّل عِبئاً ثقیلاً، قد ینوء غیرهُ عن حمله؛ لکنّه بإیمانه الصلب، وإرادته القویّة، تمکّن من عُبورها بنجاحٍ وثبات، حتی بلَغ مقامَ الإمامةِ بکلّ جدارة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الآیة الکریمة التی نحن بصددها، یتبیّن أنّ منزلة الإمامة الممنوحة لإبراهیم علیه السلام، بعد کلِّ هذه الاختبارات العسیرة، تفوق منزلة النبوّة والرسالة، کما یُستفاد من الآیة المبارکة،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المعصوم لکلِّ جوانب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أن یتمّ تعیینه من قِبَل الله تعالی؛ وذلک للسببین التالیین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میثاقٌ إلهیّ، وطبیعیّ أن یکون التعیین من قِبَل الله؛ لأنّه طرفُ هذا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الذین تلبّسوا بعنوان الظلم، ومارسوا فی حیاتهم لحظةَ ظلمٍ بحقّ أنفسهم، أو بحقّ الآخرین، کأن تکون لحظةَ شِرکٍ مثلاً، لا یلیقون للإمامة؛ فالإمام یجب أن یکون طیلةَ عُمره معصوماً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یعلم ذلک فی نفوس الأفراد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بهذا المعیار أن نعیّن خلیفةً لرسول الله صلی الله علیه و آله، فلا یمکن أن یکون غیرَ علیّ علیه السلام، ولن یعدو هذا الرجل العظیم</w:t>
      </w:r>
      <w:r>
        <w:rPr>
          <w:rFonts w:eastAsia="IRNazanin" w:cs="IRNazanin"/>
          <w:color w:val="111111"/>
          <w:sz w:val="28"/>
          <w:szCs w:val="28"/>
          <w:rtl w:val="true"/>
          <w:lang w:bidi="fa-IR"/>
        </w:rPr>
        <w:t>.</w:t>
      </w:r>
      <w:r>
        <w:rPr>
          <w:rStyle w:val="FootnoteAnchor"/>
          <w:rtl w:val="true"/>
        </w:rPr>
        <w:footnoteReference w:id="287"/>
      </w:r>
      <w:bookmarkStart w:id="458" w:name="pg5457_39236"/>
    </w:p>
    <w:p>
      <w:pPr>
        <w:pStyle w:val="BookText"/>
        <w:rPr/>
      </w:pPr>
      <w:bookmarkEnd w:id="458"/>
      <w:r>
        <w:rPr>
          <w:rFonts w:ascii="IRNazanin" w:hAnsi="IRNazanin" w:eastAsia="IRNazanin"/>
          <w:color w:val="111111"/>
          <w:sz w:val="28"/>
          <w:sz w:val="28"/>
          <w:szCs w:val="28"/>
          <w:rtl w:val="true"/>
          <w:lang w:bidi="fa-IR"/>
        </w:rPr>
        <w:t>وعلی هذا الأساس، لمّا کان الإمام علیّ علیه السلام إماماً منصوصاً علیه، ومنصوباً من قبل الله تبارک وتعالی، فإنّه سیکون أفضل الخلائق طُرّاً، ومنهم الأنبیاء سِوی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459" w:name="__RefHeading___Toc1994352_581953129"/>
      <w:bookmarkStart w:id="460" w:name="_Toc178"/>
      <w:bookmarkEnd w:id="459"/>
      <w:r>
        <w:rPr>
          <w:rtl w:val="true"/>
        </w:rPr>
        <w:t>ب</w:t>
      </w:r>
      <w:r>
        <w:rPr>
          <w:rtl w:val="true"/>
        </w:rPr>
        <w:t xml:space="preserve">) </w:t>
      </w:r>
      <w:r>
        <w:rPr>
          <w:rtl w:val="true"/>
        </w:rPr>
        <w:t>آیة المباهلة المبارکة</w:t>
      </w:r>
      <w:r>
        <w:rPr>
          <w:rtl w:val="true"/>
        </w:rPr>
        <w:t>:</w:t>
      </w:r>
      <w:bookmarkEnd w:id="460"/>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Style w:val="FootnoteAnchor"/>
          <w:rtl w:val="true"/>
        </w:rPr>
        <w:footnoteReference w:id="288"/>
      </w:r>
    </w:p>
    <w:p>
      <w:pPr>
        <w:pStyle w:val="Heading4"/>
        <w:numPr>
          <w:ilvl w:val="3"/>
          <w:numId w:val="1"/>
        </w:numPr>
        <w:rPr/>
      </w:pPr>
      <w:bookmarkStart w:id="461" w:name="__RefHeading___Toc1994354_581953129"/>
      <w:bookmarkStart w:id="462" w:name="_Toc179"/>
      <w:bookmarkEnd w:id="461"/>
      <w:r>
        <w:rPr>
          <w:rtl w:val="true"/>
        </w:rPr>
        <w:t>وجه الاستدلال</w:t>
      </w:r>
      <w:bookmarkEnd w:id="462"/>
    </w:p>
    <w:p>
      <w:pPr>
        <w:pStyle w:val="BookText"/>
        <w:rPr/>
      </w:pPr>
      <w:r>
        <w:rPr>
          <w:rFonts w:ascii="IRNazanin" w:hAnsi="IRNazanin" w:eastAsia="IRNazanin"/>
          <w:color w:val="111111"/>
          <w:sz w:val="28"/>
          <w:sz w:val="28"/>
          <w:szCs w:val="28"/>
          <w:rtl w:val="true"/>
          <w:lang w:bidi="fa-IR"/>
        </w:rPr>
        <w:t xml:space="preserve">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الشریفة هو علیّ بن أبی طالب علیه السلام فقط؛ إذ لا یجوز أن یکون المراد بها نفس النبیّ الکریم صلی الله علیه و آله؛ لأنّه هو مَن دعا إلی موضوع تلک المباهلة، وعندئذ، لا یجوز للإنسان أن یدعو نفسه، بل لاستقامةِ العبارة، لا بدّ من دعوةِ شخصٍ آخر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ومن هنا، یمکن الخلوص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هو نفس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الکریم صلی الله علیه و آله هو أفضل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الإمام علیّ علیه السلام، أفضل الأنبیاء والمرسلین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فالأئمّة علیهم السلام أیضاً أفضل الأنبیاء، عدا محمّد بن عبد الله صلی الله علیه و آله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وسیتبیّن خلالَ نقلِ الأقوال، کیف تدلّ هذه الآیة علی أنّ الإمام</w:t>
      </w:r>
      <w:bookmarkStart w:id="463" w:name="pg5457_39237"/>
    </w:p>
    <w:p>
      <w:pPr>
        <w:pStyle w:val="BookText"/>
        <w:rPr/>
      </w:pPr>
      <w:bookmarkEnd w:id="463"/>
      <w:r>
        <w:rPr>
          <w:rFonts w:ascii="IRNazanin" w:hAnsi="IRNazanin" w:eastAsia="IRNazanin"/>
          <w:color w:val="111111"/>
          <w:sz w:val="28"/>
          <w:sz w:val="28"/>
          <w:szCs w:val="28"/>
          <w:rtl w:val="true"/>
          <w:lang w:bidi="fa-IR"/>
        </w:rPr>
        <w:t>علیّ علیه السلام أفضل من جمیع الأنبیاء الآخرین، غیر نبیّ الإسلام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تثبت أفضلیّة أمیر المؤمنین علیه السلام، تثبت أفضلیّة باقی الأئمّة المعصومین علیهم السلام بشکل تلقائیّ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فسّر معظم المتکلّمین الشیعة هذه الآیة بالصورة المذکورة</w:t>
      </w:r>
      <w:r>
        <w:rPr>
          <w:rFonts w:eastAsia="IRNazanin" w:cs="IRNazanin"/>
          <w:color w:val="111111"/>
          <w:sz w:val="28"/>
          <w:szCs w:val="28"/>
          <w:rtl w:val="true"/>
          <w:lang w:bidi="fa-IR"/>
        </w:rPr>
        <w:t>.</w:t>
      </w:r>
    </w:p>
    <w:p>
      <w:pPr>
        <w:pStyle w:val="Heading3"/>
        <w:numPr>
          <w:ilvl w:val="2"/>
          <w:numId w:val="1"/>
        </w:numPr>
        <w:rPr/>
      </w:pPr>
      <w:bookmarkStart w:id="464" w:name="__RefHeading___Toc1994356_581953129"/>
      <w:bookmarkStart w:id="465" w:name="_Toc180"/>
      <w:bookmarkEnd w:id="464"/>
      <w:r>
        <w:rPr/>
        <w:t>2</w:t>
      </w:r>
      <w:r>
        <w:rPr>
          <w:rtl w:val="true"/>
        </w:rPr>
        <w:t xml:space="preserve">- </w:t>
      </w:r>
      <w:r>
        <w:rPr>
          <w:rtl w:val="true"/>
        </w:rPr>
        <w:t>الأدلّة الروائیّة</w:t>
      </w:r>
      <w:bookmarkEnd w:id="465"/>
    </w:p>
    <w:p>
      <w:pPr>
        <w:pStyle w:val="Heading4"/>
        <w:numPr>
          <w:ilvl w:val="3"/>
          <w:numId w:val="1"/>
        </w:numPr>
        <w:rPr/>
      </w:pPr>
      <w:bookmarkStart w:id="466" w:name="__RefHeading___Toc1994358_581953129"/>
      <w:bookmarkStart w:id="467" w:name="_Toc181"/>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إنّ بعض الروایات التی تختصّ بإثبات تفضیل أمیر المؤمنین علیه السلام علی الخلفاء، بل وجمیع الأنبیاء، وسائر الناس أیضاً، تشتمل علی کلام واضح وموثوق جدّاً؛ ولذا فقد استدلّ به العلماء لإثبات هذا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هذه الروایات حدیث المنزِلة، حدیث الولایة، حدیث الأخوّة، حدیث المحبّة، حدیث الوصیّة، حدیث الطیر المشویّ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سنکتفی هنا بذکر مثالین فقط فی القسم الأوّل، وبضعة أمثلة فی القسم الثانی</w:t>
      </w:r>
      <w:r>
        <w:rPr>
          <w:rFonts w:eastAsia="IRNazanin" w:cs="IRNazanin"/>
          <w:color w:val="111111"/>
          <w:sz w:val="28"/>
          <w:szCs w:val="28"/>
          <w:rtl w:val="true"/>
          <w:lang w:bidi="fa-IR"/>
        </w:rPr>
        <w:t>:</w:t>
      </w:r>
    </w:p>
    <w:p>
      <w:pPr>
        <w:pStyle w:val="Heading4"/>
        <w:numPr>
          <w:ilvl w:val="3"/>
          <w:numId w:val="1"/>
        </w:numPr>
        <w:rPr/>
      </w:pPr>
      <w:bookmarkStart w:id="468" w:name="__RefHeading___Toc1994360_581953129"/>
      <w:bookmarkStart w:id="469" w:name="_Toc182"/>
      <w:bookmarkEnd w:id="468"/>
      <w:r>
        <w:rPr>
          <w:rtl w:val="true"/>
        </w:rPr>
        <w:t>القسم الأوّل</w:t>
      </w:r>
      <w:r>
        <w:rPr>
          <w:rtl w:val="true"/>
        </w:rPr>
        <w:t xml:space="preserve">: </w:t>
      </w:r>
      <w:r>
        <w:rPr>
          <w:rtl w:val="true"/>
        </w:rPr>
        <w:t>الأدلّة علی أفضلیّة علیّ علیه السلام علی البشر</w:t>
      </w:r>
      <w:bookmarkEnd w:id="469"/>
    </w:p>
    <w:p>
      <w:pPr>
        <w:pStyle w:val="Heading5"/>
        <w:numPr>
          <w:ilvl w:val="4"/>
          <w:numId w:val="1"/>
        </w:numPr>
        <w:rPr/>
      </w:pPr>
      <w:bookmarkStart w:id="470" w:name="__RefHeading___Toc1994362_581953129"/>
      <w:bookmarkStart w:id="471" w:name="_Toc183"/>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الطائر</w:t>
      </w:r>
    </w:p>
    <w:p>
      <w:pPr>
        <w:pStyle w:val="BookText"/>
        <w:rPr/>
      </w:pPr>
      <w:r>
        <w:rPr>
          <w:rFonts w:ascii="IRNazanin" w:hAnsi="IRNazanin" w:eastAsia="IRNazanin"/>
          <w:color w:val="111111"/>
          <w:sz w:val="28"/>
          <w:sz w:val="28"/>
          <w:szCs w:val="28"/>
          <w:rtl w:val="true"/>
          <w:lang w:bidi="fa-IR"/>
        </w:rPr>
        <w:t>من الأحادیث المنقولة بالتواتر عند الخاصّة والعامّة، خبَر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لرسولِ الله صلی الله علیه و آله طیرٌ،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آتنی بأحبّ خلقک إلیک، یأکل معی من هذا الطیر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علی حاجة، فذهب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فقلت له مثل ذلک، فذهب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آخر ثلاث کرّات یردّنی أنَس، یزعم أنّک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یا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دعاءک، فأحبَبتُ أن</w:t>
      </w:r>
      <w:bookmarkStart w:id="472" w:name="pg5457_39238"/>
    </w:p>
    <w:p>
      <w:pPr>
        <w:pStyle w:val="BookText"/>
        <w:rPr/>
      </w:pPr>
      <w:bookmarkEnd w:id="472"/>
      <w:r>
        <w:rPr>
          <w:rFonts w:ascii="IRNazanin" w:hAnsi="IRNazanin" w:eastAsia="IRNazanin"/>
          <w:color w:val="111111"/>
          <w:sz w:val="28"/>
          <w:sz w:val="28"/>
          <w:szCs w:val="28"/>
          <w:rtl w:val="true"/>
          <w:lang w:bidi="fa-IR"/>
        </w:rPr>
        <w:t>یکونَ فی رجلٍ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قد یُحبُّ قومه، إنّ الرجل یُحبُّ قومه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ویُستفاد من هذه الروایة أنّ أمیر المؤمنین علیّ علیه السلام أحبُّ الخلقِ إلی الله تعالی، وذیلها یدلّ علی أنّ النبیّ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فی ذلک شأن غیره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أرحامه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حینما یکون الشخص محبوباً لله ورسوله صلی الله علیه و آله، فهو حتماً أفضل من البشر أجمعین، بما فیهم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متواتراً عن أمیر المؤمنین علیه السلام أنّه احتجّ بهذا الخبَر، کواحدة من مناقبه، یوم الدار، لمّا اجتمع القوم لاختیار خلیفة بعد مقتل عُمر،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هل فیکم أحدٌ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بذلک الشیخ المفید، معقِّباً علی الخبر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 القوم بصحّته، ولم یکُ أمیر المؤمنین علیه السلام بالذی یحتجّ بباطل</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ویمکن أن نفهم من استدلال الإمام أنّه احتجّ علی أفضلیّته علی القوم بکلامِ رسول‌الله صلی الله علیه و آله</w:t>
      </w:r>
      <w:r>
        <w:rPr>
          <w:rFonts w:eastAsia="IRNazanin" w:cs="IRNazanin"/>
          <w:color w:val="111111"/>
          <w:sz w:val="28"/>
          <w:szCs w:val="28"/>
          <w:rtl w:val="true"/>
          <w:lang w:bidi="fa-IR"/>
        </w:rPr>
        <w:t>.</w:t>
      </w:r>
    </w:p>
    <w:p>
      <w:pPr>
        <w:pStyle w:val="Heading5"/>
        <w:numPr>
          <w:ilvl w:val="4"/>
          <w:numId w:val="1"/>
        </w:numPr>
        <w:rPr/>
      </w:pPr>
      <w:bookmarkStart w:id="473" w:name="__RefHeading___Toc1994364_581953129"/>
      <w:bookmarkStart w:id="474" w:name="_Toc184"/>
      <w:bookmarkEnd w:id="473"/>
      <w:r>
        <w:rPr>
          <w:rtl w:val="true"/>
        </w:rPr>
        <w:t>الثانی</w:t>
      </w:r>
      <w:r>
        <w:rPr>
          <w:rtl w:val="true"/>
        </w:rPr>
        <w:t xml:space="preserve">: </w:t>
      </w:r>
      <w:r>
        <w:rPr>
          <w:rtl w:val="true"/>
        </w:rPr>
        <w:t>حدیث المحبّة</w:t>
      </w:r>
      <w:bookmarkEnd w:id="474"/>
    </w:p>
    <w:p>
      <w:pPr>
        <w:pStyle w:val="BookText"/>
        <w:rPr/>
      </w:pPr>
      <w:r>
        <w:rPr>
          <w:rFonts w:ascii="IRNazanin" w:hAnsi="IRNazanin" w:eastAsia="IRNazanin"/>
          <w:color w:val="111111"/>
          <w:sz w:val="28"/>
          <w:sz w:val="28"/>
          <w:szCs w:val="28"/>
          <w:rtl w:val="true"/>
          <w:lang w:bidi="fa-IR"/>
        </w:rPr>
        <w:t>قال أمیرُ المؤمنین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 لأعطینّ الرایة غداً رجُلاً، یُحبُّ الله ورسولَهُ، ویحبُّه اللهُ ورسولُهُ، لیس بفرّار، یفتح الله علی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وأنا أرمد، فتَفَلَ فی عینی،</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أذی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بعد، ولا برداً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فذُکرت فی بعض الروایات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ترد فی البعض الآخر؛ وذلک أنّ النبیّ الکریم صلی الله علیه و آله کلّف بدایةً أبا بکر بهذه المهمّة، فحمل رایة المهاجرین، فقاتل بها، ثمّ رجع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أخذها عمر بن الخطّاب من الغد، فرجع منهزماً، یجبّن الناس ویجبّنونه، حتّی ساء رسول الله صلی الله علیه و آله ذلک، فأناط هذا العمل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هشام أیضاً هذا الحدیث فی فضیلة علیّ علیه السلام، عن سلمة بن عمرو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أبا بکر الصدّیق برایته، وکانت بیضاء، إلی بعض حصون خیبر، فقاتل، فرجع ولم یکُ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الغد عمر بن الخطّاب، فقاتل، ثمّ رجع ولم یکُ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ورسولَهُ، 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علیّاً رضوان الله علیه، وهو أرمد، فتفل فی عینه،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الرایة، فامضِ بها حتّی یفتحَ اللهُ علیک</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یمکن لإثبات المدّعی الاستدلال بالطریقة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بن أبی طالب علیه السلام أحبّ الخلق إلی الله تعالی، وأحبُّ الخلق إلی الله أفضلُهم عنده؛ وعلیه، فهو أفضل الناس طُرّاً، خَلا نبیّ الإسلام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الأئمّة الأطهار علیهم السلام جمیعهم من نورٍ واحد، فالأئمّة کذلک خیرُ البریّة، وأفضل الناس علی الکرة الأرضیّة</w:t>
      </w:r>
      <w:r>
        <w:rPr>
          <w:rFonts w:eastAsia="IRNazanin" w:cs="IRNazanin"/>
          <w:color w:val="111111"/>
          <w:sz w:val="28"/>
          <w:szCs w:val="28"/>
          <w:rtl w:val="true"/>
          <w:lang w:bidi="fa-IR"/>
        </w:rPr>
        <w:t>.</w:t>
      </w:r>
      <w:bookmarkStart w:id="475" w:name="pg5457_39240"/>
    </w:p>
    <w:p>
      <w:pPr>
        <w:pStyle w:val="Heading4"/>
        <w:numPr>
          <w:ilvl w:val="3"/>
          <w:numId w:val="1"/>
        </w:numPr>
        <w:rPr/>
      </w:pPr>
      <w:bookmarkStart w:id="476" w:name="__RefHeading___Toc1994366_581953129"/>
      <w:bookmarkStart w:id="477" w:name="_Toc185"/>
      <w:bookmarkEnd w:id="475"/>
      <w:bookmarkEnd w:id="476"/>
      <w:r>
        <w:rPr>
          <w:rtl w:val="true"/>
        </w:rPr>
        <w:t>القسم الثانی</w:t>
      </w:r>
      <w:r>
        <w:rPr>
          <w:rtl w:val="true"/>
        </w:rPr>
        <w:t xml:space="preserve">: </w:t>
      </w:r>
      <w:r>
        <w:rPr>
          <w:rtl w:val="true"/>
        </w:rPr>
        <w:t>الأدلّة علی أفضلیّة الأئمّة علیهم السلام علی البشَر</w:t>
      </w:r>
      <w:bookmarkEnd w:id="477"/>
    </w:p>
    <w:p>
      <w:pPr>
        <w:pStyle w:val="BookText"/>
        <w:rPr/>
      </w:pPr>
      <w:r>
        <w:rPr>
          <w:rFonts w:ascii="IRNazanin" w:hAnsi="IRNazanin" w:eastAsia="IRNazanin"/>
          <w:color w:val="111111"/>
          <w:sz w:val="28"/>
          <w:sz w:val="28"/>
          <w:szCs w:val="28"/>
          <w:rtl w:val="true"/>
          <w:lang w:bidi="fa-IR"/>
        </w:rPr>
        <w:t>هذا القسم یرتبط بإثبات کون الأئمّة الأطهار علیهم السلام أفضل من باقی الناس، عدا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الإطار، أفرَد العلاّمة المجلسیّ باباً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تفضیلهم علیهم السلام علی الأنبیاء، وعلی جمیع الخلق، وأخذ میثاقهم عنهم، وعن الملائکة، وعن سائر الخلق، وأنّ أولی العزم إنّما صاروا أولی العزم بحبّهم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فیه ثمانیة وثمانین روایة فی مناقبهم وأفضلیّتهم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سنکتفی بذکر بعض الأمثلة منها، ممّا ورد عن الرسول الهادی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التمیمیّ، عن الرّضا علیه السلام،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وولدک خیرة الله من خلقه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عن علیّ بن أبی طالب علیهم السلام، عن النبیّ صلی الله علیه و آله، أنّه قال فی وصیّته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عزّ وجلّ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 الإمام الرضا علیه السلام، 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خیرُ أهل الأرض بعدی وبعد أبیهما، وأمّهما أفضل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 أهل‌الأرض</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التفسیر المنسوب إلی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وجلّ موسی بن عمران، واصطفاه نجیّاً، وفلق له البحر، فنجّی بنی إسرائیل، وأعطاه التوراة والألواح، رأی مکانه من ربّه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أکرمتنی بکرامة لم تکرم بها أحداً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محمّداً أفضل عندی من جمیع ملائکتی، وجمیع خلقی؟</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 کان محمّد أکرَمَ عندک من جمیع خلقِک، فهل فی آل الأنبیاء أکرَم من آلی؟</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علِمت أنّ فضل آل محمّد علی جمیع آل النبیّین، کفضل محمّد علی جمیع المرسلین؟</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حُذیفة بن أسیَد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تکاملت النبوّة لنبیٍّ فی الأَظِلَّةِ حتّی عُرِضَت علیه ولایتی، وولایة أهل بیتی، ومَثُلُوا له، فأقرّوا بطاعتهم وولایتهم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نُبّیء نبیٌّ قطّ إلاّ بمعرفة حقّنا، وبفضلنا علی من سِوانا</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هذا إلاّ غیضٌ من فیض، فلا یمثّل إلاّ النزر الیسیر ممّا ورَد فی المصادر الروائیة الشیعیّة، الحافلة بمزیدٍ من الأخبار فی هذا الخصوص، ومَن أراد الاستزادة منها، فعلیه الرجوع إلی المصادر الأساسیّة المختصّة فی هذا</w:t>
      </w:r>
      <w:bookmarkStart w:id="478" w:name="pg5457_39242"/>
    </w:p>
    <w:p>
      <w:pPr>
        <w:pStyle w:val="BookText"/>
        <w:rPr/>
      </w:pPr>
      <w:bookmarkEnd w:id="478"/>
      <w:r>
        <w:rPr>
          <w:rFonts w:ascii="IRNazanin" w:hAnsi="IRNazanin" w:eastAsia="IRNazanin"/>
          <w:color w:val="111111"/>
          <w:sz w:val="28"/>
          <w:sz w:val="28"/>
          <w:szCs w:val="28"/>
          <w:rtl w:val="true"/>
          <w:lang w:bidi="fa-IR"/>
        </w:rPr>
        <w:t>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ولأجل هذه الأدلّة المستفیضة، ذهب الشیعة إلی تفضیل الأئمّة علیهم السلام علی الأنبیاء</w:t>
      </w:r>
      <w:r>
        <w:rPr>
          <w:rFonts w:eastAsia="IRNazanin" w:cs="IRNazanin"/>
          <w:color w:val="111111"/>
          <w:sz w:val="28"/>
          <w:szCs w:val="28"/>
          <w:rtl w:val="true"/>
          <w:lang w:bidi="fa-IR"/>
        </w:rPr>
        <w:t>.</w:t>
      </w:r>
    </w:p>
    <w:p>
      <w:pPr>
        <w:pStyle w:val="Heading3"/>
        <w:numPr>
          <w:ilvl w:val="2"/>
          <w:numId w:val="1"/>
        </w:numPr>
        <w:rPr/>
      </w:pPr>
      <w:bookmarkStart w:id="479" w:name="__RefHeading___Toc1994368_581953129"/>
      <w:bookmarkStart w:id="480" w:name="_Toc186"/>
      <w:bookmarkEnd w:id="479"/>
      <w:r>
        <w:rPr>
          <w:rtl w:val="true"/>
        </w:rPr>
        <w:t>آراء العلماء فی تفضیل الأئمّة علی الأنبیاء</w:t>
      </w:r>
      <w:bookmarkEnd w:id="480"/>
    </w:p>
    <w:p>
      <w:pPr>
        <w:pStyle w:val="Heading4"/>
        <w:numPr>
          <w:ilvl w:val="3"/>
          <w:numId w:val="1"/>
        </w:numPr>
        <w:rPr/>
      </w:pPr>
      <w:bookmarkStart w:id="481" w:name="__RefHeading___Toc1994370_581953129"/>
      <w:bookmarkStart w:id="482" w:name="_Toc187"/>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لم یقتصر الأمر علی مجرّد الروایات المنقولة فی التراث الشیعیّ، بل ذهب کبار علماء التشیّع إلی القول بهذه العقیدة</w:t>
      </w:r>
      <w:r>
        <w:rPr>
          <w:rFonts w:eastAsia="IRNazanin" w:cs="IRNazanin"/>
          <w:color w:val="111111"/>
          <w:sz w:val="28"/>
          <w:szCs w:val="28"/>
          <w:rtl w:val="true"/>
          <w:lang w:bidi="fa-IR"/>
        </w:rPr>
        <w:t>.</w:t>
      </w:r>
    </w:p>
    <w:p>
      <w:pPr>
        <w:pStyle w:val="Heading4"/>
        <w:numPr>
          <w:ilvl w:val="3"/>
          <w:numId w:val="1"/>
        </w:numPr>
        <w:rPr/>
      </w:pPr>
      <w:bookmarkStart w:id="483" w:name="__RefHeading___Toc1994372_581953129"/>
      <w:bookmarkStart w:id="484" w:name="_Toc188"/>
      <w:bookmarkEnd w:id="483"/>
      <w:r>
        <w:rPr>
          <w:rtl w:val="true"/>
        </w:rPr>
        <w:t>أ</w:t>
      </w:r>
      <w:r>
        <w:rPr>
          <w:rtl w:val="true"/>
        </w:rPr>
        <w:t xml:space="preserve">) </w:t>
      </w:r>
      <w:r>
        <w:rPr>
          <w:rtl w:val="true"/>
        </w:rPr>
        <w:t>رأی العلاّمة الحلیّ</w:t>
      </w:r>
      <w:r>
        <w:rPr>
          <w:rtl w:val="true"/>
        </w:rPr>
        <w:t>:</w:t>
      </w:r>
      <w:bookmarkEnd w:id="484"/>
    </w:p>
    <w:p>
      <w:pPr>
        <w:pStyle w:val="BookText"/>
        <w:rPr/>
      </w:pPr>
      <w:r>
        <w:rPr>
          <w:rFonts w:ascii="IRNazanin" w:hAnsi="IRNazanin" w:eastAsia="IRNazanin"/>
          <w:color w:val="111111"/>
          <w:sz w:val="28"/>
          <w:sz w:val="28"/>
          <w:szCs w:val="28"/>
          <w:rtl w:val="true"/>
          <w:lang w:bidi="fa-IR"/>
        </w:rPr>
        <w:t xml:space="preserve">قال العلاّمة الحلیّ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الکمالات النفسانیّة والبدنیّة بأجمعها موجودةٌ فی کلِّ واحدٍ منهم، وکلُّ واحدٍ منهم کما هو کاملٌ فی نفسه، کذا هو مکمّل لغیره، وذلک یدلُّ علی استحقاقه الریاسة العامّة؛ لأنّه أفضل من کلِّ أحدٍ فی زمانه، ویقبح عقلاً تقدیم المفضول علی الفاضل</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إذاً، الدلیل علی لزوم تقدیم الأئمّة علیهم السلام علی مَن سِواهم من الناس، فی أمر الحکومة والریاسة العامّة، هو تفضیلهم علی سائر الناس فی عصرهم، وعدَم وجودِ کُفءٍ لهم</w:t>
      </w:r>
      <w:r>
        <w:rPr>
          <w:rFonts w:eastAsia="IRNazanin" w:cs="IRNazanin"/>
          <w:color w:val="111111"/>
          <w:sz w:val="28"/>
          <w:szCs w:val="28"/>
          <w:rtl w:val="true"/>
          <w:lang w:bidi="fa-IR"/>
        </w:rPr>
        <w:t>.</w:t>
      </w:r>
    </w:p>
    <w:p>
      <w:pPr>
        <w:pStyle w:val="Heading4"/>
        <w:numPr>
          <w:ilvl w:val="3"/>
          <w:numId w:val="1"/>
        </w:numPr>
        <w:rPr/>
      </w:pPr>
      <w:bookmarkStart w:id="485" w:name="__RefHeading___Toc1994374_581953129"/>
      <w:bookmarkStart w:id="486" w:name="_Toc189"/>
      <w:bookmarkEnd w:id="485"/>
      <w:r>
        <w:rPr>
          <w:rtl w:val="true"/>
        </w:rPr>
        <w:t>ب</w:t>
      </w:r>
      <w:r>
        <w:rPr>
          <w:rtl w:val="true"/>
        </w:rPr>
        <w:t xml:space="preserve">) </w:t>
      </w:r>
      <w:r>
        <w:rPr>
          <w:rtl w:val="true"/>
        </w:rPr>
        <w:t>رأی المحقّق النراقیّ</w:t>
      </w:r>
      <w:r>
        <w:rPr>
          <w:rtl w:val="true"/>
        </w:rPr>
        <w:t>:</w:t>
      </w:r>
      <w:bookmarkEnd w:id="48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المحقّق النراقیّ،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فصل الإمامة، تفضیل الأئمّة الأطهار علیهم السلام، مؤکّداً علی أنّ إثبات إمامتهم أوضح من أن یُستدلّ علیه، سَواء عن طریق النصوص الواردة عن الفریقین، أم عن طریق</w:t>
      </w:r>
    </w:p>
    <w:p>
      <w:pPr>
        <w:pStyle w:val="BookText"/>
        <w:rPr/>
      </w:pPr>
      <w:r>
        <w:rPr>
          <w:rFonts w:ascii="IRNazanin" w:hAnsi="IRNazanin" w:eastAsia="IRNazanin"/>
          <w:color w:val="111111"/>
          <w:sz w:val="28"/>
          <w:sz w:val="28"/>
          <w:szCs w:val="28"/>
          <w:rtl w:val="true"/>
          <w:lang w:bidi="fa-IR"/>
        </w:rPr>
        <w:t>عصمتهم وأفضلیّتهم علی من سِواهم، أم بواسطة ظهور الکرامات والمناقب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أثبت إمامتهم عن طریق کونهم الأفضل من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طریق الأفضلیّة فمعلوم؛ حیث کان کلّ واحد منهم فی عصره أفضل من جمیع الناس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متّفق علیه بین جمیع فِرَق المسلمین، ولم ینکره أحدٌ منهم لیحتاج إلی دلیلٍ مُثبِت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الطبرسیّ فی هذا الصدد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یدلّ أیضاً علی تقدیمهم وتعظیمهم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دلّنا علی أنّ المعرفة بهم کالمعرفة به تعالی، فی أنّها إیمانٌ وإسلام، وأنّ الجهلَ بهم والشکَّ فیهم کالجهلِ به والشکّ فیه، فی أنّه کفر وخروج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منزلةٌ لیس لأحدٍ من البشَر، إلاّ لنبیّنا صلی الله علیه و آله، وبعده لأمیر المؤمنین، والأئمّة من ولده علیهم السلام</w:t>
      </w:r>
      <w:r>
        <w:rPr>
          <w:rFonts w:eastAsia="IRNazanin" w:cs="IRNazanin"/>
          <w:color w:val="111111"/>
          <w:sz w:val="28"/>
          <w:szCs w:val="28"/>
          <w:rtl w:val="true"/>
          <w:lang w:bidi="fa-IR"/>
        </w:rPr>
        <w:t>».</w:t>
      </w:r>
      <w:r>
        <w:rPr>
          <w:rStyle w:val="FootnoteAnchor"/>
          <w:rtl w:val="true"/>
        </w:rPr>
        <w:footnoteReference w:id="30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علی ذلک بإجماع الشیعة الإمامیّة، مذکّراً بأنّ إجماعهم حجّة، بل بإجماع الأمّة علی هذا الأمر؛ وذلک أنّ جمیع أصحاب الشافعیّ یذهبون إلی أنّ الصلاة علی نبیّنا فی التشهّد الأخیر فرضٌ واجبٌ، ورُکنٌ من أرکان الصلاة، متی أخلّ بها الإنسان فلا صلاةَ له، والباقون منهم یذهبون إلی أنّ الصلاة علی الآل مستحبّة ولیست بواجبة</w:t>
      </w:r>
      <w:r>
        <w:rPr>
          <w:rFonts w:eastAsia="IRNazanin" w:cs="IRNazanin"/>
          <w:color w:val="111111"/>
          <w:sz w:val="28"/>
          <w:szCs w:val="28"/>
          <w:rtl w:val="true"/>
          <w:lang w:bidi="fa-IR"/>
        </w:rPr>
        <w:t>.</w:t>
      </w:r>
      <w:bookmarkStart w:id="487" w:name="pg5457_39244"/>
    </w:p>
    <w:p>
      <w:pPr>
        <w:pStyle w:val="BookText"/>
        <w:rPr/>
      </w:pPr>
      <w:bookmarkEnd w:id="487"/>
      <w:r>
        <w:rPr>
          <w:rFonts w:ascii="IRNazanin" w:hAnsi="IRNazanin" w:eastAsia="IRNazanin"/>
          <w:color w:val="111111"/>
          <w:sz w:val="28"/>
          <w:sz w:val="28"/>
          <w:szCs w:val="28"/>
          <w:rtl w:val="true"/>
          <w:lang w:bidi="fa-IR"/>
        </w:rPr>
        <w:t>وأردَف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عدا أصحاب الشافعیّ لا ینکرون أنّ الصلاة علی النبیّ وآله علیهم السلام فی التشهّد مستحبّة، وأیّ شُبهة تبقی مع هذا، فی أنّهم علیهم السلام أفضل الناس وأجلّهم؟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المطلوب بطریقة مغایرة،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یمکن الاستدلال 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ألهم جمیع القلوب، وغرس فی کلّ النفوس، تعظیم شأنهم، وإجلال قدرهم، علی تباین مذاهبهم، واختلاف دیانتهم ونِحَلهم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والمتحصّل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بالأئمّة علیهم السلام کالمعرفة بالله تعالی، فی حین أنّ معرفة الأنبیاء لیست من هذا القبیل، الأمر الذی یفید علوّ مرتبتهم، وتفضیلهم علیهم</w:t>
      </w:r>
      <w:r>
        <w:rPr>
          <w:rFonts w:eastAsia="IRNazanin" w:cs="IRNazanin"/>
          <w:color w:val="111111"/>
          <w:sz w:val="28"/>
          <w:szCs w:val="28"/>
          <w:rtl w:val="true"/>
          <w:lang w:bidi="fa-IR"/>
        </w:rPr>
        <w:t>.</w:t>
      </w:r>
    </w:p>
    <w:p>
      <w:pPr>
        <w:pStyle w:val="Heading4"/>
        <w:numPr>
          <w:ilvl w:val="3"/>
          <w:numId w:val="1"/>
        </w:numPr>
        <w:rPr/>
      </w:pPr>
      <w:bookmarkStart w:id="488" w:name="__RefHeading___Toc1994376_581953129"/>
      <w:bookmarkStart w:id="489" w:name="_Toc190"/>
      <w:bookmarkEnd w:id="488"/>
      <w:r>
        <w:rPr>
          <w:rtl w:val="true"/>
        </w:rPr>
        <w:t>د</w:t>
      </w:r>
      <w:r>
        <w:rPr>
          <w:rtl w:val="true"/>
        </w:rPr>
        <w:t xml:space="preserve">) </w:t>
      </w:r>
      <w:r>
        <w:rPr>
          <w:rtl w:val="true"/>
        </w:rPr>
        <w:t>رأی العلاّمة المجلسیّ</w:t>
      </w:r>
      <w:r>
        <w:rPr>
          <w:rtl w:val="true"/>
        </w:rPr>
        <w:t>:</w:t>
      </w:r>
      <w:bookmarkEnd w:id="489"/>
    </w:p>
    <w:p>
      <w:pPr>
        <w:pStyle w:val="BookText"/>
        <w:rPr/>
      </w:pPr>
      <w:r>
        <w:rPr>
          <w:rFonts w:ascii="IRNazanin" w:hAnsi="IRNazanin" w:eastAsia="IRNazanin"/>
          <w:color w:val="111111"/>
          <w:sz w:val="28"/>
          <w:sz w:val="28"/>
          <w:szCs w:val="28"/>
          <w:rtl w:val="true"/>
          <w:lang w:bidi="fa-IR"/>
        </w:rPr>
        <w:t>سبَق وأن أشرنا إلی أنّ العلاّمة المجلسی عقَد باباً فی البحار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تفضیلهم علیهم السلام علی الأنبیاء، وعلی جمیع الخلق، وأخذ میثاقهم عنهم، وعن الملائکة، وعن سائر الخلق، وأنّ أُولی العزم إنّما صاروا أُولی العزم بحبّهم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هناک حدیثاً عن حفص، عن أبی عبد الله الصادق علیه السلام، حکایةً عن النبیّ موسی علیه السلام، جاء فیه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اجعلنی مِن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مِن أمّته، إذا عرفت منزلته ومنزلة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 ومَثَل أهل بیته فیمَن خلقتُ، کمثلِ الفردوس فی الجنان، لا ینتشر ورقها، ولا یتغیّر 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عرفهم وعرَف حقّهم، جعلتُ له عند الجهل عِلماً، وعند الظلمة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أجیبه قبل أن یدعونی، وأعطیه قَبل أن یسألنی</w:t>
      </w:r>
      <w:r>
        <w:rPr>
          <w:rFonts w:eastAsia="IRNazanin" w:cs="IRNazanin"/>
          <w:color w:val="111111"/>
          <w:sz w:val="28"/>
          <w:szCs w:val="28"/>
          <w:rtl w:val="true"/>
          <w:lang w:bidi="fa-IR"/>
        </w:rPr>
        <w:t>».</w:t>
      </w:r>
      <w:r>
        <w:rPr>
          <w:rStyle w:val="FootnoteAnchor"/>
          <w:rtl w:val="true"/>
        </w:rPr>
        <w:footnoteReference w:id="306"/>
      </w:r>
      <w:bookmarkStart w:id="490" w:name="pg5457_39245"/>
    </w:p>
    <w:p>
      <w:pPr>
        <w:pStyle w:val="Heading4"/>
        <w:numPr>
          <w:ilvl w:val="3"/>
          <w:numId w:val="1"/>
        </w:numPr>
        <w:rPr/>
      </w:pPr>
      <w:bookmarkStart w:id="491" w:name="__RefHeading___Toc1994378_581953129"/>
      <w:bookmarkStart w:id="492" w:name="_Toc191"/>
      <w:bookmarkEnd w:id="490"/>
      <w:bookmarkEnd w:id="491"/>
      <w:r>
        <w:rPr>
          <w:rtl w:val="true"/>
        </w:rPr>
        <w:t>ه</w:t>
      </w:r>
      <w:r>
        <w:rPr>
          <w:rtl w:val="true"/>
        </w:rPr>
        <w:t xml:space="preserve">) </w:t>
      </w:r>
      <w:r>
        <w:rPr>
          <w:rtl w:val="true"/>
        </w:rPr>
        <w:t>رأی الحاکم الحسکانیّ</w:t>
      </w:r>
      <w:r>
        <w:rPr>
          <w:rtl w:val="true"/>
        </w:rPr>
        <w:t>:</w:t>
      </w:r>
      <w:bookmarkEnd w:id="492"/>
    </w:p>
    <w:p>
      <w:pPr>
        <w:pStyle w:val="BookText"/>
        <w:rPr/>
      </w:pPr>
      <w:r>
        <w:rPr>
          <w:rFonts w:ascii="IRNazanin" w:hAnsi="IRNazanin" w:eastAsia="IRNazanin"/>
          <w:color w:val="111111"/>
          <w:sz w:val="28"/>
          <w:sz w:val="28"/>
          <w:szCs w:val="28"/>
          <w:rtl w:val="true"/>
          <w:lang w:bidi="fa-IR"/>
        </w:rPr>
        <w:t xml:space="preserve">قال الحافظ الکبیر الحاکم الحسکانیّ،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فضیلة الأئمّة المیامین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علیّاً وزوجته وأبناءه حُجَجَ اللهِ علی خلقهِ، وهُم أبواب العِلم فی أُمّتی، مَن اهتدی بهم هُدی إلی صراطٍ مُستقیم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إنّ هذه الروایة الواردة فی أحدِ أهمّ المصادر لدی أهل السنّة، تدلّ بوضوح علی مرادنا؛ أی تفضیل أئمّة الهُدی والرشاد علیهم السلام علی الناس کافّة، عدا الرسول الکریم صلی الله علیه و آله؛ باعتبار أنّهم حُجج الله علی العِباد</w:t>
      </w:r>
      <w:r>
        <w:rPr>
          <w:rFonts w:eastAsia="IRNazanin" w:cs="IRNazanin"/>
          <w:color w:val="111111"/>
          <w:sz w:val="28"/>
          <w:szCs w:val="28"/>
          <w:rtl w:val="true"/>
          <w:lang w:bidi="fa-IR"/>
        </w:rPr>
        <w:t>.</w:t>
      </w:r>
    </w:p>
    <w:p>
      <w:pPr>
        <w:pStyle w:val="Heading3"/>
        <w:numPr>
          <w:ilvl w:val="2"/>
          <w:numId w:val="1"/>
        </w:numPr>
        <w:rPr/>
      </w:pPr>
      <w:bookmarkStart w:id="493" w:name="__RefHeading___Toc1994380_581953129"/>
      <w:bookmarkStart w:id="494" w:name="_Toc192"/>
      <w:bookmarkEnd w:id="493"/>
      <w:r>
        <w:rPr>
          <w:rtl w:val="true"/>
        </w:rPr>
        <w:t>الخلاصة</w:t>
      </w:r>
      <w:bookmarkEnd w:id="494"/>
    </w:p>
    <w:p>
      <w:pPr>
        <w:pStyle w:val="BookText"/>
        <w:rPr/>
      </w:pPr>
      <w:r>
        <w:rPr>
          <w:rFonts w:ascii="IRNazanin" w:hAnsi="IRNazanin" w:eastAsia="IRNazanin"/>
          <w:color w:val="111111"/>
          <w:sz w:val="28"/>
          <w:sz w:val="28"/>
          <w:szCs w:val="28"/>
          <w:rtl w:val="true"/>
          <w:lang w:bidi="fa-IR"/>
        </w:rPr>
        <w:t>احتجّ العلماء الأعلام لتفضیل الأئمّة الکرام علی الأنبیاء العظام، بعددٍ کبیرٍ من الآیات القرآنیّة، غیر أنّ أهمّها وأدلّها علی المطلوب آیتا إمامة النبیّ إبراهیم علیه السلام، وآیة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نبیّ الإسلام صلی الله علیه و آله امتدح شخصیّة أمیرِ المؤمنین علیه السلام، وأشاد بها، فی موارد مختلفة، وعدّه فی روایات کثیرة من التراث الإسلامیّ الحافل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الحقّ، ومیزان الأعمال، ومحبوب الله تعالی، وأفضل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هناک روایات أُخری فی مصادرنا الروائیّة، مرویّة عن النبی الخاتم صلی الله علیه و آله، حوَت تعبیرات تدلّ بوضوح وشفافیّة علی تقدیم الأئمّة المعصومین علیه السلام علی غیرهم من الناس</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هذه الآیات والروایات التی ورد بعضها فی مصادر أهل السنّة، أخذ علماء الإمامیّة علی عاتقهم بیان أفضلیّة الأئمّة، وتعریفهم إلی الأجیال</w:t>
      </w:r>
      <w:bookmarkStart w:id="495" w:name="pg5457_39246"/>
    </w:p>
    <w:p>
      <w:pPr>
        <w:pStyle w:val="BookText"/>
        <w:rPr/>
      </w:pPr>
      <w:bookmarkEnd w:id="495"/>
      <w:r>
        <w:rPr>
          <w:rFonts w:ascii="IRNazanin" w:hAnsi="IRNazanin" w:eastAsia="IRNazanin"/>
          <w:color w:val="111111"/>
          <w:sz w:val="28"/>
          <w:sz w:val="28"/>
          <w:szCs w:val="28"/>
          <w:rtl w:val="true"/>
          <w:lang w:bidi="fa-IR"/>
        </w:rPr>
        <w:t>المستقبلیّة، وکشف حقیقتهم للناس، وأنّهم کالشمس فی رابعة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السیاق، لا شکّ فی أنّهم قد أبلوا بلاءً حسناً فی مباحث الإمامة، وفی مجال الکلام، وتمکّنوا من إماطة اللثام عن حقیقة الموضوع، وتسلیط الضوء علی جمیع أبعاده وزوایاه، وأرواء غلیل طلاب الحقّ، والباحثین عن الحقیقة</w:t>
      </w:r>
      <w:r>
        <w:rPr>
          <w:rFonts w:eastAsia="IRNazanin" w:cs="IRNazanin"/>
          <w:color w:val="111111"/>
          <w:sz w:val="28"/>
          <w:szCs w:val="28"/>
          <w:rtl w:val="true"/>
          <w:lang w:bidi="fa-IR"/>
        </w:rPr>
        <w:t>.</w:t>
      </w:r>
    </w:p>
    <w:p>
      <w:pPr>
        <w:pStyle w:val="Heading3"/>
        <w:numPr>
          <w:ilvl w:val="2"/>
          <w:numId w:val="1"/>
        </w:numPr>
        <w:rPr/>
      </w:pPr>
      <w:bookmarkStart w:id="496" w:name="__RefHeading___Toc1994382_581953129"/>
      <w:bookmarkStart w:id="497" w:name="_Toc193"/>
      <w:bookmarkEnd w:id="496"/>
      <w:r>
        <w:rPr>
          <w:rtl w:val="true"/>
        </w:rPr>
        <w:t>مصادر للمطالعة</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نجفی خمینی، تفسیر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طهران، الانتشارات الإسلامیّة،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الطبرسیّ، إعلام الوری بأعلام الهدی،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الانتشارات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تفضیل أمیر المؤمنین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المشرفة علی المؤتمر العالمیّ لألفیّة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خسروی، باب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الفارسیّة للمجلّد السابع من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الانتشارات الإسلامیّة،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مهدی النراقیّ، الشهاب الثاقب فی الإمامة، مؤتمر تخلید ذکری النراقیّین،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98" w:name="__RefHeading___Toc1994384_581953129"/>
      <w:bookmarkStart w:id="499" w:name="_Toc194"/>
      <w:bookmarkEnd w:id="498"/>
      <w:r>
        <w:rPr>
          <w:rtl w:val="true"/>
        </w:rPr>
        <w:t>الحدیث الختامیّ</w:t>
      </w:r>
      <w:bookmarkEnd w:id="499"/>
    </w:p>
    <w:p>
      <w:pPr>
        <w:pStyle w:val="BookText"/>
        <w:rPr/>
      </w:pP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أوصی به رسول الله صلی الله علیه و آله علیّاً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ثَلاثُ خِصالٍ مِن حَقایقِ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فی الإقتارِ، وَإنصافُ النّاسِ مِن نَفسِکَ، وَبَذلُ العِلمِ لِلمُتَعَلّمِ</w:t>
      </w:r>
      <w:r>
        <w:rPr>
          <w:rFonts w:eastAsia="Amiri" w:cs="Amiri" w:ascii="Amiri" w:hAnsi="Amiri"/>
          <w:color w:val="111111"/>
          <w:sz w:val="28"/>
          <w:szCs w:val="28"/>
          <w:rtl w:val="true"/>
          <w:lang w:bidi="ar-SA"/>
        </w:rPr>
        <w:t>».</w:t>
      </w:r>
      <w:r>
        <w:rPr>
          <w:rStyle w:val="FootnoteAnchor"/>
          <w:rtl w:val="true"/>
        </w:rPr>
        <w:footnoteReference w:id="308"/>
      </w:r>
      <w:bookmarkStart w:id="500" w:name="pg5457_39247"/>
    </w:p>
    <w:p>
      <w:pPr>
        <w:pStyle w:val="Heading2"/>
        <w:numPr>
          <w:ilvl w:val="1"/>
          <w:numId w:val="1"/>
        </w:numPr>
        <w:rPr/>
      </w:pPr>
      <w:bookmarkStart w:id="501" w:name="__RefHeading___Toc1994386_581953129"/>
      <w:bookmarkStart w:id="502" w:name="_Toc195"/>
      <w:bookmarkEnd w:id="500"/>
      <w:bookmarkEnd w:id="501"/>
      <w:r>
        <w:rPr>
          <w:rtl w:val="true"/>
        </w:rPr>
        <w:t>عصمة الإمام علیّ علیه السلام واعترافه بالخطأ</w:t>
      </w:r>
      <w:bookmarkEnd w:id="502"/>
    </w:p>
    <w:p>
      <w:pPr>
        <w:pStyle w:val="Heading3"/>
        <w:numPr>
          <w:ilvl w:val="2"/>
          <w:numId w:val="1"/>
        </w:numPr>
        <w:rPr/>
      </w:pPr>
      <w:bookmarkStart w:id="503" w:name="__RefHeading___Toc1994388_581953129"/>
      <w:bookmarkStart w:id="504" w:name="_Toc196"/>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لَستُ فِی نَفسِی بِفَوقِ أَن أُخطِیءَ، وَلاَ آمَنُ ذلِکَ مِن فِعلِی، إِلاَّ أَن یَکفِیَ اللهُ مِن نَفسِی مَا هُوَ أَملَکُ بِهِ مِنِّی</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فهل أنّ هذا الکلام یتَّسق مع القول بعِصمَتِه، أم أنّه مُنافٍ لها؟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عِصمة الأئمّة المعصومین علیهم السلام، لا سیّما الإمام أمیر المؤمنین علیّ بن أبی طالب علیه السلام، من الأُمور المسلّمة والقطعیّة عند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الخصوص، أورَد العلاّمة الحلیّ،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 فی إمامة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ألفاً وثمانیة وثلاثین دلیلاً علی وجوبِ عصمة الإمام أمیر المؤمنین علیه السلام، فهناک کمٌّ کبیرٌ من الآیات القرآنیّة، نحو آیة التطهیر،</w:t>
      </w:r>
      <w:r>
        <w:rPr>
          <w:rStyle w:val="FootnoteAnchor"/>
          <w:rtl w:val="true"/>
        </w:rPr>
        <w:footnoteReference w:id="310"/>
      </w:r>
      <w:r>
        <w:rPr>
          <w:rFonts w:ascii="IRNazanin" w:hAnsi="IRNazanin" w:eastAsia="IRNazanin"/>
          <w:color w:val="111111"/>
          <w:sz w:val="28"/>
          <w:sz w:val="28"/>
          <w:szCs w:val="28"/>
          <w:rtl w:val="true"/>
          <w:lang w:bidi="fa-IR"/>
        </w:rPr>
        <w:t>وغیرها من الآیات الأخری، تدلّ علی عصمة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الروایات المأثورة عن الأئمّة من أهل بیت النبیّ الکریم صلی الله علیه و آله، والأدلّة العقلیّة الکثیرة فی هذا الباب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اعتراف الإمام علیّ علیه السلام بالخطأ، لا یعنی ارتکاب المحرّمات</w:t>
      </w:r>
      <w:bookmarkStart w:id="505" w:name="pg5457_39248"/>
    </w:p>
    <w:p>
      <w:pPr>
        <w:pStyle w:val="BookText"/>
        <w:rPr/>
      </w:pPr>
      <w:bookmarkEnd w:id="505"/>
      <w:r>
        <w:rPr>
          <w:rFonts w:ascii="IRNazanin" w:hAnsi="IRNazanin" w:eastAsia="IRNazanin"/>
          <w:color w:val="111111"/>
          <w:sz w:val="28"/>
          <w:sz w:val="28"/>
          <w:szCs w:val="28"/>
          <w:rtl w:val="true"/>
          <w:lang w:bidi="fa-IR"/>
        </w:rPr>
        <w:t xml:space="preserve">والمعاصی المنافیة لمقام العصمة؛ ذلک أنّه من حیث التقرّب والمعرفة بالله تعالی یمتلک مقاماً سامیاً، لکنّه یری أنّ عبودیّته غیر جدیرة بمقام الباری عزّ وجلّ؛ ومن هنا، یَعتبِر الإمام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مقصّراً لمجرّد ترک الأَولی، فیلتمِس العفوَ والمغفرة من الخالق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یتنافی مع العصمة ألبتّة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یُشار إلیه أنّ هذا السؤال لیس مِن الأسئلة الحدیثة، أو الخاصّة بعصرنا فقط، وأنّما طُرِح هذا البحث سابقاً، فی عددٍ من الکُتُب والمؤلّفات القدیمة، مثل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للمرحوم الأربَلیّ، وشروح نهج البلاغة، کشرح ابن أبی الحدید،</w:t>
      </w:r>
      <w:r>
        <w:rPr>
          <w:rStyle w:val="FootnoteAnchor"/>
          <w:rtl w:val="true"/>
        </w:rPr>
        <w:footnoteReference w:id="312"/>
      </w:r>
      <w:r>
        <w:rPr>
          <w:rFonts w:ascii="IRNazanin" w:hAnsi="IRNazanin" w:eastAsia="IRNazanin"/>
          <w:color w:val="111111"/>
          <w:sz w:val="28"/>
          <w:sz w:val="28"/>
          <w:szCs w:val="28"/>
          <w:rtl w:val="true"/>
          <w:lang w:bidi="fa-IR"/>
        </w:rPr>
        <w:t>بالإضافة إلی الترجمة الفارسیّة لنهج البلاغة للمرحوم الدشتیّ،</w:t>
      </w:r>
      <w:r>
        <w:rPr>
          <w:rStyle w:val="FootnoteAnchor"/>
          <w:rtl w:val="true"/>
        </w:rPr>
        <w:footnoteReference w:id="313"/>
      </w:r>
      <w:r>
        <w:rPr>
          <w:rFonts w:ascii="Amiri" w:hAnsi="Amiri" w:eastAsia="Amiri" w:cs="Amiri"/>
          <w:color w:val="111111"/>
          <w:sz w:val="28"/>
          <w:sz w:val="28"/>
          <w:szCs w:val="28"/>
          <w:rtl w:val="true"/>
          <w:lang w:bidi="ar-SA"/>
        </w:rPr>
        <w:t>وأُجیب عنه بشکلٍ وافٍ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علی ذلک، فإنّ شرح معنی الخطأ والزلَل بالنسبة إلی الأئمّة المعصومین علیهم السلام، سیکشف عن أنّ اعتراف الأئمّة الأطهار علیهم السلام بالخطأ یختلف عن اعترافنا به، وأنّ ذلک لا ینافی عصمتهم</w:t>
      </w:r>
      <w:r>
        <w:rPr>
          <w:rFonts w:eastAsia="IRNazanin" w:cs="IRNazanin"/>
          <w:color w:val="111111"/>
          <w:sz w:val="28"/>
          <w:szCs w:val="28"/>
          <w:rtl w:val="true"/>
          <w:lang w:bidi="fa-IR"/>
        </w:rPr>
        <w:t>.</w:t>
      </w:r>
    </w:p>
    <w:p>
      <w:pPr>
        <w:pStyle w:val="Heading3"/>
        <w:numPr>
          <w:ilvl w:val="2"/>
          <w:numId w:val="1"/>
        </w:numPr>
        <w:rPr/>
      </w:pPr>
      <w:bookmarkStart w:id="506" w:name="__RefHeading___Toc1994390_581953129"/>
      <w:bookmarkStart w:id="507" w:name="_Toc197"/>
      <w:bookmarkEnd w:id="506"/>
      <w:r>
        <w:rPr>
          <w:rtl w:val="true"/>
        </w:rPr>
        <w:t>أ</w:t>
      </w:r>
      <w:r>
        <w:rPr>
          <w:rtl w:val="true"/>
        </w:rPr>
        <w:t xml:space="preserve">) </w:t>
      </w:r>
      <w:r>
        <w:rPr>
          <w:rtl w:val="true"/>
        </w:rPr>
        <w:t>أقسام الخطأ ومراتب المعصیة</w:t>
      </w:r>
      <w:bookmarkEnd w:id="5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کلّ خطأ یعدّ معصیة؛ ولذلک عبّروا عن الخطأ فی اللغة 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قسمٌ من الأخطاء فقط تدخل فی دائرة المعصیة والذنب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عبارة عن ذنب غیر متعمّد؛ بمعنی أنّه صدَر عن سهو ومن غیر التفات،</w:t>
      </w:r>
      <w:r>
        <w:rPr>
          <w:rStyle w:val="FootnoteAnchor"/>
          <w:rtl w:val="true"/>
        </w:rPr>
        <w:footnoteReference w:id="314"/>
      </w:r>
      <w:r>
        <w:rPr>
          <w:rFonts w:ascii="IRNazanin" w:hAnsi="IRNazanin" w:eastAsia="IRNazanin"/>
          <w:color w:val="111111"/>
          <w:sz w:val="28"/>
          <w:sz w:val="28"/>
          <w:szCs w:val="28"/>
          <w:rtl w:val="true"/>
          <w:lang w:bidi="fa-IR"/>
        </w:rPr>
        <w:t>لیس بالکلام الصائب؛ لأنّ التکلیف متفرّع علی الالتفات</w:t>
      </w:r>
      <w:bookmarkStart w:id="508" w:name="pg5457_39249"/>
    </w:p>
    <w:p>
      <w:pPr>
        <w:pStyle w:val="BookText"/>
        <w:rPr/>
      </w:pPr>
      <w:bookmarkEnd w:id="508"/>
      <w:r>
        <w:rPr>
          <w:rFonts w:ascii="IRNazanin" w:hAnsi="IRNazanin" w:eastAsia="IRNazanin"/>
          <w:color w:val="111111"/>
          <w:sz w:val="28"/>
          <w:sz w:val="28"/>
          <w:szCs w:val="28"/>
          <w:rtl w:val="true"/>
          <w:lang w:bidi="fa-IR"/>
        </w:rPr>
        <w:t>والعلم؛ ولذا فالسهو والنسیان فی الأعمال لیس مشمولاً بالحکم التکلیفیّ، فلو شرِب الإنسان المؤمن الخمر بدَلاً من الماء سهواً، لا یُعدّ هذا العمَل منه ارتکاباً للمعصیة والذنب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السیاق، نفت بعض الروایات أیّ لون من ألوان الخطأ والذنب والسهو والنسیان عن الأنبیاء الإلهیّین والأئمّة المعصومین علیهم السلام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ومن هنا، فللخطأ والمعصیة أنواعٌ وأقسامٌ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القانونیّة أو الشرعیّة، وهو المعنی المشهور للمعصیة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 أنّ جمیع المعصومین علیهم السلام مصونون عن ارتکاب ذنب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الأخلاقیّة، وهی الخطأ المخالف لمکارم الأخلاق، وإن لم یکُن من المحرّمات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ویتفاوت الذنب الأخلاقیّ بین الأفراد، بحسب مکانتهم ومرکزهم الاجتماعیّ؛ فعلی سبیل المثال، تناول المشروبات فی الأماکن العامّة أمر مقبول بنظر البعض، ولا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یمکن أن یَعدّ البعضُ هکذا عمل أمراً مخالفاً للأخلاق، بل ویلومون مرتکبه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الأئمّة المعصومین علیهم السلام أسوة للآخرین، لا بدّ لهم من الابتعاد عن کلّ ما یدخل فی دائرة ترک الأَولی</w:t>
      </w:r>
      <w:r>
        <w:rPr>
          <w:rFonts w:eastAsia="IRNazanin" w:cs="IRNazanin"/>
          <w:color w:val="111111"/>
          <w:sz w:val="28"/>
          <w:szCs w:val="28"/>
          <w:rtl w:val="true"/>
          <w:lang w:bidi="fa-IR"/>
        </w:rPr>
        <w:t>.</w:t>
      </w:r>
    </w:p>
    <w:p>
      <w:pPr>
        <w:pStyle w:val="Heading3"/>
        <w:numPr>
          <w:ilvl w:val="2"/>
          <w:numId w:val="1"/>
        </w:numPr>
        <w:rPr/>
      </w:pPr>
      <w:bookmarkStart w:id="509" w:name="__RefHeading___Toc1994392_581953129"/>
      <w:bookmarkStart w:id="510" w:name="_Toc198"/>
      <w:bookmarkEnd w:id="509"/>
      <w:r>
        <w:rPr>
          <w:rtl w:val="true"/>
        </w:rPr>
        <w:t>ب</w:t>
      </w:r>
      <w:r>
        <w:rPr>
          <w:rtl w:val="true"/>
        </w:rPr>
        <w:t xml:space="preserve">) </w:t>
      </w:r>
      <w:r>
        <w:rPr>
          <w:rtl w:val="true"/>
        </w:rPr>
        <w:t>المعصیة فی مقام المحبّة</w:t>
      </w:r>
      <w:bookmarkEnd w:id="5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مقام المحبّة ذو لوازم متعدّدة، بحیث لو غفل المحبّ عن العمل بأحدها لعُدّ ذلک من أعظم الذنوب التی ارتکبها، ولبَقیَ أمداً طویلاً، فی حال الاستغفار والتوبة عمّا اقترفه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وهو ما دعا الأنبیاء والأئمّة إلی ملازمة البکاء والاستغفار والتوبة إلی الله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من أکّد علی هذه الحقیقة الناصعة، التی لا یهتدی إلیها إلاّ من أتی الله بقلب سلیم، العالم الکبیر المرحوم الأربَلیّ، فذهب إلی أنّ التأمّل فی هذا الموضوع أوصله إلی حلّ متین لهذه الشبهة، وذلک من کرامات ومعجزات الإمام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یتبیّن أنّ المعاصی التی لا مناصَ للمعصوم من ارتکابها، ولطالما تأوّه واستغفر ربّه منها، لیس هی المحرّمات الإلهیّة، وإنّما معیار فی غایة الدقّة لمعرفة الخطأ وتقییم العمل؛ ولذا، فهم یرون ما یراه غیرهم مباحاً علی أنّه معصیة لا بدّ من اجتنابها، ولا یمرّون علیه مرور الکرام کسائر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کثیرٌ هم الذین لا یداخلهم الحزن، ولا یأبهون من فوت وقت الصلاة الواجبة، ولا یبالون إن تحوّلت من الأداء إلی القضاء، وغیر قلیل هم المتّقون الذین یألمون علی عدم الإتیان بالصلاة النافلة، وهذه السلسلة متواصلة، ولا نهایة لها؛ فکلّما ازدادت المعرفة والمحبّة فی قلوب السائرین فی الطریق الإلهیّ، شعروا بزیادة الأعباء علی عواتقهم، وأدرکوا أنّهم مقصّرون فی أداء الواجب الملقی علی کواهلهم کما ینبغی، وکما هو أهل للباری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نظر المرحوم الأربَلیّ إلی إحساس المعصومین علیه السلام بالذنب، من زاویة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الأنبیاء والأئمّة علیهم السلام تکون أوقاتهم مشغولة بالله تعالی، وقلوبهم مملوءة به، وخواطرهم متعلّقه بالملأ الأعلی، وهُم أبداً فی 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أبداً متوجّهون إلیه، ومقبلون بکلّهم علیه؛ فمتی انحطّوا عن تلک الرتبة العالیة، والمنزلة الرفیعة، إلی الاشتغال بالمأکل، والمشرَب، والتفرّغ إلی النکاح، وغیره من المباحات، عدّوه ذنباً، واعتقدوه خطیئةً، واستغفروا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أشار علیه السلام أنّه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سَیّئاتُ المُقرَّبینَ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بناءً علی ذلک، فالمراد من الذنب الذی یُصان المعصوم علیه السلام من ارتکابه، هو العمل المسمّی فی لسان الفقه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ترک ما یُعدّ فی لسان الفقه واجباً یدخل فی دائرة المعصیة والذنب کذلک، لکنّ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 لها استخدامٌ واسع، حتّی أنّها لتشمل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وارتکاب الأخطاء والذنوب التی من هذا القبیل لا تتنافی مع العصمة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لَستُ فِی نَفسِی بِفَوقِ أَن أُخطِیءَ، وَلاَ آمَنُ ذلِکَ مِن فِعلِی، إِلاَّ أَن یَکفِیَ اللهُ مِن نَفسِی مَا هُوَ أَملَکُ بِهِ مِنِّی، فَإنَّمَا أَنَا وَأَنتُم عَبِیدٌ مَملُوکُونَ لِرَبٍّ لاَ رَبَّ غَیرُهُ، یَملِکُ مِنَّا مَا لاَ نَملِکُ مِن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فلا یتنافی مع العصمة أیضاً؛ لأنّ فی العبارة نفسها من القیود ما یجعلها کذلک، حیث یُستفاد من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من دون معونة الله تبارک وتعالی لا مفرّ من الذنب والمعصیة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یضاف إلی ذلک،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یَکفیَ اللهُ 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بصراحة علی أنّ العِصمة مُستمدّة من التوفیق الإلهیّ، ولیست قائمة بذاتها، أو یکون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فِی نَفسِی بِفَوقِ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هضم النفس</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بمعنی أنّ الإمام علیه السلام یرید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أنا ونفسی، لما کنت بعیداً عن الوقوع فی الخطأ والزلَل، لکنّ الله تعالی کان دائماً هو المُمِدّ والمعین لی؛ ولذا، فلن أزِلّ وارتکب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ذهب المرحوم الدشتی فی شرحه لنهج البلاغة إلی أنّ قول الإمام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یَکفیَ اللهُ 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 ذاته إثبات للعصمة</w:t>
      </w:r>
      <w:r>
        <w:rPr>
          <w:rFonts w:eastAsia="Amiri" w:cs="Amiri" w:ascii="Amiri" w:hAnsi="Amiri"/>
          <w:color w:val="111111"/>
          <w:sz w:val="28"/>
          <w:szCs w:val="28"/>
          <w:rtl w:val="true"/>
          <w:lang w:bidi="ar-SA"/>
        </w:rPr>
        <w:t>.</w:t>
      </w:r>
      <w:r>
        <w:rPr>
          <w:rStyle w:val="FootnoteAnchor"/>
          <w:rtl w:val="true"/>
        </w:rPr>
        <w:footnoteReference w:id="320"/>
      </w:r>
      <w:bookmarkStart w:id="511" w:name="pg5457_39252"/>
    </w:p>
    <w:p>
      <w:pPr>
        <w:pStyle w:val="BookText"/>
        <w:rPr/>
      </w:pPr>
      <w:bookmarkEnd w:id="511"/>
      <w:r>
        <w:rPr>
          <w:rFonts w:ascii="Amiri" w:hAnsi="Amiri" w:eastAsia="Amiri" w:cs="Amiri"/>
          <w:color w:val="111111"/>
          <w:sz w:val="28"/>
          <w:sz w:val="28"/>
          <w:szCs w:val="28"/>
          <w:rtl w:val="true"/>
          <w:lang w:bidi="ar-SA"/>
        </w:rPr>
        <w:t>والعصمة لا تعنی عدم الحاجة إلی التأیید الإلهیّ؛ إذ أنّ الله عزّ وجلّ قال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w:t>
      </w:r>
      <w:r>
        <w:rPr>
          <w:rStyle w:val="FootnoteAnchor"/>
          <w:rtl w:val="true"/>
        </w:rPr>
        <w:footnoteReference w:id="321"/>
      </w:r>
      <w:r>
        <w:rPr>
          <w:rFonts w:ascii="Amiri" w:hAnsi="Amiri" w:eastAsia="Amiri" w:cs="Amiri"/>
          <w:color w:val="111111"/>
          <w:sz w:val="28"/>
          <w:sz w:val="28"/>
          <w:szCs w:val="28"/>
          <w:rtl w:val="true"/>
          <w:lang w:bidi="ar-SA"/>
        </w:rPr>
        <w:t>فالنبیّ صلی الله علیه و آله بمقتضی الطبع البشریّ والإنسانیّ له، کادَ أن یقبل وساوِس المشرکین، إلاّ أنّ التأیید الإلهیّ صانَه من الوقوع فی الهاویة، وأنقذَه من الرکون إلی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کان النبیّ یوسف علیه السلام یعتقد أنّه لم یتخلّص من بطش النفس الأمّارة بالسوء إلاّ برحمة ربّه تبارک وتعالی،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w:t>
      </w:r>
      <w:r>
        <w:rPr>
          <w:rFonts w:eastAsia="Amiri" w:cs="Amiri" w:ascii="Amiri" w:hAnsi="Amiri"/>
          <w:color w:val="111111"/>
          <w:sz w:val="28"/>
          <w:szCs w:val="28"/>
          <w:rtl w:val="true"/>
          <w:lang w:bidi="ar-SA"/>
        </w:rPr>
        <w:t>) .</w:t>
      </w:r>
      <w:r>
        <w:rPr>
          <w:rStyle w:val="FootnoteAnchor"/>
          <w:rtl w:val="true"/>
        </w:rPr>
        <w:footnoteReference w:id="322"/>
      </w:r>
    </w:p>
    <w:p>
      <w:pPr>
        <w:pStyle w:val="Heading3"/>
        <w:numPr>
          <w:ilvl w:val="2"/>
          <w:numId w:val="1"/>
        </w:numPr>
        <w:rPr/>
      </w:pPr>
      <w:bookmarkStart w:id="512" w:name="__RefHeading___Toc1994394_581953129"/>
      <w:bookmarkStart w:id="513" w:name="_Toc199"/>
      <w:bookmarkEnd w:id="512"/>
      <w:r>
        <w:rPr>
          <w:rtl w:val="true"/>
        </w:rPr>
        <w:t>النتیجة</w:t>
      </w:r>
      <w:bookmarkEnd w:id="513"/>
    </w:p>
    <w:p>
      <w:pPr>
        <w:pStyle w:val="BookText"/>
        <w:rPr/>
      </w:pPr>
      <w:r>
        <w:rPr>
          <w:rFonts w:ascii="IRNazanin" w:hAnsi="IRNazanin" w:eastAsia="IRNazanin"/>
          <w:color w:val="111111"/>
          <w:sz w:val="28"/>
          <w:sz w:val="28"/>
          <w:szCs w:val="28"/>
          <w:rtl w:val="true"/>
          <w:lang w:bidi="fa-IR"/>
        </w:rPr>
        <w:t>إنّ العصمة من مسلّمات وثوابت المذهب الشیعیّ، ولا یُمکن القَدح فیها، واعتراف الإمام علیّ علیه السلام بالخطأ، لا یعنی ارتکابه للمعصیة، والعیاذُ بالله؛ ذلک أنّ مقام العِصمة لا یتنافی مع کلّ ألوان الخطأ، بل بعض أقسام الخطأ فقط تُعَدُّ من المعاصی والذنوب، وهی ممّا لا بُدّ للمعصوم من تجنّبها وعدَم اقترافها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العِصمة من التوفیقات الإلهیّة، التی یمنُّ بها علی خواصّ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 علیه السلام، وبفعل قُربِه من الباری تعالی، ومعرفته التامّة به، یری أنّ عبودیّته لا تلیق بمقام الربّ عزّ وجلّ؛ ولهذا، فهو یستغفر الباری تعالی عن ذلک، وعن ترک الأَولی</w:t>
      </w:r>
      <w:r>
        <w:rPr>
          <w:rFonts w:eastAsia="IRNazanin" w:cs="IRNazanin"/>
          <w:color w:val="111111"/>
          <w:sz w:val="28"/>
          <w:szCs w:val="28"/>
          <w:rtl w:val="true"/>
          <w:lang w:bidi="fa-IR"/>
        </w:rPr>
        <w:t>.</w:t>
      </w:r>
      <w:bookmarkStart w:id="514" w:name="pg5457_39253"/>
    </w:p>
    <w:p>
      <w:pPr>
        <w:pStyle w:val="Heading3"/>
        <w:numPr>
          <w:ilvl w:val="2"/>
          <w:numId w:val="1"/>
        </w:numPr>
        <w:rPr/>
      </w:pPr>
      <w:bookmarkStart w:id="515" w:name="__RefHeading___Toc1994396_581953129"/>
      <w:bookmarkStart w:id="516" w:name="_Toc200"/>
      <w:bookmarkEnd w:id="514"/>
      <w:bookmarkEnd w:id="515"/>
      <w:r>
        <w:rPr>
          <w:rtl w:val="true"/>
        </w:rPr>
        <w:t>مصادر للمطالعة</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جمال الدین الحلیّ، الألفَین فی إمامة مولانا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أکبر ناصری، امامت وشفاعت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کاردان، إمامت وعصمت إمامان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وعصمة الأئمّة فی القرآن</w:t>
      </w:r>
      <w:r>
        <w:rPr>
          <w:rFonts w:eastAsia="IRNazanin" w:cs="IRNazanin"/>
          <w:color w:val="111111"/>
          <w:sz w:val="28"/>
          <w:szCs w:val="28"/>
          <w:rtl w:val="true"/>
          <w:lang w:bidi="fa-IR"/>
        </w:rPr>
        <w:t>).</w:t>
      </w:r>
    </w:p>
    <w:p>
      <w:pPr>
        <w:pStyle w:val="Heading3"/>
        <w:numPr>
          <w:ilvl w:val="2"/>
          <w:numId w:val="1"/>
        </w:numPr>
        <w:rPr/>
      </w:pPr>
      <w:bookmarkStart w:id="517" w:name="__RefHeading___Toc1994398_581953129"/>
      <w:bookmarkStart w:id="518" w:name="_Toc201"/>
      <w:bookmarkEnd w:id="517"/>
      <w:r>
        <w:rPr>
          <w:rtl w:val="true"/>
        </w:rPr>
        <w:t>الحدیث الختامیّ</w:t>
      </w:r>
      <w:bookmarkEnd w:id="518"/>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وَالحَسنُ وَالحُسینُ وَتِسعةٌ مِن وُلدِ الحُسینِ مُطَهّرونَ مَعصومونَ</w:t>
      </w:r>
      <w:r>
        <w:rPr>
          <w:rFonts w:eastAsia="Amiri" w:cs="Amiri" w:ascii="Amiri" w:hAnsi="Amiri"/>
          <w:color w:val="111111"/>
          <w:sz w:val="28"/>
          <w:szCs w:val="28"/>
          <w:rtl w:val="true"/>
          <w:lang w:bidi="ar-SA"/>
        </w:rPr>
        <w:t>».</w:t>
      </w:r>
      <w:r>
        <w:rPr>
          <w:rStyle w:val="FootnoteAnchor"/>
          <w:rtl w:val="true"/>
        </w:rPr>
        <w:footnoteReference w:id="323"/>
      </w:r>
      <w:bookmarkStart w:id="519" w:name="pg5457_39255"/>
    </w:p>
    <w:p>
      <w:pPr>
        <w:pStyle w:val="Heading2"/>
        <w:numPr>
          <w:ilvl w:val="1"/>
          <w:numId w:val="1"/>
        </w:numPr>
        <w:rPr/>
      </w:pPr>
      <w:bookmarkStart w:id="520" w:name="__RefHeading___Toc1994400_581953129"/>
      <w:bookmarkStart w:id="521" w:name="_Toc202"/>
      <w:bookmarkEnd w:id="519"/>
      <w:bookmarkEnd w:id="520"/>
      <w:r>
        <w:rPr>
          <w:rtl w:val="true"/>
        </w:rPr>
        <w:t>تعیین النبیّ صلی الله علیه و آله للإمام علیّ علیه السلام خلیفةً له</w:t>
      </w:r>
      <w:bookmarkEnd w:id="521"/>
    </w:p>
    <w:p>
      <w:pPr>
        <w:pStyle w:val="Heading3"/>
        <w:numPr>
          <w:ilvl w:val="2"/>
          <w:numId w:val="1"/>
        </w:numPr>
        <w:rPr/>
      </w:pPr>
      <w:bookmarkStart w:id="522" w:name="__RefHeading___Toc1994402_581953129"/>
      <w:bookmarkStart w:id="523" w:name="_Toc203"/>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النبیّ صلی الله علیه و آله نصّ علی تعیین الإمام علیّ علیه السلام خلیفةً ووصیّاً له، أم أنّه ذکره کشخصٍ لائقٍ ومؤهّل للمسؤولیّة؟</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 خلافة أمیر المؤمنین علیه السلام کان قد طُرِح مُنذ عصر النبیّ الکریم صلی الله علیه و آله، فرسول الله صلی الله علیه و آله ما کان لیدع موضوعاً بهذا القدر من الأهمیّة مبهماً، ومن دون 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رحیل خاتم الرسل صلی الله علیه و آله، ولمّا بلغ موضوع الخلافة إلی المرحلة العملیّة، تدخّلت جملة من العوامل لتؤدّی إلی إنکار قضیّة بهذا المستوی من الوضوح والشهرة، وآل الأمر إلی خلافٍ عمیق، ونِزاعٍ فی العقائد الإسلامیة بین فریقین عظیمین من المسلمین، وأُثیرت فی هذا المجال أسئلةٌ کثیرة حول موضوع الخلافة والنصّ علیها، بل وکُتِبت فی ذلک کُتُبٌ ومؤلّفاتٌ واسعة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عمَد الأئمّة المعصومون علیهم السلام وعلماء الدین، إلی الاستشهاد بالآیات القرآنیّة، والسنّة النبویّة الشریفة، والشواهد التاریخیّة الموثوقة؛ للردّ علی الشُّبهات والأسئلة المطروحة من قِبَل المخالفین والمعارضین لموضوع النصّ علی خلافة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فعلوا، حیث استطاعوا تسلیط الأضواء علی مختلف أبعاد هذه القضیّة، وجمیع زوایاها</w:t>
      </w:r>
      <w:r>
        <w:rPr>
          <w:rFonts w:eastAsia="IRNazanin" w:cs="IRNazanin"/>
          <w:color w:val="111111"/>
          <w:sz w:val="28"/>
          <w:szCs w:val="28"/>
          <w:rtl w:val="true"/>
          <w:lang w:bidi="fa-IR"/>
        </w:rPr>
        <w:t>.</w:t>
      </w:r>
      <w:bookmarkStart w:id="524" w:name="pg5457_39256"/>
    </w:p>
    <w:p>
      <w:pPr>
        <w:pStyle w:val="BookText"/>
        <w:rPr/>
      </w:pPr>
      <w:bookmarkEnd w:id="524"/>
      <w:r>
        <w:rPr>
          <w:rFonts w:ascii="IRNazanin" w:hAnsi="IRNazanin" w:eastAsia="IRNazanin"/>
          <w:color w:val="111111"/>
          <w:sz w:val="28"/>
          <w:sz w:val="28"/>
          <w:szCs w:val="28"/>
          <w:rtl w:val="true"/>
          <w:lang w:bidi="fa-IR"/>
        </w:rPr>
        <w:t>وعلی هذا الأساس، ارتأینا طَرح هذا السؤال؛ من أجل إیضاح هذا الموضوع، بعد أن حامت حوله الشُّبهات، وإثبات الحقّ فی الموضوع، ثمّ سنطرح فی الصفحات القادمة عدداً آخر من الأسئلة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المطروح ینقسم فی حقیقة الأمر إلی 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تعیین الإمام علیّ علیه السلام خلیفةً للمسلمین من قِبَل نبیّ الإسلام صلی الله علیه و آله، والآخر، اعتباره فرداً مؤهّلاً ولائقاً بهذا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الجواب، هنالک احتمالات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یتمّ سؤال النبیّ صلی الله علیه و آله عن کلا شقّی السؤال 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أحد الشِّقّین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النبیّ صلی الله علیه و آله عن الشقّین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والحقیقة أنّ رسول الله صلی الله علیه و آله أجاب عن کلا السؤالین، فعیّن الإمام علیّ علیه السلام خلیفة لمن بعده، وعدّه شخصاً مؤهّلاً ومستحقّاً لهذا المنصب الإلهیّ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سوف نستعرض بإیجاز موارد تصریح النبیّ الکریم صلی الله علیه و آله، بکون الإمام علیه السلام فرداً لائقاً ومؤهّلاً لمسؤولیّة الخلافة، وتصریحه بکونه خلیفة المسلمین من بعده</w:t>
      </w:r>
      <w:r>
        <w:rPr>
          <w:rFonts w:eastAsia="IRNazanin" w:cs="IRNazanin"/>
          <w:color w:val="111111"/>
          <w:sz w:val="28"/>
          <w:szCs w:val="28"/>
          <w:rtl w:val="true"/>
          <w:lang w:bidi="fa-IR"/>
        </w:rPr>
        <w:t>:</w:t>
      </w:r>
    </w:p>
    <w:p>
      <w:pPr>
        <w:pStyle w:val="Heading3"/>
        <w:numPr>
          <w:ilvl w:val="2"/>
          <w:numId w:val="1"/>
        </w:numPr>
        <w:rPr/>
      </w:pPr>
      <w:bookmarkStart w:id="525" w:name="__RefHeading___Toc1994404_581953129"/>
      <w:bookmarkStart w:id="526" w:name="_Toc204"/>
      <w:bookmarkEnd w:id="525"/>
      <w:r>
        <w:rPr>
          <w:rtl w:val="true"/>
        </w:rPr>
        <w:t>أ</w:t>
      </w:r>
      <w:r>
        <w:rPr>
          <w:rtl w:val="true"/>
        </w:rPr>
        <w:t xml:space="preserve">) </w:t>
      </w:r>
      <w:r>
        <w:rPr>
          <w:rtl w:val="true"/>
        </w:rPr>
        <w:t>اعتبار الإمام علیه السلام شخصاً مؤهّلاً ولائقاً</w:t>
      </w:r>
      <w:bookmarkEnd w:id="526"/>
    </w:p>
    <w:p>
      <w:pPr>
        <w:pStyle w:val="Heading4"/>
        <w:numPr>
          <w:ilvl w:val="3"/>
          <w:numId w:val="1"/>
        </w:numPr>
        <w:rPr/>
      </w:pPr>
      <w:bookmarkStart w:id="527" w:name="__RefHeading___Toc1994406_581953129"/>
      <w:bookmarkStart w:id="528" w:name="_Toc205"/>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یتمیّز الإمام أمیر المؤمنین علیّ علیه السلام بمیزات نادرة، یفتقر إلیها غیره، ویتمتّع بشخصیّة فریدة من نوعها، لا یدانیها فیها غیرُه؛ ولذا، لا تتوفّر بعض مناقبه وفضائله إلا فی نبیّ الإسلام صلی الله علیه و آله، ولا یتمکّن من إدراکها ومعرفتها سوی الله جلّ جلاله ونبیّه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ما عرفَ اللهَ حقَّ معرفتهِ غَیری وغیرُکَ، وَما عَرفکَ حقَّ معرفتِکَ غیرُ اللهِ وَغیری</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یلی، نذکر للقاریء الکریم بعض مزایا الإمام علیه السلام ومناقبه</w:t>
      </w:r>
      <w:r>
        <w:rPr>
          <w:rFonts w:eastAsia="IRNazanin" w:cs="IRNazanin"/>
          <w:color w:val="111111"/>
          <w:sz w:val="28"/>
          <w:szCs w:val="28"/>
          <w:rtl w:val="true"/>
          <w:lang w:bidi="fa-IR"/>
        </w:rPr>
        <w:t>:</w:t>
      </w:r>
      <w:bookmarkStart w:id="529" w:name="pg5457_39257"/>
    </w:p>
    <w:p>
      <w:pPr>
        <w:pStyle w:val="Heading4"/>
        <w:numPr>
          <w:ilvl w:val="3"/>
          <w:numId w:val="1"/>
        </w:numPr>
        <w:rPr/>
      </w:pPr>
      <w:bookmarkStart w:id="530" w:name="__RefHeading___Toc1994408_581953129"/>
      <w:bookmarkStart w:id="531" w:name="_Toc206"/>
      <w:bookmarkEnd w:id="529"/>
      <w:bookmarkEnd w:id="530"/>
      <w:r>
        <w:rPr/>
        <w:t>1</w:t>
      </w:r>
      <w:r>
        <w:rPr>
          <w:rtl w:val="true"/>
        </w:rPr>
        <w:t xml:space="preserve">- </w:t>
      </w:r>
      <w:r>
        <w:rPr>
          <w:rtl w:val="true"/>
        </w:rPr>
        <w:t>علیّ علیه السلام خیر البشُر</w:t>
      </w:r>
      <w:bookmarkEnd w:id="531"/>
    </w:p>
    <w:p>
      <w:pPr>
        <w:pStyle w:val="BookText"/>
        <w:rPr/>
      </w:pPr>
      <w:r>
        <w:rPr>
          <w:rFonts w:ascii="IRNazanin" w:hAnsi="IRNazanin" w:eastAsia="IRNazanin"/>
          <w:color w:val="111111"/>
          <w:sz w:val="28"/>
          <w:sz w:val="28"/>
          <w:szCs w:val="28"/>
          <w:rtl w:val="true"/>
          <w:lang w:bidi="fa-IR"/>
        </w:rPr>
        <w:t>اعتبر الإمام علیّ علیه السلام فی کلام رسول الله صلی الله علیه و آله خیرَ البشَر، بلا منازع یُنازعه فی ذلک،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فَمن أَبی فَقد کَفرَ</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532" w:name="__RefHeading___Toc1994410_581953129"/>
      <w:bookmarkStart w:id="533" w:name="_Toc207"/>
      <w:bookmarkEnd w:id="532"/>
      <w:r>
        <w:rPr/>
        <w:t>2</w:t>
      </w:r>
      <w:r>
        <w:rPr>
          <w:rtl w:val="true"/>
        </w:rPr>
        <w:t xml:space="preserve">- </w:t>
      </w:r>
      <w:r>
        <w:rPr>
          <w:rtl w:val="true"/>
        </w:rPr>
        <w:t>علیّ علیه السلام أعلم النّاس وأقضاهم</w:t>
      </w:r>
      <w:bookmarkEnd w:id="533"/>
    </w:p>
    <w:p>
      <w:pPr>
        <w:pStyle w:val="BookText"/>
        <w:rPr/>
      </w:pPr>
      <w:r>
        <w:rPr>
          <w:rFonts w:ascii="IRNazanin" w:hAnsi="IRNazanin" w:eastAsia="IRNazanin"/>
          <w:color w:val="111111"/>
          <w:sz w:val="28"/>
          <w:sz w:val="28"/>
          <w:szCs w:val="28"/>
          <w:rtl w:val="true"/>
          <w:lang w:bidi="fa-IR"/>
        </w:rPr>
        <w:t>إنّ علیّ بن أبی طالب علیه السلام کان أعلم الناس وأقضاهم بعد رسول الله صلی الله علیه و آله، حیث قال عنه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أمّتی من بعدی علیُّ بن أبی طالب</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وقال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أعلمُ النّاس بالله والنّاس، حبّاً وتعظیماً لأهل لا إله إلا الله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وبشأن قضاء الإمام علیّ علیه السلام، ورَد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أقضی أمّتی علیُّ بن أبی طالب</w:t>
      </w:r>
      <w:r>
        <w:rPr>
          <w:rFonts w:eastAsia="Amiri" w:cs="Amiri" w:ascii="Amiri" w:hAnsi="Amiri"/>
          <w:color w:val="111111"/>
          <w:sz w:val="28"/>
          <w:szCs w:val="28"/>
          <w:rtl w:val="true"/>
          <w:lang w:bidi="ar-SA"/>
        </w:rPr>
        <w:t>».</w:t>
      </w:r>
      <w:r>
        <w:rPr>
          <w:rStyle w:val="FootnoteAnchor"/>
          <w:rtl w:val="true"/>
        </w:rPr>
        <w:footnoteReference w:id="328"/>
      </w:r>
      <w:bookmarkStart w:id="534" w:name="pg5457_39258"/>
    </w:p>
    <w:p>
      <w:pPr>
        <w:pStyle w:val="Heading4"/>
        <w:numPr>
          <w:ilvl w:val="3"/>
          <w:numId w:val="1"/>
        </w:numPr>
        <w:rPr/>
      </w:pPr>
      <w:bookmarkStart w:id="535" w:name="__RefHeading___Toc1994412_581953129"/>
      <w:bookmarkStart w:id="536" w:name="_Toc208"/>
      <w:bookmarkEnd w:id="534"/>
      <w:bookmarkEnd w:id="535"/>
      <w:r>
        <w:rPr/>
        <w:t>3</w:t>
      </w:r>
      <w:r>
        <w:rPr>
          <w:rtl w:val="true"/>
        </w:rPr>
        <w:t xml:space="preserve">- </w:t>
      </w:r>
      <w:r>
        <w:rPr>
          <w:rtl w:val="true"/>
        </w:rPr>
        <w:t>ملازمة الحقّ لعلیّ علیه السلام</w:t>
      </w:r>
      <w:bookmarkEnd w:id="536"/>
    </w:p>
    <w:p>
      <w:pPr>
        <w:pStyle w:val="BookText"/>
        <w:rPr/>
      </w:pPr>
      <w:r>
        <w:rPr>
          <w:rFonts w:ascii="IRNazanin" w:hAnsi="IRNazanin" w:eastAsia="IRNazanin"/>
          <w:color w:val="111111"/>
          <w:sz w:val="28"/>
          <w:sz w:val="28"/>
          <w:szCs w:val="28"/>
          <w:rtl w:val="true"/>
          <w:lang w:bidi="fa-IR"/>
        </w:rPr>
        <w:t>إنّ الحقّ لا یفارق أمیر المؤمنین علیه السلام، ولا الحقّ یفارق علیاً علیه السلام؛ إذ 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ولن یتفرقا حتّی یردا علیَّ الحوضَ یومَ القیامة</w:t>
      </w:r>
      <w:r>
        <w:rPr>
          <w:rFonts w:eastAsia="Amiri" w:cs="Amiri" w:ascii="Amiri" w:hAnsi="Amiri"/>
          <w:color w:val="111111"/>
          <w:sz w:val="28"/>
          <w:szCs w:val="28"/>
          <w:rtl w:val="true"/>
          <w:lang w:bidi="ar-SA"/>
        </w:rPr>
        <w:t>».</w:t>
      </w:r>
      <w:r>
        <w:rPr>
          <w:rStyle w:val="FootnoteAnchor"/>
          <w:rtl w:val="true"/>
        </w:rPr>
        <w:footnoteReference w:id="329"/>
      </w:r>
    </w:p>
    <w:p>
      <w:pPr>
        <w:pStyle w:val="Heading4"/>
        <w:numPr>
          <w:ilvl w:val="3"/>
          <w:numId w:val="1"/>
        </w:numPr>
        <w:rPr/>
      </w:pPr>
      <w:bookmarkStart w:id="537" w:name="__RefHeading___Toc1994414_581953129"/>
      <w:bookmarkStart w:id="538" w:name="_Toc209"/>
      <w:bookmarkEnd w:id="537"/>
      <w:r>
        <w:rPr/>
        <w:t>4</w:t>
      </w:r>
      <w:r>
        <w:rPr>
          <w:rtl w:val="true"/>
        </w:rPr>
        <w:t xml:space="preserve">- </w:t>
      </w:r>
      <w:r>
        <w:rPr>
          <w:rtl w:val="true"/>
        </w:rPr>
        <w:t>القرآن مع علیّ علیه السلام</w:t>
      </w:r>
      <w:bookmarkEnd w:id="538"/>
    </w:p>
    <w:p>
      <w:pPr>
        <w:pStyle w:val="BookText"/>
        <w:rPr/>
      </w:pPr>
      <w:r>
        <w:rPr>
          <w:rFonts w:ascii="IRNazanin" w:hAnsi="IRNazanin" w:eastAsia="IRNazanin"/>
          <w:color w:val="111111"/>
          <w:sz w:val="28"/>
          <w:sz w:val="28"/>
          <w:szCs w:val="28"/>
          <w:rtl w:val="true"/>
          <w:lang w:bidi="fa-IR"/>
        </w:rPr>
        <w:t>لا یفترق القرآن عن علیّ بن أبی طالب علیه السلام؛ لأنّ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والقرآنُ مع علیٍّ، لا یفترقان حتّی یردا علیَّ الحوضَ</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539" w:name="__RefHeading___Toc1994416_581953129"/>
      <w:bookmarkStart w:id="540" w:name="_Toc210"/>
      <w:bookmarkEnd w:id="539"/>
      <w:r>
        <w:rPr/>
        <w:t>5</w:t>
      </w:r>
      <w:r>
        <w:rPr>
          <w:rtl w:val="true"/>
        </w:rPr>
        <w:t xml:space="preserve">- </w:t>
      </w:r>
      <w:r>
        <w:rPr>
          <w:rtl w:val="true"/>
        </w:rPr>
        <w:t>حبّ علیّ علیه السلام معیار لمعرفة المؤمن من المنافق</w:t>
      </w:r>
      <w:bookmarkEnd w:id="540"/>
    </w:p>
    <w:p>
      <w:pPr>
        <w:pStyle w:val="BookText"/>
        <w:rPr/>
      </w:pPr>
      <w:r>
        <w:rPr>
          <w:rFonts w:ascii="IRNazanin" w:hAnsi="IRNazanin" w:eastAsia="IRNazanin"/>
          <w:color w:val="111111"/>
          <w:sz w:val="28"/>
          <w:sz w:val="28"/>
          <w:szCs w:val="28"/>
          <w:rtl w:val="true"/>
          <w:lang w:bidi="fa-IR"/>
        </w:rPr>
        <w:t>إنّ رسول الله صلی الله علیه و آله اعتبر حبّ أمیر المؤمنین علیّ بن أبی طالب علیه السلام مِعیاراً لتشخیص المؤمن من المنافق، حیث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یبغضک مؤمن، ولا یحبّک منافق</w:t>
      </w:r>
      <w:r>
        <w:rPr>
          <w:rFonts w:eastAsia="IRNazanin" w:cs="IRNazanin"/>
          <w:color w:val="111111"/>
          <w:sz w:val="28"/>
          <w:szCs w:val="28"/>
          <w:rtl w:val="true"/>
          <w:lang w:bidi="fa-IR"/>
        </w:rPr>
        <w:t>».</w:t>
      </w:r>
      <w:r>
        <w:rPr>
          <w:rStyle w:val="FootnoteAnchor"/>
          <w:rtl w:val="true"/>
        </w:rPr>
        <w:footnoteReference w:id="331"/>
      </w:r>
      <w:bookmarkStart w:id="541" w:name="pg5457_39259"/>
    </w:p>
    <w:p>
      <w:pPr>
        <w:pStyle w:val="Heading4"/>
        <w:numPr>
          <w:ilvl w:val="3"/>
          <w:numId w:val="1"/>
        </w:numPr>
        <w:rPr/>
      </w:pPr>
      <w:bookmarkStart w:id="542" w:name="__RefHeading___Toc1994418_581953129"/>
      <w:bookmarkStart w:id="543" w:name="_Toc211"/>
      <w:bookmarkEnd w:id="541"/>
      <w:bookmarkEnd w:id="542"/>
      <w:r>
        <w:rPr/>
        <w:t>6</w:t>
      </w:r>
      <w:r>
        <w:rPr>
          <w:rtl w:val="true"/>
        </w:rPr>
        <w:t xml:space="preserve">- </w:t>
      </w:r>
      <w:r>
        <w:rPr>
          <w:rtl w:val="true"/>
        </w:rPr>
        <w:t>علیّ علیه السلام باب العلم</w:t>
      </w:r>
      <w:bookmarkEnd w:id="543"/>
    </w:p>
    <w:p>
      <w:pPr>
        <w:pStyle w:val="BookText"/>
        <w:rPr/>
      </w:pPr>
      <w:r>
        <w:rPr>
          <w:rFonts w:ascii="IRNazanin" w:hAnsi="IRNazanin" w:eastAsia="IRNazanin"/>
          <w:color w:val="111111"/>
          <w:sz w:val="28"/>
          <w:sz w:val="28"/>
          <w:szCs w:val="28"/>
          <w:rtl w:val="true"/>
          <w:lang w:bidi="fa-IR"/>
        </w:rPr>
        <w:t>کلّ من رامَ دخول مدینة العِلم والحکمة الخاصّة برسول الله صلی الله علیه و آله، وجَب علیه الدخول من بوّابتها الرسمیّة؛ یعنی أمیر المؤمنین علیّ علیه السلام؛ ذلک أنّ نبیّ الإسلام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مدنیة العلم، وعلیٌّ بابها، فمن أراد العلم فلیأتِهِ من بابه</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الحکمةِ وعلیٌّ بابُها</w:t>
      </w:r>
      <w:r>
        <w:rPr>
          <w:rFonts w:eastAsia="Amiri" w:cs="Amiri" w:ascii="Amiri" w:hAnsi="Amiri"/>
          <w:color w:val="111111"/>
          <w:sz w:val="28"/>
          <w:szCs w:val="28"/>
          <w:rtl w:val="true"/>
          <w:lang w:bidi="ar-SA"/>
        </w:rPr>
        <w:t>».</w:t>
      </w:r>
      <w:r>
        <w:rPr>
          <w:rStyle w:val="FootnoteAnchor"/>
          <w:rtl w:val="true"/>
        </w:rPr>
        <w:footnoteReference w:id="333"/>
      </w:r>
    </w:p>
    <w:p>
      <w:pPr>
        <w:pStyle w:val="Heading4"/>
        <w:numPr>
          <w:ilvl w:val="3"/>
          <w:numId w:val="1"/>
        </w:numPr>
        <w:rPr/>
      </w:pPr>
      <w:bookmarkStart w:id="544" w:name="__RefHeading___Toc1994420_581953129"/>
      <w:bookmarkStart w:id="545" w:name="_Toc212"/>
      <w:bookmarkEnd w:id="544"/>
      <w:r>
        <w:rPr/>
        <w:t>7</w:t>
      </w:r>
      <w:r>
        <w:rPr>
          <w:rtl w:val="true"/>
        </w:rPr>
        <w:t xml:space="preserve">- </w:t>
      </w:r>
      <w:r>
        <w:rPr>
          <w:rtl w:val="true"/>
        </w:rPr>
        <w:t>علیّ علیه السلام عصارة الفضائل</w:t>
      </w:r>
      <w:bookmarkEnd w:id="545"/>
    </w:p>
    <w:p>
      <w:pPr>
        <w:pStyle w:val="BookText"/>
        <w:rPr/>
      </w:pPr>
      <w:r>
        <w:rPr>
          <w:rFonts w:ascii="IRNazanin" w:hAnsi="IRNazanin" w:eastAsia="IRNazanin"/>
          <w:color w:val="111111"/>
          <w:sz w:val="28"/>
          <w:sz w:val="28"/>
          <w:szCs w:val="28"/>
          <w:rtl w:val="true"/>
          <w:lang w:bidi="fa-IR"/>
        </w:rPr>
        <w:t>یُعدّ أمیر المؤمنین علیّ بن أبی طالب علیه السلام عصارة فضائل الأوّلین والآخرین، من أنبیاء منتجبین، وأوصیاء مقرّبین، ابتداءً بالنبیّ آدم علیه السلام إلی خاتم الأنبیاء والرسل صلی الله علیه و آله، فهو مخلوقٌ لا نظیرَ له ولا شبیه؛ ولذا، قال فیه رسول الله صلی الله علیه و آله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 وإلی نوحٍ فی تقواه، وإلی إبراهیم فی حِلمه، وإلی موسی فی هیبته، وإلی عیسی فی عبادته، فلینظُر إلی علیّ بن أبی طالب</w:t>
      </w:r>
      <w:r>
        <w:rPr>
          <w:rFonts w:eastAsia="IRNazanin" w:cs="IRNazanin"/>
          <w:color w:val="111111"/>
          <w:sz w:val="28"/>
          <w:szCs w:val="28"/>
          <w:rtl w:val="true"/>
          <w:lang w:bidi="fa-IR"/>
        </w:rPr>
        <w:t>».</w:t>
      </w:r>
      <w:r>
        <w:rPr>
          <w:rStyle w:val="FootnoteAnchor"/>
          <w:rtl w:val="true"/>
        </w:rPr>
        <w:footnoteReference w:id="334"/>
      </w:r>
      <w:bookmarkStart w:id="546" w:name="pg5457_39260"/>
    </w:p>
    <w:p>
      <w:pPr>
        <w:pStyle w:val="Heading4"/>
        <w:numPr>
          <w:ilvl w:val="3"/>
          <w:numId w:val="1"/>
        </w:numPr>
        <w:rPr/>
      </w:pPr>
      <w:bookmarkStart w:id="547" w:name="__RefHeading___Toc1994422_581953129"/>
      <w:bookmarkStart w:id="548" w:name="_Toc213"/>
      <w:bookmarkEnd w:id="546"/>
      <w:bookmarkEnd w:id="547"/>
      <w:r>
        <w:rPr/>
        <w:t>8</w:t>
      </w:r>
      <w:r>
        <w:rPr>
          <w:rtl w:val="true"/>
        </w:rPr>
        <w:t xml:space="preserve">- </w:t>
      </w:r>
      <w:r>
        <w:rPr>
          <w:rtl w:val="true"/>
        </w:rPr>
        <w:t>فضائل علیّ علیه السلام لا تُحصی</w:t>
      </w:r>
      <w:bookmarkEnd w:id="548"/>
    </w:p>
    <w:p>
      <w:pPr>
        <w:pStyle w:val="BookText"/>
        <w:rPr/>
      </w:pPr>
      <w:r>
        <w:rPr>
          <w:rFonts w:ascii="IRNazanin" w:hAnsi="IRNazanin" w:eastAsia="IRNazanin"/>
          <w:color w:val="111111"/>
          <w:sz w:val="28"/>
          <w:sz w:val="28"/>
          <w:szCs w:val="28"/>
          <w:rtl w:val="true"/>
          <w:lang w:bidi="fa-IR"/>
        </w:rPr>
        <w:t>فضائل أمیر المؤمنین علیه السلام أکثر من أن تُعدّ، وفی ذلک قال الرسول الکریم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الغیاض أقلام، والبحر مِداد، والجنّ حساب، والإنس کتاب، ما أحصَوا فضائلَ علیّ</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549" w:name="__RefHeading___Toc1994424_581953129"/>
      <w:bookmarkStart w:id="550" w:name="_Toc214"/>
      <w:bookmarkEnd w:id="549"/>
      <w:r>
        <w:rPr>
          <w:rtl w:val="true"/>
        </w:rPr>
        <w:t>ب</w:t>
      </w:r>
      <w:r>
        <w:rPr>
          <w:rtl w:val="true"/>
        </w:rPr>
        <w:t xml:space="preserve">) </w:t>
      </w:r>
      <w:r>
        <w:rPr>
          <w:rtl w:val="true"/>
        </w:rPr>
        <w:t>تعیین الإمام علیه السلام خلیفةً للمسلمین</w:t>
      </w:r>
      <w:bookmarkEnd w:id="550"/>
    </w:p>
    <w:p>
      <w:pPr>
        <w:pStyle w:val="Heading4"/>
        <w:numPr>
          <w:ilvl w:val="3"/>
          <w:numId w:val="1"/>
        </w:numPr>
        <w:rPr/>
      </w:pPr>
      <w:bookmarkStart w:id="551" w:name="__RefHeading___Toc1994426_581953129"/>
      <w:bookmarkStart w:id="552" w:name="_Toc215"/>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لقد ذکر النبیّ الکریم صلی الله علیه و آله، فی مواطن مختلفة، أنّ خلیفته من بعده هو الإمام أمیرُ المؤمنین علیّ بن أبی طالب علیه السلام، ونحاول فیما یلی، أن نستعرض علی سبیل الاختصار بعض الأحادیث الواردة فی هذا المجال</w:t>
      </w:r>
      <w:r>
        <w:rPr>
          <w:rFonts w:eastAsia="IRNazanin" w:cs="IRNazanin"/>
          <w:color w:val="111111"/>
          <w:sz w:val="28"/>
          <w:szCs w:val="28"/>
          <w:rtl w:val="true"/>
          <w:lang w:bidi="fa-IR"/>
        </w:rPr>
        <w:t>:</w:t>
      </w:r>
    </w:p>
    <w:p>
      <w:pPr>
        <w:pStyle w:val="Heading4"/>
        <w:numPr>
          <w:ilvl w:val="3"/>
          <w:numId w:val="1"/>
        </w:numPr>
        <w:rPr/>
      </w:pPr>
      <w:bookmarkStart w:id="553" w:name="__RefHeading___Toc1994428_581953129"/>
      <w:bookmarkStart w:id="554" w:name="_Toc216"/>
      <w:bookmarkEnd w:id="553"/>
      <w:r>
        <w:rPr/>
        <w:t>1</w:t>
      </w:r>
      <w:r>
        <w:rPr>
          <w:rtl w:val="true"/>
        </w:rPr>
        <w:t xml:space="preserve">- </w:t>
      </w:r>
      <w:r>
        <w:rPr>
          <w:rtl w:val="true"/>
        </w:rPr>
        <w:t>علیّ علیه السلام وارث النبیّ صلی الله علیه و آله وخلیفته</w:t>
      </w:r>
      <w:bookmarkEnd w:id="554"/>
    </w:p>
    <w:p>
      <w:pPr>
        <w:pStyle w:val="BookText"/>
        <w:rPr/>
      </w:pP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فی السنة الثالثة للهجرة النبویّة الشریفة، جمَع رسولُ الله صلی الله علیه و آله عشیرتَه وأقاربه، وقد بلغوا أربعین رجُلاً، فأعدّ لهم الطعام والشراب، وفعل مثل ذلک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المرّة الثالثة، وبعد أن شبعوا من الطعام، ورووا من الشراب، 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إنّی والله ما أعلم شابّاً فی العرب، جاء قومه بأفضل ممّا قد جئتکم به، إنّی قد جئتکم بخیر الدنیا والآخرة، وقد أمرَنی الله تعالی أن أدعوکم إلیه، فأیّکم یؤازرنی علی هذا الأمر، علی أن یکون أخی ووصیّی وخلیفتی فیکم؟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فأحجَم القوم عنها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وإنّی لأحدثهم سنّاً، وأرمصهم عیناً،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bookmarkStart w:id="555" w:name="pg5457_39261"/>
    </w:p>
    <w:p>
      <w:pPr>
        <w:pStyle w:val="BookText"/>
        <w:rPr/>
      </w:pPr>
      <w:bookmarkEnd w:id="555"/>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ذلک ثلاثاً، وفی کلّ مرّة یقوم علیّ علیه السلام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وهو ما بات یُعرف بحدیث الدار</w:t>
      </w:r>
      <w:r>
        <w:rPr>
          <w:rFonts w:eastAsia="IRNazanin" w:cs="IRNazanin"/>
          <w:color w:val="111111"/>
          <w:sz w:val="28"/>
          <w:szCs w:val="28"/>
          <w:rtl w:val="true"/>
          <w:lang w:bidi="fa-IR"/>
        </w:rPr>
        <w:t>.</w:t>
      </w:r>
    </w:p>
    <w:p>
      <w:pPr>
        <w:pStyle w:val="Heading4"/>
        <w:numPr>
          <w:ilvl w:val="3"/>
          <w:numId w:val="1"/>
        </w:numPr>
        <w:rPr/>
      </w:pPr>
      <w:bookmarkStart w:id="556" w:name="__RefHeading___Toc1994430_581953129"/>
      <w:bookmarkStart w:id="557" w:name="_Toc217"/>
      <w:bookmarkEnd w:id="556"/>
      <w:r>
        <w:rPr/>
        <w:t>2</w:t>
      </w:r>
      <w:r>
        <w:rPr>
          <w:rtl w:val="true"/>
        </w:rPr>
        <w:t xml:space="preserve">- </w:t>
      </w:r>
      <w:r>
        <w:rPr>
          <w:rtl w:val="true"/>
        </w:rPr>
        <w:t>علیّ علیه السلام خلیفة النبیّ صلی الله علیه و آله فی المدینة</w:t>
      </w:r>
      <w:bookmarkEnd w:id="557"/>
    </w:p>
    <w:p>
      <w:pPr>
        <w:pStyle w:val="BookText"/>
        <w:rPr/>
      </w:pPr>
      <w:r>
        <w:rPr>
          <w:rFonts w:ascii="IRNazanin" w:hAnsi="IRNazanin" w:eastAsia="IRNazanin"/>
          <w:color w:val="111111"/>
          <w:sz w:val="28"/>
          <w:sz w:val="28"/>
          <w:szCs w:val="28"/>
          <w:rtl w:val="true"/>
          <w:lang w:bidi="fa-IR"/>
        </w:rPr>
        <w:t>فی غزوة تبوک، خلّفَ رسولُ الله صلی الله علیه و آله أمیرَ المؤمنین علیّاً علیه السلام فی المدینة المنوّرة، لإدارة شؤونِها فی غیابه،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خلّفتنی مع الصبیان والنساء؟ فأجابه النبیّ صلی الله علیه و آله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ترضی أن تکون منّی بمنزلة هارونَ من موسی، إلاّ أنّه لا نبوّةَ بعدی؟</w:t>
      </w:r>
      <w:r>
        <w:rPr>
          <w:rFonts w:eastAsia="Amiri" w:cs="Amiri" w:ascii="Amiri" w:hAnsi="Amiri"/>
          <w:color w:val="111111"/>
          <w:sz w:val="28"/>
          <w:szCs w:val="28"/>
          <w:rtl w:val="true"/>
          <w:lang w:bidi="ar-SA"/>
        </w:rPr>
        <w:t>».</w:t>
      </w:r>
      <w:r>
        <w:rPr>
          <w:rStyle w:val="FootnoteAnchor"/>
          <w:rtl w:val="true"/>
        </w:rPr>
        <w:footnoteReference w:id="338"/>
      </w:r>
      <w:bookmarkStart w:id="558" w:name="pg5457_39262"/>
    </w:p>
    <w:p>
      <w:pPr>
        <w:pStyle w:val="Heading4"/>
        <w:numPr>
          <w:ilvl w:val="3"/>
          <w:numId w:val="1"/>
        </w:numPr>
        <w:rPr/>
      </w:pPr>
      <w:bookmarkStart w:id="559" w:name="__RefHeading___Toc1994432_581953129"/>
      <w:bookmarkStart w:id="560" w:name="_Toc218"/>
      <w:bookmarkEnd w:id="558"/>
      <w:bookmarkEnd w:id="559"/>
      <w:r>
        <w:rPr/>
        <w:t>3</w:t>
      </w:r>
      <w:r>
        <w:rPr>
          <w:rtl w:val="true"/>
        </w:rPr>
        <w:t xml:space="preserve">- </w:t>
      </w:r>
      <w:r>
        <w:rPr>
          <w:rtl w:val="true"/>
        </w:rPr>
        <w:t>علیّ علیه السلام وصیّ النبیّ صلی الله علیه و آله فی الغدیر</w:t>
      </w:r>
      <w:bookmarkEnd w:id="560"/>
    </w:p>
    <w:p>
      <w:pPr>
        <w:pStyle w:val="BookText"/>
        <w:rPr/>
      </w:pPr>
      <w:r>
        <w:rPr>
          <w:rFonts w:ascii="Amiri" w:hAnsi="Amiri" w:eastAsia="Amiri" w:cs="Amiri"/>
          <w:color w:val="111111"/>
          <w:sz w:val="28"/>
          <w:sz w:val="28"/>
          <w:szCs w:val="28"/>
          <w:rtl w:val="true"/>
          <w:lang w:bidi="ar-SA"/>
        </w:rPr>
        <w:t>اتّفق المفسّرون والمؤرّخون علی أنّ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القلب الطاهر لرسولِ الله صلی الله علیه و آله فی حجّة الوداع، وقَبل بِضعة أشهر من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الآیة الکریمة، المؤکّدة علی إکمال الدین وإتمام النعمة، بعد الإشارة إلی یأس الکفّار من النیل من الدین الإسلامیّ الحنیف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ونظراً إلی الروایات الواردة فی شأن نزول هذه الآیة، یتّضح أنّ الإکمال والإتمام المشار له فیها، المقترن بیأس الکفّار من إلحاق الضرر بالإسلام، إنّما حصَل بتعیین وصیّ للنبیّ الکریم صلی الله علیه و آله من قبل الباری عزّ وجلّ؛ ذلک أنّ الأعداء کانوا یأملون فی ضعف الإسلام وتلاشیه بعد رحلة رسول الله صلی الله علیه و آله، لا سیّما وأنّه لا یمتلک ذریّة من الذکور، لتولّی منصب الخلافة، ومواصلة طریق 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الدین الإسلامیّ بدأ یشتدّ ویقوی عضده، ویبلغ مرحلة الکمال والتمام، عند تنصیب وصیّ وخلیفة لرسول الله صلی الله علیه و آله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وهکذا، جمع النبیّ صلی الله علیه و آله الحجیج عند عودته من حجّة الوداع 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وقال مخاطباً الألوف من المشارکین فی حجّة الوداع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المسلمین، ألَستُ أَولی بکُم من 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340"/>
      </w:r>
      <w:bookmarkStart w:id="561" w:name="pg5457_39263"/>
    </w:p>
    <w:p>
      <w:pPr>
        <w:pStyle w:val="BookText"/>
        <w:rPr/>
      </w:pPr>
      <w:bookmarkEnd w:id="561"/>
      <w:r>
        <w:rPr>
          <w:rFonts w:ascii="IRNazanin" w:hAnsi="IRNazanin" w:eastAsia="IRNazanin"/>
          <w:color w:val="111111"/>
          <w:sz w:val="28"/>
          <w:sz w:val="28"/>
          <w:szCs w:val="28"/>
          <w:rtl w:val="true"/>
          <w:lang w:bidi="fa-IR"/>
        </w:rPr>
        <w:t xml:space="preserve">کما أنّ العلاّمة الأمینی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نقلوا واقعة الغدیر الشهیرة، وعدّها من الأُمور التاریخیّة المتواترة، التی لا یُمکن الخدشة فی سنَدها وأصل وقوعها</w:t>
      </w:r>
      <w:r>
        <w:rPr>
          <w:rFonts w:eastAsia="IRNazanin" w:cs="IRNazanin"/>
          <w:color w:val="111111"/>
          <w:sz w:val="28"/>
          <w:szCs w:val="28"/>
          <w:rtl w:val="true"/>
          <w:lang w:bidi="fa-IR"/>
        </w:rPr>
        <w:t>.</w:t>
      </w:r>
    </w:p>
    <w:p>
      <w:pPr>
        <w:pStyle w:val="Heading3"/>
        <w:numPr>
          <w:ilvl w:val="2"/>
          <w:numId w:val="1"/>
        </w:numPr>
        <w:rPr/>
      </w:pPr>
      <w:bookmarkStart w:id="562" w:name="__RefHeading___Toc1994434_581953129"/>
      <w:bookmarkStart w:id="563" w:name="_Toc219"/>
      <w:bookmarkEnd w:id="562"/>
      <w:r>
        <w:rPr>
          <w:rtl w:val="true"/>
        </w:rPr>
        <w:t>أحادیث أُخری</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بعض الروایات المنقولة عن أکابر علماء أهل السنّة، کالحموینیّ، أنّه بعدما نُصِّب علیّ علیه السلام إماماً وولیّاً للمسلمین فی واقعة الغدیر، قام أبو بکر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الآیات خاصّة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 وفی أوصیائی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ووزیری، ووارثی، ووصیّی، وخلیفتی فی أمّتی، وولیّ کلّ مؤمن بعدی، ثمّ ابنی الحسن، ثمّ الحسین، ثمّ تسعة من ولد ابنی الحسین، واحد بعد واحد، القرآن معهم، وهم مع القرآن، لا یُفارقونه، ولا یُفارقَهم، حتّی یَرِدوا علیّ الحوض</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وطِبقاً لهذا الحدیث، فإنّ النبیّ الکریم صلی الله علیه و آله أجاب الخلیفتین الأوّل والثانی، بکلّ صراحة، بخلافة الإمام علیّ بن أبی طالب علیه السلام، والأئمّة من وِلده علیهم السلام بعد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علی نبیّه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 الله ورسوله، فمن أُولوا الأمر، الذین قرَن الله طاعتهم بطاعتک؟</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خلفائی یا جابر، وأئمّة المسلمین من بعدی، أوّلهم علیّ بن أبی طالب، ثمّ الحسن، ثمّ الحسین، ثمّ علیّ بن الحسین، ثمّ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 التوراة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ستدرکه یا جابر، فإذا لقیته فاقرأه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الصادق جعفر بن محمّد، ثمّ موسی بن جعفر، ثمّ علیّ بن موسی، ثمّ محمّد بن علیّ، ثمّ علیّ بن محمّد، ثمّ الحسن بن علیّ، ثمّ سمیّی وکنیّی، حجّة الله فی أرضه، وبقیته فی عباده، ابن الحسن بن علیّ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فی هذا الحدیث کذلک، جری التصریح بخلافة وإمامة أمیر المؤمنین علیه السلام، ومن بعده الأئمّة المنتجبین مِن وِلده المعصومین علیهم السلام، من خلال ذکرهم بأسمائهم الصریحة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النبیّ صلی الله علیه و آله فی خطبته الشعبانیّة، المعروفة بالوصیّة لأمیر المؤمنین علیه السلام فی خلافته من بعده،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خلَقنی وخلَقک من نورِه، واصطفانی واصطفاک، فاختارنی للنبوّة، واختارک للإمامة، فمَن أنکَر إمامتک فقد أنکر 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ووارثی، وأبو ولدی، وزوج ابنتی، أمرُک أمری، ونهیُک نهیی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الذی بعثنی بالنبوّة، وجعلنی خیر البریّة إنّک لحجّة الله علی خلقه، وأَمینه علی سرّه، وخلیفة الله علی عباده</w:t>
      </w:r>
      <w:r>
        <w:rPr>
          <w:rFonts w:eastAsia="IRNazanin" w:cs="IRNazanin"/>
          <w:color w:val="111111"/>
          <w:sz w:val="28"/>
          <w:szCs w:val="28"/>
          <w:rtl w:val="true"/>
          <w:lang w:bidi="fa-IR"/>
        </w:rPr>
        <w:t>».</w:t>
      </w:r>
      <w:r>
        <w:rPr>
          <w:rStyle w:val="FootnoteAnchor"/>
          <w:rtl w:val="true"/>
        </w:rPr>
        <w:footnoteReference w:id="34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فی هذه الروایة ربط إنکار إمامة وولایة أمیر المؤمنین علیه السلام، بعد الرسول الکریم صلی الله علیه و آله، بإنکار نبوّة النبیّ الخاتم صلی الله علیه و آله، کما أکّدت علی أنّ أمر ونهی الإمام کأمر ونهی النبیّ تماماً، ولا یخفی أنّها صرّحت بخلافة وولایة الإمام علیّ علیه السلام من قِبَل الله تعالی</w:t>
      </w:r>
      <w:r>
        <w:rPr>
          <w:rFonts w:eastAsia="IRNazanin" w:cs="IRNazanin"/>
          <w:color w:val="111111"/>
          <w:sz w:val="28"/>
          <w:szCs w:val="28"/>
          <w:rtl w:val="true"/>
          <w:lang w:bidi="fa-IR"/>
        </w:rPr>
        <w:t>.</w:t>
      </w:r>
      <w:bookmarkStart w:id="564" w:name="pg5457_39265"/>
    </w:p>
    <w:p>
      <w:pPr>
        <w:pStyle w:val="Heading3"/>
        <w:numPr>
          <w:ilvl w:val="2"/>
          <w:numId w:val="1"/>
        </w:numPr>
        <w:rPr/>
      </w:pPr>
      <w:bookmarkStart w:id="565" w:name="__RefHeading___Toc1994436_581953129"/>
      <w:bookmarkStart w:id="566" w:name="_Toc220"/>
      <w:bookmarkEnd w:id="564"/>
      <w:bookmarkEnd w:id="565"/>
      <w:r>
        <w:rPr>
          <w:rtl w:val="true"/>
        </w:rPr>
        <w:t>النتیجة</w:t>
      </w:r>
      <w:bookmarkEnd w:id="566"/>
    </w:p>
    <w:p>
      <w:pPr>
        <w:pStyle w:val="BookText"/>
        <w:rPr/>
      </w:pPr>
      <w:r>
        <w:rPr>
          <w:rFonts w:ascii="IRNazanin" w:hAnsi="IRNazanin" w:eastAsia="IRNazanin"/>
          <w:color w:val="111111"/>
          <w:sz w:val="28"/>
          <w:sz w:val="28"/>
          <w:szCs w:val="28"/>
          <w:rtl w:val="true"/>
          <w:lang w:bidi="fa-IR"/>
        </w:rPr>
        <w:t xml:space="preserve">إنّ البحث والتقصّی فی المصادر الحدیثیّة المعتمدة لدی الفریقین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یَدع مجالاً للشکّ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خاتم الأنبیاء والرسل، محمّد المصطفی صلی الله علیه و آله، عقَد لواء الولایة والخلافة من بعده، لابن عمّه وصهره ورفیقِ دربه، الإمام أمیر المؤمنین علیّ بن أبی طالب علیه السلام، لقیادة الأُمّة الإسلامیّة وإدارة شؤونها فی شتّی المجالات، بعد أن اعتبره شخصاً لائقاً ومستحقّاً لهذا المنصب الإلهیّ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الإعلان عن نصب هذا الإمام الهُمام خلیفة للمسلمین بعد النبیّ صلی الله علیه و آله أمراً منطقیّاً، ومتماشیاًَ مع الحقائق الموجودة علی أرض الواقع؛ ذلک أنّه لا أحدَ من المسلمین، کالإمام علیّ علیه السلام وأبنائه البررة، یتمتّع بمواصفات قیادة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حمل النبیّ المصطفی صلی الله علیه و آله إلی الإعلان عن ذلک فی مناسبات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إفصاح رسول الله صلی الله علیه و آله عن الفضائل والمناقب الفریدة للإمام علیّ بن أبی طالب علیه السلام، وعن أنّه الشخص الأکفأ والأجدر بحمل الوصیّة والخلافة، عقب ارتحال نبیّ الرحمة صلی الله علیه و آله، لا یعنی أنّ الناس یجهلون جمیع قابلیّات وفضائل هذا الإمام، التی لا یُدانیه فیها بشَرٌ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الشخصیّة الحقیقیّة للإمام علیّ علیه السلام لا یعرفها إلاّ الله ورسوله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الإمام والخلیفة الواقعیّ لرسول الله صلی الله علیه و آله أثبت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کفاءته وقدرته العالیة فی مختلف الجبهات والمیادین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سلب الحجّة من الخصوم، وإقفال باب اعتراضاتهم علی تولّی الإمام مقالید الأمور بعد الرسول صلی الله علیه و آله، أشار النبیّ صلی الله علیه و آله غیر مرّة إلی تعیین الإمام خلیفة له، والتأکید علی کونه الأجدر والأصلح لزعامة المسلمین فی مواطن متعدّدة</w:t>
      </w:r>
      <w:r>
        <w:rPr>
          <w:rFonts w:eastAsia="IRNazanin" w:cs="IRNazanin"/>
          <w:color w:val="111111"/>
          <w:sz w:val="28"/>
          <w:szCs w:val="28"/>
          <w:rtl w:val="true"/>
          <w:lang w:bidi="fa-IR"/>
        </w:rPr>
        <w:t>.</w:t>
      </w:r>
      <w:bookmarkStart w:id="567" w:name="pg5457_39266"/>
    </w:p>
    <w:p>
      <w:pPr>
        <w:pStyle w:val="Heading3"/>
        <w:numPr>
          <w:ilvl w:val="2"/>
          <w:numId w:val="1"/>
        </w:numPr>
        <w:rPr/>
      </w:pPr>
      <w:bookmarkStart w:id="568" w:name="__RefHeading___Toc1994438_581953129"/>
      <w:bookmarkStart w:id="569" w:name="_Toc221"/>
      <w:bookmarkEnd w:id="567"/>
      <w:bookmarkEnd w:id="568"/>
      <w:r>
        <w:rPr>
          <w:rtl w:val="true"/>
        </w:rPr>
        <w:t>مصادر للمطالعة</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الصالح انتصاری، غدیر خم وپاسخ به شبهات از کتب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 والردّ علی الشُّبُهات من کُتب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داوری،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الأمینیّ، الغدیر،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انصاری اسرار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70" w:name="__RefHeading___Toc1994440_581953129"/>
      <w:bookmarkStart w:id="571" w:name="_Toc222"/>
      <w:bookmarkEnd w:id="570"/>
      <w:r>
        <w:rPr>
          <w:rtl w:val="true"/>
        </w:rPr>
        <w:t>الحدیث الختامیّ</w:t>
      </w:r>
      <w:r>
        <w:rPr>
          <w:rtl w:val="true"/>
        </w:rPr>
        <w:t>:</w:t>
      </w:r>
      <w:bookmarkEnd w:id="571"/>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نِظامُ الأُمَّةِ</w:t>
      </w:r>
      <w:r>
        <w:rPr>
          <w:rFonts w:eastAsia="Amiri" w:cs="Amiri" w:ascii="Amiri" w:hAnsi="Amiri"/>
          <w:color w:val="111111"/>
          <w:sz w:val="28"/>
          <w:szCs w:val="28"/>
          <w:rtl w:val="true"/>
          <w:lang w:bidi="ar-SA"/>
        </w:rPr>
        <w:t>».</w:t>
      </w:r>
      <w:r>
        <w:rPr>
          <w:rStyle w:val="FootnoteAnchor"/>
          <w:rtl w:val="true"/>
        </w:rPr>
        <w:footnoteReference w:id="344"/>
      </w:r>
      <w:bookmarkStart w:id="572" w:name="pg5457_39267"/>
    </w:p>
    <w:p>
      <w:pPr>
        <w:pStyle w:val="Heading2"/>
        <w:numPr>
          <w:ilvl w:val="1"/>
          <w:numId w:val="1"/>
        </w:numPr>
        <w:rPr/>
      </w:pPr>
      <w:bookmarkStart w:id="573" w:name="__RefHeading___Toc1994442_581953129"/>
      <w:bookmarkStart w:id="574" w:name="_Toc223"/>
      <w:bookmarkEnd w:id="572"/>
      <w:bookmarkEnd w:id="573"/>
      <w:r>
        <w:rPr>
          <w:rtl w:val="true"/>
        </w:rPr>
        <w:t>ردّ الشمس وفضیلة الإمام علیّ علیه السلام</w:t>
      </w:r>
      <w:bookmarkEnd w:id="574"/>
    </w:p>
    <w:p>
      <w:pPr>
        <w:pStyle w:val="Heading3"/>
        <w:numPr>
          <w:ilvl w:val="2"/>
          <w:numId w:val="1"/>
        </w:numPr>
        <w:rPr/>
      </w:pPr>
      <w:bookmarkStart w:id="575" w:name="__RefHeading___Toc1994444_581953129"/>
      <w:bookmarkStart w:id="576" w:name="_Toc224"/>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متصرّم الوجود؛ بمعنی أنّه لا عودةَ له بعد انقضائه،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لدینا روایاتٌ کثیرة دالّة علی أنّ النبیّ والإمام المعصوم مکلّف بالإتیان بالصلاة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یُمکن ردّ الشمس بعد غیابها؟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فات وقت الصلاة علی الإمام علیّ علیه السلام حتّی صارت قضاءً، کیف یدلّ ردّ الشمس له علی فضیلته؟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المذکور ینطوی علی شقّین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التشکیک فی إمکان وقوع قضیّة ردّ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دلالة هذه القضیّة علی فضیلة الإمام علیّ علیه السلام</w:t>
      </w:r>
      <w:r>
        <w:rPr>
          <w:rFonts w:eastAsia="IRNazanin" w:cs="IRNazanin"/>
          <w:color w:val="111111"/>
          <w:sz w:val="28"/>
          <w:szCs w:val="28"/>
          <w:rtl w:val="true"/>
          <w:lang w:bidi="fa-IR"/>
        </w:rPr>
        <w:t>.</w:t>
      </w:r>
    </w:p>
    <w:p>
      <w:pPr>
        <w:pStyle w:val="Heading3"/>
        <w:numPr>
          <w:ilvl w:val="2"/>
          <w:numId w:val="1"/>
        </w:numPr>
        <w:rPr/>
      </w:pPr>
      <w:bookmarkStart w:id="577" w:name="__RefHeading___Toc1994446_581953129"/>
      <w:bookmarkStart w:id="578" w:name="_Toc225"/>
      <w:bookmarkEnd w:id="577"/>
      <w:r>
        <w:rPr>
          <w:rtl w:val="true"/>
        </w:rPr>
        <w:t>جواب الشقّ الأوّل</w:t>
      </w:r>
      <w:r>
        <w:rPr>
          <w:rtl w:val="true"/>
        </w:rPr>
        <w:t>:</w:t>
      </w:r>
      <w:bookmarkEnd w:id="578"/>
    </w:p>
    <w:p>
      <w:pPr>
        <w:pStyle w:val="Heading4"/>
        <w:numPr>
          <w:ilvl w:val="3"/>
          <w:numId w:val="1"/>
        </w:numPr>
        <w:rPr/>
      </w:pPr>
      <w:bookmarkStart w:id="579" w:name="__RefHeading___Toc1994448_581953129"/>
      <w:bookmarkStart w:id="580" w:name="_Toc226"/>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إنّ هذا الشقّ من السؤال یرتبط بالإعجاز الإلهیّ والولایة التکوینیّة، وقبل الخوض فی أصل البحث، یحسن بنا تقدیم تعریف بالمفردات الأساسیّة فی هذا المجال، وذلک ضمن النقاط التالیة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عنها الراغب الاصفهانیّ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w:t>
      </w:r>
    </w:p>
    <w:p>
      <w:pPr>
        <w:pStyle w:val="BookText"/>
        <w:rPr/>
      </w:pPr>
      <w:r>
        <w:rPr>
          <w:rFonts w:ascii="IRNazanin" w:hAnsi="IRNazanin" w:eastAsia="IRNazanin"/>
          <w:color w:val="111111"/>
          <w:sz w:val="28"/>
          <w:sz w:val="28"/>
          <w:szCs w:val="28"/>
          <w:rtl w:val="true"/>
          <w:lang w:bidi="fa-IR"/>
        </w:rPr>
        <w:t>الإنسان 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والعجز أصلُه التأخّر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فی التعارف اسماً للقصور عن فعل الشیء، وهو ضدّ القدرة</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أمّا معجزات الأنبیاء والأوصیاء فهی من القوّة بحیث یعجز الآخرون عن مواجهتها؛ ولهذا السبب، أُطلق اسم الإعجاز علی الأفعال الخارقة للعادة التی تصدر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یثبت تأثیراً فی نفوس الأنبیاء فی الخوارق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أفادَ إناطة إتیان أیّةٍ آیة من أیی رسول بإذن الله سُبحانه، فبیّن أنّ إتیان الآیات المعجزة من الأنبیاء، وصدورها عنهم، إنّما هو لمبدأ مؤثّر موجود فی نفوسهم الشریفة، متوقّف فی تأثیره علی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جمیع الأُمور الخارقة للعادة، سَواء سُمّیت معجزة أم سحراً أم غیر ذلک، ککرامات الأولیاء وسائر الخصال المکتسبة بالارتیاضات والمجاهدات، جمیعها مستندة إلی مبادٍ نفسانیّة، ومقتضیات 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المبدأ النفسانیّ المجرّد المنصور بإرادة الله سبحانه، إذا قابل مانعاً مادیّاً، أفاض إمداداً علی السبب، بما لا یُقاومه سببٌ مادیّ یمنعه</w:t>
      </w:r>
      <w:r>
        <w:rPr>
          <w:rFonts w:eastAsia="IRNazanin" w:cs="IRNazanin"/>
          <w:color w:val="111111"/>
          <w:sz w:val="28"/>
          <w:szCs w:val="28"/>
          <w:rtl w:val="true"/>
          <w:lang w:bidi="fa-IR"/>
        </w:rPr>
        <w:t>.</w:t>
      </w:r>
      <w:r>
        <w:rPr>
          <w:rStyle w:val="FootnoteAnchor"/>
          <w:rtl w:val="true"/>
        </w:rPr>
        <w:footnoteReference w:id="34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موضعٍ آخر، طرح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یسند المعجزة إلی سبب غیر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المعجزة، کسائر الأُمور الخارقة للعادة، لا تفارق الأسباب العادیّة، فی الاحتیاج إلی سببٍ طبیعیّ، وإنّ مع الجمیع أسباباً باطنیّة، وإنّ الفرق بینها أنّ الأُمور العادیّة ملازمة لأسباب ظاهریّة، تصاحبها الأسباب الحقیقیّة الطبیعیّة غالباً، ومع تلک الأسباب الحقیقیّة إرادة الله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والأُمور الخارقة للعادة من الشرور، کالسحر والکهانة، مستندة إلی أسباب طبیعیّة، مفارقة للعادة، مقارنة للسبب الحقیقیّ بالإذن والإرادة، کاستجابة الدعاء ونحو ذلک، من غیر تحدٍّ یبتنی علیه ظهور حقّ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المعجزة مستندةٌ إلی</w:t>
      </w:r>
    </w:p>
    <w:p>
      <w:pPr>
        <w:pStyle w:val="BookText"/>
        <w:rPr/>
      </w:pPr>
      <w:r>
        <w:rPr>
          <w:rFonts w:ascii="IRNazanin" w:hAnsi="IRNazanin" w:eastAsia="IRNazanin"/>
          <w:color w:val="111111"/>
          <w:sz w:val="28"/>
          <w:sz w:val="28"/>
          <w:szCs w:val="28"/>
          <w:rtl w:val="true"/>
          <w:lang w:bidi="fa-IR"/>
        </w:rPr>
        <w:t>سبب طبیعی حقیقیّ بإذن الله وأمره، إذا کان هناک تحدٍّ یبتنی علیه صحّة النبوّة والرسالة والدعوة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القسمین الآخرین یفارقان سائر الأقسام فی أنّ سببهما لا یصیر مغلوباً مقهوراً قطّ، بخلاف سائر المسبّبات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کما ینبغی أن یُعلم أنّ هذه الأُمور والحوادث، وإن أنکرتها العادة، واستبعدتها، إلا أنّها لیست أموراً مستحیلة بالذات، بحیث یبطلها العقل الضروریّ، کیف وعقول جمٍّ غفیر من الملایین، منذ أعصار قدیمة، تقبل ذلک وترتضیه، من غیر إنکارٍ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المعجزات ممتنعة بالذات لم یقبلها عقل عاقل، ولم یستدلّ بها علی شیء، ولم ینسبها أحدٌ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الفرق بین صنع العادة وبین المعجزة الخارقة، هو أنّ الأسباب المادیّة المشهودة، التی بین أیدینا، إنّما تؤثر أثرها مع روابط مخصوصة، وشرائط زمانیّة ومکانیّة خاصّة، تقضی بالتدریج فی التأثیر؛ مثلاً، العصا وإن أمکن أن تصیر حیّة تسعی، والجسَد البالی وإن أمکن أن یصیر إنساناً حیّاً، لکنّ ذلک إنّما یتحقّق فی العادة بعِلَل خاصّة، وشرائط زمانیّة ومکانیّة مخصوصة، تنتقل بها المادّة من حال إلی حال، وتکتسی صورة بعد صورة، حتّی تستقرّ وتحلّ بها الصورة الأخیرة المفروضة، علی ما تصدّقه المشاهدة والتجربة، لا مع أیّ شرط اتّفق، أو من غیر علّة، أو بإرادة مرید، کما هو الظاهر من حال المعجزات والخوارق التی یقصّها القرآن الکریم</w:t>
      </w:r>
      <w:r>
        <w:rPr>
          <w:rFonts w:eastAsia="IRNazanin" w:cs="IRNazanin"/>
          <w:color w:val="111111"/>
          <w:sz w:val="28"/>
          <w:szCs w:val="28"/>
          <w:rtl w:val="true"/>
          <w:lang w:bidi="fa-IR"/>
        </w:rPr>
        <w:t>.</w:t>
      </w:r>
      <w:r>
        <w:rPr>
          <w:rStyle w:val="FootnoteAnchor"/>
          <w:rtl w:val="true"/>
        </w:rPr>
        <w:footnoteReference w:id="34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إنّ کون المعجزات التی تظهر علی أیدی الأنبیاء والأولیاء حاصلةً بأمر الله تعالی، لا یتنافی مع التوحید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کانت بفتح الواو فهی تعنی المحبّة والمودّة، وإن کانت بکسر الواو فهی بمعنی القُرب والسلطة والتصرّف والتدبیر</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إنّ السلطنة والتصرّف حصیلةُ القُرب من الله جلّ وعلا، فکلّ من کان أقرب إلی الباری عزّ وجلّ، أعطاه الله قدرة أکبر فی التسلّط والتصرّف فی شؤون العالم؛ ومن هذا المنطلق، کان للأنبیاء والأولیاء قدرة کبیرة من التسلّط والتصرّف فی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اللغة تعنی إیجاد شیء جدید،</w:t>
      </w:r>
      <w:r>
        <w:rPr>
          <w:rStyle w:val="FootnoteAnchor"/>
          <w:rtl w:val="true"/>
        </w:rPr>
        <w:footnoteReference w:id="351"/>
      </w:r>
      <w:r>
        <w:rPr>
          <w:rFonts w:ascii="IRNazanin" w:hAnsi="IRNazanin" w:eastAsia="IRNazanin"/>
          <w:color w:val="111111"/>
          <w:sz w:val="28"/>
          <w:sz w:val="28"/>
          <w:szCs w:val="28"/>
          <w:rtl w:val="true"/>
          <w:lang w:bidi="fa-IR"/>
        </w:rPr>
        <w:t>وفی اصطلاح المتکلّمین المراد منها إیجاد شیء مسبوق بالمادّة، خلافاً للإبداع الذی یعنی إیجاد الشیء المعدوم، وغیر المسبوق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الولایة التکوینیّة تُعادل وتساوق المعجزة، ففی اصطلاح القُدماء کانت کلمة المعجزة هی المتداولة، ثمّ حلّ محلّها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المحدثین</w:t>
      </w:r>
      <w:r>
        <w:rPr>
          <w:rFonts w:eastAsia="IRNazanin" w:cs="IRNazanin"/>
          <w:color w:val="111111"/>
          <w:sz w:val="28"/>
          <w:szCs w:val="28"/>
          <w:rtl w:val="true"/>
          <w:lang w:bidi="fa-IR"/>
        </w:rPr>
        <w:t>.</w:t>
      </w:r>
      <w:r>
        <w:rPr>
          <w:rStyle w:val="FootnoteAnchor"/>
          <w:rtl w:val="true"/>
        </w:rPr>
        <w:footnoteReference w:id="35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والولایة بصورة عامّة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 التی أُشیر لها قبل قلیل، والولایة التشریعیّة، وهی عبارة عن الحاکمیّة، والولایة القانونیّة والإلهیّة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التشریعیّة قد تقتصر علی مقیاس محدود، کولایة الأب والجدّ علی الطفل، وقد تتعدّاه إلی مقیاس أوسَع، نحو ولایة الحاکم الإسلامیّ علی جمیع الشؤون المتعلّقة بالحکومة وإدارة البلاد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الولایة التشریعیّة بإطارها الواسع من شأن الأنبیاء والأوصیاء الإلهیّین، وهی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الزعامة السیاسیّة، والمرجعیّة الدینیّة</w:t>
      </w:r>
      <w:r>
        <w:rPr>
          <w:rFonts w:eastAsia="IRNazanin" w:cs="IRNazanin"/>
          <w:color w:val="111111"/>
          <w:sz w:val="28"/>
          <w:szCs w:val="28"/>
          <w:rtl w:val="true"/>
          <w:lang w:bidi="fa-IR"/>
        </w:rPr>
        <w:t>.</w:t>
      </w:r>
      <w:bookmarkStart w:id="581" w:name="pg5457_39271"/>
    </w:p>
    <w:p>
      <w:pPr>
        <w:pStyle w:val="BookText"/>
        <w:rPr/>
      </w:pPr>
      <w:bookmarkEnd w:id="581"/>
      <w:r>
        <w:rPr>
          <w:rFonts w:ascii="IRNazanin" w:hAnsi="IRNazanin" w:eastAsia="IRNazanin"/>
          <w:color w:val="111111"/>
          <w:sz w:val="28"/>
          <w:sz w:val="28"/>
          <w:szCs w:val="28"/>
          <w:rtl w:val="true"/>
          <w:lang w:bidi="fa-IR"/>
        </w:rPr>
        <w:t>من أبرَز مصادیق الولایة التکوینیّة، التصرّف فی أمور الخلقة؛ کأن یمنح الله تعالی عبداً من عباده، أو ملکاً من ملائکته، القدرة علی إیجاد العوالم، أو محوها من صفحة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 الأمر لیس بالمحال العقلیّ؛ لأنّ الله تبارک وتعالی قادرٌ علی إعطاء أیّ لون من ألوان القدرة إلی من یشاء، فکما أنّه جلّ وعلا وهب الملائکة القدرة علی التصرّف فی بعض أمور العالم، أعطی الإنسان کذلک هذا القبیل من القدرة</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قضیّة ردّ الشمس تندرج فی هذا الإطار، فحصلت بمقتضی 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فالجمیع یعلم بأنّ طلوع الشمس وغروبها یحدث علی إثر الحرکة الوضعیّة للکرة الأرضیّة، ومن بیدیه مفاتیح الولایة التکوینیّة یستطیع تحریک الکرة الأرضیّة بالاتّجاه المعاکس، والرجوع بها إلی الخلف، لتطابق وقت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مجموعة من الأدلّة التی تثبت بموجبها الولایة التکوینیّة، نُشیر إلیها ها هناباختصار</w:t>
      </w:r>
      <w:r>
        <w:rPr>
          <w:rFonts w:eastAsia="IRNazanin" w:cs="IRNazanin"/>
          <w:color w:val="111111"/>
          <w:sz w:val="28"/>
          <w:szCs w:val="28"/>
          <w:rtl w:val="true"/>
          <w:lang w:bidi="fa-IR"/>
        </w:rPr>
        <w:t>:</w:t>
      </w:r>
    </w:p>
    <w:p>
      <w:pPr>
        <w:pStyle w:val="Heading4"/>
        <w:numPr>
          <w:ilvl w:val="3"/>
          <w:numId w:val="1"/>
        </w:numPr>
        <w:rPr/>
      </w:pPr>
      <w:bookmarkStart w:id="582" w:name="__RefHeading___Toc1994450_581953129"/>
      <w:bookmarkStart w:id="583" w:name="_Toc227"/>
      <w:bookmarkEnd w:id="582"/>
      <w:r>
        <w:rPr/>
        <w:t>1</w:t>
      </w:r>
      <w:r>
        <w:rPr>
          <w:rtl w:val="true"/>
        </w:rPr>
        <w:t xml:space="preserve">- </w:t>
      </w:r>
      <w:r>
        <w:rPr>
          <w:rtl w:val="true"/>
        </w:rPr>
        <w:t>مقتضی قانون التکامل</w:t>
      </w:r>
      <w:bookmarkEnd w:id="583"/>
    </w:p>
    <w:p>
      <w:pPr>
        <w:pStyle w:val="BookText"/>
        <w:rPr/>
      </w:pPr>
      <w:r>
        <w:rPr>
          <w:rFonts w:ascii="Amiri" w:hAnsi="Amiri" w:eastAsia="Amiri" w:cs="Amiri"/>
          <w:color w:val="111111"/>
          <w:sz w:val="28"/>
          <w:sz w:val="28"/>
          <w:szCs w:val="28"/>
          <w:rtl w:val="true"/>
          <w:lang w:bidi="ar-SA"/>
        </w:rPr>
        <w:t>إنّ جمیع أُمور العالَم تتحرّک فی المسیرة التکاملیّة طبقاً لشأنها وقابلیّتها، والإنسان أحد تلک الأُمور والموجودات، بل هو أشرف تلک الموجودات، ویتمتّع بأرقی درجات الکمال، بل لم تُخلق جمیع الکائنات فی العالم إلاّ من أجل کمال الإنسان؛ وذلک طِبقاً لما أفاد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w:t>
      </w:r>
      <w:r>
        <w:rPr>
          <w:rStyle w:val="FootnoteAnchor"/>
          <w:rtl w:val="true"/>
        </w:rPr>
        <w:footnoteReference w:id="354"/>
      </w:r>
      <w:r>
        <w:rPr>
          <w:rFonts w:ascii="IRNazanin" w:hAnsi="IRNazanin" w:eastAsia="IRNazanin"/>
          <w:color w:val="111111"/>
          <w:sz w:val="28"/>
          <w:sz w:val="28"/>
          <w:szCs w:val="28"/>
          <w:rtl w:val="true"/>
          <w:lang w:bidi="fa-IR"/>
        </w:rPr>
        <w:t>ووفقاً لما ورد فی الحدیث الشریف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الأشیاء لأجلک، وخلقتُکَ لأجلی</w:t>
      </w:r>
      <w:r>
        <w:rPr>
          <w:rFonts w:eastAsia="IRNazanin" w:cs="IRNazanin"/>
          <w:color w:val="111111"/>
          <w:sz w:val="28"/>
          <w:szCs w:val="28"/>
          <w:rtl w:val="true"/>
          <w:lang w:bidi="fa-IR"/>
        </w:rPr>
        <w:t>».</w:t>
      </w:r>
      <w:bookmarkStart w:id="584" w:name="pg5457_39272"/>
    </w:p>
    <w:p>
      <w:pPr>
        <w:pStyle w:val="BookText"/>
        <w:rPr/>
      </w:pPr>
      <w:bookmarkEnd w:id="584"/>
      <w:r>
        <w:rPr>
          <w:rFonts w:ascii="IRNazanin" w:hAnsi="IRNazanin" w:eastAsia="IRNazanin"/>
          <w:color w:val="111111"/>
          <w:sz w:val="28"/>
          <w:sz w:val="28"/>
          <w:szCs w:val="28"/>
          <w:rtl w:val="true"/>
          <w:lang w:bidi="fa-IR"/>
        </w:rPr>
        <w:t xml:space="preserve">وکما أنّ الإنسان یبلغ مراقی الکمال بالتدریج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یتجسّد المصداق الأتمّ للبشر فی خاتم الأنبیاء والأوصیاء، ومن ثمّ خلفائه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یحصل کمال الشرائع والنبوّة والإمامة رویداً رویداً، والمصداق الأکمل لتمام الشرائع والأدیان هو الدین الإسلامیّ الحنیف، ونبوّة نبیّ الإسلام صلی الله علیه و آله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علی أنّ مقتضی کمال النبوّة والإمامة تطبیق الولایة التکوینیّة؛ لأنّ إظهار المعجزة وإعمال الولایة التکوینیّة یمثّل أحد سبل إثبات الولایة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الإنسان الکامل هو خلیفة الله فی الأرض، ومظهر الصفات الأفعالیّة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والأعمال الخارقة للعادة یقوم بها النبیّ أو الوصیّ أو الولیّ بإذن من الله تعالی، وبمقتضی القوّة التی اکتسبها منه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الإطار، حدثت واقعة ردّ الشمس؛ لتکون أُنموذجاً من نماذج تطبیق الولایة التکوینیّة؛ وعلیه فقضیّة ردّ الشمس أمر ممکن، ومن الخطأ وضعها فی دائرة المحالات</w:t>
      </w:r>
      <w:r>
        <w:rPr>
          <w:rFonts w:eastAsia="IRNazanin" w:cs="IRNazanin"/>
          <w:color w:val="111111"/>
          <w:sz w:val="28"/>
          <w:szCs w:val="28"/>
          <w:rtl w:val="true"/>
          <w:lang w:bidi="fa-IR"/>
        </w:rPr>
        <w:t>.</w:t>
      </w:r>
    </w:p>
    <w:p>
      <w:pPr>
        <w:pStyle w:val="Heading4"/>
        <w:numPr>
          <w:ilvl w:val="3"/>
          <w:numId w:val="1"/>
        </w:numPr>
        <w:rPr/>
      </w:pPr>
      <w:bookmarkStart w:id="585" w:name="__RefHeading___Toc1994452_581953129"/>
      <w:bookmarkStart w:id="586" w:name="_Toc228"/>
      <w:bookmarkEnd w:id="585"/>
      <w:r>
        <w:rPr/>
        <w:t>2</w:t>
      </w:r>
      <w:r>
        <w:rPr>
          <w:rtl w:val="true"/>
        </w:rPr>
        <w:t xml:space="preserve">- </w:t>
      </w:r>
      <w:r>
        <w:rPr>
          <w:rtl w:val="true"/>
        </w:rPr>
        <w:t>مقتضی الحکمة</w:t>
      </w:r>
      <w:bookmarkEnd w:id="586"/>
    </w:p>
    <w:p>
      <w:pPr>
        <w:pStyle w:val="BookText"/>
        <w:rPr/>
      </w:pPr>
      <w:r>
        <w:rPr>
          <w:rFonts w:ascii="IRNazanin" w:hAnsi="IRNazanin" w:eastAsia="IRNazanin"/>
          <w:color w:val="111111"/>
          <w:sz w:val="28"/>
          <w:sz w:val="28"/>
          <w:szCs w:val="28"/>
          <w:rtl w:val="true"/>
          <w:lang w:bidi="fa-IR"/>
        </w:rPr>
        <w:t>الحکمة الإلهیّة أیضاً تقتضی أن یکون للذوات المقدّسة ولایة تکوینیّة؛ لأنّهم أئمّة الدین، وقادته ورعاته، ولا بدّ أن یکون لهم هکذا مقام؛ من أجل إزالة الشکّ عن دین الله، وطمأنة قلوب المؤمنین</w:t>
      </w:r>
      <w:r>
        <w:rPr>
          <w:rFonts w:eastAsia="IRNazanin" w:cs="IRNazanin"/>
          <w:color w:val="111111"/>
          <w:sz w:val="28"/>
          <w:szCs w:val="28"/>
          <w:rtl w:val="true"/>
          <w:lang w:bidi="fa-IR"/>
        </w:rPr>
        <w:t>.</w:t>
      </w:r>
    </w:p>
    <w:p>
      <w:pPr>
        <w:pStyle w:val="Heading4"/>
        <w:numPr>
          <w:ilvl w:val="3"/>
          <w:numId w:val="1"/>
        </w:numPr>
        <w:rPr/>
      </w:pPr>
      <w:bookmarkStart w:id="587" w:name="__RefHeading___Toc1994454_581953129"/>
      <w:bookmarkStart w:id="588" w:name="_Toc229"/>
      <w:bookmarkEnd w:id="587"/>
      <w:r>
        <w:rPr/>
        <w:t>3</w:t>
      </w:r>
      <w:r>
        <w:rPr>
          <w:rtl w:val="true"/>
        </w:rPr>
        <w:t xml:space="preserve">- </w:t>
      </w:r>
      <w:r>
        <w:rPr>
          <w:rtl w:val="true"/>
        </w:rPr>
        <w:t>مقتضی الأولویّة</w:t>
      </w:r>
      <w:bookmarkEnd w:id="5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لآصف بن برخیا ولایة تکوینیّة، حیث جاء بعرش بلقیس بأقلّ من لَمح البصر، برغم تأکید القرآن الکریم علی أنّه یمتلک عِلماً قلیلاً من الکتاب، فبمقتضی مفهوم الأولویّة، یجب أن یکون للنبیّ الکریم صلی الله علیه و آله، وآله الکرام البررة علیهم السلام، ولایة تکوینیّة کذلک؛ لأنّهم أکمل علماً، وأرفع شأناً، وأعرف بکتاب الله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قضیّة ردّ الشمس عن طریق الولایة التکوینیّة أمر ممکن</w:t>
      </w:r>
      <w:r>
        <w:rPr>
          <w:rFonts w:eastAsia="IRNazanin" w:cs="IRNazanin"/>
          <w:color w:val="111111"/>
          <w:sz w:val="28"/>
          <w:szCs w:val="28"/>
          <w:rtl w:val="true"/>
          <w:lang w:bidi="fa-IR"/>
        </w:rPr>
        <w:t>.</w:t>
      </w:r>
      <w:bookmarkStart w:id="589" w:name="pg5457_39273"/>
    </w:p>
    <w:p>
      <w:pPr>
        <w:pStyle w:val="Heading4"/>
        <w:numPr>
          <w:ilvl w:val="3"/>
          <w:numId w:val="1"/>
        </w:numPr>
        <w:rPr/>
      </w:pPr>
      <w:bookmarkStart w:id="590" w:name="__RefHeading___Toc1994456_581953129"/>
      <w:bookmarkStart w:id="591" w:name="_Toc230"/>
      <w:bookmarkEnd w:id="589"/>
      <w:bookmarkEnd w:id="590"/>
      <w:r>
        <w:rPr/>
        <w:t>4</w:t>
      </w:r>
      <w:r>
        <w:rPr>
          <w:rtl w:val="true"/>
        </w:rPr>
        <w:t xml:space="preserve">- </w:t>
      </w:r>
      <w:r>
        <w:rPr>
          <w:rtl w:val="true"/>
        </w:rPr>
        <w:t>مقتضی الآیات والروایات</w:t>
      </w:r>
      <w:bookmarkEnd w:id="591"/>
    </w:p>
    <w:p>
      <w:pPr>
        <w:pStyle w:val="BookText"/>
        <w:rPr/>
      </w:pPr>
      <w:r>
        <w:rPr>
          <w:rFonts w:ascii="IRNazanin" w:hAnsi="IRNazanin" w:eastAsia="IRNazanin"/>
          <w:color w:val="111111"/>
          <w:sz w:val="28"/>
          <w:sz w:val="28"/>
          <w:szCs w:val="28"/>
          <w:rtl w:val="true"/>
          <w:lang w:bidi="fa-IR"/>
        </w:rPr>
        <w:t>من أبرز الأدلّة علی وقوع حادثة ردّ الشمس، هو وقوع الولایة التکوینیّة علی أرض الواقع، حسبما أفادت الآیات القرآنیّة الشریفة والروایات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الأمثلة علی الآیات القرآنیّة، یمکن الإشارة إلی الموارد 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النبیّ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لإرجاع البصر إلی أبیه، فقال تعالی فی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الولایة التکوینیّة فی هذه القصّة تعنی التصرّف فی أُمور العالم، حیث کانت قدرة النبیّ یوسف علیه السلام مؤثّرة فی إعادة البصر إلی أبیه، 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الأمر معلولاً لإرادة الباری عزّ وجلّ، لا وجهَ حینئذٍ لإرسال القمیص من مصر إلی الشام لإلقائه علی وجه أبیه لکی یرتدّ بصیراً، بل کان له أن یدعو له بردّ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العلّة الحقیقیّة إرادة النبیّ یوسف علیه السلام، ولم یکن القمیص سوی وسیلة أظهر النبیّ من خلالها أبعاد الولایة التکوینیّة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المسیح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عیسی بن مریم علیه السلام، بنصّ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فَأَنفُخُ فِیهِ فَیَکُونُ طَیراً بِإِذنِ اللّهِ</w:t>
      </w:r>
      <w:r>
        <w:rPr>
          <w:rFonts w:eastAsia="Amiri" w:cs="Amiri" w:ascii="Amiri" w:hAnsi="Amiri"/>
          <w:color w:val="111111"/>
          <w:sz w:val="28"/>
          <w:szCs w:val="28"/>
          <w:rtl w:val="true"/>
          <w:lang w:bidi="ar-SA"/>
        </w:rPr>
        <w:t>) .</w:t>
      </w:r>
      <w:r>
        <w:rPr>
          <w:rStyle w:val="FootnoteAnchor"/>
          <w:rtl w:val="true"/>
        </w:rPr>
        <w:footnoteReference w:id="3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الآیة القرآنیّة، اعتبر النبیّ نفسه فاعلاً، ولیس المقصود من الإذن التصریح اللفظیّ، وإنّما الإذن الباطنیّ؛ أی أعطانی الله تعالی مراتب قصوی من الکمال والقدرة، حتّی بتّ قادراً علی القیام بهکذا 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فی محکم کتابه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 وَ إِن یَرَوا آیَةً یُعرِضُوا وَ یَقُولُوا سِحرٌ مُستَمِرٌّ</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شقّ القمر المذکور فی هذه الآیة لیس المراد به ما یحدث فی یوم القیامة؛ ذلک أنّ الآیة الثانیة التی تلتها قد أوضحت اعتراض المشرکین فی هذا الصدد، وهذا ما أکّدت علیه الروایات الشریفة أیضاً، فذهب المفسّرون إلی أنّ هذه الآیة مرتبطة بشقّ القمر فی هذه الدنیا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وقضیّة ردّ الشمس من جملة هذه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ووفقاً للروایات الواردة عن الفریقین، القدر المتیقّن حصول قضیّة ردّ الشمس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المرّة الأُولی علی عهد النبیّ الکریم صلی الله علیه و آله، حیث کان یوحی إلیه ورأسه المبارک فی حِجر علیّ علیه السلام، یتوسّد فخذه لما یصیبه من ثقل الوحی، وبقی علی هذه الحالة حتّی غربت الشمس، فلمّا کره علیه السلام أن ینهض لأدائها، فیزعج النبیّ صلی الله علیه و آله من نومه، اضطرّ الإمام علیه السلام إلی الصلاة جالساً، یومیء إلی الرکوع والسجود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من غشیته،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أفاتتک صلاة العصر؟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أستطع أن أصلّیها قائماً؛ لمکانک یا رسول الله، والحال التی کنت علیها فی استماع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دعا الله فردّها إلیه، وصلّی صلاته ثانیةً وهو قائم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کما ذهَب إلیه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 الله علیه و آله للإمام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لیردّ علیک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إلی حرکة وضعیّة معکوسة للکرة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تصلیها قائماً فی وقتها کما</w:t>
      </w:r>
    </w:p>
    <w:p>
      <w:pPr>
        <w:pStyle w:val="BookText"/>
        <w:rPr/>
      </w:pPr>
      <w:r>
        <w:rPr>
          <w:rFonts w:ascii="IRNazanin" w:hAnsi="IRNazanin" w:eastAsia="IRNazanin"/>
          <w:color w:val="111111"/>
          <w:sz w:val="28"/>
          <w:sz w:val="28"/>
          <w:szCs w:val="28"/>
          <w:rtl w:val="true"/>
          <w:lang w:bidi="fa-IR"/>
        </w:rPr>
        <w:t>فاتتک، فإنّ الله یجیبک لطاعتک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أمیر المؤمنین الله عزّ اسمه فی ردّ الشمس، فرُدّت علیه حتّی صارت فی موضعها من السماء وقت العصر، فصلی أمیر المؤمنین علیه السلام صلاة العصر فی وقتها، ثمّ غربت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وفی روایةٍ أُخری،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عبدک علیّاً احتسب بنفسه علی نبیّک، فردّ علیه 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الشمس حتّی وقفت علی الجبال وعلی الأرض، ثمّ قام علیّ علیه السلام، فتوضّأ وصلّی العصر، ثمّ غابت الشمس</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المرّة الثانیة لردّ الشمس علی أمیر المؤمنین صلی الله علیه و آله حصلت بعد وفاة النبیّ صلی الله علیه و آله، فی مدینة بابل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 لمّا أراد أن یعبر الفرات ببابل، اشتغل کثیر من أصحابه بتعبیر دوابهم ورحالهم، وصلّی علیه السلام بنفسه فی طائفة معه العصر، فلم یفرغ الناس من عبورهم حتّی غربت الشمس، ففاتت الصلاة کثیراً منهم، وفات الجمهور فضل الاجتماع معه، فتکلّموا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کلامهم فیه، سأل الله تعالی ردّ الشمس علیه؛ لیجتمع کافّة أصحابه علی صلاة العصر فی وقتها، فأجابه الله تعالی إلی ردّها علیه، فکانت فی الأفق علی الحال التی تکون علیها وقت العصر، فلمّا سلّم بالقوم غابت</w:t>
      </w:r>
      <w:r>
        <w:rPr>
          <w:rFonts w:eastAsia="IRNazanin" w:cs="IRNazanin"/>
          <w:color w:val="111111"/>
          <w:sz w:val="28"/>
          <w:szCs w:val="28"/>
          <w:rtl w:val="true"/>
          <w:lang w:bidi="fa-IR"/>
        </w:rPr>
        <w:t>.</w:t>
      </w:r>
      <w:r>
        <w:rPr>
          <w:rStyle w:val="FootnoteAnchor"/>
          <w:rtl w:val="true"/>
        </w:rPr>
        <w:footnoteReference w:id="36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فوقوع مصادیق الولایة التکوینیّة، ممّا وردت الإشارة إلیه فی القرآن والحدیث، یُعدّ من أبرَز الأدلّة علی إمکان ووقوع قضیّة ردّ</w:t>
      </w:r>
      <w:bookmarkStart w:id="592" w:name="pg5457_39276"/>
    </w:p>
    <w:p>
      <w:pPr>
        <w:pStyle w:val="BookText"/>
        <w:rPr/>
      </w:pPr>
      <w:bookmarkEnd w:id="592"/>
      <w:r>
        <w:rPr>
          <w:rFonts w:ascii="IRNazanin" w:hAnsi="IRNazanin" w:eastAsia="IRNazanin"/>
          <w:color w:val="111111"/>
          <w:sz w:val="28"/>
          <w:sz w:val="28"/>
          <w:szCs w:val="28"/>
          <w:rtl w:val="true"/>
          <w:lang w:bidi="fa-IR"/>
        </w:rPr>
        <w:t>الشمس لأمیر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593" w:name="__RefHeading___Toc1994458_581953129"/>
      <w:bookmarkStart w:id="594" w:name="_Toc231"/>
      <w:bookmarkEnd w:id="593"/>
      <w:r>
        <w:rPr>
          <w:rtl w:val="true"/>
        </w:rPr>
        <w:t>جواب الشقّ الثانی</w:t>
      </w:r>
      <w:bookmarkEnd w:id="594"/>
    </w:p>
    <w:p>
      <w:pPr>
        <w:pStyle w:val="BookText"/>
        <w:rPr/>
      </w:pPr>
      <w:r>
        <w:rPr>
          <w:rFonts w:ascii="IRNazanin" w:hAnsi="IRNazanin" w:eastAsia="IRNazanin"/>
          <w:color w:val="111111"/>
          <w:sz w:val="28"/>
          <w:sz w:val="28"/>
          <w:szCs w:val="28"/>
          <w:rtl w:val="true"/>
          <w:lang w:bidi="fa-IR"/>
        </w:rPr>
        <w:t>الشقّ الثانی من السؤال کان عبارة عن أنّ النبیّ والإمام المعصوم مکلّف بأداء الصلاة فی أوّل وقتها، ولمّا تفوت الصلاة الإمام علیّ علیه السلام، حتّی یصلّیها خارج وقتها، کیف تعتبر قضیّة ردّ الشمس منقبة له، وتدلّ علی فضیلته؟</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لما رواه الشیخ المفید، جاء الإمام علیه السلام بصلاته فی وقتها من جلوس، ولم تفته أو تصبح قضاءً، غیر أنّه أعادها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وفی وقتها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أصل والصلاة فرع، فاحترام مقام النبوّة أولی من احترام وقت الصلاة فی حالة التزاحم والتعارض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الإمام علیه السلام یری أنّ فی سحب فخذه الذی توسّده النبیّ صلی الله علیه و آله، حین نزول الوحی علیه، ووضعه علی الأرض، إزعاجاً لشخصِ النبیّ الکریم صلی الله علیه و آله، فلم یتمکّن من الصلاة قائماً؛ لذا فقد جاء بالصلاة من قعود؛ لکی یحافظ علی مقام النبوّة العظیم من جهة، ولا یفوّت صلاته من جهة أُخری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قضیّة ردّ الشمس تتضمّن دلالةّ علی تفضیل الإمام علیّ علیه السلام، سَواء کان الردّ بدعاء رسول الله صلی الله علیه و آله، أم بدعائه هو؛ لأنّها إن کانت ناتجة عن دعاء الإمام علیه السلام، تُعتبَر إحدی مصادیق الولایة التکوینیّة، التی تنتج عن کمال النفس، کما بینّا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حصیلة دعوة النبیّ الکریم صلی الله علیه و آله، فهی کذلک تدلّ علی فضیلة الإمام علیه السلام؛ ذلک أنّ النبیّ صلی الله علیه و آله دعا للإمام، والله تعالی استجاب دعوته فیه، ما یدلّ علی محبوبیّة الإمام علیّ علیه السلام عند الباری سبحانه وتعالی والنبیّ الکریم صلی الله علیه و آله</w:t>
      </w:r>
      <w:r>
        <w:rPr>
          <w:rFonts w:eastAsia="IRNazanin" w:cs="IRNazanin"/>
          <w:color w:val="111111"/>
          <w:sz w:val="28"/>
          <w:szCs w:val="28"/>
          <w:rtl w:val="true"/>
          <w:lang w:bidi="fa-IR"/>
        </w:rPr>
        <w:t>.</w:t>
      </w:r>
      <w:bookmarkStart w:id="595" w:name="pg5457_39277"/>
    </w:p>
    <w:p>
      <w:pPr>
        <w:pStyle w:val="Heading3"/>
        <w:numPr>
          <w:ilvl w:val="2"/>
          <w:numId w:val="1"/>
        </w:numPr>
        <w:rPr/>
      </w:pPr>
      <w:bookmarkStart w:id="596" w:name="__RefHeading___Toc1994460_581953129"/>
      <w:bookmarkStart w:id="597" w:name="_Toc232"/>
      <w:bookmarkEnd w:id="595"/>
      <w:bookmarkEnd w:id="596"/>
      <w:r>
        <w:rPr>
          <w:rtl w:val="true"/>
        </w:rPr>
        <w:t>النتیجة</w:t>
      </w:r>
      <w:bookmarkEnd w:id="597"/>
    </w:p>
    <w:p>
      <w:pPr>
        <w:pStyle w:val="BookText"/>
        <w:rPr/>
      </w:pPr>
      <w:r>
        <w:rPr>
          <w:rFonts w:ascii="IRNazanin" w:hAnsi="IRNazanin" w:eastAsia="IRNazanin"/>
          <w:color w:val="111111"/>
          <w:sz w:val="28"/>
          <w:sz w:val="28"/>
          <w:szCs w:val="28"/>
          <w:rtl w:val="true"/>
          <w:lang w:bidi="fa-IR"/>
        </w:rPr>
        <w:t>إنّ قضیّة ردّ الشمس أمرٌ ممکن فی ضوء الآیات والروایات، وواقع أیضاً، وهو من آثار الولایة التکوینیّة، وقد أوضح القرآن الکریم أمثلة عدیدة علی الولایة التکوینیّة، التی تندرج فیها مسألة ردّ الشمس، وتعتبر من مصادیقها، ولا شکّ فی أنّها تدلّ علی فضیلة الإمام أمیر المؤمنین علیّ علیه السلام؛ لأنّها نتیجة لتکامل النفس؛ إذ أنّ النفس التی تحظی بالقرب الإلهیّ، وتتقرّب زلفی من الباری تبارک وتعالی، تکون محطّ العنایة الإلهیّة، حتّی تکتسب القدرة علی التأثیر فی الأُمور الکونیّة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تنشأ المعجزات والکرامات إلاّ عن علوّ الهمّة وارتفاع درجة النفس، فجمیع مراحل الولایة ناتجة عن القرب إلی مدبّر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القدسیّ یبیّن هذا المعنی، حیث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تقرّب إلیّ عبد بشیء أحبّ إلیّ ممّا افترضت علیه، وإنّه لیتقرّب إلیّ بالنافلة حتّی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أحببته، کنت سمعه الذی یسمع به، وبصره الذی یُبصر به، ولسانه الذی ینطق به، ویده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دعانی أجبته، وإن سألنی أعطیته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ومن هذا المنطلق، حتّی لو کانت قضیّة ردّ الشمس قد حصلت بفعل دعاء النبیّ الکریم صلی الله علیه و آله، فهی دالّة علی فضیلة الإمام علیّ علیه السلام؛ لأنّ الدعاء الذی استجابه الله من نبیّه الخاتم صلی الله علیه و آله، کان بحقّ علیّ بن أبی طالب 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علیّ علیه السلام لم یترک صلاته من الأساس، وإنّما اضطرّ، فی البدایة، لأدائها من جلوس، احتراماً لمقام النبوّة، الذی ُیعدّ من الأُصول فی مقابل الصلاة التی تعتبر من الفروع، ثمّ جاء بها بعد الدعاء من قیام</w:t>
      </w:r>
      <w:r>
        <w:rPr>
          <w:rFonts w:eastAsia="IRNazanin" w:cs="IRNazanin"/>
          <w:color w:val="111111"/>
          <w:sz w:val="28"/>
          <w:szCs w:val="28"/>
          <w:rtl w:val="true"/>
          <w:lang w:bidi="fa-IR"/>
        </w:rPr>
        <w:t>.</w:t>
      </w:r>
      <w:bookmarkStart w:id="598" w:name="pg5457_39278"/>
    </w:p>
    <w:p>
      <w:pPr>
        <w:pStyle w:val="Heading3"/>
        <w:numPr>
          <w:ilvl w:val="2"/>
          <w:numId w:val="1"/>
        </w:numPr>
        <w:rPr/>
      </w:pPr>
      <w:bookmarkStart w:id="599" w:name="__RefHeading___Toc1994462_581953129"/>
      <w:bookmarkStart w:id="600" w:name="_Toc233"/>
      <w:bookmarkEnd w:id="598"/>
      <w:bookmarkEnd w:id="599"/>
      <w:r>
        <w:rPr>
          <w:rtl w:val="true"/>
        </w:rPr>
        <w:t>مصادر للمطالعة</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الطباطبائیّ، تفسیر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الشیرازیّ وعدد من الباحثین،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ولاءها وولایتها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الولاءات والولایات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601" w:name="__RefHeading___Toc1994464_581953129"/>
      <w:bookmarkStart w:id="602" w:name="_Toc234"/>
      <w:bookmarkEnd w:id="601"/>
      <w:r>
        <w:rPr>
          <w:rtl w:val="true"/>
        </w:rPr>
        <w:t>الحدیث الختامیّ</w:t>
      </w:r>
      <w:r>
        <w:rPr>
          <w:rtl w:val="true"/>
        </w:rPr>
        <w:t>:</w:t>
      </w:r>
      <w:bookmarkEnd w:id="602"/>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مَثَلی بَینَکُم کَمَثَلِ السِّراجِ فی الظُّلمَةِ، یَستَضیءُ بِهِ مَنوَلِجَها</w:t>
      </w:r>
      <w:r>
        <w:rPr>
          <w:rFonts w:eastAsia="Amiri" w:cs="Amiri" w:ascii="Amiri" w:hAnsi="Amiri"/>
          <w:color w:val="111111"/>
          <w:sz w:val="28"/>
          <w:szCs w:val="28"/>
          <w:rtl w:val="true"/>
          <w:lang w:bidi="ar-SA"/>
        </w:rPr>
        <w:t>».</w:t>
      </w:r>
      <w:r>
        <w:rPr>
          <w:rStyle w:val="FootnoteAnchor"/>
          <w:rtl w:val="true"/>
        </w:rPr>
        <w:footnoteReference w:id="364"/>
      </w:r>
      <w:bookmarkStart w:id="603" w:name="pg5457_39279"/>
    </w:p>
    <w:p>
      <w:pPr>
        <w:pStyle w:val="Heading2"/>
        <w:numPr>
          <w:ilvl w:val="1"/>
          <w:numId w:val="1"/>
        </w:numPr>
        <w:rPr/>
      </w:pPr>
      <w:bookmarkStart w:id="604" w:name="__RefHeading___Toc1994466_581953129"/>
      <w:bookmarkStart w:id="605" w:name="_Toc235"/>
      <w:bookmarkEnd w:id="603"/>
      <w:bookmarkEnd w:id="604"/>
      <w:r>
        <w:rPr>
          <w:rtl w:val="true"/>
        </w:rPr>
        <w:t>العدالة العالمیّة فی انتظار المهدیّ</w:t>
      </w:r>
      <w:bookmarkEnd w:id="605"/>
    </w:p>
    <w:p>
      <w:pPr>
        <w:pStyle w:val="Heading3"/>
        <w:numPr>
          <w:ilvl w:val="2"/>
          <w:numId w:val="1"/>
        </w:numPr>
        <w:rPr/>
      </w:pPr>
      <w:bookmarkStart w:id="606" w:name="__RefHeading___Toc1994468_581953129"/>
      <w:bookmarkStart w:id="607" w:name="_Toc236"/>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یُعهد بنشر العدل وبسط القسط فی ربوع الأرض إلی النبیّ الکریم صلی الله علیه و آله، أو الإمام علیّ علیه السلام، ووُضع ذلک علی عاتق الإمام المهدیّ المنتظر عجل الله تعالی فرجه الشریف؟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وعلا بعث منذ باکورة الخلقة الأنبیاء والرسل إلی البشریّة؛ لإبلاغ الأحکام الدینیّة وهدایة الإنسان إلی الصراط القویم، وهو بذلک أشبع لدیهم غریزة الحاجة إلی القائد والمرشد التی أودعها فی فطرتهم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الله تعالی إعانة الإنسان فی کلّ عصر ومصر إلی آخر الزمان؛ وعلیه، فالهدف من وراء بعث الرسل واصطفاء الأئمّة المعصومین، بعد خاتم الأنبیاء والرسل صلی الله علیه و آله، هو مواصلة طریق التکامل</w:t>
      </w:r>
      <w:r>
        <w:rPr>
          <w:rFonts w:eastAsia="IRNazanin" w:cs="IRNazanin"/>
          <w:color w:val="111111"/>
          <w:sz w:val="28"/>
          <w:szCs w:val="28"/>
          <w:rtl w:val="true"/>
          <w:lang w:bidi="fa-IR"/>
        </w:rPr>
        <w:t>.</w:t>
      </w:r>
      <w:r>
        <w:rPr>
          <w:rStyle w:val="FootnoteAnchor"/>
          <w:rtl w:val="true"/>
        </w:rPr>
        <w:footnoteReference w:id="36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الله عزّ وجلّ أرسل لکلّ أمّة نبیّاً من الأنبیاء، بحسب ما یتطلّبه عصرهم؛ لکن، لا أحد من الأنبیاء تمکّن من تحقیق أهدافه بصورة</w:t>
      </w:r>
    </w:p>
    <w:p>
      <w:pPr>
        <w:pStyle w:val="BookText"/>
        <w:rPr/>
      </w:pPr>
      <w:r>
        <w:rPr>
          <w:rFonts w:ascii="IRNazanin" w:hAnsi="IRNazanin" w:eastAsia="IRNazanin"/>
          <w:color w:val="111111"/>
          <w:sz w:val="28"/>
          <w:sz w:val="28"/>
          <w:szCs w:val="28"/>
          <w:rtl w:val="true"/>
          <w:lang w:bidi="fa-IR"/>
        </w:rPr>
        <w:t>تامّة، واستطاع تشکیل حکومة شاملة وعادلة؛ لأنّ الناس لم یکونوا بالمستوی المطلوب الذی یؤهّلهم إلی القبول بالحکومة العادلة، فما أن کان الأنبیاء والمرسلون یدعون الناس إلی عبادة الله الواحد القهّار، حتّی یجابهوهم بالرفض والمخالفة والاعتراض؛ خاصّة من قبل أولئک الحکّام والمترفین والمنعّمین المنهمکین بالملذّات والعیش الرغید،</w:t>
      </w:r>
      <w:r>
        <w:rPr>
          <w:rStyle w:val="FootnoteAnchor"/>
          <w:rtl w:val="true"/>
        </w:rPr>
        <w:footnoteReference w:id="366"/>
      </w:r>
      <w:r>
        <w:rPr>
          <w:rFonts w:ascii="IRNazanin" w:hAnsi="IRNazanin" w:eastAsia="IRNazanin"/>
          <w:color w:val="111111"/>
          <w:sz w:val="28"/>
          <w:sz w:val="28"/>
          <w:szCs w:val="28"/>
          <w:rtl w:val="true"/>
          <w:lang w:bidi="fa-IR"/>
        </w:rPr>
        <w:t>ومن أوتی العلم والمال وغرّه بالله الغرور،</w:t>
      </w:r>
      <w:r>
        <w:rPr>
          <w:rStyle w:val="FootnoteAnchor"/>
          <w:rtl w:val="true"/>
        </w:rPr>
        <w:footnoteReference w:id="367"/>
      </w:r>
      <w:r>
        <w:rPr>
          <w:rFonts w:ascii="IRNazanin" w:hAnsi="IRNazanin" w:eastAsia="IRNazanin"/>
          <w:color w:val="111111"/>
          <w:sz w:val="28"/>
          <w:sz w:val="28"/>
          <w:szCs w:val="28"/>
          <w:rtl w:val="true"/>
          <w:lang w:bidi="fa-IR"/>
        </w:rPr>
        <w:t>فوقفوا بوجه دعوة النبیّین، واستهووا کثیراً من الناس، وصدّوهم عن سبیل الحقّ والرشاد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ولهذا، لم یؤمن من المجتمعات البشریّة بالدعوة الإلهیّة إلاّ نفرٌ قلیل، وهم المستضعفون والفقراء فی الغالب</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ومن هنا، لم نشهد فی التاریخ مجتمعاً قائماً علی أُسُس العدل وموازین القِسط، ومعتنقاً للعقائد الصحیحة، ومطیعاً لأوامر الربّ والأنبیاء والمرسلین، مثل المجتمع الذی شکّله النبیّ سلیمان علیه السلام، وإن کانت التعالیم الدینیّة الغرّاء أخذت تتغلغل إلی ثقافة المجتمعات، ویجری اقتباسها رویداً رویداً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فأوّل أهداف الأنبیاء عبارة عن تهیئة الأرضیّة اللازمة للنموّ والتکامل، عن طریق الوحی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الأهداف الأخری للأنبیاء، المساعدة علی النموّ العقلانیّ والتربیة الروحیّة والمعنویّة، لمن یمتلک مقوّمات التقدّم والازدهار؛ ولیس ثمّة شکّ فی أنّ جمیع الأنبیاء الإلهیّین کانوا بصدد تشکیل مجتمع مثالیّ فی التوحید، وبسط العدل فی</w:t>
      </w:r>
    </w:p>
    <w:p>
      <w:pPr>
        <w:pStyle w:val="BookText"/>
        <w:rPr/>
      </w:pPr>
      <w:r>
        <w:rPr>
          <w:rFonts w:ascii="Amiri" w:hAnsi="Amiri" w:eastAsia="Amiri" w:cs="Amiri"/>
          <w:color w:val="111111"/>
          <w:sz w:val="28"/>
          <w:sz w:val="28"/>
          <w:szCs w:val="28"/>
          <w:rtl w:val="true"/>
          <w:lang w:bidi="ar-SA"/>
        </w:rPr>
        <w:t xml:space="preserve">أرجاء المعمورة، فخطا کلّ واحد منهم خطوات بمقدار ما سنحت له الفرصة فی ضوء الظروف السائدة فی عصره، حتّی تمکّن بعضهم من تأسیس حکومة إلهیّة فی بقعة جغرافیّة خاصّة وفی زمن معیّن؛ بینما لم تتوافر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الظروف المواتیة لتشکیل حکومة العدل الإلهیّ العالمیّة، لأیّ نبیّ من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عدم تهیّؤ الظروف لا یعنی نقصان أو قصور التعالیم الإلهیّة عن الوفاء بالحاجة؛ ذلک أنّ الهدف الإلهیّ یتجسّد بتوفّر الظروف الملائمة للمسیرة الاختیاریّة للانسان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w:t>
      </w:r>
      <w:r>
        <w:rPr>
          <w:rStyle w:val="FootnoteAnchor"/>
          <w:rtl w:val="true"/>
        </w:rPr>
        <w:footnoteReference w:id="370"/>
      </w:r>
      <w:r>
        <w:rPr>
          <w:rFonts w:ascii="IRNazanin" w:hAnsi="IRNazanin" w:eastAsia="IRNazanin"/>
          <w:color w:val="111111"/>
          <w:sz w:val="28"/>
          <w:sz w:val="28"/>
          <w:szCs w:val="28"/>
          <w:rtl w:val="true"/>
          <w:lang w:bidi="fa-IR"/>
        </w:rPr>
        <w:t>فلا إکراه ولا إلزام بقبول دین الحقّ، والسیر علی خطی القادة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فلمّا کان النبیّ الأکرم صلی الله علیه و آله آخر الأنبیاء والرسل الإلهیّین، ومن ثمّ الأئمّة المعصومین علیهم السلام، وعلی رأسهم أمیر المؤمنین علیّ علیه السلام، الذین بُعثوا لنشر شعاع العدل الإلهیّ إلی أرجاء العالم، ودعوة الناس إلی الإسلام الحنیف، کان علیهم تأسیس الحکومة الإلهیّة العادلة؛ ولکنّهم لم یستطیعوا تطبیق هذه الحکومة المنشودة بسبب الظروف النفسیّة والفکریّة المنحطّة للناس؛ إذ أنّ الناس لم یبلغوا مرحلة النضوج الفکریّ والعقلیّ، التی تمکّنهم من قبول حکومة العدل الموعودة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فی الحقیقة کالطفل الذی یحتاج إلی التعلّم لیبلغ مرحلة الرشد والنضوج، ومن الواضح أن علیه اجتیاز تلک المراحل عبر السیر الوئید والحرکة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لم یکن بوسع القادة الإلهیّین والأنبیاء المرسلین إقامة حکومة العدل الإلهیّ المنتظر، من دون توفیر الظروف المناسبة لهذا الهدف السامی، والسبب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إلیهم، ولا</w:t>
      </w:r>
      <w:bookmarkStart w:id="608" w:name="pg5457_39282"/>
    </w:p>
    <w:p>
      <w:pPr>
        <w:pStyle w:val="BookText"/>
        <w:rPr/>
      </w:pPr>
      <w:bookmarkEnd w:id="608"/>
      <w:r>
        <w:rPr>
          <w:rFonts w:ascii="IRNazanin" w:hAnsi="IRNazanin" w:eastAsia="IRNazanin"/>
          <w:color w:val="111111"/>
          <w:sz w:val="28"/>
          <w:sz w:val="28"/>
          <w:szCs w:val="28"/>
          <w:rtl w:val="true"/>
          <w:lang w:bidi="fa-IR"/>
        </w:rPr>
        <w:t>لنقص فی قدراتهم، أو عدم کفاءتهم والعیاذ بالله، وإنّما المشکلة تتمثّل بانعدام الظروف الملائمة والأرضیّة المناسبة، وعدم استعداد الناس لتحمّل المسؤولیّة فی هذا الاتّجاه</w:t>
      </w:r>
      <w:r>
        <w:rPr>
          <w:rFonts w:eastAsia="IRNazanin" w:cs="IRNazanin"/>
          <w:color w:val="111111"/>
          <w:sz w:val="28"/>
          <w:szCs w:val="28"/>
          <w:rtl w:val="true"/>
          <w:lang w:bidi="fa-IR"/>
        </w:rPr>
        <w:t>.</w:t>
      </w:r>
    </w:p>
    <w:p>
      <w:pPr>
        <w:pStyle w:val="Heading3"/>
        <w:numPr>
          <w:ilvl w:val="2"/>
          <w:numId w:val="1"/>
        </w:numPr>
        <w:rPr/>
      </w:pPr>
      <w:bookmarkStart w:id="609" w:name="__RefHeading___Toc1994470_581953129"/>
      <w:bookmarkStart w:id="610" w:name="_Toc237"/>
      <w:bookmarkEnd w:id="609"/>
      <w:r>
        <w:rPr>
          <w:rtl w:val="true"/>
        </w:rPr>
        <w:t>مایستفاد من الروایات الاسلامیة</w:t>
      </w:r>
      <w:bookmarkEnd w:id="610"/>
    </w:p>
    <w:p>
      <w:pPr>
        <w:pStyle w:val="Heading4"/>
        <w:numPr>
          <w:ilvl w:val="3"/>
          <w:numId w:val="1"/>
        </w:numPr>
        <w:rPr/>
      </w:pPr>
      <w:bookmarkStart w:id="611" w:name="__RefHeading___Toc1994472_581953129"/>
      <w:bookmarkStart w:id="612" w:name="_Toc238"/>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ویُستفاد من الروایات الإسلامیّة، أنّ تقبّل حکومة العدل الإلهیّ، والنهوض بالمستوی الفکری للناس، یعتمد علی التهیّؤ والاستعداد الاجتماعیّ، والاستعداد الفکریّ، والاستعداد الثقافیّ، وتکامل العقول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یحصل فی عصر ظهور الإمام الحجّة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ونحاول فیما یلی إلقاء الأضواء علی عدد من هذه الموارد</w:t>
      </w:r>
      <w:r>
        <w:rPr>
          <w:rFonts w:eastAsia="IRNazanin" w:cs="IRNazanin"/>
          <w:color w:val="111111"/>
          <w:sz w:val="28"/>
          <w:szCs w:val="28"/>
          <w:rtl w:val="true"/>
          <w:lang w:bidi="fa-IR"/>
        </w:rPr>
        <w:t>:</w:t>
      </w:r>
    </w:p>
    <w:p>
      <w:pPr>
        <w:pStyle w:val="Heading4"/>
        <w:numPr>
          <w:ilvl w:val="3"/>
          <w:numId w:val="1"/>
        </w:numPr>
        <w:rPr/>
      </w:pPr>
      <w:bookmarkStart w:id="613" w:name="__RefHeading___Toc1994474_581953129"/>
      <w:bookmarkStart w:id="614" w:name="_Toc239"/>
      <w:bookmarkEnd w:id="613"/>
      <w:r>
        <w:rPr>
          <w:rtl w:val="true"/>
        </w:rPr>
        <w:t>أ</w:t>
      </w:r>
      <w:r>
        <w:rPr>
          <w:rtl w:val="true"/>
        </w:rPr>
        <w:t xml:space="preserve">) </w:t>
      </w:r>
      <w:r>
        <w:rPr>
          <w:rtl w:val="true"/>
        </w:rPr>
        <w:t>التهیّؤ والاستعداد الاجتماعیّ</w:t>
      </w:r>
      <w:bookmarkEnd w:id="614"/>
    </w:p>
    <w:p>
      <w:pPr>
        <w:pStyle w:val="BookText"/>
        <w:rPr/>
      </w:pPr>
      <w:r>
        <w:rPr>
          <w:rFonts w:ascii="IRNazanin" w:hAnsi="IRNazanin" w:eastAsia="IRNazanin"/>
          <w:color w:val="111111"/>
          <w:sz w:val="28"/>
          <w:sz w:val="28"/>
          <w:szCs w:val="28"/>
          <w:rtl w:val="true"/>
          <w:lang w:bidi="fa-IR"/>
        </w:rPr>
        <w:t>یعتبر التهیّؤ والاستعداد الاجتماعیّ والعالمیّ من جملة شروط ظهور صاحب الأمر والزمان عجل الله تعالی فرجه الشریف</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فقبل ظهوره تُملأ الأرض بشتّی ضروب الظلم والجور، وتنشب حروب طاحنة بین الشعوب والدول المختلفة، وتضجّ الأرض من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هذا الأمر حتّی یذهب ثلثا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ثلثا الناس، فما یبقی؟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الثلث الباقی؟</w:t>
      </w:r>
      <w:r>
        <w:rPr>
          <w:rFonts w:eastAsia="IRNazanin" w:cs="IRNazanin"/>
          <w:color w:val="111111"/>
          <w:sz w:val="28"/>
          <w:szCs w:val="28"/>
          <w:rtl w:val="true"/>
          <w:lang w:bidi="fa-IR"/>
        </w:rPr>
        <w:t>».</w:t>
      </w:r>
      <w:r>
        <w:rPr>
          <w:rStyle w:val="FootnoteAnchor"/>
          <w:rtl w:val="true"/>
        </w:rPr>
        <w:footnoteReference w:id="37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أکّدت الروایات المأثورة عن الأئمّة من أهل البیت الطاهرین علیهم السلام، علی أنّ الأمن ینعدم قبیل عصر الظهور، ویعمّ الفساد</w:t>
      </w:r>
    </w:p>
    <w:p>
      <w:pPr>
        <w:pStyle w:val="BookText"/>
        <w:rPr/>
      </w:pPr>
      <w:r>
        <w:rPr>
          <w:rFonts w:ascii="IRNazanin" w:hAnsi="IRNazanin" w:eastAsia="IRNazanin"/>
          <w:color w:val="111111"/>
          <w:sz w:val="28"/>
          <w:sz w:val="28"/>
          <w:szCs w:val="28"/>
          <w:rtl w:val="true"/>
          <w:lang w:bidi="fa-IR"/>
        </w:rPr>
        <w:t>والفوضی، ویقتل الناس بعضهم بعضاً</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وفی ذلک، قال أبو عبد الله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یکون قدّام ذلک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الأبیض والطاعون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 الطاعون الأبیض؟ وأیّ شیء الطاعون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الأبیض الموت الجاذف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والطاعون الأحمر السیف</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وطبقاً لما ذکرته الروایات الإسلامیّة، یُعذّب الأطفال فی ذلک العصر علی أیدی الحکّام الظلمة، ویُقتلون من دون ذنب</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وتتفشّی الأمراض والأوبئة بین الناس،</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بسبب تفسّخ جثث القتلی المتراکمة، أو بفعل استخدام الأسلحة الکیمیاویّة والجرثومیّة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وفی مثل تلک الظروف العصیبة، یدبّ القنوط والیأس فی جمیع مفاصل الحیاة البشریّة، وفی کافّة المجتمعات، حتّی یغدو الموت خیر هدیّة إلهیّة للإنسان، حیث یتمنّی الشخص الموت فی أسرع ما یمکن؛ لینهی حیاته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الإمام الباقر علیه السلام فی هذا الخصوص قوله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القائم علیه السلام إلاّ علی خوف شدید، وزلازِل وفتنة وبلاء یصیب الناس، وطاعون قبل ذلک، وسیف قاطع بین العرب، واختلاف شدید بین الناس، وتشتّت فی دینهم، وتغیّر من حالهم، حتّی یتمنّی المتمنّی الموت صباحاً ومساءً؛ من عظم ما یری من کلَب الناس، وأکل بعضهم بعضاً، وخروجه إذا خرج عند الإیاس والقنوط</w:t>
      </w:r>
      <w:r>
        <w:rPr>
          <w:rFonts w:eastAsia="IRNazanin" w:cs="IRNazanin"/>
          <w:color w:val="111111"/>
          <w:sz w:val="28"/>
          <w:szCs w:val="28"/>
          <w:rtl w:val="true"/>
          <w:lang w:bidi="fa-IR"/>
        </w:rPr>
        <w:t>».</w:t>
      </w:r>
      <w:r>
        <w:rPr>
          <w:rStyle w:val="FootnoteAnchor"/>
          <w:rtl w:val="true"/>
        </w:rPr>
        <w:footnoteReference w:id="377"/>
      </w:r>
      <w:bookmarkStart w:id="615" w:name="pg5457_39284"/>
    </w:p>
    <w:p>
      <w:pPr>
        <w:pStyle w:val="BookText"/>
        <w:rPr/>
      </w:pPr>
      <w:bookmarkEnd w:id="615"/>
      <w:r>
        <w:rPr>
          <w:rFonts w:ascii="IRNazanin" w:hAnsi="IRNazanin" w:eastAsia="IRNazanin"/>
          <w:color w:val="111111"/>
          <w:sz w:val="28"/>
          <w:sz w:val="28"/>
          <w:szCs w:val="28"/>
          <w:rtl w:val="true"/>
          <w:lang w:bidi="fa-IR"/>
        </w:rPr>
        <w:t>وعندما تسود هذه الظروف القاهرة فی العالم، تلتفت قلوب الناس إلی الله جلّ جلاله، وتستعدّ لتقبّل الثورة العالمیّة، وتتهیّأ لاستقبالها؛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العالم، انقضی عهد الظلم والجور، وظهر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هذا النداء السماویّ إلی بعث الأمل ثانیة فی روح الإنسان، وملء حیاته بالعشق والإیمان، وجعلها مفعمة بالنشاط والحیویّة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أحد شروط ظهور الإمام المهدیّ عجل الله تعالی فرجه الشریف التهیّؤ الاجتماعیّ، وهو ما یتمّ بعد ملل الناس من تفشّی الظلم والجور فی العالم، وتذوّق مرارة الحیاة المادیّة، حتّی یدبّ الیأس والقنوط فی جمیع القلوب، ویتجهّز الناس للثورة العالمیّة</w:t>
      </w:r>
      <w:r>
        <w:rPr>
          <w:rFonts w:eastAsia="IRNazanin" w:cs="IRNazanin"/>
          <w:color w:val="111111"/>
          <w:sz w:val="28"/>
          <w:szCs w:val="28"/>
          <w:rtl w:val="true"/>
          <w:lang w:bidi="fa-IR"/>
        </w:rPr>
        <w:t>.</w:t>
      </w:r>
    </w:p>
    <w:p>
      <w:pPr>
        <w:pStyle w:val="Heading4"/>
        <w:numPr>
          <w:ilvl w:val="3"/>
          <w:numId w:val="1"/>
        </w:numPr>
        <w:rPr/>
      </w:pPr>
      <w:bookmarkStart w:id="616" w:name="__RefHeading___Toc1994476_581953129"/>
      <w:bookmarkStart w:id="617" w:name="_Toc240"/>
      <w:bookmarkEnd w:id="616"/>
      <w:r>
        <w:rPr>
          <w:rtl w:val="true"/>
        </w:rPr>
        <w:t>ب</w:t>
      </w:r>
      <w:r>
        <w:rPr>
          <w:rtl w:val="true"/>
        </w:rPr>
        <w:t xml:space="preserve">) </w:t>
      </w:r>
      <w:r>
        <w:rPr>
          <w:rtl w:val="true"/>
        </w:rPr>
        <w:t>الاستعداد الفکریّ والثقافیّ</w:t>
      </w:r>
      <w:bookmarkEnd w:id="6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شروط ظهور الإمام الحجّة المنتظر عجل الله تعالی فرجه الشریف، الاستعداد الفکریّ والثقافیّ للمجتمع البشریّ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ولا شکّ فی أنّ بلوغ هذه المرحلة إنّما یتحقّق عندما یتخلّی الناس من الناحیة الفکریّة، عن جعل العِرق واللون واللغة والمنطقة الجغرافیّة والحدود المصطنعة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المعیار فی التقییم، ویخرجون عن هذا الإطار الضیّق من التفکیر، ولا یلتفتون إلی الحدود الجغرافیّة، ویعدّون الدنیا دولة واحدة</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فلا التعصّب العرقی ولا العصبیّة القبلیّة ولا الحمیّة الجاهلیّة ولا الولاءات القومیّة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قادرة علی حلّ وتسویة المشاکل التی یعانی منها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یتوجّب علی المجتمعات البشریّة السیر علی وفق المبانی المعنویّة والأسس الفکریّة والثقافیّة التوحیدیّة؛ لکی تسهم فی الإسراع فی ظهور الإمام المهدیّ المنتظر عجل الله تعالی فرجه الشریف</w:t>
      </w:r>
      <w:r>
        <w:rPr>
          <w:rFonts w:eastAsia="IRNazanin" w:cs="IRNazanin"/>
          <w:color w:val="111111"/>
          <w:sz w:val="28"/>
          <w:szCs w:val="28"/>
          <w:rtl w:val="true"/>
          <w:lang w:bidi="fa-IR"/>
        </w:rPr>
        <w:t>.</w:t>
      </w:r>
      <w:bookmarkStart w:id="618" w:name="pg5457_39285"/>
    </w:p>
    <w:p>
      <w:pPr>
        <w:pStyle w:val="Heading4"/>
        <w:numPr>
          <w:ilvl w:val="3"/>
          <w:numId w:val="1"/>
        </w:numPr>
        <w:rPr/>
      </w:pPr>
      <w:bookmarkStart w:id="619" w:name="__RefHeading___Toc1994478_581953129"/>
      <w:bookmarkStart w:id="620" w:name="_Toc241"/>
      <w:bookmarkEnd w:id="618"/>
      <w:bookmarkEnd w:id="619"/>
      <w:r>
        <w:rPr>
          <w:rtl w:val="true"/>
        </w:rPr>
        <w:t>ج</w:t>
      </w:r>
      <w:r>
        <w:rPr>
          <w:rtl w:val="true"/>
        </w:rPr>
        <w:t xml:space="preserve">) </w:t>
      </w:r>
      <w:r>
        <w:rPr>
          <w:rtl w:val="true"/>
        </w:rPr>
        <w:t>الاستعداد العلمیّ والصناعیّ</w:t>
      </w:r>
      <w:bookmarkEnd w:id="620"/>
    </w:p>
    <w:p>
      <w:pPr>
        <w:pStyle w:val="BookText"/>
        <w:rPr/>
      </w:pPr>
      <w:r>
        <w:rPr>
          <w:rFonts w:ascii="IRNazanin" w:hAnsi="IRNazanin" w:eastAsia="IRNazanin"/>
          <w:color w:val="111111"/>
          <w:sz w:val="28"/>
          <w:sz w:val="28"/>
          <w:szCs w:val="28"/>
          <w:rtl w:val="true"/>
          <w:lang w:bidi="fa-IR"/>
        </w:rPr>
        <w:t>من الشروط الأُخری لظهور الإمام الحجّة، التهیّؤ العلمیّ والصناعیّ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قال آیة الله مکارم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لإیجاد نظام عالمیّ، ومن ثمّ إدارته بالشکل الصحیح، یلزم وجود سلسلة من الوسائل والأدوات ما فوق العصریّة، یتسنّی من خلالها سبر أغوار العالم فی وقت قصیر قیاسیّاً، والإحاطة بکلّ جزئیّاته وتفصیلاته، والاطّلاع علی مجمل مکوّناته، ویمکن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الإمکانات المتاحة من جهة إلی جهة أُخری، ومن مکان إلی مکانٍ آخر، وإیصال المعلومات والمعطیات إلی أقصی بقاع العالَم، فی أقصر وقت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إرسال رسالةٍ ما، من نقطة فی العالم إلی نقطة أخری، یستغرق مدّة طویلة، کالعام مثلاً، أنّی یمکن حکومة العالم، وبسط العدل فی جمیع ربوعه وزوایاه؟</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وقد ورد فی هذا المجال جملة من الأحادیث، التی نظرت إلی الموضوع من زوایا متفاوتة، ولا شکّ فی أنّ التکنولوجیا التی ستوفّر فی عصر الظهور تختلف تماماً عن التکنولوجیا السائدة الیوم، أو التی کانت موجودة قبل قرن من الزمن، والتی نشأت وتبلورت فی ضوء مناهضة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فالتقنیة التی ستحکم المجتمع العالمیّ إبان ظهور إمام العصر والزمان عجل الله تعالی فرجه الشریف، سوف تتحرّر من کثیر من القیود المفروضة علیها الآن، بل ستشغل مساحات أوسع ممّا یتصوّره ویستوعبه الإنسان المعاصر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للأحادیث المتواترة، ستکتمل التکنولوجیا، وتزدهر الثورة الصناعیّة فی عصر ظهور الإمام، حتّی لیصبح العالم بحکم المدینة الواحدة، ویتمکّن الشخص الذی هو فی المشرق من التحدّث إلی من هو فی المغرب</w:t>
      </w:r>
      <w:bookmarkStart w:id="621" w:name="pg5457_39286"/>
    </w:p>
    <w:p>
      <w:pPr>
        <w:pStyle w:val="BookText"/>
        <w:rPr/>
      </w:pPr>
      <w:bookmarkEnd w:id="621"/>
      <w:r>
        <w:rPr>
          <w:rFonts w:ascii="IRNazanin" w:hAnsi="IRNazanin" w:eastAsia="IRNazanin"/>
          <w:color w:val="111111"/>
          <w:sz w:val="28"/>
          <w:sz w:val="28"/>
          <w:szCs w:val="28"/>
          <w:rtl w:val="true"/>
          <w:lang w:bidi="fa-IR"/>
        </w:rPr>
        <w:t>مباشرةً؛ ومن هنا، قال أبو عبد الله الإمام جعفر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فی زمان القائم، وهو بالمشرق، لیری أخاه الذی فی المغرب، وکذا الذی فی المغرب، یری أخاه الذی فی المشرق</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قال آیة الله مکارم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التقدّم التکنولوجیّ والصناعیّ، خاصّة مسألة الاتّصالات والسفر والتنقّل، سیشهد فی عصر الظهور تطوّراً هائلاً، إلی درجةِ أنّ القارّات المختلفة فی العالّم ستصبح من ناحیة عملیّة کبضعة مدن قریبة من بعضها البعض، بل سیکون الشرق والغرب بحکم البیت الواحد، وبکلمة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تُحلّ مشکلة الزمان والمکان بصورة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الممکن أن یحصل جزءٌ من هذه الأُمور فی ضوء قفزات عملاقة فی الثورة الصناعیّة الجبّارة فی ذلک العصر، لکنّها کیفما کانت تعبّر عن نوع من الاستعداد والتأهّب العلمیّ، الذی یفتح آفاقاً واسعة فی ذلک العصر</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إنّ وجود صناعة متطوّرة إلی أبعد المدیات، وتقدّم علمیّ بعید الشأن، لا یشکّل عائقاً أمام الحکومة العالمیّة العادلة، بل یستحیل من دونه بلوغ مثل ذلکم الهدف الرفیع</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622" w:name="__RefHeading___Toc1994480_581953129"/>
      <w:bookmarkStart w:id="623" w:name="_Toc242"/>
      <w:bookmarkEnd w:id="622"/>
      <w:r>
        <w:rPr>
          <w:rtl w:val="true"/>
        </w:rPr>
        <w:t>د</w:t>
      </w:r>
      <w:r>
        <w:rPr>
          <w:rtl w:val="true"/>
        </w:rPr>
        <w:t xml:space="preserve">) </w:t>
      </w:r>
      <w:r>
        <w:rPr>
          <w:rtl w:val="true"/>
        </w:rPr>
        <w:t>التقدّم العلمیّ الهائل</w:t>
      </w:r>
      <w:bookmarkEnd w:id="6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 ینبثق فی أحضان الدین، والدین ینتشر فی ظلّ التقدّم العلمیّ، وفی عصر الإمام الحجّة، لا یُری هنالک تناقض وتنافٍ، بین الدین الإلهیّ والعلم فی أجلی صوره وأوسع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أکّدت</w:t>
      </w:r>
    </w:p>
    <w:p>
      <w:pPr>
        <w:pStyle w:val="BookText"/>
        <w:rPr/>
      </w:pPr>
      <w:r>
        <w:rPr>
          <w:rFonts w:ascii="IRNazanin" w:hAnsi="IRNazanin" w:eastAsia="IRNazanin"/>
          <w:color w:val="111111"/>
          <w:sz w:val="28"/>
          <w:sz w:val="28"/>
          <w:szCs w:val="28"/>
          <w:rtl w:val="true"/>
          <w:lang w:bidi="fa-IR"/>
        </w:rPr>
        <w:t>الروایات علی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 إذا قام، أشرقت الأرض بنور ربّها، واستغنی العباد عن 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وأنّه سیرکب السحاب والرعد والصاعقة،</w:t>
      </w:r>
      <w:r>
        <w:rPr>
          <w:rStyle w:val="FootnoteAnchor"/>
          <w:rtl w:val="true"/>
        </w:rPr>
        <w:footnoteReference w:id="385"/>
      </w:r>
      <w:r>
        <w:rPr>
          <w:rFonts w:ascii="IRNazanin" w:hAnsi="IRNazanin" w:eastAsia="IRNazanin"/>
          <w:color w:val="111111"/>
          <w:sz w:val="28"/>
          <w:sz w:val="28"/>
          <w:szCs w:val="28"/>
          <w:rtl w:val="true"/>
          <w:lang w:bidi="fa-IR"/>
        </w:rPr>
        <w:t>فی إشارة إلی استخدام الوسائل السریعة فی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وشدّدت علی أنّ المؤمن فی المشرق یری أخاه الذی فی المغرب،</w:t>
      </w:r>
      <w:r>
        <w:rPr>
          <w:rStyle w:val="FootnoteAnchor"/>
          <w:rtl w:val="true"/>
        </w:rPr>
        <w:footnoteReference w:id="386"/>
      </w:r>
      <w:r>
        <w:rPr>
          <w:rFonts w:ascii="IRNazanin" w:hAnsi="IRNazanin" w:eastAsia="IRNazanin"/>
          <w:color w:val="111111"/>
          <w:sz w:val="28"/>
          <w:sz w:val="28"/>
          <w:szCs w:val="28"/>
          <w:rtl w:val="true"/>
          <w:lang w:bidi="fa-IR"/>
        </w:rPr>
        <w:t>کما أشارت إلی أنّ الله تبارک وتعالی رفع له کلّ منخفض من الأرض، وخفض له کلّ مرتفع، حتّی تکون الدنیا عنده بمنزلة راحته،</w:t>
      </w:r>
      <w:r>
        <w:rPr>
          <w:rStyle w:val="FootnoteAnchor"/>
          <w:rtl w:val="true"/>
        </w:rPr>
        <w:footnoteReference w:id="387"/>
      </w:r>
      <w:r>
        <w:rPr>
          <w:rFonts w:ascii="IRNazanin" w:hAnsi="IRNazanin" w:eastAsia="IRNazanin"/>
          <w:color w:val="111111"/>
          <w:sz w:val="28"/>
          <w:sz w:val="28"/>
          <w:szCs w:val="28"/>
          <w:rtl w:val="true"/>
          <w:lang w:bidi="fa-IR"/>
        </w:rPr>
        <w:t>وبیّنت أنّ المؤمنین فی سعة والکافرین فی ضیق وعسر</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کلّ ذلک یتحقّق فی ظلّ حکومة الإمام القائم عجل الله تعالی فرجه الشریف، وهو ما لم یحصل ولم جربه البشر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هذا التقدّم العلمیّ الهائل لا یحدث عن طریق الإعجاز، وإنّما هو ولید التکامل العلمیّ فی عصر ما بعد الظهور؛ ذلک أنّ الحیاة البشریّة فی هذا العالم یجب أن تتطابق مع السُّنن السائدة فی الطبیعة، لا بواسطة الإعجاز الذی یحدث فی الموارد الاستثنائیّة والضروریّة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فالعلم والتکنولوجیا تتکامل أیّما تکامل فی عصر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قال الإمام أبو عبد الله الصادق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سبعة وعشرون حرفاً، فجمیع ما جاءت به الرُّسل حرفان، فلم یعرف النّاس حتّی الیوم غیر الحرفین، فإذا قام قائمنا أخرَج الخمسة والعشرین حرفاً، فبثّها فی الناس، وضمّ إلیها الحرفین، حتّی یبثّها سبعةً وعشرین حرفاً</w:t>
      </w:r>
      <w:r>
        <w:rPr>
          <w:rFonts w:eastAsia="IRNazanin" w:cs="IRNazanin"/>
          <w:color w:val="111111"/>
          <w:sz w:val="28"/>
          <w:szCs w:val="28"/>
          <w:rtl w:val="true"/>
          <w:lang w:bidi="fa-IR"/>
        </w:rPr>
        <w:t>».</w:t>
      </w:r>
      <w:r>
        <w:rPr>
          <w:rStyle w:val="FootnoteAnchor"/>
          <w:rtl w:val="true"/>
        </w:rPr>
        <w:footnoteReference w:id="389"/>
      </w:r>
      <w:bookmarkStart w:id="624" w:name="pg5457_39288"/>
    </w:p>
    <w:p>
      <w:pPr>
        <w:pStyle w:val="Heading4"/>
        <w:numPr>
          <w:ilvl w:val="3"/>
          <w:numId w:val="1"/>
        </w:numPr>
        <w:rPr/>
      </w:pPr>
      <w:bookmarkStart w:id="625" w:name="__RefHeading___Toc1994482_581953129"/>
      <w:bookmarkStart w:id="626" w:name="_Toc243"/>
      <w:bookmarkEnd w:id="624"/>
      <w:bookmarkEnd w:id="625"/>
      <w:r>
        <w:rPr>
          <w:rtl w:val="true"/>
        </w:rPr>
        <w:t>ه</w:t>
      </w:r>
      <w:r>
        <w:rPr>
          <w:rtl w:val="true"/>
        </w:rPr>
        <w:t xml:space="preserve">) </w:t>
      </w:r>
      <w:r>
        <w:rPr>
          <w:rtl w:val="true"/>
        </w:rPr>
        <w:t>تکامل العقول البشریّة</w:t>
      </w:r>
      <w:bookmarkEnd w:id="626"/>
    </w:p>
    <w:p>
      <w:pPr>
        <w:pStyle w:val="BookText"/>
        <w:rPr/>
      </w:pPr>
      <w:r>
        <w:rPr>
          <w:rFonts w:ascii="IRNazanin" w:hAnsi="IRNazanin" w:eastAsia="IRNazanin"/>
          <w:color w:val="111111"/>
          <w:sz w:val="28"/>
          <w:sz w:val="28"/>
          <w:szCs w:val="28"/>
          <w:rtl w:val="true"/>
          <w:lang w:bidi="fa-IR"/>
        </w:rPr>
        <w:t>یجب أن یصل الناس إلی درجةٍ عالیة من النضوج العقلیّ؛ لیمهّدوا بذلک لظهور الإمام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الإمام أبو جعفر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وضع الله یده علی رؤس العباد، فجمع بها عقولهم، وکمُلت بها أحلامهم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فانطلاقاً من أنّ الإمام علیه السلام یطبّق جمیع الأحکام الإسلامیّة بحذافیرها، سیؤدّی ذلک إلی النضوج الفکریّ للناس، وبمقتضاه یتحقّق هدف النبیّ الأکرم صلی الله علیه و آله،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مکام الأخلاق</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إنّ عقول البشَر ستصل إلی حدّ الکمال والنضوج فی حکومة الإمام المنتظر، کما ستبعث علی توظیف واستغلال جمیع الطاقات البشریّة الکامنة؛ فالبشریّة فی ضوء الألطاف الإلهیّة والفیوضات الربّانیّة، وبعد اختبارها واجتیازها لکافّة المسالک والتجارب المتعدّدة والطویلة، تدرک جیّداً بأنّ التدابیر الإنسانیّة لم تعد قادرة علی حلّ مشاکل المجتمع الإنسانیّ؛ ولذا، سیذعن الجمیع لثورة الإمام الحجّة عجل الله تعالی فرجه الشریف، بل ویرحّبون بها ویتلهّفون إلیها</w:t>
      </w:r>
      <w:r>
        <w:rPr>
          <w:rFonts w:eastAsia="IRNazanin" w:cs="IRNazanin"/>
          <w:color w:val="111111"/>
          <w:sz w:val="28"/>
          <w:szCs w:val="28"/>
          <w:rtl w:val="true"/>
          <w:lang w:bidi="fa-IR"/>
        </w:rPr>
        <w:t>.</w:t>
      </w:r>
    </w:p>
    <w:p>
      <w:pPr>
        <w:pStyle w:val="Heading4"/>
        <w:numPr>
          <w:ilvl w:val="3"/>
          <w:numId w:val="1"/>
        </w:numPr>
        <w:rPr/>
      </w:pPr>
      <w:bookmarkStart w:id="627" w:name="__RefHeading___Toc1994484_581953129"/>
      <w:bookmarkStart w:id="628" w:name="_Toc244"/>
      <w:bookmarkEnd w:id="627"/>
      <w:r>
        <w:rPr>
          <w:rtl w:val="true"/>
        </w:rPr>
        <w:t>و</w:t>
      </w:r>
      <w:r>
        <w:rPr>
          <w:rtl w:val="true"/>
        </w:rPr>
        <w:t xml:space="preserve">) </w:t>
      </w:r>
      <w:r>
        <w:rPr>
          <w:rtl w:val="true"/>
        </w:rPr>
        <w:t>التکامل الأخلاقیّ والمعنویّ</w:t>
      </w:r>
      <w:bookmarkEnd w:id="628"/>
    </w:p>
    <w:p>
      <w:pPr>
        <w:pStyle w:val="BookText"/>
        <w:rPr/>
      </w:pPr>
      <w:r>
        <w:rPr>
          <w:rFonts w:ascii="IRNazanin" w:hAnsi="IRNazanin" w:eastAsia="IRNazanin"/>
          <w:color w:val="111111"/>
          <w:sz w:val="28"/>
          <w:sz w:val="28"/>
          <w:szCs w:val="28"/>
          <w:rtl w:val="true"/>
          <w:lang w:bidi="fa-IR"/>
        </w:rPr>
        <w:t>سیتحقّق فی عصر الظهور، وفقاً للأحادیث الکثیرة، التکامل الأخلاقیّ والمعنویّ المنشود، وقد استفاض عن رسول الله صلی الله علیه و آله قوله فی وصف الإمام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خیرُ شاهدٍ علی هذا التکامل، إبّان ظهور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هذا الإطار،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أشرقت الأرضُ بنور ربّها، واستغنی العِباد عن ضوءِ الشمس، وذهبت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الأرضُ کنوزَها حتّی تراها الناس علی وجهها، ویطلب الرجل منکم من یصله بماله، ویأخذ من زکاته، لا یوجد أحد یقبل منه ذلک؛ استغنی الناس بما رزقهم الله من فضله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والملاحَظ أنّ الحدیث استفاد هنا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یظهر حصول تغیّر کبیر فی نفوس البشر فی عصر الظهور، بما لم یکن موجوداً قبل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وأکّدت الروایات المتظافرة فی التراث الإسلامیّ علی أنّ العالم، فی عصر حضور الإمام محمّد بن الحسن المهدیّ عجل الله تعالی فرجه الشریف، سیکون عالماً متحضّراً، بل وفی قمّة التقدّم العلمیّ والصناعیّ والأخلاقیّ والمعنویّ، ویتصرّف بمنتهی العقل والحکمة، ما یعنی حصول بَونٍ شاسعٍ بین ذلک التقدّم والتطوّر، وما علیه العالم الیوم من ازدهار فی التقنیّات المختلفة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الفارق الجوهریّ بین عصر الظهور وعالمنا المعاصر، یکمن فی أنّ التقدّم العلمیّ الملموس فی هذا العصر، قد تمّ تکریسه للانحدار بالثقافة والأخلاق فی المجتمع البشریّ الراهن، فبقدر ما یزداد العلم تقدّماً وتطوّراً یبتعد بنفس المقدار عن الإنسانیّة، ویرکن إلی الفساد والانهیار والسقوط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عصر الظهور، فالأمر علی العکس من ذلک تماماً؛ بمعنی أنّه بمقدار ما ینهض البشر، ویفتح آفاقاً جدیدة فی المجالات العلمیّة والصناعیّة، یدنو فی الوقت ذاته، وبالقدر نفسه، من السموّ الأخلاقیّ والکمال الإنسانیّ المرجوّ</w:t>
      </w:r>
      <w:r>
        <w:rPr>
          <w:rFonts w:eastAsia="IRNazanin" w:cs="IRNazanin"/>
          <w:color w:val="111111"/>
          <w:sz w:val="28"/>
          <w:szCs w:val="28"/>
          <w:rtl w:val="true"/>
          <w:lang w:bidi="fa-IR"/>
        </w:rPr>
        <w:t>.</w:t>
      </w:r>
      <w:bookmarkStart w:id="629" w:name="pg5457_39290"/>
    </w:p>
    <w:p>
      <w:pPr>
        <w:pStyle w:val="Heading3"/>
        <w:numPr>
          <w:ilvl w:val="2"/>
          <w:numId w:val="1"/>
        </w:numPr>
        <w:rPr/>
      </w:pPr>
      <w:bookmarkStart w:id="630" w:name="__RefHeading___Toc1994486_581953129"/>
      <w:bookmarkStart w:id="631" w:name="_Toc245"/>
      <w:bookmarkEnd w:id="629"/>
      <w:bookmarkEnd w:id="630"/>
      <w:r>
        <w:rPr>
          <w:rtl w:val="true"/>
        </w:rPr>
        <w:t>النتیجة</w:t>
      </w:r>
      <w:bookmarkEnd w:id="631"/>
    </w:p>
    <w:p>
      <w:pPr>
        <w:pStyle w:val="BookText"/>
        <w:rPr/>
      </w:pPr>
      <w:r>
        <w:rPr>
          <w:rFonts w:ascii="IRNazanin" w:hAnsi="IRNazanin" w:eastAsia="IRNazanin"/>
          <w:color w:val="111111"/>
          <w:sz w:val="28"/>
          <w:sz w:val="28"/>
          <w:szCs w:val="28"/>
          <w:rtl w:val="true"/>
          <w:lang w:bidi="fa-IR"/>
        </w:rPr>
        <w:t>لم تتوفّر الظروف الملائمة لإقامة الحکومة العالمیّة العادلة والشاملة، التی توجب تکامل العلم والعقل والمعنویّات والأخلاق، وتفضی إلی الازدهار فی القطّاع الصناعیّ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الأنبیاء وسائر الأئمّة المعصومین علیهم السلام، بل ستتوافر تلک الشروط فی عصر الإمام صاحب الزمان، الحجّة المنتظر، محمّد بن الحسن المهدیّ عجل الله تعالی فرجه الشریف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من أهمّ عوامل الموافقة علی حکومة الإمام المهدیّ، الإرباک الذی یهیمن علی الوضع العالمیّ والمجتمع الإنسانیّ، الذی هو ولید الحروب الفتّاکة والمدمّرة التی ستعصف بالبشریّة ما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للناس أن یسأموا من الظلم والجور والأنظمة الموجودة، حتّی أنّ الضجر والملل یختلج فی قلوب الناس جمیعاً، وبذلک یتهیّؤون للثورة الإیمانیّة العظیمة، ففی مثل هذه الظروف، وفی ضوء الإرهاصات الموجودة، یطلّ الإمام بطلعته البهیّة إلی القلوب التوّاقة إلی لقائه والاستظلال بفیئه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البشریّة ستُعانی من الأنظمة الجائرة العاجزة عن تلبیة متطلّباتها، فالتعصّب العرقیّ والقومیّ والمذهبیّ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قادرة علی إیصال المجتمع الإنسانیّ إلی برّ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ذلک، لا بدّ لتلک المجتمعات من النهوض بواقعها الفعلیّ، وبلوغ مرحلة النضوج علی الصعید الفکریّ والثقافیّ، بما یتلاءم والأخلاق التوحیدیّة، فضلاً عن التقدّم التکنولوجیّ والصناعیّ، الذی یمهّد الأرضیّة اللازمة لظهور الإمام، وتحقّق العدل الإلهیّ، والتکامل الأخلاقیّ فی المجتمع البشریّ، ویفضی إلی الازدهار العلمیّ فی ربوع العالم</w:t>
      </w:r>
      <w:r>
        <w:rPr>
          <w:rFonts w:eastAsia="IRNazanin" w:cs="IRNazanin"/>
          <w:color w:val="111111"/>
          <w:sz w:val="28"/>
          <w:szCs w:val="28"/>
          <w:rtl w:val="true"/>
          <w:lang w:bidi="fa-IR"/>
        </w:rPr>
        <w:t>.</w:t>
      </w:r>
      <w:bookmarkStart w:id="632" w:name="pg5457_39291"/>
    </w:p>
    <w:p>
      <w:pPr>
        <w:pStyle w:val="Heading3"/>
        <w:numPr>
          <w:ilvl w:val="2"/>
          <w:numId w:val="1"/>
        </w:numPr>
        <w:rPr/>
      </w:pPr>
      <w:bookmarkStart w:id="633" w:name="__RefHeading___Toc1994488_581953129"/>
      <w:bookmarkStart w:id="634" w:name="_Toc246"/>
      <w:bookmarkEnd w:id="632"/>
      <w:bookmarkEnd w:id="633"/>
      <w:r>
        <w:rPr>
          <w:rtl w:val="true"/>
        </w:rPr>
        <w:t>مصادر للمطالعة</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مکارم الشیرازیّ، مهدی انقلاب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ثورة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أسد الله هاشمی شهیدی، ظهور حضرت مهدی از دیدگاه إسلام ومذاهب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الإمام المهدیّ من وجهة نظر الإسلام والأدیان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635" w:name="__RefHeading___Toc1994490_581953129"/>
      <w:bookmarkStart w:id="636" w:name="_Toc247"/>
      <w:bookmarkEnd w:id="635"/>
      <w:r>
        <w:rPr>
          <w:rtl w:val="true"/>
        </w:rPr>
        <w:t>الحدیث الختامیّ</w:t>
      </w:r>
      <w:bookmarkEnd w:id="636"/>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الأرضُ کُنوزَها حَتّی تَراها النّاسُ علی وَجهِها، ویَطلبُ الرَّجلُ مِنکُم مَن یَصِلُهُ بمالهِ، وَیأخذُ مِن زَکاتِهِ، لا یوجَدُ أحدٌ یَقبلُ منهُ ذلکَ؛ استَغنی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393"/>
      </w:r>
      <w:bookmarkStart w:id="637" w:name="pg5457_39293"/>
    </w:p>
    <w:p>
      <w:pPr>
        <w:pStyle w:val="Heading2"/>
        <w:numPr>
          <w:ilvl w:val="1"/>
          <w:numId w:val="1"/>
        </w:numPr>
        <w:rPr/>
      </w:pPr>
      <w:bookmarkStart w:id="638" w:name="__RefHeading___Toc1994492_581953129"/>
      <w:bookmarkStart w:id="639" w:name="_Toc248"/>
      <w:bookmarkEnd w:id="637"/>
      <w:bookmarkEnd w:id="638"/>
      <w:r>
        <w:rPr>
          <w:rtl w:val="true"/>
        </w:rPr>
        <w:t>سیکولوجیا الانتظار ودوره فی الحیاة</w:t>
      </w:r>
      <w:bookmarkEnd w:id="639"/>
    </w:p>
    <w:p>
      <w:pPr>
        <w:pStyle w:val="Heading3"/>
        <w:numPr>
          <w:ilvl w:val="2"/>
          <w:numId w:val="1"/>
        </w:numPr>
        <w:rPr/>
      </w:pPr>
      <w:bookmarkStart w:id="640" w:name="__RefHeading___Toc1994494_581953129"/>
      <w:bookmarkStart w:id="641" w:name="_Toc249"/>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الدور الذی یلعبه الانتظار فی الحیاة من الناحیة النفسیّة؟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للانتظار دوراً هامّاً فی البُعد النفسیّ بالنسبة إلی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إشارة إلی بعضِ أبعادِ هذا الأمر</w:t>
      </w:r>
      <w:r>
        <w:rPr>
          <w:rFonts w:eastAsia="IRNazanin" w:cs="IRNazanin"/>
          <w:color w:val="111111"/>
          <w:sz w:val="28"/>
          <w:szCs w:val="28"/>
          <w:rtl w:val="true"/>
          <w:lang w:bidi="fa-IR"/>
        </w:rPr>
        <w:t>:</w:t>
      </w:r>
    </w:p>
    <w:p>
      <w:pPr>
        <w:pStyle w:val="Heading3"/>
        <w:numPr>
          <w:ilvl w:val="2"/>
          <w:numId w:val="1"/>
        </w:numPr>
        <w:rPr/>
      </w:pPr>
      <w:bookmarkStart w:id="642" w:name="__RefHeading___Toc1994496_581953129"/>
      <w:bookmarkStart w:id="643" w:name="_Toc250"/>
      <w:bookmarkEnd w:id="642"/>
      <w:r>
        <w:rPr>
          <w:rtl w:val="true"/>
        </w:rPr>
        <w:t>أ</w:t>
      </w:r>
      <w:r>
        <w:rPr>
          <w:rtl w:val="true"/>
        </w:rPr>
        <w:t xml:space="preserve">) </w:t>
      </w:r>
      <w:r>
        <w:rPr>
          <w:rtl w:val="true"/>
        </w:rPr>
        <w:t>انتظار النصر</w:t>
      </w:r>
      <w:bookmarkEnd w:id="643"/>
    </w:p>
    <w:p>
      <w:pPr>
        <w:pStyle w:val="BookText"/>
        <w:rPr/>
      </w:pPr>
      <w:r>
        <w:rPr>
          <w:rFonts w:ascii="IRNazanin" w:hAnsi="IRNazanin" w:eastAsia="IRNazanin"/>
          <w:color w:val="111111"/>
          <w:sz w:val="28"/>
          <w:sz w:val="28"/>
          <w:szCs w:val="28"/>
          <w:rtl w:val="true"/>
          <w:lang w:bidi="fa-IR"/>
        </w:rPr>
        <w:t xml:space="preserve">الانتظار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 والرجاء</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فقد ورد فی لسان الروایات التعبیر عن الأمَل فی مستقبلٍ واعد، والتفاؤل بالمسیرة العامّة لنظام الطبیعة، ومسیرة التکامل التاریخیّ، والوثوق بمستقبلٍ أفضل،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 مستمدّ من الأُصول الأساسیّة للإسلام؛ أی اللطف والرحمة الإلهیّة وحرمة الیأس والقنوط؛ إذ قال تعالی فی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Style w:val="FootnoteAnchor"/>
          <w:rtl w:val="true"/>
        </w:rPr>
        <w:footnoteReference w:id="3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تجلّت الرحمة واللطف الإلهیّ فی کلام أمیر المؤمنین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ولا تیأسوا من رَوح الله؛ فإنّ أحبَّ الأعمال إلی الله عزّ وجلّ انتظار الفرَج</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علی أنّ الله سبحانه وتعالی وعد المسلمین، وخاصّة المستضعفین منهم، بالنصر والغلبة، وفقاً للآیات والروایات، ولهذا الوعد دورٌ جوهریّ فی الحیاة الفردیّة والاجتماعیّة للمنتظرین؛ لأنّ هؤلاء المنتظرین یتّخذون هذا الوعد الإلهیّ بانتصار الحقّ علی الباطل سبباً لبناء أنفسهم خصوصاً والمجتمع عموماً، ویدفعهم إلی الوقوف بوجه المشکلات والظلم والطغیان، بعد أن یَشحذ هِمَمَهُم، ویحضّهم علی التقدّم إلی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الوعد بالنصر المؤزّر یوجِد عند الشخص المُنتظِر الثبات الروحیّ والنفسیّ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وعلی هذا الأساس، استطاع المنتظرون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لدیهم من أرواح رفیعة، وهِمَم عالیة، برغم قلّة العُدّة والعدد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تسطیر أروَع الملاحم، ودحض أعتی القوی المدجّجة بأحدث الأسلحة،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شاهدٍ علی التسلّح بعقیدة انتظار الإمام المهدیّ الموعود عجل الله تعالی فرجه الشریف لقضّ مضاجع القوی المستکبرة، انتصار الثورة الإسلامیّة فی إیران، بقیادة الإمام الخمینیّ الراحل، علی النظام الملکیّ العمیل؛ وانتصار الجمهوریّة الإسلامیّة فی إیران فی الحرب المفروضة، التی شنّها علیها صدّام، علی مدی ثمانیة أعوام؛ والنجاح الباهر الذی حقّقته إیران فی مسألة الطاقة النوویّة للأغراض السلمیّة؛ وانتصار المقاومة الإسلامیّة لحزب الله فی لبنان علی الجیش الإسرائیلیّ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وبرغم أنّ الاستکبار العالمیّ یری نفسه أکثر تفوّقاً من المسلمین، فی</w:t>
      </w:r>
      <w:bookmarkStart w:id="644" w:name="pg5457_39295"/>
    </w:p>
    <w:p>
      <w:pPr>
        <w:pStyle w:val="BookText"/>
        <w:rPr/>
      </w:pPr>
      <w:bookmarkEnd w:id="644"/>
      <w:r>
        <w:rPr>
          <w:rFonts w:ascii="IRNazanin" w:hAnsi="IRNazanin" w:eastAsia="IRNazanin"/>
          <w:color w:val="111111"/>
          <w:sz w:val="28"/>
          <w:sz w:val="28"/>
          <w:szCs w:val="28"/>
          <w:rtl w:val="true"/>
          <w:lang w:bidi="fa-IR"/>
        </w:rPr>
        <w:t>العلم والصناعة والتکنولوجیا والتسلّح العسکریّ، إلاّ أنّهم انهزموا نفسیّاً حیال المسلمین، ولم یتمکّنوا من خوض مواجهة متکافئة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ولیام 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عاملاً من عوامل الحیاة،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لولا هذا الانتظار، لبدأ الإنسان بالموت شیئاً فشیئاً، کما یذوب الشمع بالاحتراق، أو لدبّ فیه الیأس والحیرة</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645" w:name="__RefHeading___Toc1994498_581953129"/>
      <w:bookmarkStart w:id="646" w:name="_Toc251"/>
      <w:bookmarkEnd w:id="645"/>
      <w:r>
        <w:rPr>
          <w:rtl w:val="true"/>
        </w:rPr>
        <w:t>ب</w:t>
      </w:r>
      <w:r>
        <w:rPr>
          <w:rtl w:val="true"/>
        </w:rPr>
        <w:t xml:space="preserve">) </w:t>
      </w:r>
      <w:r>
        <w:rPr>
          <w:rtl w:val="true"/>
        </w:rPr>
        <w:t>کسر شوکة الاستکبار وهیبته</w:t>
      </w:r>
      <w:bookmarkEnd w:id="646"/>
    </w:p>
    <w:p>
      <w:pPr>
        <w:pStyle w:val="BookText"/>
        <w:rPr/>
      </w:pPr>
      <w:r>
        <w:rPr>
          <w:rFonts w:ascii="IRNazanin" w:hAnsi="IRNazanin" w:eastAsia="IRNazanin"/>
          <w:color w:val="111111"/>
          <w:sz w:val="28"/>
          <w:sz w:val="28"/>
          <w:szCs w:val="28"/>
          <w:rtl w:val="true"/>
          <w:lang w:bidi="fa-IR"/>
        </w:rPr>
        <w:t>تؤکّد التعالیم الدینیّة علی أنّ الاستکبار عبارة عن حقیقة تاریخیّة ثابتة، وجِدَت مذ خُلق الإنسان، ووطأت أقدامه الکرة الأرضیّة؛ وقد تجسّد ذلک علی سبیل المثال فی فرعون ونمرود وأبی لهب وأبی جهل، الذین کانوا أعداءً للمستضعفین والمحرومین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وقد أوجد التفوّق العسکریّ والتکنولوجیّ للمستکبرین تحدّیات کبیرة للمستضعفین، وزرع فی قلوبهم الشعور بالضعف والوهن، أدارت کثیر من الدول الإسلامیّة ظهرها إلی الوعد الإلهیّ المحتوم، وارتعدت فرائصها من الإمکانات الهائلة للمستکبرین فی مجال التسلّح، وبدأوا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للإمام المهدیّ أن ینتصر بالسیف علی الترسانة العسکریّة العظمی للاستکبار؟</w:t>
      </w:r>
    </w:p>
    <w:p>
      <w:pPr>
        <w:pStyle w:val="BookText"/>
        <w:rPr/>
      </w:pPr>
      <w:r>
        <w:rPr>
          <w:rFonts w:ascii="IRNazanin" w:hAnsi="IRNazanin" w:eastAsia="IRNazanin"/>
          <w:color w:val="111111"/>
          <w:sz w:val="28"/>
          <w:sz w:val="28"/>
          <w:szCs w:val="28"/>
          <w:rtl w:val="true"/>
          <w:lang w:bidi="fa-IR"/>
        </w:rPr>
        <w:t>لکنّ الجواب یظهر من خلال التسلسل فی 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الوعد بالنصر والبشارة بالفرج، فی الآیات والروایات، یبعث علی زیادة القدرة النفسیّة والمعنویّة لدی المسلمین، فییبثَّ، فی أتباع الدین الإسلامیّ، مزیداً من القوّة والاقتدار، ویحطّم هیبة المستکبرین، ویکسر</w:t>
      </w:r>
    </w:p>
    <w:p>
      <w:pPr>
        <w:pStyle w:val="BookText"/>
        <w:rPr/>
      </w:pPr>
      <w:r>
        <w:rPr>
          <w:rFonts w:ascii="IRNazanin" w:hAnsi="IRNazanin" w:eastAsia="IRNazanin"/>
          <w:color w:val="111111"/>
          <w:sz w:val="28"/>
          <w:sz w:val="28"/>
          <w:szCs w:val="28"/>
          <w:rtl w:val="true"/>
          <w:lang w:bidi="fa-IR"/>
        </w:rPr>
        <w:t>غرورهم؛ فمثلاً، کسَر الله عزّ وجلّ هیبة المستکبرین وسطوتهم فی عیون أصحاب الکهف، وصوّرهم بمنتهی الحقارة والضعة</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قال آیة الله صافی کلبایکانی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الوعود هی التی ثبّتت المسلمین إزاء کثیر من الحوادث، کتسلّط بنی أُمیّة، والحروب الصلیبیّة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المطاف، شجّعتهم علی الجهاد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الوعود التی أثبتتها الحقائق الدینیّة والتاریخیّة المسلّمة حملت فی طیّاتها أنّ الإسلام دائم ولا نهایة له، وأنّ حکومات، کحکومة بنی أمیّة وبنی العبّاس، لا تمثّل مظهراً للکمال والتقدّم، ولا تعبّر عن النظام السیاسیّ المرتجی، بل هی بعیدة کلّ البُعد عن الحقّ والعدل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انتظار المستقبل، وعدم التراجع عن الأهداف، والصمود فی حمایة الثغور والخنادق، إلی أن یصل العصر الذهبیّ المتمثّل بالحکومة المطلقة للحقّ والعدل</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عصر الظهور سیشهد انهیار معنویّات المستکبرین، وإلقاء الرُّعب فی قلوبهم، برغم ما أحرزوه من التقدّم التکنولوجیّ والصناعیّ الکبیر، وحیازتهم للأسلحة المتطوّرة والفتّاکة، کما ستُسلب منهم القدرة علی القتال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أبو عبد الله الصادق علیه السلام فی وصف عصر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نزع الخوف من قلوب شیعتنا، وأسکنه قلوب أعدائنا، فواحدهم أمضی من سنان، وأجری من لیث، یطعن عدوّه برمحه، ویضربه بسیفه، ویدوسه بقدمه</w:t>
      </w:r>
      <w:r>
        <w:rPr>
          <w:rFonts w:eastAsia="IRNazanin" w:cs="IRNazanin"/>
          <w:color w:val="111111"/>
          <w:sz w:val="28"/>
          <w:szCs w:val="28"/>
          <w:rtl w:val="true"/>
          <w:lang w:bidi="fa-IR"/>
        </w:rPr>
        <w:t>».</w:t>
      </w:r>
      <w:r>
        <w:rPr>
          <w:rStyle w:val="FootnoteAnchor"/>
          <w:rtl w:val="true"/>
        </w:rPr>
        <w:footnoteReference w:id="40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الروایات المأثورة عن أئمّة الهدی علیهم السلام، تؤکّد علی أنّ الخوف</w:t>
      </w:r>
    </w:p>
    <w:p>
      <w:pPr>
        <w:pStyle w:val="BookText"/>
        <w:rPr/>
      </w:pPr>
      <w:r>
        <w:rPr>
          <w:rFonts w:ascii="IRNazanin" w:hAnsi="IRNazanin" w:eastAsia="IRNazanin"/>
          <w:color w:val="111111"/>
          <w:sz w:val="28"/>
          <w:sz w:val="28"/>
          <w:szCs w:val="28"/>
          <w:rtl w:val="true"/>
          <w:lang w:bidi="fa-IR"/>
        </w:rPr>
        <w:t>والضعف لن یکون له مجالٌ فی قلوب الشیعة، والفکر الشیعیّ عامّة، فی زمن الظهور، فعن علیّ بن الحسین زین العابدین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وجلّ عن شیعتنا العاهة، وجعَل قلوبهم کزُبُرِ الحدید</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وعن أبی جعفر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 أمرنا، وجاء مهدیّنا، کان الرجل من شیعتنا أجری من لیث، وأمضی من سنان، یطأ عدوّنا برجلیه، ویضربه بکفّیه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وبالنظر إلی هذه الروایات وأمثالها، یُعرف أنّ الإمام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سیمتلکون أحدث الأسلحة والمعدّات الحربیّة المتطوّرة، لکنّها ستکون غیر ظاهرة إلی الأعداء، ولن یکون بمقدور الأسلحة التی بید الأعداء علی مواجهة أسلحة المؤمنین من جیش الإمام، کما استفاضت الروایات بذلک، فورد عن الإمام جعفر الصادق علیه السلام قوله فی وصف أصحاب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 وردوا علی ما بین المشرق والمغرب من الخلق لأفنوهم فی ساعة واحدة، لا یختلّ الحدید فیهم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ولا شکّ فی أنّ السلاح الذی سیستخدمه الإمام فی الذبّ عن حما الدین یختلف عن باقی الأسلحة المتعارفة،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الروایات ما هی إلا کنایة عن الأسلحة المتطوّرة، فطبقاً لما أفادته الأخبار، سیکون سلاح الإمام من الحدید، لکن لیس من جنس هذا الحدید المتعارف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سیوف من حدید، غیر هذا الحدید، لو ضرب أحدهم بسیفه جبلاً لقدّه حتّی یفصله</w:t>
      </w:r>
      <w:r>
        <w:rPr>
          <w:rFonts w:eastAsia="IRNazanin" w:cs="IRNazanin"/>
          <w:color w:val="111111"/>
          <w:sz w:val="28"/>
          <w:szCs w:val="28"/>
          <w:rtl w:val="true"/>
          <w:lang w:bidi="fa-IR"/>
        </w:rPr>
        <w:t>».</w:t>
      </w:r>
      <w:r>
        <w:rPr>
          <w:rStyle w:val="FootnoteAnchor"/>
          <w:rtl w:val="true"/>
        </w:rPr>
        <w:footnoteReference w:id="405"/>
      </w:r>
      <w:bookmarkStart w:id="647" w:name="pg5457_39298"/>
    </w:p>
    <w:p>
      <w:pPr>
        <w:pStyle w:val="BookText"/>
        <w:rPr/>
      </w:pPr>
      <w:bookmarkEnd w:id="647"/>
      <w:r>
        <w:rPr>
          <w:rFonts w:ascii="IRNazanin" w:hAnsi="IRNazanin" w:eastAsia="IRNazanin"/>
          <w:color w:val="111111"/>
          <w:sz w:val="28"/>
          <w:sz w:val="28"/>
          <w:szCs w:val="28"/>
          <w:rtl w:val="true"/>
          <w:lang w:bidi="fa-IR"/>
        </w:rPr>
        <w:t>ومن هنا، یمکن أن نخلص إلی أنّ الإمام وأتباعه سیتّبعون أحدث الأسالیب الحربیّة فی مقارعة قِوی الجَور والظلام؛ وفی هذا السیاق، أشار رسول الله صلی الله علیه و آله إلی مجیء أقوام من بعده تُطوی لهم الأرض، وتَفتح لهم الدنیا أبوابها</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کما یَنصر الله الإمامَ بالملائکة والمؤمنین، وبإلقاء الرُّعب فی قلوبِ الأعداء</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ومن کلّ ذلک، نستنتج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المخاوف التی تُلقی بظلالها علی قلوب المنتظرین قبل الظهور، تزول من أذهان وأفکار المسلمین، عقب ظهور الإمام صاحب العصر والزمان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سیلقی الله تعالی الرعب والخوف فی قلوب المستکبرین عند ظهور الإمام، وسوف تُسلب منهم القدرة علی الردّ والمقاومة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البشائر القطعیّة التی ساقها الله إلی عباده المؤمنین ستبعث فیهم روح العزّة والغلبة علی الأعداء، حیث سیعتقدون بأنّهم ذوو قوّة لا تُدانی وجیش لا یُظاهی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المعنویّات المرتفعة ستجعلهم لن یکلّوا عن قتال المستکبرین، ومقارعة المستبدّین؛ لأنّهم علی یقین بأنّ ما حصل لأصحاب الکهف سیتحقّق بالنسبة لهم أیضاً</w:t>
      </w:r>
      <w:r>
        <w:rPr>
          <w:rFonts w:eastAsia="IRNazanin" w:cs="IRNazanin"/>
          <w:color w:val="111111"/>
          <w:sz w:val="28"/>
          <w:szCs w:val="28"/>
          <w:rtl w:val="true"/>
          <w:lang w:bidi="fa-IR"/>
        </w:rPr>
        <w:t>.</w:t>
      </w:r>
    </w:p>
    <w:p>
      <w:pPr>
        <w:pStyle w:val="Heading3"/>
        <w:numPr>
          <w:ilvl w:val="2"/>
          <w:numId w:val="1"/>
        </w:numPr>
        <w:rPr/>
      </w:pPr>
      <w:bookmarkStart w:id="648" w:name="__RefHeading___Toc1994500_581953129"/>
      <w:bookmarkStart w:id="649" w:name="_Toc252"/>
      <w:bookmarkEnd w:id="648"/>
      <w:r>
        <w:rPr>
          <w:rtl w:val="true"/>
        </w:rPr>
        <w:t>ج</w:t>
      </w:r>
      <w:r>
        <w:rPr>
          <w:rtl w:val="true"/>
        </w:rPr>
        <w:t xml:space="preserve">) </w:t>
      </w:r>
      <w:r>
        <w:rPr>
          <w:rtl w:val="true"/>
        </w:rPr>
        <w:t>مدح المنتظرین وذمّ المستکبرین</w:t>
      </w:r>
      <w:bookmarkEnd w:id="649"/>
    </w:p>
    <w:p>
      <w:pPr>
        <w:pStyle w:val="BookText"/>
        <w:rPr/>
      </w:pPr>
      <w:r>
        <w:rPr>
          <w:rFonts w:ascii="IRNazanin" w:hAnsi="IRNazanin" w:eastAsia="IRNazanin"/>
          <w:color w:val="111111"/>
          <w:sz w:val="28"/>
          <w:sz w:val="28"/>
          <w:szCs w:val="28"/>
          <w:rtl w:val="true"/>
          <w:lang w:bidi="fa-IR"/>
        </w:rPr>
        <w:t>أشادت بعض الروایات الإسلامیّة بشخصیّة المنتظرین للإمام فی عصر الغیبة؛ فمثلاً، قال الإمام علیّ بن الحسین السجّاد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w:t>
      </w:r>
    </w:p>
    <w:p>
      <w:pPr>
        <w:pStyle w:val="BookText"/>
        <w:rPr/>
      </w:pPr>
      <w:r>
        <w:rPr>
          <w:rFonts w:ascii="IRNazanin" w:hAnsi="IRNazanin" w:eastAsia="IRNazanin"/>
          <w:color w:val="111111"/>
          <w:sz w:val="28"/>
          <w:sz w:val="28"/>
          <w:szCs w:val="28"/>
          <w:rtl w:val="true"/>
          <w:lang w:bidi="fa-IR"/>
        </w:rPr>
        <w:t>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 الله علیه و آله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المخلصون حقّاً، وشیعتنا صِدقاً، والدعاة إلی دین الله سرّاً وجهراً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کما اعتُبر انتظار الفرَج أفضل الأعمال لأمّة النبیّ الأکرم صلی الله علیه و آله، فقال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أُمّتی انتظار فرّج الله عزّ وجلّ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وورَد عددٌ کبیرٌ من الروایات التی تذمّ المستکبرین والمنحرفین، وتکشف للناس عیوبهم، فروی عن أبی عبد الله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المتکبّرین یُجعَلون فی صور الذرّ، یتوطّأهم الناس حتّی یفرغ الله من الحساب</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ابن خیر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من ولده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یسومهم خسفاً، ویسقیهم بکأسٍ مُصبَّرة، ولا یعطیهم إلاّ السیف هرجاً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الآثار الإیجابیّة لهاتین الطائفتین من الروایات فی قلوب وأرواح المنتظرین عبارة عمّا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زیادة القوّة والقدرة المعنویّة للمنتظرین فی مقابل المستکبرین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تعزیز ورَفع المعنویّات للمنتظرین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محافظة المنتظرین علی تفوّقهم فی التعاطی مع المستکبرین</w:t>
      </w:r>
      <w:r>
        <w:rPr>
          <w:rFonts w:eastAsia="IRNazanin" w:cs="IRNazanin"/>
          <w:color w:val="111111"/>
          <w:sz w:val="28"/>
          <w:szCs w:val="28"/>
          <w:rtl w:val="true"/>
          <w:lang w:bidi="fa-IR"/>
        </w:rPr>
        <w:t>.</w:t>
      </w:r>
      <w:bookmarkStart w:id="650" w:name="pg5457_39300"/>
    </w:p>
    <w:p>
      <w:pPr>
        <w:pStyle w:val="BookText"/>
        <w:rPr/>
      </w:pPr>
      <w:bookmarkEnd w:id="650"/>
      <w:r>
        <w:rPr>
          <w:rFonts w:ascii="IRNazanin" w:hAnsi="IRNazanin" w:eastAsia="IRNazanin"/>
          <w:color w:val="111111"/>
          <w:sz w:val="28"/>
          <w:sz w:val="28"/>
          <w:szCs w:val="28"/>
          <w:rtl w:val="true"/>
          <w:lang w:bidi="fa-IR"/>
        </w:rPr>
        <w:t xml:space="preserve">أمّا المقصود بذمّ المستکبرین فهو تذکیرهم بالذلّ والهوان، برغم امتلاکهم لأحدَث الإمکانات والتقنیّات المتطوّرة، وبالتالی، فإنّ امتداح المنتظرین وذمّ المستکبرین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روح النصر لدی المنتظرین، ویُخرجَهم من حالة الخمول والخنوع، ویعزّز لدیهم إلأمل فی مختلف میادین الحیاة، ومن جهة أُخری، یثبّط المستکبرین، ویُعزّز لدیهم روح الهزیمة والخذلان</w:t>
      </w:r>
      <w:r>
        <w:rPr>
          <w:rFonts w:eastAsia="IRNazanin" w:cs="IRNazanin"/>
          <w:color w:val="111111"/>
          <w:sz w:val="28"/>
          <w:szCs w:val="28"/>
          <w:rtl w:val="true"/>
          <w:lang w:bidi="fa-IR"/>
        </w:rPr>
        <w:t>.</w:t>
      </w:r>
    </w:p>
    <w:p>
      <w:pPr>
        <w:pStyle w:val="Heading3"/>
        <w:numPr>
          <w:ilvl w:val="2"/>
          <w:numId w:val="1"/>
        </w:numPr>
        <w:rPr/>
      </w:pPr>
      <w:bookmarkStart w:id="651" w:name="__RefHeading___Toc1994502_581953129"/>
      <w:bookmarkStart w:id="652" w:name="_Toc253"/>
      <w:bookmarkEnd w:id="651"/>
      <w:r>
        <w:rPr>
          <w:rtl w:val="true"/>
        </w:rPr>
        <w:t>د</w:t>
      </w:r>
      <w:r>
        <w:rPr>
          <w:rtl w:val="true"/>
        </w:rPr>
        <w:t xml:space="preserve">) </w:t>
      </w:r>
      <w:r>
        <w:rPr>
          <w:rtl w:val="true"/>
        </w:rPr>
        <w:t>التصدّی للانحرافات الاجتماعیّة</w:t>
      </w:r>
      <w:bookmarkEnd w:id="652"/>
    </w:p>
    <w:p>
      <w:pPr>
        <w:pStyle w:val="BookText"/>
        <w:rPr/>
      </w:pPr>
      <w:r>
        <w:rPr>
          <w:rFonts w:ascii="IRNazanin" w:hAnsi="IRNazanin" w:eastAsia="IRNazanin"/>
          <w:color w:val="111111"/>
          <w:sz w:val="28"/>
          <w:sz w:val="28"/>
          <w:szCs w:val="28"/>
          <w:rtl w:val="true"/>
          <w:lang w:bidi="fa-IR"/>
        </w:rPr>
        <w:t>من جملة ثمرات الانتظار، مقاومة المنتظرین لکلّ أشکال وأنماط الانحراف الاجتماعیّ، حیث یترتّب علی الإیمان بالنصر، والاعتقاد بتحرّر العالم من الجور آثار تربویّة وعقائدیّة 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جاء فی بعض الروایات عن الإمام زین العابدین علیّ بن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وأُحد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وجاء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قوم من بعدکم، الرجل الواحد منهم له أجر خمسین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کنّا معک ببدرٍ وأُحد وحُنَین، ونزل فینا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لو تحملون لمِا حملوا لم تصبروا صبرهم</w:t>
      </w:r>
      <w:r>
        <w:rPr>
          <w:rFonts w:eastAsia="IRNazanin" w:cs="IRNazanin"/>
          <w:color w:val="111111"/>
          <w:sz w:val="28"/>
          <w:szCs w:val="28"/>
          <w:rtl w:val="true"/>
          <w:lang w:bidi="fa-IR"/>
        </w:rPr>
        <w:t>».</w:t>
      </w:r>
      <w:r>
        <w:rPr>
          <w:rStyle w:val="FootnoteAnchor"/>
          <w:rtl w:val="true"/>
        </w:rPr>
        <w:footnoteReference w:id="41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آیة الله صافی کلبایکانی أنّ الانتظار لا یعنی الضعف أو التهاون فی أداء التکالیف، والإتیان بالواجبات، ولا یصحّ أن یکون عذراً لأحد فی التنصّل عن المسؤولیّات، ولا فی ترک الأمر بالمعروف والنهی عن المنکر، بل لا یسوغ توجیه السکون والتسلیم إلی الوضع القائم، والیأس والقنوط، بالانتظار مطلقاً؛ إنّما هو عبارة عن الحرکة والنهضة والتضحیة، ومحاربة</w:t>
      </w:r>
      <w:bookmarkStart w:id="653" w:name="pg5457_39301"/>
    </w:p>
    <w:p>
      <w:pPr>
        <w:pStyle w:val="BookText"/>
        <w:rPr/>
      </w:pPr>
      <w:bookmarkEnd w:id="653"/>
      <w:r>
        <w:rPr>
          <w:rFonts w:ascii="IRNazanin" w:hAnsi="IRNazanin" w:eastAsia="IRNazanin"/>
          <w:color w:val="111111"/>
          <w:sz w:val="28"/>
          <w:sz w:val="28"/>
          <w:szCs w:val="28"/>
          <w:rtl w:val="true"/>
          <w:lang w:bidi="fa-IR"/>
        </w:rPr>
        <w:t>الانحراف ومقارعة الرجعیّة والارتداد؛ ذلک أنّ الحرکة والانتظار متلازمان، ولا یفترقان عن بعضهما البعض، کما أنّ الانتظار عِلّةً للحرکة وباعث علی التحرّک، وعلی هذا الأساس، وفی ضوء الإیمان بالانتظار الصحیح، یقاوم المجاهدون فی العالم الإسلامیّ الضغوط الکبیرة من الاستکبار، ولا یتراجعون عن أهدافهم قیدَ أنمُلة، ولا یصیبهم الوهن والإحباط، ویتهافتون فی سبیل التمهید لدولة الحقّ الموعودة</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654" w:name="__RefHeading___Toc1994504_581953129"/>
      <w:bookmarkStart w:id="655" w:name="_Toc254"/>
      <w:bookmarkEnd w:id="654"/>
      <w:r>
        <w:rPr>
          <w:rtl w:val="true"/>
        </w:rPr>
        <w:t>ه</w:t>
      </w:r>
      <w:r>
        <w:rPr>
          <w:rtl w:val="true"/>
        </w:rPr>
        <w:t xml:space="preserve">) </w:t>
      </w:r>
      <w:r>
        <w:rPr>
          <w:rtl w:val="true"/>
        </w:rPr>
        <w:t>إیجاد حالة من التوازن بین الأمل والیأس</w:t>
      </w:r>
      <w:bookmarkEnd w:id="655"/>
    </w:p>
    <w:p>
      <w:pPr>
        <w:pStyle w:val="BookText"/>
        <w:rPr/>
      </w:pPr>
      <w:r>
        <w:rPr>
          <w:rFonts w:ascii="IRNazanin" w:hAnsi="IRNazanin" w:eastAsia="IRNazanin"/>
          <w:color w:val="111111"/>
          <w:sz w:val="28"/>
          <w:sz w:val="28"/>
          <w:szCs w:val="28"/>
          <w:rtl w:val="true"/>
          <w:lang w:bidi="fa-IR"/>
        </w:rPr>
        <w:t>هناک عددٌ کبیر من الروایات التی تبشّر المؤمنین بالفرَج، وتَعِدُ المسلمین بالنصر علی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قول النبیّ الأکرم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أبشروا بالفرَج، فإنّ وعدَ الله حقّ لا یُخلَف، وقضاءه لا یُرَدّ، وهو الحکیم الخبیر، وإنّ فتحَ الله قریب</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کما تؤکّد الروایات علی شیوع الانحرافات والظلم فی آخر الزمان، وأثناء الغیبة الکُبری، فورد عن أمیر المؤمنین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وجوراً، حتّی لا یقول أحد الله إلا مستخفیاً، ثم یأتی الله بقوم صالحین، یملؤونها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اتّساع دائرة الفتنة بعد رحلة رسول الله صلی الله علیه و آله، ومعاناة الإنسان من المشاکل المتعدّدة، روی عن النبیّ صلی الله علیه و آله روایات تؤکّد علی أنّه یأتی علی الإنسان زمن یتمنّی فیه الموت</w:t>
      </w:r>
      <w:r>
        <w:rPr>
          <w:rFonts w:eastAsia="IRNazanin" w:cs="IRNazanin"/>
          <w:color w:val="111111"/>
          <w:sz w:val="28"/>
          <w:szCs w:val="28"/>
          <w:rtl w:val="true"/>
          <w:lang w:bidi="fa-IR"/>
        </w:rPr>
        <w:t>.</w:t>
      </w:r>
      <w:r>
        <w:rPr>
          <w:rStyle w:val="FootnoteAnchor"/>
          <w:rtl w:val="true"/>
        </w:rPr>
        <w:footnoteReference w:id="417"/>
      </w:r>
      <w:bookmarkStart w:id="656" w:name="pg5457_39302"/>
    </w:p>
    <w:p>
      <w:pPr>
        <w:pStyle w:val="BookText"/>
        <w:rPr/>
      </w:pPr>
      <w:bookmarkEnd w:id="656"/>
      <w:r>
        <w:rPr>
          <w:rFonts w:ascii="IRNazanin" w:hAnsi="IRNazanin" w:eastAsia="IRNazanin"/>
          <w:color w:val="111111"/>
          <w:sz w:val="28"/>
          <w:sz w:val="28"/>
          <w:szCs w:val="28"/>
          <w:rtl w:val="true"/>
          <w:lang w:bidi="fa-IR"/>
        </w:rPr>
        <w:t>الیوم، یلاحَظ أنّ المسلمین برغم قدرة الإسلام وسطوته، والانسجام المشهود بینهم، إلا أنّهم یعانون من الانحرافات والابتلاءات العظیمة؛ غیر أنّ ذلک لا یمنع مِن أن یحدوهم الأمل لمستقبلٍ واعد، ملؤه المحبّة والوئام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التی تطلق بشائر انتصار المسلمین والمنتظرین علی أعدائهم فی آخر الزمان، وتبیّن فضیلة الانتظار، وجزاء المنتظرین، تُوجد لدی الشخص المنتظر حالة من التوازن بین الأمل والیأس؛ وذلک لأجل أن یتمکّن الإنسان فی عصر الغیبة الکبری من القضاء علی الضعف النفسیّ، الذی ظلّ إلی الیوم یُشکّل عاملاً لصدّهم عن القیام بالمسؤولیّات الملقاة علی عاتقهم، ویلقی الرعب والخوف فی قلوب المستکبرین</w:t>
      </w:r>
      <w:r>
        <w:rPr>
          <w:rFonts w:eastAsia="IRNazanin" w:cs="IRNazanin"/>
          <w:color w:val="111111"/>
          <w:sz w:val="28"/>
          <w:szCs w:val="28"/>
          <w:rtl w:val="true"/>
          <w:lang w:bidi="fa-IR"/>
        </w:rPr>
        <w:t>.</w:t>
      </w:r>
    </w:p>
    <w:p>
      <w:pPr>
        <w:pStyle w:val="Heading3"/>
        <w:numPr>
          <w:ilvl w:val="2"/>
          <w:numId w:val="1"/>
        </w:numPr>
        <w:rPr/>
      </w:pPr>
      <w:bookmarkStart w:id="657" w:name="__RefHeading___Toc1994506_581953129"/>
      <w:bookmarkStart w:id="658" w:name="_Toc255"/>
      <w:bookmarkEnd w:id="657"/>
      <w:r>
        <w:rPr>
          <w:rtl w:val="true"/>
        </w:rPr>
        <w:t>مصادر للمطالعة</w:t>
      </w:r>
      <w:bookmarkEnd w:id="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الله صافی کلبایکانی، امامت ومهدویت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أسد الله هاشمی شهیدی، ظهور حضرت مهدی از دیدگاه اسلام ومذاهب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الإمام المهدیّ من وجهة نظر الإسلام والأدیان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جعفری، امید وانتظار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والانتظار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الجامعة الصناعیّة، آریا مهر</w:t>
      </w:r>
      <w:r>
        <w:rPr>
          <w:rFonts w:eastAsia="IRNazanin" w:cs="IRNazanin"/>
          <w:color w:val="111111"/>
          <w:sz w:val="28"/>
          <w:szCs w:val="28"/>
          <w:rtl w:val="true"/>
          <w:lang w:bidi="fa-IR"/>
        </w:rPr>
        <w:t>.</w:t>
      </w:r>
    </w:p>
    <w:p>
      <w:pPr>
        <w:pStyle w:val="Heading3"/>
        <w:numPr>
          <w:ilvl w:val="2"/>
          <w:numId w:val="1"/>
        </w:numPr>
        <w:rPr/>
      </w:pPr>
      <w:bookmarkStart w:id="659" w:name="__RefHeading___Toc1994508_581953129"/>
      <w:bookmarkStart w:id="660" w:name="_Toc256"/>
      <w:bookmarkEnd w:id="659"/>
      <w:r>
        <w:rPr>
          <w:rtl w:val="true"/>
        </w:rPr>
        <w:t>الحدیث الختامیّ</w:t>
      </w:r>
      <w:bookmarkEnd w:id="660"/>
    </w:p>
    <w:p>
      <w:pPr>
        <w:pStyle w:val="BookText"/>
        <w:rPr/>
      </w:pP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وَکَمُلَت بِها أَحلامُهُم</w:t>
      </w:r>
      <w:r>
        <w:rPr>
          <w:rFonts w:eastAsia="Amiri" w:cs="Amiri" w:ascii="Amiri" w:hAnsi="Amiri"/>
          <w:color w:val="111111"/>
          <w:sz w:val="28"/>
          <w:szCs w:val="28"/>
          <w:rtl w:val="true"/>
          <w:lang w:bidi="ar-SA"/>
        </w:rPr>
        <w:t>»</w:t>
      </w:r>
      <w:r>
        <w:rPr>
          <w:rStyle w:val="FootnoteAnchor"/>
          <w:rtl w:val="true"/>
        </w:rPr>
        <w:footnoteReference w:id="418"/>
      </w:r>
      <w:bookmarkStart w:id="661" w:name="pg5457_39303"/>
    </w:p>
    <w:p>
      <w:pPr>
        <w:pStyle w:val="Heading2"/>
        <w:numPr>
          <w:ilvl w:val="1"/>
          <w:numId w:val="1"/>
        </w:numPr>
        <w:rPr/>
      </w:pPr>
      <w:bookmarkStart w:id="662" w:name="__RefHeading___Toc1994510_581953129"/>
      <w:bookmarkStart w:id="663" w:name="_Toc257"/>
      <w:bookmarkEnd w:id="661"/>
      <w:bookmarkEnd w:id="662"/>
      <w:r>
        <w:rPr>
          <w:rtl w:val="true"/>
        </w:rPr>
        <w:t>متطلّبات الانتظار البنّاء</w:t>
      </w:r>
      <w:bookmarkEnd w:id="663"/>
    </w:p>
    <w:p>
      <w:pPr>
        <w:pStyle w:val="Heading3"/>
        <w:numPr>
          <w:ilvl w:val="2"/>
          <w:numId w:val="1"/>
        </w:numPr>
        <w:rPr/>
      </w:pPr>
      <w:bookmarkStart w:id="664" w:name="__RefHeading___Toc1994512_581953129"/>
      <w:bookmarkStart w:id="665" w:name="_Toc258"/>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الانتظار الصحیح والبنّاء، وکیف یکون؟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الصحیح والبنّاء هو خیرُ الأعمال عند الله</w:t>
      </w:r>
      <w:r>
        <w:rPr>
          <w:rStyle w:val="FootnoteAnchor"/>
          <w:rtl w:val="true"/>
        </w:rPr>
        <w:footnoteReference w:id="419"/>
      </w:r>
      <w:r>
        <w:rPr>
          <w:rFonts w:ascii="IRNazanin" w:hAnsi="IRNazanin" w:eastAsia="IRNazanin"/>
          <w:color w:val="111111"/>
          <w:sz w:val="28"/>
          <w:sz w:val="28"/>
          <w:szCs w:val="28"/>
          <w:rtl w:val="true"/>
          <w:lang w:bidi="fa-IR"/>
        </w:rPr>
        <w:t>وأفضل العبادات</w:t>
      </w:r>
      <w:r>
        <w:rPr>
          <w:rStyle w:val="FootnoteAnchor"/>
          <w:rtl w:val="true"/>
        </w:rPr>
        <w:footnoteReference w:id="420"/>
      </w:r>
      <w:r>
        <w:rPr>
          <w:rFonts w:ascii="IRNazanin" w:hAnsi="IRNazanin" w:eastAsia="IRNazanin"/>
          <w:color w:val="111111"/>
          <w:sz w:val="28"/>
          <w:sz w:val="28"/>
          <w:szCs w:val="28"/>
          <w:rtl w:val="true"/>
          <w:lang w:bidi="fa-IR"/>
        </w:rPr>
        <w:t>والإنسان المنتظر أفضل من جمیع أهل زمانه</w:t>
      </w:r>
      <w:r>
        <w:rPr>
          <w:rStyle w:val="FootnoteAnchor"/>
          <w:rtl w:val="true"/>
        </w:rPr>
        <w:footnoteReference w:id="421"/>
      </w:r>
      <w:r>
        <w:rPr>
          <w:rFonts w:ascii="IRNazanin" w:hAnsi="IRNazanin" w:eastAsia="IRNazanin"/>
          <w:color w:val="111111"/>
          <w:sz w:val="28"/>
          <w:sz w:val="28"/>
          <w:szCs w:val="28"/>
          <w:rtl w:val="true"/>
          <w:lang w:bidi="fa-IR"/>
        </w:rPr>
        <w:t>ثمّ إنّ للانتظار الصحیح والبنّاء صوراً وأنواعاً مختلفة وعدیدة، وأبعاداً متنوّعة، نحاول تسلیط الضوء علی عدد منها</w:t>
      </w:r>
      <w:r>
        <w:rPr>
          <w:rFonts w:eastAsia="IRNazanin" w:cs="IRNazanin"/>
          <w:color w:val="111111"/>
          <w:sz w:val="28"/>
          <w:szCs w:val="28"/>
          <w:rtl w:val="true"/>
          <w:lang w:bidi="fa-IR"/>
        </w:rPr>
        <w:t>:</w:t>
      </w:r>
    </w:p>
    <w:p>
      <w:pPr>
        <w:pStyle w:val="Heading3"/>
        <w:numPr>
          <w:ilvl w:val="2"/>
          <w:numId w:val="1"/>
        </w:numPr>
        <w:rPr/>
      </w:pPr>
      <w:bookmarkStart w:id="666" w:name="__RefHeading___Toc1994514_581953129"/>
      <w:bookmarkStart w:id="667" w:name="_Toc259"/>
      <w:bookmarkEnd w:id="666"/>
      <w:r>
        <w:rPr/>
        <w:t>1</w:t>
      </w:r>
      <w:r>
        <w:rPr>
          <w:rtl w:val="true"/>
        </w:rPr>
        <w:t xml:space="preserve">- </w:t>
      </w:r>
      <w:r>
        <w:rPr>
          <w:rtl w:val="true"/>
        </w:rPr>
        <w:t>الانتظار عامل من عوامل التحرّک</w:t>
      </w:r>
      <w:bookmarkEnd w:id="66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الانتظار یعنی الأمل والرجاء</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ولا شکّ فی أنّ وجود الأمل والرجاء فی حیاة الإنسان یُعدّ من أهمّ عوامل الحرکة لدیه، وأکثرها تأثیراً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المسلّم به أنّ مرکز وبؤرة هذا الأمل عبارة عن التفاؤل بالمستقبل البشریّ، من خلال البشارة الحتمیّة من الله جلّ وعلا بنصر المستضعفین والصالحین، وتوریثهم الأرض فی نهایة المطاف؛ ومن هنا، قال عزّ من قائل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وقد حثّ الأئمّة من أهل البیت علیهم السلام الناس علی انتظار الفرج بفارغ الصبر، وحذّروهم من مَغبّة الیأس من رحمة الله تعالی، وفی ذلک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 الفرج ولا تیأسوا من رَوح الله، فإنّ أحبّ الأعمال إلی الله عزّ وجلّ انتظار الفرج</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وعلی هذا الأساس، لو حُذِف عنصرُ الأمَل والانتظار من حیاة المجاهدین الموحّدین، والمقارعین للظلم والجور، وهو العنصر الذی یبعث فیهم روح المقاومة والقتال فی سبیل الله، لزالت بذلک دوافعهم فی مواصلة هذا الجهاد المقدّس؛ ذلک أنّهم یرون أنّ الإصرار علی مواصلة السیر فی طریق موصل إلی الشکّ أمر غیرُ عقلانیّ</w:t>
      </w:r>
      <w:r>
        <w:rPr>
          <w:rFonts w:eastAsia="IRNazanin" w:cs="IRNazanin"/>
          <w:color w:val="111111"/>
          <w:sz w:val="28"/>
          <w:szCs w:val="28"/>
          <w:rtl w:val="true"/>
          <w:lang w:bidi="fa-IR"/>
        </w:rPr>
        <w:t>.</w:t>
      </w:r>
      <w:r>
        <w:rPr>
          <w:rStyle w:val="FootnoteAnchor"/>
          <w:rtl w:val="true"/>
        </w:rPr>
        <w:footnoteReference w:id="42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تلک الرؤیة، قال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Style w:val="FootnoteAnchor"/>
          <w:rtl w:val="true"/>
        </w:rPr>
        <w:footnoteReference w:id="427"/>
      </w:r>
      <w:bookmarkStart w:id="668" w:name="pg5457_39305"/>
    </w:p>
    <w:p>
      <w:pPr>
        <w:pStyle w:val="BookText"/>
        <w:rPr/>
      </w:pPr>
      <w:bookmarkEnd w:id="668"/>
      <w:r>
        <w:rPr>
          <w:rFonts w:ascii="IRNazanin" w:hAnsi="IRNazanin" w:eastAsia="IRNazanin"/>
          <w:color w:val="111111"/>
          <w:sz w:val="28"/>
          <w:sz w:val="28"/>
          <w:szCs w:val="28"/>
          <w:rtl w:val="true"/>
          <w:lang w:bidi="fa-IR"/>
        </w:rPr>
        <w:t>وعلیه، یُعتبر الیأس أعظم فخّ یضعه إبلیس فی طریق الإنسان؛ لیتمکّن من خلاله من القضاء علی جمیع الفضائل والمناقب لدی البشَر، کما أنّ الیأس والقنوط یعنی تودیع سرّ الأسرار فی خلق الإنسان، ألا وهو قطع مسیرة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الانتظار البنّاء عبارة عن مصابیح الأمل، التی تُضیء دهالیز قلب الإنسان المنتظِر، وتُزیّن جمیع زوایاه وثنایاه، حتّی تجعله موطناً للشعور بالجهاد والحرکة والمقاومة والإیثار والتضحیة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یکون للجهاد علاقةٌ وطیدة وقرابةٌ أکیدة بالحرکة؛ لأنّ الحرکة من نتائج الانتظار، والانتظار موجِّه للحرکة</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669" w:name="__RefHeading___Toc1994516_581953129"/>
      <w:bookmarkStart w:id="670" w:name="_Toc260"/>
      <w:bookmarkEnd w:id="669"/>
      <w:r>
        <w:rPr/>
        <w:t>2</w:t>
      </w:r>
      <w:r>
        <w:rPr>
          <w:rtl w:val="true"/>
        </w:rPr>
        <w:t xml:space="preserve">- </w:t>
      </w:r>
      <w:r>
        <w:rPr>
          <w:rtl w:val="true"/>
        </w:rPr>
        <w:t>الانتظار یؤدّی إلی الإصلاح ومقارعة الظلم</w:t>
      </w:r>
      <w:bookmarkEnd w:id="670"/>
    </w:p>
    <w:p>
      <w:pPr>
        <w:pStyle w:val="BookText"/>
        <w:rPr/>
      </w:pPr>
      <w:r>
        <w:rPr>
          <w:rFonts w:ascii="IRNazanin" w:hAnsi="IRNazanin" w:eastAsia="IRNazanin"/>
          <w:color w:val="111111"/>
          <w:sz w:val="28"/>
          <w:sz w:val="28"/>
          <w:szCs w:val="28"/>
          <w:rtl w:val="true"/>
          <w:lang w:bidi="fa-IR"/>
        </w:rPr>
        <w:t>یجب علی الإنسان المنُتظِر أن یسیر فی طریقِ إصلاح نفسه ومجتمعه، ویسعی لإقرار العدل ورفع الظلم والجَور؛ إذ لا بُدّ فی منتظر المصلح العالمیّ أن یکون صالحاً ومُصلِحاً فی الوقت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یخفی أنّ التعالیم الدینیّة فی الإسلام الحنیف أکّدت کثیراً علی لزوم مقارعة کلّ ألوان الفساد الأخلاقیّ، والسیاسیّ، والاجتماعیّ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بالمعروف والنهی عن المنکر من وجهة نظر الفقه الإسلامیّ وظیفة شرعیّة ومسؤولیّة جماعیّة، والنتیجة المباشرة لأداء تلک الفریضة الإلهیّة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والمنفّذ لها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هذا الإطار،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671" w:name="pg5457_39306"/>
    </w:p>
    <w:p>
      <w:pPr>
        <w:pStyle w:val="BookText"/>
        <w:rPr/>
      </w:pPr>
      <w:bookmarkEnd w:id="671"/>
      <w:r>
        <w:rPr>
          <w:rFonts w:ascii="IRNazanin" w:hAnsi="IRNazanin" w:eastAsia="IRNazanin"/>
          <w:color w:val="111111"/>
          <w:sz w:val="28"/>
          <w:sz w:val="28"/>
          <w:szCs w:val="28"/>
          <w:rtl w:val="true"/>
          <w:lang w:bidi="fa-IR"/>
        </w:rPr>
        <w:t>وروی عن النبی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المنکر، أو لَیسلطَنَّ الله شرارکم علی خیارِکم، فیدعو خیارُکم فلا یُستجاب لهم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إذا اتّضح ذلک، یُعلم بأنّ رضا الإمام المهدیّ المنتظر عجل الله تعالی فرجه الشریف موقوفٌ علی العمل بالمعروف وترک المنکر؛ ولذا، لا ینبغی للفرد المسلم، وبخاصّة الشباب منهم، عدم الاکتراث بهذا الموضوع، والمرور علیه مرور الکرام، فالإمام نفسه یُطبّق، عند الظهور، فریضة الأمر بالمعروف والنهی عن المنکر، بکلّ ما للکلمة من معنی؛ أی أنّه أکبر آمر بالمعروف وناهٍ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المجتمع المؤمن بالانتظار یسعی جاهداً إلی کسب رضا إمامه ومقتداه، أرواحنا له الفداء، فلا بدّ له من إقامة أحکام الله تعالی، ونبذ الخمول وعدم المبالاة بالأُمور الشرعیّة</w:t>
      </w:r>
      <w:r>
        <w:rPr>
          <w:rFonts w:eastAsia="IRNazanin" w:cs="IRNazanin"/>
          <w:color w:val="111111"/>
          <w:sz w:val="28"/>
          <w:szCs w:val="28"/>
          <w:rtl w:val="true"/>
          <w:lang w:bidi="fa-IR"/>
        </w:rPr>
        <w:t>.</w:t>
      </w:r>
    </w:p>
    <w:p>
      <w:pPr>
        <w:pStyle w:val="Heading3"/>
        <w:numPr>
          <w:ilvl w:val="2"/>
          <w:numId w:val="1"/>
        </w:numPr>
        <w:rPr/>
      </w:pPr>
      <w:bookmarkStart w:id="672" w:name="__RefHeading___Toc1994518_581953129"/>
      <w:bookmarkStart w:id="673" w:name="_Toc261"/>
      <w:bookmarkEnd w:id="672"/>
      <w:r>
        <w:rPr/>
        <w:t>3</w:t>
      </w:r>
      <w:r>
        <w:rPr>
          <w:rtl w:val="true"/>
        </w:rPr>
        <w:t xml:space="preserve">- </w:t>
      </w:r>
      <w:r>
        <w:rPr>
          <w:rtl w:val="true"/>
        </w:rPr>
        <w:t>الانتظار یصون الإیمان</w:t>
      </w:r>
      <w:bookmarkEnd w:id="673"/>
    </w:p>
    <w:p>
      <w:pPr>
        <w:pStyle w:val="BookText"/>
        <w:rPr/>
      </w:pPr>
      <w:r>
        <w:rPr>
          <w:rFonts w:ascii="IRNazanin" w:hAnsi="IRNazanin" w:eastAsia="IRNazanin"/>
          <w:color w:val="111111"/>
          <w:sz w:val="28"/>
          <w:sz w:val="28"/>
          <w:szCs w:val="28"/>
          <w:rtl w:val="true"/>
          <w:lang w:bidi="fa-IR"/>
        </w:rPr>
        <w:t>من أبرز أبعاد التکلیف فی عصر الانتظار، الحفاظ علی الدین، وصیانة العقائد، وترسیم حدودها الواضحة؛ فیجب الحفاظ علی نور الإیمان فی قلوب الناس وأرواحهم، ولا بدّ من تعریض أفئدة الشباب والیافعین، علی وجه الخصوص، إلی إسقاطات أشعّة العقائد الحقّة، حتّی یصبح الإیمان جزءاً لا یتجزّأ من وجودهم وکیانهم، بل ویغدو کالدم الذی یجری فی العروق، ویمنح الحیاة والوجود إلی الإنسان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ینبغی فی عصر الظهور الوقوف بوجه الشُّبُهات التی یلقیها الشیاطین فی السرّ والعلَن، ومحوِها من الأذهان التی علِقت بها؛ ذلک أنّ الحفاظ علی</w:t>
      </w:r>
    </w:p>
    <w:p>
      <w:pPr>
        <w:pStyle w:val="BookText"/>
        <w:rPr/>
      </w:pPr>
      <w:r>
        <w:rPr>
          <w:rFonts w:ascii="IRNazanin" w:hAnsi="IRNazanin" w:eastAsia="IRNazanin"/>
          <w:color w:val="111111"/>
          <w:sz w:val="28"/>
          <w:sz w:val="28"/>
          <w:szCs w:val="28"/>
          <w:rtl w:val="true"/>
          <w:lang w:bidi="fa-IR"/>
        </w:rPr>
        <w:t>المعتقدات الدینیّة، ونشرها فی أصقاع العالم فی عصر الظهور، ذو فائدةٍ عظیمة، بل من اللازم القیام بصیانة تلک العقائد الإلهیّة؛ لأنّ الحوادث والفتن التی ستقع ما قبل عصر الظهور ستحرق الأخضر والیابس، وتجرف کثیراً من الناس، ولا یسلم منها إلاّ من اعتنق العقائد الرصینة، وعمل بمضمون التعالیم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یجب المحافظة علی العقائد الصحیحة والصائبة، وتأصیل العمل الصالح فی صفوف المنتظرین، حتّی ظهور الإمام المهدیّ عجل الله تعالی فرجه الشریف، وهو ما ورد التأکید علیه فی الأحادیث الشریفة عن خاتم الأنبیاء والمرسلین صلی الله علیه و آله، والأئمّة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ذات یوم، وعنده جماعة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أصحابی، وإخوانی قومٌ فی آخرِ الزمان، آمنوا ولم یرونی، لقد عرّفنیهم الله بأسمائهم وأسماء آبائهم، من قبل أن یُخرجَهم من أصلاب آبائهم وأرحام أمهاتهم، لأحدُهم أشدّ بقیّة علی دینه من خرط القتاد فی اللیلة الظلماء، أو کالقابض علی جمر 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مصابیح الدُّجی، ینجّیهم الله من کل فتنة غبراء مظلمة</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وقال الإمام علیّ بن الحسین زین العابدین علیه السلام لأبی خالد الکابلیّ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إنّ أهل زمان غیبته، القائلون بإمامته، المنتظرون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 الله علیه و آله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المخلصون حقّاً، وشیعتنا صِدقاً، والدعاة إلی دین الله سِرّاً وجهراً</w:t>
      </w:r>
      <w:r>
        <w:rPr>
          <w:rFonts w:eastAsia="IRNazanin" w:cs="IRNazanin"/>
          <w:color w:val="111111"/>
          <w:sz w:val="28"/>
          <w:szCs w:val="28"/>
          <w:rtl w:val="true"/>
          <w:lang w:bidi="fa-IR"/>
        </w:rPr>
        <w:t>».</w:t>
      </w:r>
      <w:r>
        <w:rPr>
          <w:rStyle w:val="FootnoteAnchor"/>
          <w:rtl w:val="true"/>
        </w:rPr>
        <w:footnoteReference w:id="43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وانطلاقاً من هذه الرؤیة المتمیّزة، یجب إبقاء هذا الإیمان وهذه الصلابة فی العقیدة إلی آخر الزمان، حیث ینیر الإمام الحجّة عجل الله تعالی فرجه الشریف العالم أجمع بطلعته البهّیة</w:t>
      </w:r>
      <w:r>
        <w:rPr>
          <w:rFonts w:eastAsia="IRNazanin" w:cs="IRNazanin"/>
          <w:color w:val="111111"/>
          <w:sz w:val="28"/>
          <w:szCs w:val="28"/>
          <w:rtl w:val="true"/>
          <w:lang w:bidi="fa-IR"/>
        </w:rPr>
        <w:t>.</w:t>
      </w:r>
      <w:bookmarkStart w:id="674" w:name="pg5457_39308"/>
    </w:p>
    <w:p>
      <w:pPr>
        <w:pStyle w:val="Heading3"/>
        <w:numPr>
          <w:ilvl w:val="2"/>
          <w:numId w:val="1"/>
        </w:numPr>
        <w:rPr/>
      </w:pPr>
      <w:bookmarkStart w:id="675" w:name="__RefHeading___Toc1994520_581953129"/>
      <w:bookmarkStart w:id="676" w:name="_Toc262"/>
      <w:bookmarkEnd w:id="674"/>
      <w:bookmarkEnd w:id="675"/>
      <w:r>
        <w:rPr/>
        <w:t>4</w:t>
      </w:r>
      <w:r>
        <w:rPr>
          <w:rtl w:val="true"/>
        </w:rPr>
        <w:t xml:space="preserve">- </w:t>
      </w:r>
      <w:r>
        <w:rPr>
          <w:rtl w:val="true"/>
        </w:rPr>
        <w:t>الانتظار عامل لبقاء التشیّع ومقاومته</w:t>
      </w:r>
      <w:bookmarkEnd w:id="676"/>
    </w:p>
    <w:p>
      <w:pPr>
        <w:pStyle w:val="BookText"/>
        <w:rPr/>
      </w:pPr>
      <w:r>
        <w:rPr>
          <w:rFonts w:ascii="IRNazanin" w:hAnsi="IRNazanin" w:eastAsia="IRNazanin"/>
          <w:color w:val="111111"/>
          <w:sz w:val="28"/>
          <w:sz w:val="28"/>
          <w:szCs w:val="28"/>
          <w:rtl w:val="true"/>
          <w:lang w:bidi="fa-IR"/>
        </w:rPr>
        <w:t>إنّ الانتظار من أهمّ عوامل المقاومة والصمود والثبات علی العقیدة، حیث یثبّت أقدام المسلمین، وخاصّة الشیعة منهم، ویمکّنهم من مقارعة الظلم والفساد والانحراف، والتصدّی لأعداء الإسلام، ویُرسّخ عقیدتهم، ویعزّز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یُعدّ ثروةً روحیّة کبیرة للمنتظرین للظهور</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وفی هذا السیاق،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دارمستر</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المستشرق واللغویّ الفرنسیّ الشهیر، إلی أنّ الانتظار عاملٌ قویّ من عوامل المقاومة وبقاء التشیّع،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فی مدینة الحلّة، القریبة من بغداد، مائة رجل یخرجون یومیّاً بعد صلاة العصر، وقد شهروا 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کانوا یهتفون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یاصاحب الزمان، عجّل علی ظهورک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بالإمکان قتل من تربّی ونشأ علی هکذا أحاسیس، ولکن لیس بالإمکان تغییر ولاءاته، وتطویعه لتوجّه خاصّ</w:t>
      </w:r>
      <w:r>
        <w:rPr>
          <w:rFonts w:eastAsia="IRNazanin" w:cs="IRNazanin"/>
          <w:color w:val="111111"/>
          <w:sz w:val="28"/>
          <w:szCs w:val="28"/>
          <w:rtl w:val="true"/>
          <w:lang w:bidi="fa-IR"/>
        </w:rPr>
        <w:t>.</w:t>
      </w:r>
      <w:r>
        <w:rPr>
          <w:rStyle w:val="FootnoteAnchor"/>
          <w:rtl w:val="true"/>
        </w:rPr>
        <w:footnoteReference w:id="43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الانتظار وعقیدة ظهور الإمام المهدیّ المنتظر عجل الله تعالی فرجه الشریف، تمثّل أهمّ عوامل صمود التشیّع بوجه حکومات الجور والاستبداد، طیلة التاریخ الشیعیّ الحافل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قال آیة الله صافی کلبایکانی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رحلة النبیّ الکریم صلی الله علیه و آله، واستشهاد أمیر المؤمنین علیه السلام، وسیّد الشهداء، إلی یومنا هذا، کان مردّ جمیع الحرکات والنهضات الإسلامیّة عموماً والشیعیّة خصوصاً، ضدّ الباطل والمستعمرین بوجهٍ عامّ، إلی الفلسفة الاجتماعیّة للانتظار، وستظلّ کذلک ما بقی الصراع بین الحقّ والباطل،</w:t>
      </w:r>
      <w:bookmarkStart w:id="677" w:name="pg5457_39309"/>
    </w:p>
    <w:p>
      <w:pPr>
        <w:pStyle w:val="BookText"/>
        <w:rPr/>
      </w:pPr>
      <w:bookmarkEnd w:id="677"/>
      <w:r>
        <w:rPr>
          <w:rFonts w:ascii="IRNazanin" w:hAnsi="IRNazanin" w:eastAsia="IRNazanin"/>
          <w:color w:val="111111"/>
          <w:sz w:val="28"/>
          <w:sz w:val="28"/>
          <w:szCs w:val="28"/>
          <w:rtl w:val="true"/>
          <w:lang w:bidi="fa-IR"/>
        </w:rPr>
        <w:t>حتّی النصر المطلق</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678" w:name="__RefHeading___Toc1994522_581953129"/>
      <w:bookmarkStart w:id="679" w:name="_Toc263"/>
      <w:bookmarkEnd w:id="678"/>
      <w:r>
        <w:rPr/>
        <w:t>5</w:t>
      </w:r>
      <w:r>
        <w:rPr>
          <w:rtl w:val="true"/>
        </w:rPr>
        <w:t xml:space="preserve">- </w:t>
      </w:r>
      <w:r>
        <w:rPr>
          <w:rtl w:val="true"/>
        </w:rPr>
        <w:t>الانتظار یفضی إلی التزیّن بالعدل</w:t>
      </w:r>
      <w:bookmarkEnd w:id="679"/>
    </w:p>
    <w:p>
      <w:pPr>
        <w:pStyle w:val="BookText"/>
        <w:rPr/>
      </w:pPr>
      <w:r>
        <w:rPr>
          <w:rFonts w:ascii="IRNazanin" w:hAnsi="IRNazanin" w:eastAsia="IRNazanin"/>
          <w:color w:val="111111"/>
          <w:sz w:val="28"/>
          <w:sz w:val="28"/>
          <w:szCs w:val="28"/>
          <w:rtl w:val="true"/>
          <w:lang w:bidi="fa-IR"/>
        </w:rPr>
        <w:t>علی المنتظرین التزیّن بحلیة العدل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المجال، قال الباحث الإیرانیّ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المنتظرین لظهور المهدیّ، الذین یترقّبون حکومة العدل الإلهیّ، أن یکونوا أسوةً فی العدل والقسط</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قال الله فی محکم کتابه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w:t>
      </w:r>
      <w:r>
        <w:rPr>
          <w:rStyle w:val="FootnoteAnchor"/>
          <w:rtl w:val="true"/>
        </w:rPr>
        <w:footnoteReference w:id="43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 استطاع الإنسان، من خلال الابتعاد عن المعصیة، ورعایة التقوی، إیجاد ملَکَة العدل فی نفسه، وإرساء دعائم الحیاة الأخلاقیّة الکریمة فی وجوده، بإیجاد حالة من التوازن بین القوی النفسیّة المختلفة لدیه، فإنّه یتمکّن، حینئذ، من مواءمة نفسه، فی عصر الظهور واستقرار العدل المطلق، مع شروط وخصائص الحضارة التوحیدیّة والمهدویّة</w:t>
      </w:r>
      <w:r>
        <w:rPr>
          <w:rFonts w:eastAsia="IRNazanin" w:cs="IRNazanin"/>
          <w:color w:val="111111"/>
          <w:sz w:val="28"/>
          <w:szCs w:val="28"/>
          <w:rtl w:val="true"/>
          <w:lang w:bidi="fa-IR"/>
        </w:rPr>
        <w:t>.</w:t>
      </w:r>
      <w:bookmarkStart w:id="680" w:name="pg5457_39310"/>
    </w:p>
    <w:p>
      <w:pPr>
        <w:pStyle w:val="Heading3"/>
        <w:numPr>
          <w:ilvl w:val="2"/>
          <w:numId w:val="1"/>
        </w:numPr>
        <w:rPr/>
      </w:pPr>
      <w:bookmarkStart w:id="681" w:name="__RefHeading___Toc1994524_581953129"/>
      <w:bookmarkStart w:id="682" w:name="_Toc264"/>
      <w:bookmarkEnd w:id="680"/>
      <w:bookmarkEnd w:id="681"/>
      <w:r>
        <w:rPr>
          <w:rtl w:val="true"/>
        </w:rPr>
        <w:t>مصادر للمطالعة</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الدکتور علی قائمی، انتظار عامل مقاومت وحرکت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عامل للمقاومة والحرکة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من الباحثین، انتظار در 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فی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 وانتظار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الإعلام الإسلامیّ، منتصف 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83" w:name="__RefHeading___Toc1994526_581953129"/>
      <w:bookmarkStart w:id="684" w:name="_Toc265"/>
      <w:bookmarkEnd w:id="683"/>
      <w:r>
        <w:rPr>
          <w:rtl w:val="true"/>
        </w:rPr>
        <w:t>الحدیث الختامیّ</w:t>
      </w:r>
      <w:r>
        <w:rPr>
          <w:rtl w:val="true"/>
        </w:rPr>
        <w:t>:</w:t>
      </w:r>
      <w:bookmarkEnd w:id="684"/>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للهِ عَلی خَلقهِ إلی یومِ القیامةِ، وإنّ مَن ماتَ وَلم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437"/>
      </w:r>
      <w:bookmarkStart w:id="685" w:name="pg5457_39311"/>
    </w:p>
    <w:p>
      <w:pPr>
        <w:pStyle w:val="Heading2"/>
        <w:numPr>
          <w:ilvl w:val="1"/>
          <w:numId w:val="1"/>
        </w:numPr>
        <w:rPr/>
      </w:pPr>
      <w:bookmarkStart w:id="686" w:name="__RefHeading___Toc1994528_581953129"/>
      <w:bookmarkStart w:id="687" w:name="_Toc266"/>
      <w:bookmarkEnd w:id="685"/>
      <w:bookmarkEnd w:id="686"/>
      <w:r>
        <w:rPr>
          <w:rtl w:val="true"/>
        </w:rPr>
        <w:t>علامات الانتظار</w:t>
      </w:r>
      <w:bookmarkEnd w:id="687"/>
    </w:p>
    <w:p>
      <w:pPr>
        <w:pStyle w:val="Heading3"/>
        <w:numPr>
          <w:ilvl w:val="2"/>
          <w:numId w:val="1"/>
        </w:numPr>
        <w:rPr/>
      </w:pPr>
      <w:bookmarkStart w:id="688" w:name="__RefHeading___Toc1994530_581953129"/>
      <w:bookmarkStart w:id="689" w:name="_Toc267"/>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علامات الانتظار لدی الشیعة؟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المفاهیم، بما فیها المفاهیم السیاسیّة والاجتماعیّة والأخلاقیّة والعقائدیّة، تتبلور فی إطار علاماتٍ معیّنة وسِمات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الانتظار، فباعتبار أنّه مفهومٌ أخلاقیّ وعقائدیّ فی مدرسة أهل البیت علیهم السلام، یتجلّی فی مواضیع متعدّدة،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النفس، إصلاح المجتمع، الدعاء والابتهال إلی الباری جلّ وعلا، واحترام الأماکن المنسوبة إلی الإمام المهدیّ المنتظر، صاحب العصر والزمان عجل الله تعالی فرجه الشریف،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نقدّم شرحاً مختصراً لتلک الأُمور</w:t>
      </w:r>
      <w:r>
        <w:rPr>
          <w:rFonts w:eastAsia="IRNazanin" w:cs="IRNazanin"/>
          <w:color w:val="111111"/>
          <w:sz w:val="28"/>
          <w:szCs w:val="28"/>
          <w:rtl w:val="true"/>
          <w:lang w:bidi="fa-IR"/>
        </w:rPr>
        <w:t>:</w:t>
      </w:r>
    </w:p>
    <w:p>
      <w:pPr>
        <w:pStyle w:val="Heading3"/>
        <w:numPr>
          <w:ilvl w:val="2"/>
          <w:numId w:val="1"/>
        </w:numPr>
        <w:rPr/>
      </w:pPr>
      <w:bookmarkStart w:id="690" w:name="__RefHeading___Toc1994532_581953129"/>
      <w:bookmarkStart w:id="691" w:name="_Toc268"/>
      <w:bookmarkEnd w:id="690"/>
      <w:r>
        <w:rPr>
          <w:rtl w:val="true"/>
        </w:rPr>
        <w:t>أ</w:t>
      </w:r>
      <w:r>
        <w:rPr>
          <w:rtl w:val="true"/>
        </w:rPr>
        <w:t xml:space="preserve">) </w:t>
      </w:r>
      <w:r>
        <w:rPr>
          <w:rtl w:val="true"/>
        </w:rPr>
        <w:t>تهذیب النفس</w:t>
      </w:r>
      <w:bookmarkEnd w:id="691"/>
    </w:p>
    <w:p>
      <w:pPr>
        <w:pStyle w:val="BookText"/>
        <w:rPr/>
      </w:pPr>
      <w:r>
        <w:rPr>
          <w:rFonts w:ascii="IRNazanin" w:hAnsi="IRNazanin" w:eastAsia="IRNazanin"/>
          <w:color w:val="111111"/>
          <w:sz w:val="28"/>
          <w:sz w:val="28"/>
          <w:szCs w:val="28"/>
          <w:rtl w:val="true"/>
          <w:lang w:bidi="fa-IR"/>
        </w:rPr>
        <w:t>لا یَکاد یخفی علی الإنسان المؤمن أنّ التقوی والتحلّی بالأخلاق الحسَنة والصفات الحمیدة تُعتبر مِن أهمّ علامات الانتظار ومقوّماته؛ ولذا، قال الإمام أبو جعفر محمّد الباقر 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واستعینوا علی ما أنتم علیه بالورَع، والاجتهاد فی طاعة الله</w:t>
      </w:r>
      <w:r>
        <w:rPr>
          <w:rFonts w:eastAsia="IRNazanin" w:cs="IRNazanin"/>
          <w:color w:val="111111"/>
          <w:sz w:val="28"/>
          <w:szCs w:val="28"/>
          <w:rtl w:val="true"/>
          <w:lang w:bidi="fa-IR"/>
        </w:rPr>
        <w:t>».</w:t>
      </w:r>
      <w:r>
        <w:rPr>
          <w:rStyle w:val="FootnoteAnchor"/>
          <w:rtl w:val="true"/>
        </w:rPr>
        <w:footnoteReference w:id="438"/>
      </w:r>
      <w:bookmarkStart w:id="692" w:name="pg5457_39312"/>
    </w:p>
    <w:p>
      <w:pPr>
        <w:pStyle w:val="BookText"/>
        <w:rPr/>
      </w:pPr>
      <w:bookmarkEnd w:id="692"/>
      <w:r>
        <w:rPr>
          <w:rFonts w:ascii="IRNazanin" w:hAnsi="IRNazanin" w:eastAsia="IRNazanin"/>
          <w:color w:val="111111"/>
          <w:sz w:val="28"/>
          <w:sz w:val="28"/>
          <w:szCs w:val="28"/>
          <w:rtl w:val="true"/>
          <w:lang w:bidi="fa-IR"/>
        </w:rPr>
        <w:t>وعلیه، نجد أنّ إمام العصر والزمان عجل الله تعالی فرجه الشریف والأئمّة الأطهار علیهم السلام، یحثّون المنتظرین لظهور الحجّة فی أحادیث کثیرة علی أداء الأعمال الصالحة والأفعال المقبولة عند الله تعالی، وعدَم الانحراف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تعتبر الأخلاق الحسنة من الواجبات الملقاة علی عاتق المنتظرین، تعدّ أیضاً من أبرز معالم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أن یکون من أصحاب القائم، فلینتظر، ولیعمَل بالورَع ومحاسن الأخلاق، وهو منتظر، فإن مات وقام القائم بعدَه، کان له من الأجر مثل أجر مَن أدرکه</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693" w:name="__RefHeading___Toc1994534_581953129"/>
      <w:bookmarkStart w:id="694" w:name="_Toc269"/>
      <w:bookmarkEnd w:id="693"/>
      <w:r>
        <w:rPr>
          <w:rtl w:val="true"/>
        </w:rPr>
        <w:t>ب</w:t>
      </w:r>
      <w:r>
        <w:rPr>
          <w:rtl w:val="true"/>
        </w:rPr>
        <w:t xml:space="preserve">) </w:t>
      </w:r>
      <w:r>
        <w:rPr>
          <w:rtl w:val="true"/>
        </w:rPr>
        <w:t>إصلاح المجتمع</w:t>
      </w:r>
      <w:bookmarkEnd w:id="694"/>
    </w:p>
    <w:p>
      <w:pPr>
        <w:pStyle w:val="BookText"/>
        <w:rPr/>
      </w:pPr>
      <w:r>
        <w:rPr>
          <w:rFonts w:ascii="IRNazanin" w:hAnsi="IRNazanin" w:eastAsia="IRNazanin"/>
          <w:color w:val="111111"/>
          <w:sz w:val="28"/>
          <w:sz w:val="28"/>
          <w:szCs w:val="28"/>
          <w:rtl w:val="true"/>
          <w:lang w:bidi="fa-IR"/>
        </w:rPr>
        <w:t xml:space="preserve">إصلاح المجتمع کذلک من المعالِم الهامّة للانتظار، فیجب علی الفرد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إصلاح نفسه وتهذیب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علی إصلاح المجتمع، وإقرار العدل، ورفع الظلم والحیف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المنتظِر للمصلح العالمیّ أن یکون صالحاً ومُصلحاً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بیّن الرسول الأکرم صلی الله علیه و آله أهمیّة الأمر بالمعروف والنهی عن المنکر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المنکر، أو لَیسلطَنَّ الله شرارَکم علی خیارِکم، فیدعو خیارُکم فلا یُستجاب لهُم</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رضا الإمام المهدیّ عجل الله تعالی فرجه الشریف أیضاً، یحصل بالأمر بالمعروف والنهی عن المنکر؛ بناءً علی ذلک، یجب علی الإنسان المنتظر أن یبذل ما فی وِسعه لإصلاح المجتمع الذی یعیش فیه، والتأسّی فی هذا المجال بإمامه؛</w:t>
      </w:r>
      <w:bookmarkStart w:id="695" w:name="pg5457_39313"/>
    </w:p>
    <w:p>
      <w:pPr>
        <w:pStyle w:val="BookText"/>
        <w:rPr/>
      </w:pPr>
      <w:bookmarkEnd w:id="695"/>
      <w:r>
        <w:rPr>
          <w:rFonts w:ascii="IRNazanin" w:hAnsi="IRNazanin" w:eastAsia="IRNazanin"/>
          <w:color w:val="111111"/>
          <w:sz w:val="28"/>
          <w:sz w:val="28"/>
          <w:szCs w:val="28"/>
          <w:rtl w:val="true"/>
          <w:lang w:bidi="fa-IR"/>
        </w:rPr>
        <w:t>لأنّ إمام العصر والزمان سیکون فی عصر الظهور، أکبر المنادین بفریضة الأمر بالمعروف والنهی عن المنکر، والداعین لتحقیقها علی أکمل وجه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المجتمع المنتظر هو المجتمع الذی یعمل علی إرضاء الإمام المهدیّ عجل الله تعالی فرجه الشریف، ویقتدی به فی جمیع أعماله، ویبذل کلّ طاقاته وقدراته لإقامة الأحکام الإلهیّة علی الأرض</w:t>
      </w:r>
      <w:r>
        <w:rPr>
          <w:rFonts w:eastAsia="IRNazanin" w:cs="IRNazanin"/>
          <w:color w:val="111111"/>
          <w:sz w:val="28"/>
          <w:szCs w:val="28"/>
          <w:rtl w:val="true"/>
          <w:lang w:bidi="fa-IR"/>
        </w:rPr>
        <w:t>.</w:t>
      </w:r>
    </w:p>
    <w:p>
      <w:pPr>
        <w:pStyle w:val="Heading3"/>
        <w:numPr>
          <w:ilvl w:val="2"/>
          <w:numId w:val="1"/>
        </w:numPr>
        <w:rPr/>
      </w:pPr>
      <w:bookmarkStart w:id="696" w:name="__RefHeading___Toc1994536_581953129"/>
      <w:bookmarkStart w:id="697" w:name="_Toc270"/>
      <w:bookmarkEnd w:id="696"/>
      <w:r>
        <w:rPr>
          <w:rtl w:val="true"/>
        </w:rPr>
        <w:t>ج</w:t>
      </w:r>
      <w:r>
        <w:rPr>
          <w:rtl w:val="true"/>
        </w:rPr>
        <w:t xml:space="preserve">) </w:t>
      </w:r>
      <w:r>
        <w:rPr>
          <w:rtl w:val="true"/>
        </w:rPr>
        <w:t>الدعاء والابتهال</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هذا الدعاء من أبرَز مظاهر الانتظار لدی الشیعة، وقد کان محطّ اهتمامهم منذ سالِف الدهر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فالمنتظرون لقیام الإمام المهدیّ الموعود عجل الله تعالی فرجه الشریف کانوا طیلة التاریخ یطفئون لوعةَ الانتظار ببرودة دعاء الندبة، ویهدِّئون روعهم بقراءته؛ إذ أنّه فی حقیقة الأمر یعکس تاریخاً مختصراً لحضور الحُجج والأولیاء الإلهیّین علی وجه الأرض، وهی السلسلة التی تبتدأ من النبیّ آدم علیه السلام، وتمتدّ إلی آخر الحُجج، الإمام المهدیّ المنتظر عجل الله تعالی فرجه الشریف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یأنَس بهذا الدعاء، ویَستشعِر من الأعماق مظلومیّة خلیفة النبیّ المصطفی صلی الله علیه و آله، یزداد عِشقاً وتلهّفاً للولایة، ویُضاعِف من ارتباطه بالولیّ، کما یتملّکه الإحساس بکلّ وجوده بالحاجة إلی حجّة الله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مَن یقرأ دعاء الندبة، یُدرک عمق الکارثة التی حلّت بالمجتمعات البشریّة، إثر غیاب آخر الحُجج الإلهیّة، ویعی حجم المصیبة الناشئة عن حرمان البشریّة، من وجود الإمام المعصوم بین ظهرانیها؛ ولذا، لا یجد بُدّاً من إطلاق صرخات الاستغاثة والندبة، والبکاء والانتحاب علی المصائب والویلات التی حلّت به، وبأمثاله من الناس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البکاء والعویل بمثابة صرخة اعتراض بوجه جمیع الظالمین، الذین مهّدوا لغیبة آخر الأئمّة المعصومین، وإعلان الاستعداد والجاهزیّة لتوفیر الأرضیّة الملائمة؛ لظهور هذا الإمام الغائب عن الأنظار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دعاء الندبة ورد عن الإمام الصادق علیه السلام، حیث علّمه لبعض أصحابه وشیعته،</w:t>
      </w:r>
      <w:r>
        <w:rPr>
          <w:rStyle w:val="FootnoteAnchor"/>
          <w:rtl w:val="true"/>
        </w:rPr>
        <w:footnoteReference w:id="441"/>
      </w:r>
      <w:r>
        <w:rPr>
          <w:rFonts w:ascii="IRNazanin" w:hAnsi="IRNazanin" w:eastAsia="IRNazanin"/>
          <w:color w:val="111111"/>
          <w:sz w:val="28"/>
          <w:sz w:val="28"/>
          <w:szCs w:val="28"/>
          <w:rtl w:val="true"/>
          <w:lang w:bidi="fa-IR"/>
        </w:rPr>
        <w:t>وأکّد علیهم قراءته فی الأعیاد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والأضحی والغدیر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أنّنا مکلّفون فی عصر الغیبة، بأمر من الإمام أبی عبد الله الصادق علیه السلام، بمناجاة إمام العصر والزمان عجل الله تعالی فرجه الشریف بهذا الدعاء،</w:t>
      </w:r>
      <w:r>
        <w:rPr>
          <w:rStyle w:val="FootnoteAnchor"/>
          <w:rtl w:val="true"/>
        </w:rPr>
        <w:footnoteReference w:id="442"/>
      </w:r>
      <w:r>
        <w:rPr>
          <w:rFonts w:ascii="IRNazanin" w:hAnsi="IRNazanin" w:eastAsia="IRNazanin"/>
          <w:color w:val="111111"/>
          <w:sz w:val="28"/>
          <w:sz w:val="28"/>
          <w:szCs w:val="28"/>
          <w:rtl w:val="true"/>
          <w:lang w:bidi="fa-IR"/>
        </w:rPr>
        <w:t>والطلب من الله تعالی بتعجیل 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السلامة والتعجیل فی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مظاهر وعلامات الانتظار، الدعاء لسلامة الإمام الحجّة المنتظر عجل الله تعالی فرجه الشریف، والتعجیل فی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قال الإمام جعفر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بعد صلاة الفجر وصلاة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وآل محمّد وعجّل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حتّی یدرک القائم من آل محمّد صلی الله علیه و آله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إنّ الدعاء لفرَج الإمام علیه السلام عاملٌ هامّ للتخلّص من الفِتَن فی عصر الغیبة، فورَد فی ذلک عن الإمام الحسن العسکریّ علیه السلام، أنّه 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لیغیبنّ غیبة، لا ینجو فیها من الهلَکة إلاّ من ثبّته الله عزّ وجلّ علی القول بإمامته، ووفّقه للدعاء بتعجیل فرجه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وفی التوقیع الذی خرج لإسحق بن یعقوب، حثّ الإمام</w:t>
      </w:r>
      <w:bookmarkStart w:id="698" w:name="pg5457_39315"/>
    </w:p>
    <w:p>
      <w:pPr>
        <w:pStyle w:val="BookText"/>
        <w:rPr/>
      </w:pPr>
      <w:bookmarkEnd w:id="698"/>
      <w:r>
        <w:rPr>
          <w:rFonts w:ascii="IRNazanin" w:hAnsi="IRNazanin" w:eastAsia="IRNazanin"/>
          <w:color w:val="111111"/>
          <w:sz w:val="28"/>
          <w:sz w:val="28"/>
          <w:szCs w:val="28"/>
          <w:rtl w:val="true"/>
          <w:lang w:bidi="fa-IR"/>
        </w:rPr>
        <w:t>المنتظر عجل الله تعالی فرجه الشریف الشیعة علی الدعاء له بالفرَج،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وبناءً علی ذلک، فإنّ الدعاء بالفرج، مضافاً إلی کونه إطاعة لأمر الإمام نفسه، فیه فرج للناس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دعاء الفرج للإمام، یجب علی المؤمنین المنتظرین الدعاء لسلامة الإمام؛ ذلک أنّ دعاءنا له یبرز المحبّة والعشق الذی نکنّه له، ویکشف عن حرصنا علی أداء حقوقه علینا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وبالإضافة إلی ذلک، فهناک نیفاً وثمانین فائدة من الفوائد الدنیویّة والأخرویّة، المترتّبة علی الدعاء لفرجِه صلوات الله علیه</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699" w:name="__RefHeading___Toc1994538_581953129"/>
      <w:bookmarkStart w:id="700" w:name="_Toc271"/>
      <w:bookmarkEnd w:id="699"/>
      <w:r>
        <w:rPr>
          <w:rtl w:val="true"/>
        </w:rPr>
        <w:t>د</w:t>
      </w:r>
      <w:r>
        <w:rPr>
          <w:rtl w:val="true"/>
        </w:rPr>
        <w:t xml:space="preserve">) </w:t>
      </w:r>
      <w:r>
        <w:rPr>
          <w:rtl w:val="true"/>
        </w:rPr>
        <w:t>احترام الأماکن والبقاع المنسوبة إلی الإمام</w:t>
      </w:r>
      <w:bookmarkEnd w:id="700"/>
    </w:p>
    <w:p>
      <w:pPr>
        <w:pStyle w:val="BookText"/>
        <w:rPr/>
      </w:pPr>
      <w:r>
        <w:rPr>
          <w:rFonts w:ascii="IRNazanin" w:hAnsi="IRNazanin" w:eastAsia="IRNazanin"/>
          <w:color w:val="111111"/>
          <w:sz w:val="28"/>
          <w:sz w:val="28"/>
          <w:szCs w:val="28"/>
          <w:rtl w:val="true"/>
          <w:lang w:bidi="fa-IR"/>
        </w:rPr>
        <w:t>هناک أماکن کثیرة منسوبة إلی إمام العصر والزمان عجل الله تعالی فرجه الشریف، أضحی کلَّ واحد منها مظهراً من مظاهر الانتظار، ومَعلماً من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التأکید علی الشیعة لحضور تلک الأماکن والبقاع المبارکة، ومناجاة الإمام فیها، وبثّه الشکوی من الغیبة الطویلة، والوضع المضطرب السائد فی العالم، والدعاء لتعجیل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نستعرض بإیجاز بعض البقاع التی تُنسب إلی هذا الإمام الهمام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مسجد الکوفة من جُملة الأماکن والبِقاع المقدّسة، ومن أبرَز مظاهر الانتظار، وسوف یکون فی عصر الظهور المرکز الإعلامیّ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کان محبّوا أهل البیت والعترة الطاهرة علیهم السلام</w:t>
      </w:r>
    </w:p>
    <w:p>
      <w:pPr>
        <w:pStyle w:val="BookText"/>
        <w:rPr/>
      </w:pPr>
      <w:r>
        <w:rPr>
          <w:rFonts w:ascii="IRNazanin" w:hAnsi="IRNazanin" w:eastAsia="IRNazanin"/>
          <w:color w:val="111111"/>
          <w:sz w:val="28"/>
          <w:sz w:val="28"/>
          <w:szCs w:val="28"/>
          <w:rtl w:val="true"/>
          <w:lang w:bidi="fa-IR"/>
        </w:rPr>
        <w:t>یجتمعون فی مسجد الکوفة الأعظم، عند منبر مولی المتّقین وإمام الموحّدین علیّ بن أبی طالب علیه السلام، ویستمعون إلی کلماته وتوصیاته وتوجیهاته القیّمة، سیجتمعون فی عصر الظهور تحت منبر آخرِ الأئمّة المعصومین علیهم السلام، ویستفیدون من الفیوضات الإلهیّة علی لسان الإمام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تبلوَرت هذه الحقیقة فی کلام الإمام الصادق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القائم علی منبرِ الکوفة، وحوله أصحابه، ثلاثُ مائة وثلاثة عشر رجلاً، عِدّة أهل بدر، وهُم أصحابُ الألویة، وهُم حکّام الله فی أرضه علی خلقه</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وقد صوّر الإمام أبو جعفر الباقر علیه السلام هذا الحدث التاریخیّ الهامّ بصیغة أُخری، فلمّا ذُکر عنده المهدیّ،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الکوفة، وبها ثلاث رایات قد اضطربت، فتصفوا له، ویدخل حتّی یأتی المنبر، فیخطب، فلا یدری الناس ما یقول من البکاء</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أمّا فضیلة العبادة فی مسجد الکوفة، فقد بیّنها الإمام الباقر علیه السلام أیضاً،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مسجد الکوفة، لأعّدوا له الزاد والراحلة، من مکان بعید،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فریضة فیه تعدل حجّة، وصلاة نافلة فیه تعدل عمرة</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مسجد الکوفة، الفریضة تعدل حجّة مقبولة، والتطوّع فیه تعدل عمرة مقبولة</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المسجد من أهمّ المساجد بعد مسجد الکوفة، ویُعدّ من معالم ومظاهر الانتظار کذلک، وهو یقع علی بُعد ثلاثة</w:t>
      </w:r>
    </w:p>
    <w:p>
      <w:pPr>
        <w:pStyle w:val="BookText"/>
        <w:rPr/>
      </w:pPr>
      <w:r>
        <w:rPr>
          <w:rFonts w:ascii="IRNazanin" w:hAnsi="IRNazanin" w:eastAsia="IRNazanin"/>
          <w:color w:val="111111"/>
          <w:sz w:val="28"/>
          <w:sz w:val="28"/>
          <w:szCs w:val="28"/>
          <w:rtl w:val="true"/>
          <w:lang w:bidi="fa-IR"/>
        </w:rPr>
        <w:t>کیلومترات إلی الشمال الغربیّ من مسجد الکوفة فی جنوب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ویقوم المنتظرون لظهور الإمام فی عصر الغیبة بزیارة مسجد السهلة، الذی هو بیت الإمام القائم عجل الله تعالی فرجه الشریف، ویبتهلون فیه إلی الباری عزّ وجلّ فی التعجیل بظهوره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هذا المسجد بقعة 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یقصدها المحبّون للإمام، تعبیراً عن وفائهم له واشتیاقهم للقائه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بعض کتب الزیارات أنّه یستحب الوقوف فیه وقراءة زیارة إمام العصر والزمان عجل الله تعالی فرجه الشریف، التی مطلعها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 الشامل العامّ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وروی عن أبی بصیر، عن أبی عبد الله صلوات الله علیه،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کأنّی أری نزول القائم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منزل إدریس علیه السلام، وما بعَث الله نبیّاً إلا ّوقد صلّی فیه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لقد دأب الصالحون والمؤمنون، مضافاً إلی العلماء، علی التشرّف بزیارة هذا المسجد، والطلب من الله لقضاء حوائجهم من خلال التوسّل بجاه صاحبه، حتّی أنّ بعضهم واظب علی زیارة مسجد الکوفة ومسجد السهلة أربعین مرّة فی لیالی الجمعة، أو باتوا أربعین لیلة من لیالی الأربعاء فی مسجد السهلة، وقضوها بالتضرّع والعبادة والابتهال إلی الله تعالی، من أجل التشرّف بلقاء الإمام الغائب،</w:t>
      </w:r>
      <w:r>
        <w:rPr>
          <w:rStyle w:val="FootnoteAnchor"/>
          <w:rtl w:val="true"/>
        </w:rPr>
        <w:footnoteReference w:id="454"/>
      </w:r>
      <w:r>
        <w:rPr>
          <w:rFonts w:ascii="IRNazanin" w:hAnsi="IRNazanin" w:eastAsia="IRNazanin"/>
          <w:color w:val="111111"/>
          <w:sz w:val="28"/>
          <w:sz w:val="28"/>
          <w:szCs w:val="28"/>
          <w:rtl w:val="true"/>
          <w:lang w:bidi="fa-IR"/>
        </w:rPr>
        <w:t>ومناجاته والتحدّث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جمکران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مسجد جمکران علی مسافة ستّة کیلومترات من مدینة قم المقدّسة، وعلی طریق مدینة کاشان، وهو عبارة</w:t>
      </w:r>
    </w:p>
    <w:p>
      <w:pPr>
        <w:pStyle w:val="BookText"/>
        <w:rPr/>
      </w:pPr>
      <w:r>
        <w:rPr>
          <w:rFonts w:ascii="IRNazanin" w:hAnsi="IRNazanin" w:eastAsia="IRNazanin"/>
          <w:color w:val="111111"/>
          <w:sz w:val="28"/>
          <w:sz w:val="28"/>
          <w:szCs w:val="28"/>
          <w:rtl w:val="true"/>
          <w:lang w:bidi="fa-IR"/>
        </w:rPr>
        <w:t>عن تلک البقعة التی أُنشأت بتوجیه من الإمام الحجّة المنتظر عجل الله تعالی فرجه الشریف، کما طالب الشیعة بالتوجّه إلی هذا المکان، وقصد زیارته، وإضفاء القدسیّة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الإمام حسن بن مثلة، بأن یقول للناس باحترام هذه البقعة لشرفها وعلوّ شأنها، ثمّ علّمه ضربین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تحیّة المسجد، وصلاة إمام العصر والزمان عجل الله تعالی فرجه الشریف، مؤکّداً له علی أنّ من صلّی هاتین الصلاتین، فهو کمن صلّی فی الکعبة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ولقد مضی زمن طویل وحشود المؤمنین المنتظرین والعشّاق للإمام الغائب تتوافد، من الجمهوریّة الإسلامیّة فی إیران وسائر أقطار العالم الإسلامیّ، علی هذا المکان المقدّس فی لیالی الأربعاء، بعیون باکیة وقلوب دامیة، ملؤها المحبّة لأهل البیت الطاهرین المعصومین المظلومین علیهم السلام، فیؤدّون الأعمال المسنونة فی المسجد، وعلی رأسها الصلوات المذکورة، ویرفعون أیدیهم بالدعاء إلی الباری تعالی، ویلتمسون قضاء حوائجهم بالجاه الذی عند الله لهذا الإمام الهمام، ویبثّون شکواهم ونجواهم لطول غیبة إمامهم المنتظر، والظلم الذی حلّ بالشیعة فی أقصی بقاع العالم، والکوارث التی ألمّت بالعالم فی عصر الغیبة، کما یبتهلون إلی بارئهم فی حلّ مشاکل المجتمعات الإسلامیّة، وشفاء المرضی، وقضاء حوائج المحتاجین، وخاصّة تعجیل فرج الإمام الحجّة بن الحسن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المسجد من المساجد المشرّفة فی مدینة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بعض المنتظرین للقائم عجل الله تعالی فرجه الشریف، صلّوا فی شهر رجب فی بعض المواضع المشرّفة، ومنها مسجد صعصعة بن صوحان، وإذا بهم یشاهدون رجلاً یصلّی ویدعو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المنن السابغة، والآلاء</w:t>
      </w:r>
    </w:p>
    <w:p>
      <w:pPr>
        <w:pStyle w:val="BookText"/>
        <w:rPr/>
      </w:pPr>
      <w:r>
        <w:rPr>
          <w:rFonts w:ascii="IRNazanin" w:hAnsi="IRNazanin" w:eastAsia="IRNazanin"/>
          <w:color w:val="111111"/>
          <w:sz w:val="28"/>
          <w:sz w:val="28"/>
          <w:szCs w:val="28"/>
          <w:rtl w:val="true"/>
          <w:lang w:bidi="fa-IR"/>
        </w:rPr>
        <w:t>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هذا العمل أنّ هذا الدعاء خاصّ بهذا المسجد الشریف، ومن جملة أعماله، کما هو الحال فی أدعیة وأعمال مسجد السهلة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بما أنّ الإمام علیه السلام قرأ هذا الدعاء فی شهر رجب، یُحتمل فیه أن یکون من الأدعیة الخاصّة بهذا الشهر؛ ولذا ذُکر فی کتب الأدعیة ضمن أعمال شهر رجب</w:t>
      </w:r>
      <w:r>
        <w:rPr>
          <w:rFonts w:eastAsia="IRNazanin" w:cs="IRNazanin"/>
          <w:color w:val="111111"/>
          <w:sz w:val="28"/>
          <w:szCs w:val="28"/>
          <w:rtl w:val="true"/>
          <w:lang w:bidi="fa-IR"/>
        </w:rPr>
        <w:t>.</w:t>
      </w:r>
      <w:r>
        <w:rPr>
          <w:rStyle w:val="FootnoteAnchor"/>
          <w:rtl w:val="true"/>
        </w:rPr>
        <w:footnoteReference w:id="45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یحضر المنتظرون إلی مسجد صعصعة، ویرفعون أیدیهم بالدعاء والتوسّل، ویذرفون الدموع علی فراق الإمام الغائب، محمّد بن الحسن المهدیّ عجل الله تعالی فرجه الشریف، ویبتلهون إلی الله عزّ وجلّ فی التعجیل بظهوره المبارک</w:t>
      </w:r>
      <w:r>
        <w:rPr>
          <w:rFonts w:eastAsia="IRNazanin" w:cs="IRNazanin"/>
          <w:color w:val="111111"/>
          <w:sz w:val="28"/>
          <w:szCs w:val="28"/>
          <w:rtl w:val="true"/>
          <w:lang w:bidi="fa-IR"/>
        </w:rPr>
        <w:t>.</w:t>
      </w:r>
      <w:bookmarkStart w:id="701" w:name="pg5457_39320"/>
    </w:p>
    <w:p>
      <w:pPr>
        <w:pStyle w:val="Heading3"/>
        <w:numPr>
          <w:ilvl w:val="2"/>
          <w:numId w:val="1"/>
        </w:numPr>
        <w:rPr/>
      </w:pPr>
      <w:bookmarkStart w:id="702" w:name="__RefHeading___Toc1994540_581953129"/>
      <w:bookmarkStart w:id="703" w:name="_Toc272"/>
      <w:bookmarkEnd w:id="701"/>
      <w:bookmarkEnd w:id="702"/>
      <w:r>
        <w:rPr>
          <w:rtl w:val="true"/>
        </w:rPr>
        <w:t>مصادر للمطالعة</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أکبر مهدی بور، با دعای ندبه در پگاه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دعاء الندبة فی صباح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کریمی بیدگلی، فرهنگ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الموعود</w:t>
      </w:r>
      <w:r>
        <w:rPr>
          <w:rFonts w:eastAsia="IRNazanin" w:cs="IRNazanin"/>
          <w:color w:val="111111"/>
          <w:sz w:val="28"/>
          <w:szCs w:val="28"/>
          <w:rtl w:val="true"/>
          <w:lang w:bidi="fa-IR"/>
        </w:rPr>
        <w:t>).</w:t>
      </w:r>
    </w:p>
    <w:p>
      <w:pPr>
        <w:pStyle w:val="Heading3"/>
        <w:numPr>
          <w:ilvl w:val="2"/>
          <w:numId w:val="1"/>
        </w:numPr>
        <w:rPr/>
      </w:pPr>
      <w:bookmarkStart w:id="704" w:name="__RefHeading___Toc1994542_581953129"/>
      <w:bookmarkStart w:id="705" w:name="_Toc273"/>
      <w:bookmarkEnd w:id="704"/>
      <w:r>
        <w:rPr>
          <w:rtl w:val="true"/>
        </w:rPr>
        <w:t>الحدیث الختامیّ</w:t>
      </w:r>
      <w:bookmarkEnd w:id="705"/>
    </w:p>
    <w:p>
      <w:pPr>
        <w:pStyle w:val="BookText"/>
        <w:rPr/>
      </w:pPr>
      <w:r>
        <w:rPr>
          <w:rFonts w:ascii="IRNazanin" w:hAnsi="IRNazanin" w:eastAsia="IRNazanin"/>
          <w:color w:val="111111"/>
          <w:sz w:val="28"/>
          <w:sz w:val="28"/>
          <w:szCs w:val="28"/>
          <w:rtl w:val="true"/>
          <w:lang w:bidi="fa-IR"/>
        </w:rPr>
        <w:t>قال الإمام محمّد بن الحسن، الحجّة، القائم، المنتظر، المهدیّ عجل الله تعالی فرجه الشریف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457"/>
      </w:r>
      <w:bookmarkStart w:id="706" w:name="pg5457_39321"/>
    </w:p>
    <w:p>
      <w:pPr>
        <w:pStyle w:val="Heading2"/>
        <w:numPr>
          <w:ilvl w:val="1"/>
          <w:numId w:val="1"/>
        </w:numPr>
        <w:rPr/>
      </w:pPr>
      <w:bookmarkStart w:id="707" w:name="__RefHeading___Toc1994544_581953129"/>
      <w:bookmarkStart w:id="708" w:name="_Toc274"/>
      <w:bookmarkEnd w:id="706"/>
      <w:bookmarkEnd w:id="707"/>
      <w:r>
        <w:rPr>
          <w:rtl w:val="true"/>
        </w:rPr>
        <w:t>المصادر والمراجع</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أذربیجانی، مسعود، وسالاری فر، محمد رضا، روانشناسی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زمزم هدایت،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الآمدی التمیمی، عبد الواحد، غرر الحِکَم ودرر 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أنصاری قمی، 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المعتزلی، شرح نهج البلاغة، انتشارات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علی بن أبی الکرم محمد، الکامل فی التاریخ، دار الفکر،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العسقلانی، شهاب الدین بن حجر، مقدمة فتح الباری شرح صحیح البخاری،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المیزان،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أحمد بن حنبل، المسند،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المناقب، المطبعة الحیدریة، النجف الأشرف،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أبو القاسم علی بن الحسن،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معجم مقائیس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مکتب الإعلام الإسلامی،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 بن محمد، کامل الزیارات،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ذهنی طهرانی،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گنجینه ذهن،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الحافظ أبو الفداء، البدایة والنهایة، دار إحیاء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المناقب،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المکتبة الإسلامیة،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 إحیاء التراث،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الحمیری المعافری، عبد الملک،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وإبراهیم الأبیاری وعبد الحفیظ شلبی،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رسولی،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کتابچی،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محمد بن إسحق، سیرة ابن هشام،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مکتبة محمد علی صبیح وأولاده،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شرح الإشارات، نشر البلاغة،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شجاع شیروی بن شهردار بن شیرویه الدیلمیّ، الفردوس بمأثور الخطاب،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صادق، آثار الصادقین، انتشارات دار القلم،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أحمدی، محمد أمین، انتظارات بشر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توقّعات البشر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العلوم والثقافة الإسلامیة التابع لمکتب الإعلام الإسلامی،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الأربلی، علی بن عیسی، کشف الغمّة، دار الکتب الإسلامیة،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الاصفهانی، السیّد محمد تقی، مکیال المکارم،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حائری، انتشارات ایران نگین،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الحسن العسکری علیه السلام، تفسیر الإمام العسکری علیه السلام، انتشارات مدرسة الإمام المهدی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السیّد محسن، کشف الارتیاب فی أتباع محمد بن عبد الوهاب، مؤسسة أنصاریان،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الترجمة الفارسیة لکتاب کشف الارتیاب،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السیّد علوی، دار سپهر،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 الحسین، الغدیر، دار 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 بیرک، لورا، روان 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لقاح تا کودکی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نفسیّة للنموّ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اللقاح حتّی 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 محمدی، نشر ارسباران، طهران،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إیزدپور، محمد رضا، معراج پیامبر صلی الله علیه و آله در دیدگاه عقل ووحی وآثار تربیتی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النبیّ صلی الله علیه و آله بنظر العقل والوحی وآثاره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العدد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نجفی، غلام رضا، أنوار الهدایة فی مباحث الإمامة والولایة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 جواد، فرهنگ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أبو المکارم السیّد هاشم بن السیّد سلیمان، غایة المرام وحجّة الخصام فی تبیین الإمام عن طریق الخاص والعام،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إسماعیل، صحیح البخاری،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أحمد بن یحیی، أنساب الأشراف، دار النشر،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البیاضی النباطی، علی بن یونس، الصراط المستقیم، المکتبة الحیدریة، النجف،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البیّنات، السنة الثانیة، العدد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پیشوائی، مهدی،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دفتر نشر معارف،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التبریزی، محمد حسین بن خلف، البرهان القاطع، مؤسسة انتشارات أمیر 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محمد بن عیسی،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القاضی نور الله، الصوارم المهرقة فی نقد الصواعق المحرقة،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 مطبعة النهضة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 محمد تقی، جبر واختیار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تدوین ونشر آثار العلاّمة الجعفری،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مرکز الثقافة والفکر الإسلامی للبحوث،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 یعقوب، الکوثر، انتشارات هجرت،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 الله، ارتداد وآزادی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 والحریّة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العام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کریم، وحی ونبوت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للقرآن الکریم، الوحی والنبوة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نشر إسراء،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کریم، معاد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للقرآن الکریم، المعاد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إسراء،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الجوینی الحموی، إبراهیم بن محمد، فرائد السمطین فی فضائل المرتضی والبتول والسبطین والأئمة من ذریتهم،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مؤسسة المحمودی،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النیسابوری، محمد بن محمد،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یوسف مرعشلی،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الحسکانی، عبید الله بن أحمد، شواهد التنزیل لقواعد التفضیل،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الطباعة والنشر فی وزراة الإرشاد الإسلامی،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آل البیت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إثبات الهداة بالنصوص والمعجزات، دار الکتب الإسلامیة،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أبو المکارم، محمود بن محمد، دقائق التأویل وحقائق التنزیل، نشر میراث مکتوب،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الحصینی، حسین بن حمدان، الهدایة الکبری، مؤسسة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الجرجانی، السیّد أمیر أبو الفتوح،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نوید،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الشیرازی، السیّد محمد، تبیین القرآن،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العلوم،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السیّد صادق، ومیر موسوی، السیّد علی، مبانی حقوق بشر از دیدگاه اسلام ودیگر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حقوق الإنسان فی الإسلام وباقی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خورشید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الحسن بن یوسف، کشف المراد،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الإمام الصادق علیه السلام،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فی شرح تجرید الاعتقاد، 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جماعة المدرسین فی حوزة قم العلمیة،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الیقین فی فضائل أمیر المؤمنین علیه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وزارة الإرشاد،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رضا شاکرین بالتعاون مع عدد من الباحثین، پرسش ها وپاسخ های برگزیده دانشجوئی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الأسئلة والردود للطلاب الجامعیّین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ممثلیّة الولیّ الفقیه فی الجامعات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الحیدری، السیّد کمال، التوحید، دار الفراقد،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 رضا، حشمت الله ریاضی، ترجمة بیان السعادة فی مقامات العبادة، مرکز الطباعة والنشر فی جامعة پیام نور،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الموفق بن أحمد،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الإسلامی التابعة لجماعة المدرسین،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دارمستر، مهدی از صدر اسلام تا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صدر الإسلام حتّی القرن الثالث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جهان سوز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 پناه، أبو الفضل، أنوار العرفان، انتشارات صدر،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تاریخ اسلام از آغاز تا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 من بدء الدعوة إلی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إسلامی،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أکبر، فرهنگ دهخدا، طباعة ونشر جامعة 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شمس الدین محمد بن أحمد، سیر أعلام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وحسین الأسد،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أبو الفتح، روض الجنان وروح الجنان فی تفسیر القرآن، مؤسسة البحوث الإسلامیة فی الروضة الرضویة المقدسة، مشهد،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الاصفهانی، الحسین بن محمد، المفردات فی غریب القرآن،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والدار الشامیة،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الربانی الگلبایگانی، علی، الجبر والاختیار، مؤسسة سیّد الشهداء للتحقیق،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السیّد هاشم، 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علی بن موسی، السیّد جعفر بن طاووس، إقبال الأعمال، مکتبة الإعلام الإسلامی،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جان جاک، امیل یا آموزش وپرورش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أم التعلیم والتربیة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زیرک زادة، طباعة رشیدیة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 شهری، محمد، میزان الحکمة، منشورات الدار الإسلامیة،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 شهری، محمد، منتخب میزان الحکمة،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دار الحدیث، قم،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الخوارزمی، جار الله محمود بن عمر، الکشّاف عن حقائق التنزیل وعیون الأقاویل فی وجوه التأویل،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شفاعت در قلمرو عقل، قرآن،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فی إطار العقل والقرآن 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در الکتب الإسلامیة،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الإلهیات علی هدی الکتاب والسنّة، المرکز العالمی للدراسات الإسلامیة،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القضاء والقدر فی العلم والفلسفة الإسلامیة،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الیوسفی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 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توحید،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مرکز النشر فی مکتب الإعلام الإسلامی،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عقاید ومذاهب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العقائد والمذاهب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علیه السلام،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الکریم،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ستاری، جلال، اسطوره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الأسطورة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الطباعة والنشر فی وزارة الأمور الخارجیة،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السمرقندی، النضر بن مسعود بن عیّاش،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رسولی محلاتی،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بن أبی بکر، الجامع الصغیر،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الموسوی، السیّد عبد الحسین، الفصول المهمة فی تألیف الأمة،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اللاهیجی، محمد بن علی، تفسیر الشریف اللاهیجی، دفتر نشر داد، 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شولتز دوان وسیدنی آلن، نظریه های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النظریّات حول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کریمی وآخرون،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نشر ارسباران،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الصدوق، أبو جعفر، محمد بن علی بن الحسین بن بابویه القمی، التوحید، جماعة المدرسین فی حوزة قم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انتشارات جماعة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مؤسسة الأعلمی،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وتمام النعمة،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مؤسسة النشر الإسلامی التابعة لجماعة المدرسین،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جماعة المدرسین فی حوزة قم العلمیة،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انتشارات المکتبة الإسلامیة،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الطوسی، محمد بن الحسن، التبیان فی تفسیر القرآن،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عباس القمی،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محمد بن النعمان، الإرشاد، ترجمة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نشر فرهنگ اسلامی،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المختارة،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مؤتمر الشیخ المفید فی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أوائل المقالات،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مصنفات المؤتمر العالمی لألفیة الشیخ المفید،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گلبایگانی، لطف الله، امامت ومهدویت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 الأثر فی الإمام الثانی عشر، مؤسسة السیّدة المعصومة،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المتألهین، سه رساله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 فلسفیة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القمی، محمد بن الحسن بن فروخ، بصائر الدرجات، مکتبة آیة الله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علی رضا، فرهنگ اصطلاحات متقابل ومتشابه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المصطلحات المتقابلة والمتشابهة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بخشایش،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السیّد محمد حسین، المیزان فی تفسیر القرآن،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الموسوی الهمدانی،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دفتر انتشارات اسلامی،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السیّد محمد حسین، المیزان فی تفسیر القرآن، دفتر انتشارات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سلیمان بن أحمد،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القاهرة، مکتبة 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الفضل بن الحسن، مجمع البیان، انتشارات ناصر خسرو،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النوری، المیرزا حسین، النجم الثاقب، المکتبة الإسلامیة، من 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أبو منصور أحمد بن علی بن أبی طالب، الاحتجاج، دار النعمان، 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علی أهل اللجاج،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أمین الإسلام الفضل بن الحسن، إعلام الوری بأعلام الهدی،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أحمد بن عبد الله، ذخائر العقبی فی مناقب ذوی القربی، مکتبة القدسی لحسام الدین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الطبری، مؤسسة الأعلمی للمطبوعات،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الطبسی النجفی، الشیخ محمد رضا، الشیعة والرجعة،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الطبسی، نجم الدین، رویکرد عقلانی بر باورهای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عقلانیّة إلی عقائد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 العلم،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 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نشر الثقافة،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أبو جعفر محمد بن الحسن، الاستبصار، دار التعارف،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الکتب الأمیة،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الطیب، عبد الحسین، تفسیر أطیب البیان،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الإسلام،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الحوزیری، عبد علی بن جمعة، تفسیر نور الثقلین، انتشارات إسماعیلیان،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یوسف، داستان پیامبران یا قصههای قرآن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أو القصص القرآنی من آدم حتّی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هاد،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عمید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انتشارات أمیر کبیر،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پرسش های فکری ودینی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فکریّة ودینیّة للشباب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مؤسّسة یمین الثقافیة،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الرازی، أبو عبد الله محمد بن عمر، مفاتیح الغیب،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التفسیر الکبیر،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الفراهیدی، الخلیل بن أحمد،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وإبراهیم السامرائی، مؤسسة دار الهجرة،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فصلیة الانتظار، مرکز المهدویة التخصصی، العام الثانی،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عبد الجبار، شرح الأصول الخمسة، دار إحیاء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السیّد علی أکبر، تفسیر أحسن الحدیث، مؤسسة بعثت،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قاموس القرآن، دار الکتب الإسلامیة،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القشیری النیسابوری، مسلم بن الحجاج بن مسلم، صحیح مسلم،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الحنفی، الشیخ سلیمان بن الشیخ إبراهیم، ینابیع المودّة لذوی القربی،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الأعلمی،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الکاتب النعمانی، محمد بن إبراهیم بن جعفر، غیبة النعمانی،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مؤسسة الأعلمی للمطبوعات،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بیدگلی، حسین، فرهنگ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أصول الکافی، دار 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آبادی، حسین، روان 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جوانی، بزرگسالی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نفسیّة للنموّ عند الیافعین، والشباب، والکبار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سمت، 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الأنوار،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مترجمین، ترجمة مجمع البیان فی تفسیر القرآن،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فراهانی،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مؤلفین، روان شناسی رشد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 به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نفسیّة للنموّ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المصادر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سمت،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مؤلفین، مجمع اللغات، المعجم الجامع الحدیث، أحمد سیاح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منظمة الإعلام الإسلامی،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پرسشها وپاسخ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وردود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الخمینیّ للدراسات والبحوث،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الإمام الخمینیّ للدراسات والبحوث،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حقوقی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الحقوقیّة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الإمام الخمینیّ للدراسات والبحوث،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مؤسسة ترجمة ونشر الکتاب، 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صدرا، طهران،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آثار، ط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انتشارات صدرا، طهران،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أحادیث الإمام المهدی عجل الله تعالی فرجه الشریف، تألیف ونشر مؤسسة المعارف الإسلامیة،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بهمن،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دراسات فی الحدیث والمحدّثین، دار التعارف للمطبوعات،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الشیرازی، ناصر، الأمثل فی تفسیر کتاب الله المنزّل، مکتبة أهل البیت علیهم السلام الإلکترونیة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پنجاه درس أصول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درساً فی أصول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أمیر المؤمنین علیه السلام،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انقلاب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ثورة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مطبوعاتی هدف،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کی نیا، روان شناسی جنائی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الجنائیّ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رشد، 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اسلامیة، طهران،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النراقی، محمد مهدی، أنیس الموحدین،،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الزاء،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أحمد بن شعیب، سنن النسائی،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النمازی الشاهرودی، علی، مستدرک سفینة البحار، 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الطبرسی، المیرزا حسین، مستدرک الوسائل،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البیت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 محمد بن فتّال، روضة الواعظین،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شهیدی، سید أسد الله، ظهور حضرت مهدی از دیدگاه إسلام ومذاهب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الإمام المهدیّ من وجهة نظر الإسلام والأدیان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w:t>
      </w:r>
    </w:p>
    <w:p>
      <w:pPr>
        <w:pStyle w:val="BookText"/>
        <w:rPr/>
      </w:pPr>
      <w:r>
        <w:rPr>
          <w:rFonts w:ascii="IRNazanin" w:hAnsi="IRNazanin" w:eastAsia="IRNazanin"/>
          <w:color w:val="111111"/>
          <w:sz w:val="28"/>
          <w:sz w:val="28"/>
          <w:szCs w:val="28"/>
          <w:rtl w:val="true"/>
          <w:lang w:bidi="fa-IR"/>
        </w:rPr>
        <w:t xml:space="preserve">جمکران المقدس،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الهندی، علاء الدین علی المتقی بن حسام الدین، کنز العمال فی سنن الأقوال والأفعال،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مطحمود عمر الدمیاطی،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نور الدین علی بن أبی بکر، مجمع الزوائد ومنبع الفوائد،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مدن، سیکولوجیة الانتظار، دار الهادی للطباعة والنشر،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پرسش های فکری ودینی 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أسئلة فکریّة ودینیّة للشباب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مؤسّسة یمین،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حمید رضا شاکرین بالتعاون مع عدد من الباحثین، پرسش ها وپاسخ های برگزیده دانشجوئی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مختارات من الأسئلة والردود للطلاب الجامعیّین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ممثلیّة الولی الفقیه فی الجامعات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غرویان، مصدر متقدّم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کمال الدین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شرف الدین، الفصول المهمّة فی تألیف الأمّة، بیروت،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سُلب جمیع ماله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الری شهری، میزان الحکمة،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لطف آبادی، روان 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جوانی، بزرگسالی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نفسیّة للنموّ عند الیافعین والشباب والکبار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 شُلتز، نظریه های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النظریّات حول شخصیّة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کریمی وزملائه،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کرباسی، منیژه، وکیان منوتشهر، مسائل نوجوانان وجوانان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 الیافعین والشباب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پرسش های فکری ودینی 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أسئلة فکریّة ودینیّة للشباب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مؤسّسة یمین،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أحمدی، انتظارات بشر از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توقّعات البشر من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العلوم والثقافة الإسلامیّة التابع لمکتب الإعلام الإسلامی،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فلسفه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الثقافة والفکر الإسلامی،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وپاسخ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وردود،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الخمینی للدراسات والبحوث،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للإطلاع علی مزید من التفاصیل فی هذا البحث،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دولت در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النظریّات فی الحکومة فی الفقه 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لمحسن کدیور؛ الإسلام وأصول الحکم، لعلی عبد الرزّاق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ج،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وپاسخ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وردود،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الخمینی للدراسات والبحوث،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نظریه حقوقی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النظریّة الحقوقیّة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ارتداد وآزادی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الردّة والحریّة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عام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السبحانی، جعفر، آزادی ومردم سالاری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الحریّة والدیموقراطیّة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مصدر متقدّم،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یتمّ الترویج له فی وسائل الإعلام والدول الغربیّة نفسها تحت مسمّی الحریّة، والذی بات یمثّل سلاحاً یرفعه الغرب فی وجه الثقافة الإسلامیّة وکلّ من یختلف معهم فی وجهات النظر لا یعدو کونه شعاراً واهیاً؛ ولذا، فضلاً عن الإنتهاکات غیر المباشرة لهذه الحریّات، التی یجری التعتیم علیها، وصرف الأنظار عنها، بواسطة وسائل الخداع الإعلامیّة، یمکن مشاهدة أمثلة ونماذج صریحة وواضحة علی نقض تلک المزاعم فی مختلف أعمالهم وإجراءاتهم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أبرز تلک الموارد، تعاطی الغرب المزدوج مع الطالبات الجامعیّات المسلمات والنساء المحجّبات، ما أدّی إلی حرمانهنّ من مواصلة الدراسة، ومنعهنّ من العمل فی بعض المؤسّسات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فإنّ روجیه غارودی، الفیلسوف والمفکّر والمؤرّخ الفرنسی الشهیر، لمّا أوصلته بحوثه وتحقیقاته إلی إنکار وتفنید مزاعم الیهود بقتل الملایین منهم فی الحرب العالمیّة الثانیة، جرت محاکمته، وحُکم علیه بدفع مبلغ نقدی ضخم، ومُنع من نشر کتابه، وأغلقت دار النشر التی طبعت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الوقت الذی تُرجم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الشیطانیّة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للمرتدّ سلمان رشدی إلی عشرات اللغات، بدعم من الدول والأوساط الغربیّة المختلفة، کما تنفق الحکومة البریطانیّة مبالغ طائلة من أجل الحفاظ علی روح مؤلّف هذا الکتاب، واشترطت لتحسین علاقاتها مع البلدان الإسلامیّة إلغاء حکم الإعدام الصادر بحقّ سلمان رشدی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فما یُطرح الیوم بصیغة الدفاع عن حریّة التعبیر وحریّة العقیدة وما شاکل، من قبل المجتمتعات الغربیّة، ویُروّج له فی المجتمعات والأوساط الإسلامیّة، بحث غیر علمی بجمیع المعاییر والموازین؛ غایة الأمر، هؤلاء یسعون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هذه الشعارات البرّاقة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تحقیق مآربهم الخاصّة وبلوغ أهداف معیّنة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مصدر متقدّم،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جعفر السبحانی، مصدر متقدّم،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مصدر متقدّم،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محمّد علی، الموسوعة الفقهیّة المیسّرة،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صرامی، سیف الله، احکام مرتد از دیدگاه اسلام وحقوق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المرتدّ بنظر الإسلام وحقوق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مصدر 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مصدر متقدّم، العدد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السبحانی، جعفر، مصدر متقدّم،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المدرّسین فی الحوزة العلمیّة،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المعلومات حول القیود فی إظهار العقیدة فی الإسلام، والأدلّة المساقة فی هذا الصدد،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سیّد صادق، ومیر موسوی، سیّد علی، مبانی حقوق بشر از دیدگاه اسلام ودیگر مکاتب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 حقوق الإنسان فی الإسلام وباقی الأدیان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الإختلافات الجغرافیّة الناشئة من الحدود الإعتباریّة؛ فی حین أنّ الخالق لهذا العالم واحد، والعالم والإنسان من مخلوقاته، وهذه الذات الأحدیّة لم تقل فی القرآن أو فی کتاب آخر منسوب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الفلانی أو الأمّة الفلانیّة یحقّ لهم العیش فی المنطقة الجغرافیّة الفلانیّة، لا فی مکان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فالقائل بهذه الحدود المصطنعة هو الإنسان؛ وانطلاقاً من ذلک، وضع الناس حقوقاً للسکّان الأصلیّین فی منطقة معیّنة دون غیرهم، کما لم یجرِ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یجری طبعاً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إلغاء تلک الحدود التی ما أنزل الله بها من سلطان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الحسینی الشیرازی، تبیین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العلوم،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المعروف بالراغب الإصفهانی، المفردات فی غریب القرآن، دمشق وبیروت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والدار الشامیّة،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أمیر أبو الفتوح الحسینی الجرجانی، آیات الأحکام،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نوید،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حسین الطباطبائی، المیزان فی تفسیر القرآن،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مکارم الشیرازی، الأمثل فی تفسیر کتاب الله المنزّل،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تفسیر مجمع البیان،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بنائی، جرم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الإجرام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علومی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کی نیا، روان شناسی جنائی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النفس الجنائی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رشد،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المنظر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قعر البدن؛ أی أنّه قصیر الجسم، لکنّه داهی الفؤاد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یتصنّعه الإنسان علی خلاف طبعه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مجموعة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التوحید، باب الجبر والتفویض؛ علی ربانی گلبایگانی، الکلام المقارن، الفصل الخامس؛ هری اوستریس ولفسین، فلسفة علم الکلام، ترجمه إلی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آرام، بحث الجبر والإختیار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الشهید مطهری، مجموعة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وافق آیة الله جعفر السبحانی علی هذه النظریّة،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فرهنگ عقاید ومذاهب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العقائد والمذاهب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جعفر السبحانی، الإلهیّات علی هدی الکتاب والسنّة،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المجلسی،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قال أمیر المؤمنین علیه السلام فی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مُبتَدِعِ الخَلاَئِقِ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أخری، قال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یزل اللهُ عزَّ وَجلَّ رَبّنا والعلمُ ذاتُهُ ولا مَعلومَ، والسّمعُ ذاتُهُ وَلا مَسموعَ، وَالبصرُ ذاتُهُ وَلا مُبصَرَ، والقُدرةُ ذاتُهُ وَلا مَقدورَ، فَلمّا أحدَثَ الأشیاءَ، وَکانَ المعلومُ، وَقعَ العلمُ مِنهُ عَلی المعلومِ، وَالسّمعُ عَلی المسموعِ، وَالبَصرُ عَلی المُبصَرِ، وَالقُدرةُ عَلی المَقدورِ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الکلینی، 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علی الفرق بین العلم الذاتی والتبعی، والفعلی والإنفعالی،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کمال الحیدری،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محمّدی الری شهری،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 القضاء والقدر فی العلم والفلسفة الإسلامیّة، ترجمه إلی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الیوسفی،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البیاضی، الصراط المستقیم، المکتبة الحیدریّة فی النجف،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الإصفهانی، المفردات فی غرب القرآن، مکتبة مرتضوی،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مجموعة آثار، انتشارات صدرا، ط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جبر واختیار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 والاختیار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تدوین ونشر آثار العلاّمة جعفری،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یوسف الحلی، کشف المراد فی شرح تجرید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العلة الفاعلیّة،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الإشارات، دار نشر البلاغة،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تفسیر المیزان، منشورات جماعة المدرّسین فی الحوزة العلمیّة فی قم،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الصدوق، التوحید،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 شهری، منتخب میزان الحکمة،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الإلهیّات علی هدی الکتاب والسنّة والعقل،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مجموعة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بن أحمد الفراهیدی، کتاب العین،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المخزومی وإبراهیم السامرّائی،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الطریحی، مجمع البحرین،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أحمد الحسینی،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مؤلّفین، روان 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نفسیّة للنموّ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ضوء المصادر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شولتز دوان وسیدنی آلن، نظریه های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النظریّات حول الشخصیّة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سیّد محمدی،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بی ریا وآخرین، روان 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دراسة نفسیّة للنموّ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 إی بیرک، روان شناسی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لقاح تا کودکی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دراسة نفسیّة للنموّ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اللقاح حتّی الطفولة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سیّد محمدی،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جاک روسو، امیل یا آموزش وپرورش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 أم التعلیم والتربیة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زیرک زادة،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الإلهیّات علی هدی الکتاب والسنّة والعقل،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گلبایگانی، جبر واختیار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 والاختیار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سالاری، ومسعود أذربیجانی، روان شناسی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النفس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علّة بالعرض لا بالذات، 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ممّا یجوز انعدامها وبقاء المعلول؛ لأنّها لیست بعلّة حقیقیّة، بل هی تقرّب الفاعل إلی التأثیر أو القابل إلی القبول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گلبایگانی، جبر واختیار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 والاختیار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الحدّاد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الری شهری،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المتّقی الهندی،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دراسات فی الحدیث والمحدّثین،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رضی الدین علی بن موسی بن جعفر بن طاووس، إقبال الأعمال،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عیّاش السلمی السمرقندی، تفسیر العیّاشی،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الرسولی المحلاّتی،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تفسیر نور الثقلین،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إسماعیلیان،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إحیار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الإصفهانی، مفردات غریب القرآن،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 تفسیر نور الثقلین،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الرسولی المحلاّتی،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یوسف عزیزی، داستان پیامبران یا قصه های قرآن آز آدم تا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أو القصص القرآنی من آدم حتّی النبی الخاتم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إسلامی،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 علیکم بخیله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رُکبَانه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مُشاته، والمراد أعوان السوء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فُوقاً، والفُوق موضع الوتر من السهم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أغرقَ النازعُ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استوفی مدّ قوسه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فی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وعیون الأقاویل،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عیون أخبار الرضا،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یوسف عزیزی، داستان پیامبران یا قصه‌های قرآن از آدم تا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أو القصص القرآنی من آدم حتّی النبی الخاتم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الهندی،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أوائل المقالات،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بن زکریّا، معجم مقاییس اللغة،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أوائل المقالات،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وحی ونبوت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الموضوعی للقرآن الکریم، الوحی والنبوّة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إسراء،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الطباطبائی، تفسیر المیزان،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فی تفسیر کتاب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الموضوعی للقرآن الکریم، مصدر متقدّم،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السبحانی، محاضرات فی الإلهیّات،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المؤتمر العالمی لألفیّة الشیخ المفید،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تهذیب الأحکام،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الاعتقادات فی دین الإمامیّة،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المفید،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الموضوعی للقرآن الکریم، مصدر متقدّم،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الإعتقاد،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علیه السلام،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الموضوعی للقرآن الکریم، مصدر متقدّم،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التفسیر الکبیر،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جمیل حمود، شبهة إلقاء المعصوم نفسه فی التهلکة،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الاعتقادات فی دین الإمامیّة،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أحمدیان،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الشیخ الطوسی، الأمالی،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اللغات لعدد من الکتّاب،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الراغب الإصفهانی، مفردات غریب القرآن،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سمیح دغیم، موسوعة مصطلحات علم الکلام الإسلامی،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لبنان ناشرون،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عبد الجبّار، شرح تالأصول الخمسة،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إحیار التراث العربی،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محمّد الرازی، 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الطوسی، التبیان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محمّد بن الفتّال، روضة الواعظین،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الفضل بن الحسن،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الفتوح الرازی، 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بن محمّد النسفی، تبصرة الأدلّة فی أصول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الأمین، کشف الإرتیاب فی أتباع محمّد بن عبد الوهاب،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أحمدیان،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الشیخ الصدوق، من لا یحضره الفقیه،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المدرسین،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الراغب الإصفهانی، مفردات غریب القرآن،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المصطفوی، التحقیق فی کلمات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طاهری، فرهنگ اصطلاحات متقابل ومتشابه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المصطلحات المتقابلة والمتشابهة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آیین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الوهابیّة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أصغر رضوانی، سلفی گری، وهابیت وپاسخ به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السلفیّة والوهابیّة والردّ علی 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الشعراء،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الأنعام، 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السجدة،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السبأ،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الإلهیّات علی هدی الکتاب والسنّة والعقل،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الأمین، الترجمة الفارسیّة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 عن أتباع محمّد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إبراهیم علوی،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التفسیر الکبیر، ذیل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الحجّاج بن مسلم القشیری النیسابوری،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الطبسی، رویکرد عقلانی بر باورهای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رؤیة عقلانیّة إلی عقائد الوهابیّة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شفاعت در قلمرو عقل، قرآن، وحدیث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 فی إطار العقل والقرآن والحدیث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الإلهیّات علی هدی الکتاب والسنّة والعقل،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شفاعت در قلمرو عقل، قرآن، وحدیث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 فی إطار العقل والقرآن والحدیث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التفسیرالموضوعی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شفاعت در قلمرو عقل، قرآن، وحدیث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 فی إطار العقل والقرآن والحدیث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أحمدیان،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تفسیر المیزان، مؤسّسة النشر الإسلامی،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الموضوعی للقرآن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المعاد فی القرآن، انتشارات إسراء،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السبحانی، منشور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المیثاق الخالد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القرآن الکریم،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أحمدیان،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الإصفهانی، مفردات غریب القرآن، دفتر نشر 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رسولی محلاّتی،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النبی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إسلامی،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المجلسی، بحار الأنوار،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حسین الطباطبائی، المیزان فی تفسیر القرآن،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إسلامی،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محمود بن محمّد حسنی أبو المکارم، دقائق التأویل وحقائق التنزیل،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میراث مکتوب،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الأنوار،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إثبات المعراج؛ السیرة النبویّة لابن هشام،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محیی الدین عبد الحمید،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المدنی،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 الحمید،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الطباطبائی، المیزان فی تفسیر القرآن،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المدرّسین فی الحوزة العلمیّة،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الزمخشری، الکشّاف،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الفضل بن الحسن الطبرسی، تفسیر مجمع البیان،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العلاّمة المجلسی،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أبی طالب، النجف الأشرف، المطبعة الحیدریّة،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الشیخ الرئیس، معراج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العلاّمة الطباطبائی،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الإصابة،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پیشوائی،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خانی وحشمت الله ریاضی، ترجمة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السعادة إلی مقامات العبادة،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الطباعة والنشر فی جامعة پیام نور،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خانی وحشمت الله ریاضی، ترجمة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السعادة إلی مقامات العبادة،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الطباعة والنشر فی جامعة پیام نور،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الزمخشری، الکشّاف عن حقائق التنزیل وعیون الأقاویل،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تاریخ اسلام از آغاز تا هجرت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الإسلامی من بدء الدعوة إلی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إسلامی،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 مستدرک سفینة البحار،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إیزدپور، معراج پیامبر صلی الله علیه و آله در دیدگاه عقل ووحی وآثار تربیتی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النبی صلی الله علیه و آله بنظر العقل والوحی وآثاره التربویّة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العدد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النبی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متقدّم،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المصطفوی، التحقیق فی کلمات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الراغب الإصفهانی، مفردات غریب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العام الثانی،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الأمثل فی تفسیر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القرآنیّة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 سَبعَ سَماواتٍ طِباقاً ما تَری فِی خَلقِ الرَّحمنِ مِن تَفاوُتٍ فَارجِعِ البَصَرَ هَل تَری مِن فُطُورٍ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تَرَوا کَیفَ خَلَقَ اللّهُ سَبعَ سَماواتٍ طِباقاً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 ثُمَّ استَوی إِلَی السَّماءِ فَسَوّاهُنَّ سَبعَ سَماواتٍ وَ هُوَ بِکُلِّ شَیءٍ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 لَهُ السَّماواتُ السَّبعُ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رَبُّ السَّماواتِ السَّبعِ وَ رَبُّ العَرشِ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فَقَضاهُنَّ سَبعَ سَماواتٍ فِی یَومَینِ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الأَرضِ مِثلَهُنَّ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خَلَقنا فَوقَکُم سَبعَ طَرائِقَ وَ ما کُنّا عَنِ الخَلقِ غافِلِینَ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داور پناه، أنوار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باللغة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أکبر قرشی، قاموس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الموسوعة العربیّة العالمیّة، النسخة الإلکترونیة الصادرة عام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السیّد علی أکبر القرشی، تفسیر أحسن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یعقوب الجعفری، کوثر،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الموسوعة العربیّة العالمیّة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الطباطبائی، 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القمی، تفسیر القمی،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الشیخ الحویزی، تفسیر نور الثقلین،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شرح نهج البلاغة، منشورات مکتبة آیة الله المرعشی فی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الشیرازی، الأمثل فی تفسیر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خمینی، تفسیر آسان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طهران، الانتشارات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کشف الیقین فی فضائل أمبر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وزارة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ط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المؤتمر العالمی لألفیّة الشیخ المفید،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إعلام الوری بأعلام الهدی،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الانتشارات الاسلامیة،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هشام الحمیری المعافری،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السقّا وإبراهیم الأبیاری وعبد الحفیظ شلبی،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من دون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عیون أخبار الرضا، انتشارات جهان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الخصال،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جماعة المدرّسین،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مصدر 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العسکری علیه السلام، التفسیر المنسوب إلی الإمام العسکری،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مدرسة الإمام المهدی عجل الله تعالی فرجه الشریف،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مکتبة آیة الله المرعشی،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کشف المراد فی شرح تجرید الاعتقاد،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مدرّسی الحوزة العلمیّة، ط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الموحّدین، انتشارات الزاء، بدون تاریخ،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الشیخ الطبرسی فی الاحتجاج علی تفضیل الأئمّة الأطهار علی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الباهرة فی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الشریف المرتضی، وهی الرسالة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رسائل المرتضی، وقد استعمل فیها المؤلّف أسلوباً مبتکراً فی تقدیم الأئمّة المیامین علی من سواهم، عدا جدّهم محمّد المصطفی صلی الله علیه و آله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الطبرسی، الاحتجاج علی أهل اللجاج،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باقر الخرسان،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للطباعة والنشر،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أحمد الحسکانی، شواهد التنزیل لقواعد التفضیل،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والطبع التابعة لوزارة الثقافة والإرشاد الإسلامی،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الخصال،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غفّاری،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عزّ من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الأربَلی، کشف الغمّة،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البلاغة، قم،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محمّد الدشتی،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الفارسیّة، ذیل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القندوزی، ینابیع المودّة لذوی القربی،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جمال أشرف الحسینی، دار الأسوة،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المجلسی،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علی المتقی بن حسام الدین الهندی، کنز العمّال،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بکری حیانی،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xml:space="preserve">؛ علی بن عیسی الأربَلی، کشف الغمّة فی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علی المتقی بن حسام الدین الهندی، المصدر السابق،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32977</w:t>
      </w:r>
      <w:r>
        <w:rPr>
          <w:rFonts w:ascii="IRNazanin" w:hAnsi="IRNazanin" w:eastAsia="IRNazanin"/>
          <w:b w:val="false"/>
          <w:b w:val="false"/>
          <w:bCs w:val="false"/>
          <w:i w:val="false"/>
          <w:i w:val="false"/>
          <w:iCs w:val="false"/>
          <w:color w:val="333333"/>
          <w:sz w:val="20"/>
          <w:sz w:val="20"/>
          <w:szCs w:val="20"/>
          <w:rtl w:val="true"/>
        </w:rPr>
        <w:t>؛ الموفّق بن أحمد الخوارزمی، المناقب،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مالک المحمودی،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إبراهیم بن محمّد الجوینی الحموینی، فرائد السمطین فی فضائل المرتضی والبتول والسبطین والأئمّة من ذریّتهم،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علی بن عیسی الأربلی،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علی المتقی بن حسام الدین الهندی، المصدر السابق،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الأمالی،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الموفّق بن أحمد الخوارزمی، مصدر متقدّم،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الحافظ محمّد بن محمّد الحاکم النیسابوری، المستدرک علی الصحیحین،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یوسف مرعشلی،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أحمد بن عبد الله الطبری، ذخائر العقبی فی مناقب ذوی القربی،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علی بن موسی الأربَلی،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الحسن بن عساکر، تاریخ مدینة دمشق،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ترجمة الإمام علی بن أبی طالب علیه السلام؛ القاضی نور الله التستری، الصوارم المهرقة فی نقد الصواعق المحرقة،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جلال الدین المحدّث،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الشیخ سلیمان بن الشیخ إبراهیم القندوزی الحنفی، ینابیع المودّة لذوی القربی،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الأعلمی،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جلال الدین عبد الرحمن بن أبی بکر السیوطی،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إبراهیم،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الشیخ سلیمان بن الشیخ إبراهیم القندوزی الحنفی،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أحمد بن حنیل،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أحمد بن شعیب النسائی، سنن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سلیمان بن أحمد الطبرانی، المعجم الکبیر،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حمدی عبد المجید السلفی،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محمّد بن عیسی الترمذی، سنن الترمذی،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شهاب الدین أبو الفضل أحمد بن علی بن حجر العسقلانی،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علی المتّقی بن حسام الدین الهندی، مصدر متقدّم،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32979</w:t>
      </w:r>
      <w:r>
        <w:rPr>
          <w:rFonts w:ascii="IRNazanin" w:hAnsi="IRNazanin" w:eastAsia="IRNazanin"/>
          <w:b w:val="false"/>
          <w:b w:val="false"/>
          <w:bCs w:val="false"/>
          <w:i w:val="false"/>
          <w:i w:val="false"/>
          <w:iCs w:val="false"/>
          <w:color w:val="333333"/>
          <w:sz w:val="20"/>
          <w:sz w:val="20"/>
          <w:szCs w:val="20"/>
          <w:rtl w:val="true"/>
        </w:rPr>
        <w:t xml:space="preserve">؛ الشیخ سلیمان بن الشیخ إبراهیم القندوزی الحنفی،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الموفّق بن أحمد الخوارزمی، مصدر متقدّم،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الشیخ جعفر کاشف الغطاء، 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بن علی الشیخ الصدوق، مصدر متقدّم،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أمین الإسلام الفضل بن الحسن الطبرسی، إعلام الوری بأعلام الهدی،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سلیمان بن أحمد الطبرانی، مصدر متقدّم،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شهاب الدین أبو الفضل أحمد بن علی بن حجر العسقلانی،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القاضی نور الله التستری، مصدر متقدّم،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جلال الدین عبد الرحمن بن أبی بکر السیوطی،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علی بن عیسی الأربلی، مصدر متقدّم،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مصدر متقدّم،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xml:space="preserve">؛ القندوزی الحنفی،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حجَر العسقلانی، مصدر متقدّم،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الخوارزمی، مصدر متقدّم،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الحاکم النیسابوری، مصدر متقدّم،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التستری مصدر متقدّم،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السیوطی،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الترمذی، مصدر متقدّم،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الأربلی،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حجَر العسقلانی، مصدر متقدّم،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فی هذا الصدد،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محمّد بن جریر الطبری،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علی بن أبی الکرم محمّد بن الأثیر،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أحمد بن حنبل،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شهاب الدین بن حجر العسقلانی، مقدّمة فتح الباری شرح 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جار الله محمود بن عمر الزمخشری الخوارزمی، الکشّاف عن حقائق التنزیل وعیون الأقاویل فی وجوه التأویل،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المتّقی الهندی، مصدر متقدّم،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 xml:space="preserve">؛ نور الدین علی بن بن أبی بکر الهیثمی، مجمع الزوائد ومنبع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أحمد بن عبد الله الطبری، مصدر متقدّم،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القندوزی الحنفی،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 أبی الحدید، مصدر متقدّم،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والتحقیق أنّ حدیث الدار ثابت بالتواتر المعنوی؛ لأنّ ألفاظه مختلفة فی المصادر الروائیّة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حنبل،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محمّد بن إسماعیل البخاری،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القندوزی الحنفی، مصدر متقدّم،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مسلم بن الحجّاج النیسابوری،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محمّد بن إسحق بن هشام،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 الحمید،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نور الدین علی بن أبی بکر الهیثمی، مصدر متقدّم،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المتّقی الهندی، مصدر متقدّم،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36345</w:t>
      </w:r>
      <w:r>
        <w:rPr>
          <w:rFonts w:ascii="IRNazanin" w:hAnsi="IRNazanin" w:eastAsia="IRNazanin"/>
          <w:b w:val="false"/>
          <w:b w:val="false"/>
          <w:bCs w:val="false"/>
          <w:i w:val="false"/>
          <w:i w:val="false"/>
          <w:iCs w:val="false"/>
          <w:color w:val="333333"/>
          <w:sz w:val="20"/>
          <w:sz w:val="20"/>
          <w:szCs w:val="20"/>
          <w:rtl w:val="true"/>
        </w:rPr>
        <w:t xml:space="preserve">؛ الحاکم النیسابوری، مصدر متقدّم،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شمس الدین محمّد بن أحمد الذهبی، سیر أعلام النبلاء،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الأرنؤوط وحسین الأسد،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السیوطی، مصدر متقدّم،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الخوارزمی، مصدر متقدّم،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أحمد بن عبد الله الطبری، مصدر متقدّم،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الترمذی، مصدر متقدّم،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أحمد بن یحیی البلاذری،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الأمینی،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الجوینی الحموینی،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أبو المکارم السیّد هاشم بن السیّد سلیمان البحرانی، غایة المرام وحجّة الخصام فی تبیین الإمام من طریق الخاصّ والعامّ،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بن السیّد سلیمان البحرانی، مصدر متقدّم،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القندوزی الحنفی، مصدر متقدّم،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الأربَلی، مصدر متقدّم،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محمّد بن الحسن الحرّ العاملی، إثباة الهداة بالنصوص والمعجزات،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القندوزی الحنفی، ینابیع المودّة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الراغب الإصفهانی، مفردات غریب القرآن، طلیعة النور،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الشیخ ناصر مکارم الشیرازی وعدد من الباحثین، پیام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ناصر مکارم الشیرازی وعدد من الباحثین، پیام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الطریحی،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الحائری، الإمامة وقیادة المجتمع،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الشیرازی وعدد من الباحثین، پیام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أیضاً تعنی الواسطة فی الفیض، ومن مصادیقها کذلک استجابة الدعاء فی الأمور المطلوبة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المعلومات فی هذا الخصوص،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باقری نجفی، أنوار الهدایة فی مباحث الإمامة والولایة،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الفخر الرازی، 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ذیل سورة القمر، الطبعة الأُولی فی مصر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المفید، الإرشاد،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وانظر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أصول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درساً فی أصول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محمّد تقی مصباح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تدریس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منظمّة الإعلام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المؤمنون،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القصص،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الزمر،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سبأ،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ثورة 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رضا الطبسی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ثورة 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ثورة 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لإحیاء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أسد الله هاشمی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حضرت مهدی از دیدگاه اسلام ومذاهب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الإمام المهدی من وجهة نظر الإسلام والأدیان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سیکولوجیّة الانتظار،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ستّاری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اسطوره در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الأسطورة فی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ایرانی از سامانیان تا قاجاریه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الهویّة الإیرانیّة من الدولة السامانیّة إلی القاجاریّة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سیکولوجیّة الانتظار،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کلبایکانی، امامت ومهدویت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والمهدویّة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 القمّی، بصائر الدرجات، تصحیح وتقدیم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میرزا حسن کوچه باغی،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 شیروی بن شهردار بن شیرویه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بن جعفر الکاتب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 شهری،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کلبایکانی، مصدر متقدّم،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ینابیع المودّة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الأمالی،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للطباعة والنشر والتوزیع،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عجل الله تعالی فرجه الشریف، تألیف ونشر مؤسّسة المعارف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کلبایکانی، منتخب الأثر فی الإمام الثانی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أسد الله هاشمی شهیدی، ظهور حضرت مهدی از دیدگاه اسلام ومذاهب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الإمام المهدی من وجهة نظر الإسلام والأدیان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محمّد جواد باهنر، فرهنگ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الثورة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الصادرة عن مرکز المهدویّة التخصّصی، العام الثانی،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صادق إحسان بخش، آثار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أسد الله هاشمی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حضرت مهدی از دیدگاه اسلام ومذاهب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الإمام المهدی من وجهة نظر الإسلام والأدیان العالمیّة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دارمستر، مهدی، از صدر اسلام تا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صدر الإسلام حتّی القرن الثالث عشر الهجری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 سوز،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والمهدویّة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خورشید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کمال الدین وتمام النعمة،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صادق إحسان بخش، آثار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مصباح الزائر،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 مفاتیح الجنان، دعاء الندبة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کمال الدین وتمام النعمة،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أکبر الغفّاری،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لطف الله صافی کلبایکانی، منتخب الأثر فی الإمام الثانی عشر،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الغیبة،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أبو منصور الطبرسی، الاحتجاج، تعلیق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الخرسان،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للطباعة والنشر،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تقی الإصفهانی، وظیفة الأنام فی غیبة الإمام،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تقی الإصفهانی، مکیال المکارم،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عاشور،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عیسی بن أبی الفتح الأربَلی،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 کامل الزیارات،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جواد القیومی،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 مفاتیح الجنان، أعمال مسجد السهلة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 مفاتیح الجنان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حسین النوری الطبرسی، النجم الثاقب،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نهایة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حسین کریمی بیدگلی، فرهنگ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الغیبة،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أبو منصور الطبرسی، الاحتجاج، تعلیق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الخرسان،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للطباعة والنشر،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43215</Words>
  <Characters>202057</Characters>
  <CharactersWithSpaces>243436</CharactersWithSpaces>
  <Paragraphs>1832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2026-08-19T02:09:33Z</dcterms:created>
  <dc:creator>ghaemiyeh.com</dc:creator>
  <dc:description/>
  <dc:language>en-US</dc:language>
  <cp:lastModifiedBy/>
  <dcterms:modified xsi:type="dcterms:W3CDTF">2026-08-19T05:39:42Z</dcterms:modified>
  <cp:revision>1</cp:revision>
  <dc:subject/>
  <dc:title>قبسات من البحث العلمی اسئلة و ردود فی مجال الدین والفکر والعقیدة</dc:title>
</cp:coreProperties>
</file>

<file path=docProps/custom.xml><?xml version="1.0" encoding="utf-8"?>
<Properties xmlns="http://schemas.openxmlformats.org/officeDocument/2006/custom-properties" xmlns:vt="http://schemas.openxmlformats.org/officeDocument/2006/docPropsVTypes"/>
</file>