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علمی تخصصی پاسخ به شبهات </w:t>
      </w:r>
      <w:r>
        <w:rPr>
          <w:rtl w:val="true"/>
        </w:rPr>
        <w:t xml:space="preserve">- </w:t>
      </w:r>
      <w:r>
        <w:rPr>
          <w:rtl w:val="true"/>
        </w:rPr>
        <w:t xml:space="preserve">سال اول </w:t>
      </w:r>
      <w:r>
        <w:rPr>
          <w:rtl w:val="true"/>
        </w:rPr>
        <w:t xml:space="preserve">- </w:t>
      </w:r>
      <w:r>
        <w:rPr>
          <w:rtl w:val="true"/>
        </w:rPr>
        <w:t xml:space="preserve">شماره چهارم زمستان </w:t>
      </w:r>
      <w:r>
        <w:rPr/>
        <w:t>1395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02931_58195312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902933_58195312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902935_581953129">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1902937_581953129">
            <w:r>
              <w:rPr>
                <w:webHidden/>
                <w:rStyle w:val="IndexLink"/>
                <w:rtl w:val="true"/>
              </w:rPr>
              <w:t>رهیافتی به منظومة فکری مقام معظم رهبری</w:t>
            </w:r>
            <w:r>
              <w:rPr>
                <w:rStyle w:val="IndexLink"/>
                <w:rtl w:val="true"/>
              </w:rPr>
              <w:t>(</w:t>
            </w:r>
            <w:r>
              <w:rPr>
                <w:rStyle w:val="IndexLink"/>
                <w:rtl w:val="true"/>
              </w:rPr>
              <w:t>مدّ ظله العالی</w:t>
            </w:r>
            <w:r>
              <w:rPr>
                <w:rStyle w:val="IndexLink"/>
                <w:rtl w:val="true"/>
              </w:rPr>
              <w:t>)</w:t>
            </w:r>
            <w:r>
              <w:rPr>
                <w:rStyle w:val="IndexLink"/>
                <w:rtl w:val="true"/>
              </w:rPr>
              <w:t xml:space="preserve">در حوزة پاسخگویی به سؤالات و شبهات </w:t>
            </w:r>
            <w:r>
              <w:rPr>
                <w:rStyle w:val="IndexLink"/>
                <w:rtl w:val="true"/>
              </w:rPr>
              <w:t>(</w:t>
            </w:r>
            <w:r>
              <w:rPr>
                <w:rStyle w:val="IndexLink"/>
              </w:rPr>
              <w:t>2</w:t>
            </w:r>
            <w:r>
              <w:rPr>
                <w:rStyle w:val="IndexLink"/>
                <w:rtl w:val="true"/>
              </w:rPr>
              <w:t xml:space="preserve">) / </w:t>
            </w:r>
            <w:r>
              <w:rPr>
                <w:rStyle w:val="IndexLink"/>
                <w:rtl w:val="true"/>
              </w:rPr>
              <w:t xml:space="preserve">مرکز مطالعات و پاسخگویی به شبهات </w:t>
            </w:r>
            <w:r>
              <w:rPr>
                <w:rStyle w:val="IndexLink"/>
                <w:rtl w:val="true"/>
              </w:rPr>
              <w:t xml:space="preserve">- </w:t>
            </w:r>
            <w:r>
              <w:rPr>
                <w:rStyle w:val="IndexLink"/>
                <w:rtl w:val="true"/>
              </w:rPr>
              <w:t>حوزة علمیة قم</w:t>
            </w:r>
            <w:r>
              <w:rPr>
                <w:rStyle w:val="IndexLink"/>
                <w:rtl w:val="true"/>
              </w:rPr>
              <w:tab/>
            </w:r>
            <w:r>
              <w:rPr>
                <w:rStyle w:val="IndexLink"/>
              </w:rPr>
              <w:t>12</w:t>
            </w:r>
          </w:hyperlink>
        </w:p>
        <w:p>
          <w:pPr>
            <w:pStyle w:val="Contents3"/>
            <w:tabs>
              <w:tab w:val="clear" w:pos="8459"/>
              <w:tab w:val="right" w:pos="9026" w:leader="dot"/>
            </w:tabs>
            <w:rPr/>
          </w:pPr>
          <w:hyperlink w:anchor="__RefHeading___Toc1902939_581953129">
            <w:r>
              <w:rPr>
                <w:webHidden/>
                <w:rStyle w:val="IndexLink"/>
                <w:rtl w:val="true"/>
              </w:rPr>
              <w:t>اشاره</w:t>
            </w:r>
            <w:r>
              <w:rPr>
                <w:rStyle w:val="IndexLink"/>
                <w:rtl w:val="true"/>
              </w:rPr>
              <w:tab/>
            </w:r>
            <w:r>
              <w:rPr>
                <w:rStyle w:val="IndexLink"/>
              </w:rPr>
              <w:t>12</w:t>
            </w:r>
          </w:hyperlink>
        </w:p>
        <w:p>
          <w:pPr>
            <w:pStyle w:val="Contents3"/>
            <w:tabs>
              <w:tab w:val="clear" w:pos="8459"/>
              <w:tab w:val="right" w:pos="9026" w:leader="dot"/>
            </w:tabs>
            <w:rPr/>
          </w:pPr>
          <w:hyperlink w:anchor="__RefHeading___Toc1902941_581953129">
            <w:r>
              <w:rPr>
                <w:webHidden/>
                <w:rStyle w:val="IndexLink"/>
                <w:rtl w:val="true"/>
              </w:rPr>
              <w:t>مقدمه</w:t>
            </w:r>
            <w:r>
              <w:rPr>
                <w:rStyle w:val="IndexLink"/>
                <w:rtl w:val="true"/>
              </w:rPr>
              <w:tab/>
            </w:r>
            <w:r>
              <w:rPr>
                <w:rStyle w:val="IndexLink"/>
              </w:rPr>
              <w:t>12</w:t>
            </w:r>
          </w:hyperlink>
        </w:p>
        <w:p>
          <w:pPr>
            <w:pStyle w:val="Contents3"/>
            <w:tabs>
              <w:tab w:val="clear" w:pos="8459"/>
              <w:tab w:val="right" w:pos="9026" w:leader="dot"/>
            </w:tabs>
            <w:rPr/>
          </w:pPr>
          <w:hyperlink w:anchor="__RefHeading___Toc1902943_581953129">
            <w:r>
              <w:rPr>
                <w:webHidden/>
                <w:rStyle w:val="IndexLink"/>
                <w:rtl w:val="true"/>
              </w:rPr>
              <w:t>برنامه ریزی و ساماندهی برای پاسخگویی به شبهات</w:t>
            </w:r>
            <w:r>
              <w:rPr>
                <w:rStyle w:val="IndexLink"/>
                <w:rtl w:val="true"/>
              </w:rPr>
              <w:tab/>
            </w:r>
            <w:r>
              <w:rPr>
                <w:rStyle w:val="IndexLink"/>
              </w:rPr>
              <w:t>13</w:t>
            </w:r>
          </w:hyperlink>
        </w:p>
        <w:p>
          <w:pPr>
            <w:pStyle w:val="Contents4"/>
            <w:tabs>
              <w:tab w:val="clear" w:pos="8176"/>
              <w:tab w:val="right" w:pos="9026" w:leader="dot"/>
            </w:tabs>
            <w:rPr/>
          </w:pPr>
          <w:hyperlink w:anchor="__RefHeading___Toc1902945_581953129">
            <w:r>
              <w:rPr>
                <w:webHidden/>
                <w:rStyle w:val="IndexLink"/>
              </w:rPr>
              <w:t>1</w:t>
            </w:r>
            <w:r>
              <w:rPr>
                <w:rStyle w:val="IndexLink"/>
                <w:rtl w:val="true"/>
              </w:rPr>
              <w:t xml:space="preserve">. </w:t>
            </w:r>
            <w:r>
              <w:rPr>
                <w:rStyle w:val="IndexLink"/>
                <w:rtl w:val="true"/>
              </w:rPr>
              <w:t xml:space="preserve">شناخت وضعیت جامعه </w:t>
            </w:r>
            <w:r>
              <w:rPr>
                <w:rStyle w:val="IndexLink"/>
                <w:rtl w:val="true"/>
              </w:rPr>
              <w:t>(</w:t>
            </w:r>
            <w:r>
              <w:rPr>
                <w:rStyle w:val="IndexLink"/>
                <w:rtl w:val="true"/>
              </w:rPr>
              <w:t>به تفکیک مناطق</w:t>
            </w:r>
            <w:r>
              <w:rPr>
                <w:rStyle w:val="IndexLink"/>
                <w:rtl w:val="true"/>
              </w:rPr>
              <w:t xml:space="preserve">) </w:t>
            </w:r>
            <w:r>
              <w:rPr>
                <w:rStyle w:val="IndexLink"/>
                <w:rtl w:val="true"/>
              </w:rPr>
              <w:t>از جهتِ وجود و شیوع شبهات</w:t>
            </w:r>
            <w:r>
              <w:rPr>
                <w:rStyle w:val="IndexLink"/>
                <w:rtl w:val="true"/>
              </w:rPr>
              <w:tab/>
            </w:r>
            <w:r>
              <w:rPr>
                <w:rStyle w:val="IndexLink"/>
              </w:rPr>
              <w:t>13</w:t>
            </w:r>
          </w:hyperlink>
        </w:p>
        <w:p>
          <w:pPr>
            <w:pStyle w:val="Contents4"/>
            <w:tabs>
              <w:tab w:val="clear" w:pos="8176"/>
              <w:tab w:val="right" w:pos="9026" w:leader="dot"/>
            </w:tabs>
            <w:rPr/>
          </w:pPr>
          <w:hyperlink w:anchor="__RefHeading___Toc1902947_581953129">
            <w:r>
              <w:rPr>
                <w:webHidden/>
                <w:rStyle w:val="IndexLink"/>
              </w:rPr>
              <w:t>2</w:t>
            </w:r>
            <w:r>
              <w:rPr>
                <w:rStyle w:val="IndexLink"/>
                <w:rtl w:val="true"/>
              </w:rPr>
              <w:t xml:space="preserve">. </w:t>
            </w:r>
            <w:r>
              <w:rPr>
                <w:rStyle w:val="IndexLink"/>
                <w:rtl w:val="true"/>
              </w:rPr>
              <w:t>تدوین برنامه برای تأمین اهداف</w:t>
            </w:r>
            <w:r>
              <w:rPr>
                <w:rStyle w:val="IndexLink"/>
                <w:rtl w:val="true"/>
              </w:rPr>
              <w:tab/>
            </w:r>
            <w:r>
              <w:rPr>
                <w:rStyle w:val="IndexLink"/>
              </w:rPr>
              <w:t>13</w:t>
            </w:r>
          </w:hyperlink>
        </w:p>
        <w:p>
          <w:pPr>
            <w:pStyle w:val="Contents4"/>
            <w:tabs>
              <w:tab w:val="clear" w:pos="8176"/>
              <w:tab w:val="right" w:pos="9026" w:leader="dot"/>
            </w:tabs>
            <w:rPr/>
          </w:pPr>
          <w:hyperlink w:anchor="__RefHeading___Toc1902949_581953129">
            <w:r>
              <w:rPr>
                <w:webHidden/>
                <w:rStyle w:val="IndexLink"/>
              </w:rPr>
              <w:t>3</w:t>
            </w:r>
            <w:r>
              <w:rPr>
                <w:rStyle w:val="IndexLink"/>
                <w:rtl w:val="true"/>
              </w:rPr>
              <w:t xml:space="preserve">. </w:t>
            </w:r>
            <w:r>
              <w:rPr>
                <w:rStyle w:val="IndexLink"/>
                <w:rtl w:val="true"/>
              </w:rPr>
              <w:t>ساماندهی و به‌کارگیری ظرفیت‌ها</w:t>
            </w:r>
            <w:r>
              <w:rPr>
                <w:rStyle w:val="IndexLink"/>
                <w:rtl w:val="true"/>
              </w:rPr>
              <w:tab/>
            </w:r>
            <w:r>
              <w:rPr>
                <w:rStyle w:val="IndexLink"/>
              </w:rPr>
              <w:t>15</w:t>
            </w:r>
          </w:hyperlink>
        </w:p>
        <w:p>
          <w:pPr>
            <w:pStyle w:val="Contents5"/>
            <w:tabs>
              <w:tab w:val="clear" w:pos="7892"/>
              <w:tab w:val="right" w:pos="9026" w:leader="dot"/>
            </w:tabs>
            <w:rPr/>
          </w:pPr>
          <w:hyperlink w:anchor="__RefHeading___Toc1902951_581953129">
            <w:r>
              <w:rPr>
                <w:webHidden/>
                <w:rStyle w:val="IndexLink"/>
                <w:rtl w:val="true"/>
              </w:rPr>
              <w:t>الف</w:t>
            </w:r>
            <w:r>
              <w:rPr>
                <w:rStyle w:val="IndexLink"/>
                <w:rtl w:val="true"/>
              </w:rPr>
              <w:t xml:space="preserve">) </w:t>
            </w:r>
            <w:r>
              <w:rPr>
                <w:rStyle w:val="IndexLink"/>
                <w:rtl w:val="true"/>
              </w:rPr>
              <w:t>جریان‌سازی برای رفع شبهات</w:t>
            </w:r>
            <w:r>
              <w:rPr>
                <w:rStyle w:val="IndexLink"/>
                <w:rtl w:val="true"/>
              </w:rPr>
              <w:tab/>
            </w:r>
            <w:r>
              <w:rPr>
                <w:rStyle w:val="IndexLink"/>
              </w:rPr>
              <w:t>15</w:t>
            </w:r>
          </w:hyperlink>
        </w:p>
        <w:p>
          <w:pPr>
            <w:pStyle w:val="Contents6"/>
            <w:tabs>
              <w:tab w:val="clear" w:pos="7609"/>
              <w:tab w:val="right" w:pos="9026" w:leader="dot"/>
            </w:tabs>
            <w:rPr/>
          </w:pPr>
          <w:hyperlink w:anchor="__RefHeading___Toc1902953_581953129">
            <w:r>
              <w:rPr>
                <w:webHidden/>
                <w:rStyle w:val="IndexLink"/>
                <w:rtl w:val="true"/>
              </w:rPr>
              <w:t>اشاره</w:t>
            </w:r>
            <w:r>
              <w:rPr>
                <w:rStyle w:val="IndexLink"/>
                <w:rtl w:val="true"/>
              </w:rPr>
              <w:tab/>
            </w:r>
            <w:r>
              <w:rPr>
                <w:rStyle w:val="IndexLink"/>
              </w:rPr>
              <w:t>15</w:t>
            </w:r>
          </w:hyperlink>
        </w:p>
        <w:p>
          <w:pPr>
            <w:pStyle w:val="Contents6"/>
            <w:tabs>
              <w:tab w:val="clear" w:pos="7609"/>
              <w:tab w:val="right" w:pos="9026" w:leader="dot"/>
            </w:tabs>
            <w:rPr/>
          </w:pPr>
          <w:hyperlink w:anchor="__RefHeading___Toc1902955_581953129">
            <w:r>
              <w:rPr>
                <w:webHidden/>
                <w:rStyle w:val="IndexLink"/>
              </w:rPr>
              <w:t>1</w:t>
            </w:r>
            <w:r>
              <w:rPr>
                <w:rStyle w:val="IndexLink"/>
                <w:rtl w:val="true"/>
              </w:rPr>
              <w:t xml:space="preserve">) </w:t>
            </w:r>
            <w:r>
              <w:rPr>
                <w:rStyle w:val="IndexLink"/>
                <w:rtl w:val="true"/>
              </w:rPr>
              <w:t>الگوسازی از بزرگان در پاسخگویی</w:t>
            </w:r>
            <w:r>
              <w:rPr>
                <w:rStyle w:val="IndexLink"/>
                <w:rtl w:val="true"/>
              </w:rPr>
              <w:tab/>
            </w:r>
            <w:r>
              <w:rPr>
                <w:rStyle w:val="IndexLink"/>
              </w:rPr>
              <w:t>15</w:t>
            </w:r>
          </w:hyperlink>
        </w:p>
        <w:p>
          <w:pPr>
            <w:pStyle w:val="Contents6"/>
            <w:tabs>
              <w:tab w:val="clear" w:pos="7609"/>
              <w:tab w:val="right" w:pos="9026" w:leader="dot"/>
            </w:tabs>
            <w:rPr/>
          </w:pPr>
          <w:hyperlink w:anchor="__RefHeading___Toc1902957_581953129">
            <w:r>
              <w:rPr>
                <w:webHidden/>
                <w:rStyle w:val="IndexLink"/>
              </w:rPr>
              <w:t>2</w:t>
            </w:r>
            <w:r>
              <w:rPr>
                <w:rStyle w:val="IndexLink"/>
                <w:rtl w:val="true"/>
              </w:rPr>
              <w:t xml:space="preserve">) </w:t>
            </w:r>
            <w:r>
              <w:rPr>
                <w:rStyle w:val="IndexLink"/>
                <w:rtl w:val="true"/>
              </w:rPr>
              <w:t>ظرفیت‌شناسی و فعال‌سازی ظرفیت‌ها</w:t>
            </w:r>
            <w:r>
              <w:rPr>
                <w:rStyle w:val="IndexLink"/>
                <w:rtl w:val="true"/>
              </w:rPr>
              <w:tab/>
            </w:r>
            <w:r>
              <w:rPr>
                <w:rStyle w:val="IndexLink"/>
              </w:rPr>
              <w:t>16</w:t>
            </w:r>
          </w:hyperlink>
        </w:p>
        <w:p>
          <w:pPr>
            <w:pStyle w:val="Contents6"/>
            <w:tabs>
              <w:tab w:val="clear" w:pos="7609"/>
              <w:tab w:val="right" w:pos="9026" w:leader="dot"/>
            </w:tabs>
            <w:rPr/>
          </w:pPr>
          <w:hyperlink w:anchor="__RefHeading___Toc1902959_581953129">
            <w:r>
              <w:rPr>
                <w:webHidden/>
                <w:rStyle w:val="IndexLink"/>
              </w:rPr>
              <w:t>3</w:t>
            </w:r>
            <w:r>
              <w:rPr>
                <w:rStyle w:val="IndexLink"/>
                <w:rtl w:val="true"/>
              </w:rPr>
              <w:t xml:space="preserve">) </w:t>
            </w:r>
            <w:r>
              <w:rPr>
                <w:rStyle w:val="IndexLink"/>
                <w:rtl w:val="true"/>
              </w:rPr>
              <w:t>ایجاد آمادگی گسترده برای پاسخگویی در حوزه های علمیه</w:t>
            </w:r>
            <w:r>
              <w:rPr>
                <w:rStyle w:val="IndexLink"/>
                <w:rtl w:val="true"/>
              </w:rPr>
              <w:tab/>
            </w:r>
            <w:r>
              <w:rPr>
                <w:rStyle w:val="IndexLink"/>
              </w:rPr>
              <w:t>16</w:t>
            </w:r>
          </w:hyperlink>
        </w:p>
        <w:p>
          <w:pPr>
            <w:pStyle w:val="Contents5"/>
            <w:tabs>
              <w:tab w:val="clear" w:pos="7892"/>
              <w:tab w:val="right" w:pos="9026" w:leader="dot"/>
            </w:tabs>
            <w:rPr/>
          </w:pPr>
          <w:hyperlink w:anchor="__RefHeading___Toc1902961_581953129">
            <w:r>
              <w:rPr>
                <w:webHidden/>
                <w:rStyle w:val="IndexLink"/>
                <w:rtl w:val="true"/>
              </w:rPr>
              <w:t>ب</w:t>
            </w:r>
            <w:r>
              <w:rPr>
                <w:rStyle w:val="IndexLink"/>
                <w:rtl w:val="true"/>
              </w:rPr>
              <w:t xml:space="preserve">) </w:t>
            </w:r>
            <w:r>
              <w:rPr>
                <w:rStyle w:val="IndexLink"/>
                <w:rtl w:val="true"/>
              </w:rPr>
              <w:t>ایجاد بسترهای علمی مورد نیاز در حوزه</w:t>
            </w:r>
            <w:r>
              <w:rPr>
                <w:rStyle w:val="IndexLink"/>
                <w:rtl w:val="true"/>
              </w:rPr>
              <w:tab/>
            </w:r>
            <w:r>
              <w:rPr>
                <w:rStyle w:val="IndexLink"/>
              </w:rPr>
              <w:t>17</w:t>
            </w:r>
          </w:hyperlink>
        </w:p>
        <w:p>
          <w:pPr>
            <w:pStyle w:val="Contents6"/>
            <w:tabs>
              <w:tab w:val="clear" w:pos="7609"/>
              <w:tab w:val="right" w:pos="9026" w:leader="dot"/>
            </w:tabs>
            <w:rPr/>
          </w:pPr>
          <w:hyperlink w:anchor="__RefHeading___Toc1902963_581953129">
            <w:r>
              <w:rPr>
                <w:webHidden/>
                <w:rStyle w:val="IndexLink"/>
                <w:rtl w:val="true"/>
              </w:rPr>
              <w:t>اشاره</w:t>
            </w:r>
            <w:r>
              <w:rPr>
                <w:rStyle w:val="IndexLink"/>
                <w:rtl w:val="true"/>
              </w:rPr>
              <w:tab/>
            </w:r>
            <w:r>
              <w:rPr>
                <w:rStyle w:val="IndexLink"/>
              </w:rPr>
              <w:t>17</w:t>
            </w:r>
          </w:hyperlink>
        </w:p>
        <w:p>
          <w:pPr>
            <w:pStyle w:val="Contents6"/>
            <w:tabs>
              <w:tab w:val="clear" w:pos="7609"/>
              <w:tab w:val="right" w:pos="9026" w:leader="dot"/>
            </w:tabs>
            <w:rPr/>
          </w:pPr>
          <w:hyperlink w:anchor="__RefHeading___Toc1902965_581953129">
            <w:r>
              <w:rPr>
                <w:webHidden/>
                <w:rStyle w:val="IndexLink"/>
              </w:rPr>
              <w:t>1</w:t>
            </w:r>
            <w:r>
              <w:rPr>
                <w:rStyle w:val="IndexLink"/>
                <w:rtl w:val="true"/>
              </w:rPr>
              <w:t xml:space="preserve">) </w:t>
            </w:r>
            <w:r>
              <w:rPr>
                <w:rStyle w:val="IndexLink"/>
                <w:rtl w:val="true"/>
              </w:rPr>
              <w:t>رواج درس‌های فلسفه، کلام و تفسیر</w:t>
            </w:r>
            <w:r>
              <w:rPr>
                <w:rStyle w:val="IndexLink"/>
                <w:rtl w:val="true"/>
              </w:rPr>
              <w:tab/>
            </w:r>
            <w:r>
              <w:rPr>
                <w:rStyle w:val="IndexLink"/>
              </w:rPr>
              <w:t>17</w:t>
            </w:r>
          </w:hyperlink>
        </w:p>
        <w:p>
          <w:pPr>
            <w:pStyle w:val="Contents6"/>
            <w:tabs>
              <w:tab w:val="clear" w:pos="7609"/>
              <w:tab w:val="right" w:pos="9026" w:leader="dot"/>
            </w:tabs>
            <w:rPr/>
          </w:pPr>
          <w:hyperlink w:anchor="__RefHeading___Toc1902967_581953129">
            <w:r>
              <w:rPr>
                <w:webHidden/>
                <w:rStyle w:val="IndexLink"/>
              </w:rPr>
              <w:t>2</w:t>
            </w:r>
            <w:r>
              <w:rPr>
                <w:rStyle w:val="IndexLink"/>
                <w:rtl w:val="true"/>
              </w:rPr>
              <w:t xml:space="preserve">) </w:t>
            </w:r>
            <w:r>
              <w:rPr>
                <w:rStyle w:val="IndexLink"/>
                <w:rtl w:val="true"/>
              </w:rPr>
              <w:t>سوق دادن طلاب به سمت پاسخگویی</w:t>
            </w:r>
            <w:r>
              <w:rPr>
                <w:rStyle w:val="IndexLink"/>
                <w:rtl w:val="true"/>
              </w:rPr>
              <w:tab/>
            </w:r>
            <w:r>
              <w:rPr>
                <w:rStyle w:val="IndexLink"/>
              </w:rPr>
              <w:t>19</w:t>
            </w:r>
          </w:hyperlink>
        </w:p>
        <w:p>
          <w:pPr>
            <w:pStyle w:val="Contents5"/>
            <w:tabs>
              <w:tab w:val="clear" w:pos="7892"/>
              <w:tab w:val="right" w:pos="9026" w:leader="dot"/>
            </w:tabs>
            <w:rPr/>
          </w:pPr>
          <w:hyperlink w:anchor="__RefHeading___Toc1902969_581953129">
            <w:r>
              <w:rPr>
                <w:webHidden/>
                <w:rStyle w:val="IndexLink"/>
                <w:rtl w:val="true"/>
              </w:rPr>
              <w:t>ج</w:t>
            </w:r>
            <w:r>
              <w:rPr>
                <w:rStyle w:val="IndexLink"/>
                <w:rtl w:val="true"/>
              </w:rPr>
              <w:t xml:space="preserve">) </w:t>
            </w:r>
            <w:r>
              <w:rPr>
                <w:rStyle w:val="IndexLink"/>
                <w:rtl w:val="true"/>
              </w:rPr>
              <w:t>تربیت کارشناسان پاسخگویی و گسترش کمی پاسخگویان در حوزة علمیه</w:t>
            </w:r>
            <w:r>
              <w:rPr>
                <w:rStyle w:val="IndexLink"/>
                <w:rtl w:val="true"/>
              </w:rPr>
              <w:tab/>
            </w:r>
            <w:r>
              <w:rPr>
                <w:rStyle w:val="IndexLink"/>
              </w:rPr>
              <w:t>19</w:t>
            </w:r>
          </w:hyperlink>
        </w:p>
        <w:p>
          <w:pPr>
            <w:pStyle w:val="Contents6"/>
            <w:tabs>
              <w:tab w:val="clear" w:pos="7609"/>
              <w:tab w:val="right" w:pos="9026" w:leader="dot"/>
            </w:tabs>
            <w:rPr/>
          </w:pPr>
          <w:hyperlink w:anchor="__RefHeading___Toc1902971_581953129">
            <w:r>
              <w:rPr>
                <w:webHidden/>
                <w:rStyle w:val="IndexLink"/>
                <w:rtl w:val="true"/>
              </w:rPr>
              <w:t>اشاره</w:t>
            </w:r>
            <w:r>
              <w:rPr>
                <w:rStyle w:val="IndexLink"/>
                <w:rtl w:val="true"/>
              </w:rPr>
              <w:tab/>
            </w:r>
            <w:r>
              <w:rPr>
                <w:rStyle w:val="IndexLink"/>
              </w:rPr>
              <w:t>19</w:t>
            </w:r>
          </w:hyperlink>
        </w:p>
        <w:p>
          <w:pPr>
            <w:pStyle w:val="Contents6"/>
            <w:tabs>
              <w:tab w:val="clear" w:pos="7609"/>
              <w:tab w:val="right" w:pos="9026" w:leader="dot"/>
            </w:tabs>
            <w:rPr/>
          </w:pPr>
          <w:hyperlink w:anchor="__RefHeading___Toc1902973_581953129">
            <w:r>
              <w:rPr>
                <w:webHidden/>
                <w:rStyle w:val="IndexLink"/>
                <w:rtl w:val="true"/>
              </w:rPr>
              <w:t>شاخصه‌های کارشناسان پاسخگویی مطلوب</w:t>
            </w:r>
            <w:r>
              <w:rPr>
                <w:rStyle w:val="IndexLink"/>
                <w:rtl w:val="true"/>
              </w:rPr>
              <w:tab/>
            </w:r>
            <w:r>
              <w:rPr>
                <w:rStyle w:val="IndexLink"/>
              </w:rPr>
              <w:t>20</w:t>
            </w:r>
          </w:hyperlink>
        </w:p>
        <w:p>
          <w:pPr>
            <w:pStyle w:val="Contents6"/>
            <w:tabs>
              <w:tab w:val="clear" w:pos="7609"/>
              <w:tab w:val="right" w:pos="9026" w:leader="dot"/>
            </w:tabs>
            <w:rPr/>
          </w:pPr>
          <w:hyperlink w:anchor="__RefHeading___Toc1902975_581953129">
            <w:r>
              <w:rPr>
                <w:webHidden/>
                <w:rStyle w:val="IndexLink"/>
                <w:rtl w:val="true"/>
              </w:rPr>
              <w:t>اشاره</w:t>
            </w:r>
            <w:r>
              <w:rPr>
                <w:rStyle w:val="IndexLink"/>
                <w:rtl w:val="true"/>
              </w:rPr>
              <w:tab/>
            </w:r>
            <w:r>
              <w:rPr>
                <w:rStyle w:val="IndexLink"/>
              </w:rPr>
              <w:t>20</w:t>
            </w:r>
          </w:hyperlink>
        </w:p>
        <w:p>
          <w:pPr>
            <w:pStyle w:val="Contents6"/>
            <w:tabs>
              <w:tab w:val="clear" w:pos="7609"/>
              <w:tab w:val="right" w:pos="9026" w:leader="dot"/>
            </w:tabs>
            <w:rPr/>
          </w:pPr>
          <w:hyperlink w:anchor="__RefHeading___Toc1902977_581953129">
            <w:r>
              <w:rPr>
                <w:webHidden/>
                <w:rStyle w:val="IndexLink"/>
              </w:rPr>
              <w:t>1</w:t>
            </w:r>
            <w:r>
              <w:rPr>
                <w:rStyle w:val="IndexLink"/>
                <w:rtl w:val="true"/>
              </w:rPr>
              <w:t xml:space="preserve">) </w:t>
            </w:r>
            <w:r>
              <w:rPr>
                <w:rStyle w:val="IndexLink"/>
                <w:rtl w:val="true"/>
              </w:rPr>
              <w:t>خودسازی علمی و اخلاقی</w:t>
            </w:r>
            <w:r>
              <w:rPr>
                <w:rStyle w:val="IndexLink"/>
                <w:rtl w:val="true"/>
              </w:rPr>
              <w:tab/>
            </w:r>
            <w:r>
              <w:rPr>
                <w:rStyle w:val="IndexLink"/>
              </w:rPr>
              <w:t>20</w:t>
            </w:r>
          </w:hyperlink>
        </w:p>
        <w:p>
          <w:pPr>
            <w:pStyle w:val="Contents6"/>
            <w:tabs>
              <w:tab w:val="clear" w:pos="7609"/>
              <w:tab w:val="right" w:pos="9026" w:leader="dot"/>
            </w:tabs>
            <w:rPr/>
          </w:pPr>
          <w:hyperlink w:anchor="__RefHeading___Toc1902979_581953129">
            <w:r>
              <w:rPr>
                <w:webHidden/>
                <w:rStyle w:val="IndexLink"/>
              </w:rPr>
              <w:t>2</w:t>
            </w:r>
            <w:r>
              <w:rPr>
                <w:rStyle w:val="IndexLink"/>
                <w:rtl w:val="true"/>
              </w:rPr>
              <w:t xml:space="preserve">) </w:t>
            </w:r>
            <w:r>
              <w:rPr>
                <w:rStyle w:val="IndexLink"/>
                <w:rtl w:val="true"/>
              </w:rPr>
              <w:t>فعالیت مستمر و تلاش بی وقفه در عرصه پاسخگویی</w:t>
            </w:r>
            <w:r>
              <w:rPr>
                <w:rStyle w:val="IndexLink"/>
                <w:rtl w:val="true"/>
              </w:rPr>
              <w:tab/>
            </w:r>
            <w:r>
              <w:rPr>
                <w:rStyle w:val="IndexLink"/>
              </w:rPr>
              <w:t>21</w:t>
            </w:r>
          </w:hyperlink>
        </w:p>
        <w:p>
          <w:pPr>
            <w:pStyle w:val="Contents6"/>
            <w:tabs>
              <w:tab w:val="clear" w:pos="7609"/>
              <w:tab w:val="right" w:pos="9026" w:leader="dot"/>
            </w:tabs>
            <w:rPr/>
          </w:pPr>
          <w:hyperlink w:anchor="__RefHeading___Toc1902981_581953129">
            <w:r>
              <w:rPr>
                <w:webHidden/>
                <w:rStyle w:val="IndexLink"/>
              </w:rPr>
              <w:t>3</w:t>
            </w:r>
            <w:r>
              <w:rPr>
                <w:rStyle w:val="IndexLink"/>
                <w:rtl w:val="true"/>
              </w:rPr>
              <w:t xml:space="preserve">) </w:t>
            </w:r>
            <w:r>
              <w:rPr>
                <w:rStyle w:val="IndexLink"/>
                <w:rtl w:val="true"/>
              </w:rPr>
              <w:t>روحیة قوی و تأثیرناپذیری</w:t>
            </w:r>
            <w:r>
              <w:rPr>
                <w:rStyle w:val="IndexLink"/>
                <w:rtl w:val="true"/>
              </w:rPr>
              <w:tab/>
            </w:r>
            <w:r>
              <w:rPr>
                <w:rStyle w:val="IndexLink"/>
              </w:rPr>
              <w:t>21</w:t>
            </w:r>
          </w:hyperlink>
        </w:p>
        <w:p>
          <w:pPr>
            <w:pStyle w:val="Contents6"/>
            <w:tabs>
              <w:tab w:val="clear" w:pos="7609"/>
              <w:tab w:val="right" w:pos="9026" w:leader="dot"/>
            </w:tabs>
            <w:rPr/>
          </w:pPr>
          <w:hyperlink w:anchor="__RefHeading___Toc1902983_581953129">
            <w:r>
              <w:rPr>
                <w:webHidden/>
                <w:rStyle w:val="IndexLink"/>
              </w:rPr>
              <w:t>4</w:t>
            </w:r>
            <w:r>
              <w:rPr>
                <w:rStyle w:val="IndexLink"/>
                <w:rtl w:val="true"/>
              </w:rPr>
              <w:t xml:space="preserve">) </w:t>
            </w:r>
            <w:r>
              <w:rPr>
                <w:rStyle w:val="IndexLink"/>
                <w:rtl w:val="true"/>
              </w:rPr>
              <w:t>آشنایی با اوضاع عالم، کشور و مسائل سیاسی</w:t>
            </w:r>
            <w:r>
              <w:rPr>
                <w:rStyle w:val="IndexLink"/>
                <w:rtl w:val="true"/>
              </w:rPr>
              <w:tab/>
            </w:r>
            <w:r>
              <w:rPr>
                <w:rStyle w:val="IndexLink"/>
              </w:rPr>
              <w:t>21</w:t>
            </w:r>
          </w:hyperlink>
        </w:p>
        <w:p>
          <w:pPr>
            <w:pStyle w:val="Contents6"/>
            <w:tabs>
              <w:tab w:val="clear" w:pos="7609"/>
              <w:tab w:val="right" w:pos="9026" w:leader="dot"/>
            </w:tabs>
            <w:rPr/>
          </w:pPr>
          <w:hyperlink w:anchor="__RefHeading___Toc1902985_581953129">
            <w:r>
              <w:rPr>
                <w:webHidden/>
                <w:rStyle w:val="IndexLink"/>
              </w:rPr>
              <w:t>5</w:t>
            </w:r>
            <w:r>
              <w:rPr>
                <w:rStyle w:val="IndexLink"/>
                <w:rtl w:val="true"/>
              </w:rPr>
              <w:t xml:space="preserve">) </w:t>
            </w:r>
            <w:r>
              <w:rPr>
                <w:rStyle w:val="IndexLink"/>
                <w:rtl w:val="true"/>
              </w:rPr>
              <w:t>داشتن ذوق ادبی و توان برقراری مفاهمه با مخاطب</w:t>
            </w:r>
            <w:r>
              <w:rPr>
                <w:rStyle w:val="IndexLink"/>
                <w:rtl w:val="true"/>
              </w:rPr>
              <w:tab/>
            </w:r>
            <w:r>
              <w:rPr>
                <w:rStyle w:val="IndexLink"/>
              </w:rPr>
              <w:t>22</w:t>
            </w:r>
          </w:hyperlink>
        </w:p>
        <w:p>
          <w:pPr>
            <w:pStyle w:val="Contents5"/>
            <w:tabs>
              <w:tab w:val="clear" w:pos="7892"/>
              <w:tab w:val="right" w:pos="9026" w:leader="dot"/>
            </w:tabs>
            <w:rPr/>
          </w:pPr>
          <w:hyperlink w:anchor="__RefHeading___Toc1902987_581953129">
            <w:r>
              <w:rPr>
                <w:webHidden/>
                <w:rStyle w:val="IndexLink"/>
                <w:rtl w:val="true"/>
              </w:rPr>
              <w:t>د</w:t>
            </w:r>
            <w:r>
              <w:rPr>
                <w:rStyle w:val="IndexLink"/>
                <w:rtl w:val="true"/>
              </w:rPr>
              <w:t xml:space="preserve">) </w:t>
            </w:r>
            <w:r>
              <w:rPr>
                <w:rStyle w:val="IndexLink"/>
                <w:rtl w:val="true"/>
              </w:rPr>
              <w:t>به‌کارگیری امکانات و حمایت های دولتی</w:t>
            </w:r>
            <w:r>
              <w:rPr>
                <w:rStyle w:val="IndexLink"/>
                <w:rtl w:val="true"/>
              </w:rPr>
              <w:tab/>
            </w:r>
            <w:r>
              <w:rPr>
                <w:rStyle w:val="IndexLink"/>
              </w:rPr>
              <w:t>22</w:t>
            </w:r>
          </w:hyperlink>
        </w:p>
        <w:p>
          <w:pPr>
            <w:pStyle w:val="Contents5"/>
            <w:tabs>
              <w:tab w:val="clear" w:pos="7892"/>
              <w:tab w:val="right" w:pos="9026" w:leader="dot"/>
            </w:tabs>
            <w:rPr/>
          </w:pPr>
          <w:hyperlink w:anchor="__RefHeading___Toc1902989_581953129">
            <w:r>
              <w:rPr>
                <w:webHidden/>
                <w:rStyle w:val="IndexLink"/>
                <w:rtl w:val="true"/>
              </w:rPr>
              <w:t>ه</w:t>
            </w:r>
            <w:r>
              <w:rPr>
                <w:rStyle w:val="IndexLink"/>
                <w:rtl w:val="true"/>
              </w:rPr>
              <w:t xml:space="preserve">) </w:t>
            </w:r>
            <w:r>
              <w:rPr>
                <w:rStyle w:val="IndexLink"/>
                <w:rtl w:val="true"/>
              </w:rPr>
              <w:t>ارزش دهی مناسب در حوزه های علمیه به جایگاه پاسخگویی</w:t>
            </w:r>
            <w:r>
              <w:rPr>
                <w:rStyle w:val="IndexLink"/>
                <w:rtl w:val="true"/>
              </w:rPr>
              <w:tab/>
            </w:r>
            <w:r>
              <w:rPr>
                <w:rStyle w:val="IndexLink"/>
              </w:rPr>
              <w:t>22</w:t>
            </w:r>
          </w:hyperlink>
        </w:p>
        <w:p>
          <w:pPr>
            <w:pStyle w:val="Contents5"/>
            <w:tabs>
              <w:tab w:val="clear" w:pos="7892"/>
              <w:tab w:val="right" w:pos="9026" w:leader="dot"/>
            </w:tabs>
            <w:rPr/>
          </w:pPr>
          <w:hyperlink w:anchor="__RefHeading___Toc1902991_581953129">
            <w:r>
              <w:rPr>
                <w:webHidden/>
                <w:rStyle w:val="IndexLink"/>
                <w:rtl w:val="true"/>
              </w:rPr>
              <w:t>و</w:t>
            </w:r>
            <w:r>
              <w:rPr>
                <w:rStyle w:val="IndexLink"/>
                <w:rtl w:val="true"/>
              </w:rPr>
              <w:t xml:space="preserve">) </w:t>
            </w:r>
            <w:r>
              <w:rPr>
                <w:rStyle w:val="IndexLink"/>
                <w:rtl w:val="true"/>
              </w:rPr>
              <w:t>سوق دادن پژوهش ها به سمت پاسخگویی به نیازهای فکری مخاطبان</w:t>
            </w:r>
            <w:r>
              <w:rPr>
                <w:rStyle w:val="IndexLink"/>
                <w:rtl w:val="true"/>
              </w:rPr>
              <w:tab/>
            </w:r>
            <w:r>
              <w:rPr>
                <w:rStyle w:val="IndexLink"/>
              </w:rPr>
              <w:t>23</w:t>
            </w:r>
          </w:hyperlink>
        </w:p>
        <w:p>
          <w:pPr>
            <w:pStyle w:val="Contents2"/>
            <w:tabs>
              <w:tab w:val="clear" w:pos="8743"/>
              <w:tab w:val="right" w:pos="9026" w:leader="dot"/>
            </w:tabs>
            <w:rPr/>
          </w:pPr>
          <w:hyperlink w:anchor="__RefHeading___Toc1902993_581953129">
            <w:r>
              <w:rPr>
                <w:webHidden/>
                <w:rStyle w:val="IndexLink"/>
                <w:rtl w:val="true"/>
              </w:rPr>
              <w:t xml:space="preserve">تکفیر و پروژة سرزمین سوخته </w:t>
            </w:r>
            <w:r>
              <w:rPr>
                <w:rStyle w:val="IndexLink"/>
                <w:rtl w:val="true"/>
              </w:rPr>
              <w:t>(</w:t>
            </w:r>
            <w:r>
              <w:rPr>
                <w:rStyle w:val="IndexLink"/>
                <w:rtl w:val="true"/>
              </w:rPr>
              <w:t>خاورمیانه</w:t>
            </w:r>
            <w:r>
              <w:rPr>
                <w:rStyle w:val="IndexLink"/>
                <w:rtl w:val="true"/>
              </w:rPr>
              <w:t xml:space="preserve">) / </w:t>
            </w:r>
            <w:r>
              <w:rPr>
                <w:rStyle w:val="IndexLink"/>
                <w:rtl w:val="true"/>
              </w:rPr>
              <w:t>گفتگو با حجت‌الاسلام والمسلمین دکتر مهدی فرمانیان</w:t>
            </w:r>
            <w:r>
              <w:rPr>
                <w:rStyle w:val="IndexLink"/>
                <w:rtl w:val="true"/>
              </w:rPr>
              <w:tab/>
            </w:r>
            <w:r>
              <w:rPr>
                <w:rStyle w:val="IndexLink"/>
              </w:rPr>
              <w:t>28</w:t>
            </w:r>
          </w:hyperlink>
        </w:p>
        <w:p>
          <w:pPr>
            <w:pStyle w:val="Contents2"/>
            <w:tabs>
              <w:tab w:val="clear" w:pos="8743"/>
              <w:tab w:val="right" w:pos="9026" w:leader="dot"/>
            </w:tabs>
            <w:rPr/>
          </w:pPr>
          <w:hyperlink w:anchor="__RefHeading___Toc1902995_581953129">
            <w:r>
              <w:rPr>
                <w:webHidden/>
                <w:rStyle w:val="IndexLink"/>
                <w:rtl w:val="true"/>
              </w:rPr>
              <w:t xml:space="preserve">آراء و اندیشه‌های گروه رام‌الله در بوتۀ نقد </w:t>
            </w:r>
            <w:r>
              <w:rPr>
                <w:rStyle w:val="IndexLink"/>
                <w:rtl w:val="true"/>
              </w:rPr>
              <w:t xml:space="preserve">/ </w:t>
            </w:r>
            <w:r>
              <w:rPr>
                <w:rStyle w:val="IndexLink"/>
                <w:rtl w:val="true"/>
              </w:rPr>
              <w:t>حمید کریمی</w:t>
            </w:r>
            <w:r>
              <w:rPr>
                <w:rStyle w:val="IndexLink"/>
                <w:rtl w:val="true"/>
              </w:rPr>
              <w:tab/>
            </w:r>
            <w:r>
              <w:rPr>
                <w:rStyle w:val="IndexLink"/>
              </w:rPr>
              <w:t>40</w:t>
            </w:r>
          </w:hyperlink>
        </w:p>
        <w:p>
          <w:pPr>
            <w:pStyle w:val="Contents3"/>
            <w:tabs>
              <w:tab w:val="clear" w:pos="8459"/>
              <w:tab w:val="right" w:pos="9026" w:leader="dot"/>
            </w:tabs>
            <w:rPr/>
          </w:pPr>
          <w:hyperlink w:anchor="__RefHeading___Toc1902997_581953129">
            <w:r>
              <w:rPr>
                <w:webHidden/>
                <w:rStyle w:val="IndexLink"/>
                <w:rtl w:val="true"/>
              </w:rPr>
              <w:t>اشاره</w:t>
            </w:r>
            <w:r>
              <w:rPr>
                <w:rStyle w:val="IndexLink"/>
                <w:rtl w:val="true"/>
              </w:rPr>
              <w:tab/>
            </w:r>
            <w:r>
              <w:rPr>
                <w:rStyle w:val="IndexLink"/>
              </w:rPr>
              <w:t>40</w:t>
            </w:r>
          </w:hyperlink>
        </w:p>
        <w:p>
          <w:pPr>
            <w:pStyle w:val="Contents3"/>
            <w:tabs>
              <w:tab w:val="clear" w:pos="8459"/>
              <w:tab w:val="right" w:pos="9026" w:leader="dot"/>
            </w:tabs>
            <w:rPr/>
          </w:pPr>
          <w:hyperlink w:anchor="__RefHeading___Toc1902999_581953129">
            <w:r>
              <w:rPr>
                <w:webHidden/>
                <w:rStyle w:val="IndexLink"/>
                <w:rtl w:val="true"/>
              </w:rPr>
              <w:t>چکیده</w:t>
            </w:r>
            <w:r>
              <w:rPr>
                <w:rStyle w:val="IndexLink"/>
                <w:rtl w:val="true"/>
              </w:rPr>
              <w:tab/>
            </w:r>
            <w:r>
              <w:rPr>
                <w:rStyle w:val="IndexLink"/>
              </w:rPr>
              <w:t>40</w:t>
            </w:r>
          </w:hyperlink>
        </w:p>
        <w:p>
          <w:pPr>
            <w:pStyle w:val="Contents3"/>
            <w:tabs>
              <w:tab w:val="clear" w:pos="8459"/>
              <w:tab w:val="right" w:pos="9026" w:leader="dot"/>
            </w:tabs>
            <w:rPr/>
          </w:pPr>
          <w:hyperlink w:anchor="__RefHeading___Toc1903001_581953129">
            <w:r>
              <w:rPr>
                <w:webHidden/>
                <w:rStyle w:val="IndexLink"/>
                <w:rtl w:val="true"/>
              </w:rPr>
              <w:t>مقدمه</w:t>
            </w:r>
            <w:r>
              <w:rPr>
                <w:rStyle w:val="IndexLink"/>
                <w:rtl w:val="true"/>
              </w:rPr>
              <w:tab/>
            </w:r>
            <w:r>
              <w:rPr>
                <w:rStyle w:val="IndexLink"/>
              </w:rPr>
              <w:t>41</w:t>
            </w:r>
          </w:hyperlink>
        </w:p>
        <w:p>
          <w:pPr>
            <w:pStyle w:val="Contents3"/>
            <w:tabs>
              <w:tab w:val="clear" w:pos="8459"/>
              <w:tab w:val="right" w:pos="9026" w:leader="dot"/>
            </w:tabs>
            <w:rPr/>
          </w:pPr>
          <w:hyperlink w:anchor="__RefHeading___Toc1903003_581953129">
            <w:r>
              <w:rPr>
                <w:webHidden/>
                <w:rStyle w:val="IndexLink"/>
                <w:rtl w:val="true"/>
              </w:rPr>
              <w:t>پیدایش</w:t>
            </w:r>
            <w:r>
              <w:rPr>
                <w:rStyle w:val="IndexLink"/>
                <w:rtl w:val="true"/>
              </w:rPr>
              <w:tab/>
            </w:r>
            <w:r>
              <w:rPr>
                <w:rStyle w:val="IndexLink"/>
              </w:rPr>
              <w:t>41</w:t>
            </w:r>
          </w:hyperlink>
        </w:p>
        <w:p>
          <w:pPr>
            <w:pStyle w:val="Contents3"/>
            <w:tabs>
              <w:tab w:val="clear" w:pos="8459"/>
              <w:tab w:val="right" w:pos="9026" w:leader="dot"/>
            </w:tabs>
            <w:rPr/>
          </w:pPr>
          <w:hyperlink w:anchor="__RefHeading___Toc1903005_581953129">
            <w:r>
              <w:rPr>
                <w:webHidden/>
                <w:rStyle w:val="IndexLink"/>
                <w:rtl w:val="true"/>
              </w:rPr>
              <w:t>بررسی و نقد دیدگاه‌ها</w:t>
            </w:r>
            <w:r>
              <w:rPr>
                <w:rStyle w:val="IndexLink"/>
                <w:rtl w:val="true"/>
              </w:rPr>
              <w:tab/>
            </w:r>
            <w:r>
              <w:rPr>
                <w:rStyle w:val="IndexLink"/>
              </w:rPr>
              <w:t>43</w:t>
            </w:r>
          </w:hyperlink>
        </w:p>
        <w:p>
          <w:pPr>
            <w:pStyle w:val="Contents4"/>
            <w:tabs>
              <w:tab w:val="clear" w:pos="8176"/>
              <w:tab w:val="right" w:pos="9026" w:leader="dot"/>
            </w:tabs>
            <w:rPr/>
          </w:pPr>
          <w:hyperlink w:anchor="__RefHeading___Toc1903007_581953129">
            <w:r>
              <w:rPr>
                <w:webHidden/>
                <w:rStyle w:val="IndexLink"/>
                <w:rtl w:val="true"/>
              </w:rPr>
              <w:t>اشاره</w:t>
            </w:r>
            <w:r>
              <w:rPr>
                <w:rStyle w:val="IndexLink"/>
                <w:rtl w:val="true"/>
              </w:rPr>
              <w:tab/>
            </w:r>
            <w:r>
              <w:rPr>
                <w:rStyle w:val="IndexLink"/>
              </w:rPr>
              <w:t>43</w:t>
            </w:r>
          </w:hyperlink>
        </w:p>
        <w:p>
          <w:pPr>
            <w:pStyle w:val="Contents4"/>
            <w:tabs>
              <w:tab w:val="clear" w:pos="8176"/>
              <w:tab w:val="right" w:pos="9026" w:leader="dot"/>
            </w:tabs>
            <w:rPr/>
          </w:pPr>
          <w:hyperlink w:anchor="__RefHeading___Toc1903009_581953129">
            <w:r>
              <w:rPr>
                <w:webHidden/>
                <w:rStyle w:val="IndexLink"/>
              </w:rPr>
              <w:t>1</w:t>
            </w:r>
            <w:r>
              <w:rPr>
                <w:rStyle w:val="IndexLink"/>
                <w:rtl w:val="true"/>
              </w:rPr>
              <w:t xml:space="preserve">. </w:t>
            </w:r>
            <w:r>
              <w:rPr>
                <w:rStyle w:val="IndexLink"/>
                <w:rtl w:val="true"/>
              </w:rPr>
              <w:t>نداشتن تحصیلات پیوستۀ دانشگاهی یا حوزوی</w:t>
            </w:r>
            <w:r>
              <w:rPr>
                <w:rStyle w:val="IndexLink"/>
                <w:rtl w:val="true"/>
              </w:rPr>
              <w:tab/>
            </w:r>
            <w:r>
              <w:rPr>
                <w:rStyle w:val="IndexLink"/>
              </w:rPr>
              <w:t>43</w:t>
            </w:r>
          </w:hyperlink>
        </w:p>
        <w:p>
          <w:pPr>
            <w:pStyle w:val="Contents4"/>
            <w:tabs>
              <w:tab w:val="clear" w:pos="8176"/>
              <w:tab w:val="right" w:pos="9026" w:leader="dot"/>
            </w:tabs>
            <w:rPr/>
          </w:pPr>
          <w:hyperlink w:anchor="__RefHeading___Toc1903011_581953129">
            <w:r>
              <w:rPr>
                <w:webHidden/>
                <w:rStyle w:val="IndexLink"/>
              </w:rPr>
              <w:t>2</w:t>
            </w:r>
            <w:r>
              <w:rPr>
                <w:rStyle w:val="IndexLink"/>
                <w:rtl w:val="true"/>
              </w:rPr>
              <w:t xml:space="preserve">. </w:t>
            </w:r>
            <w:r>
              <w:rPr>
                <w:rStyle w:val="IndexLink"/>
                <w:rtl w:val="true"/>
              </w:rPr>
              <w:t>پذیرش کثرت‌گرایی دینی</w:t>
            </w:r>
            <w:r>
              <w:rPr>
                <w:rStyle w:val="IndexLink"/>
                <w:rtl w:val="true"/>
              </w:rPr>
              <w:tab/>
            </w:r>
            <w:r>
              <w:rPr>
                <w:rStyle w:val="IndexLink"/>
              </w:rPr>
              <w:t>44</w:t>
            </w:r>
          </w:hyperlink>
        </w:p>
        <w:p>
          <w:pPr>
            <w:pStyle w:val="Contents4"/>
            <w:tabs>
              <w:tab w:val="clear" w:pos="8176"/>
              <w:tab w:val="right" w:pos="9026" w:leader="dot"/>
            </w:tabs>
            <w:rPr/>
          </w:pPr>
          <w:hyperlink w:anchor="__RefHeading___Toc1903013_581953129">
            <w:r>
              <w:rPr>
                <w:webHidden/>
                <w:rStyle w:val="IndexLink"/>
              </w:rPr>
              <w:t>3</w:t>
            </w:r>
            <w:r>
              <w:rPr>
                <w:rStyle w:val="IndexLink"/>
                <w:rtl w:val="true"/>
              </w:rPr>
              <w:t xml:space="preserve">. </w:t>
            </w:r>
            <w:r>
              <w:rPr>
                <w:rStyle w:val="IndexLink"/>
                <w:rtl w:val="true"/>
              </w:rPr>
              <w:t>تاکید بر باطن دین بدون ظواهر شریعت</w:t>
            </w:r>
            <w:r>
              <w:rPr>
                <w:rStyle w:val="IndexLink"/>
                <w:rtl w:val="true"/>
              </w:rPr>
              <w:tab/>
            </w:r>
            <w:r>
              <w:rPr>
                <w:rStyle w:val="IndexLink"/>
              </w:rPr>
              <w:t>47</w:t>
            </w:r>
          </w:hyperlink>
        </w:p>
        <w:p>
          <w:pPr>
            <w:pStyle w:val="Contents4"/>
            <w:tabs>
              <w:tab w:val="clear" w:pos="8176"/>
              <w:tab w:val="right" w:pos="9026" w:leader="dot"/>
            </w:tabs>
            <w:rPr/>
          </w:pPr>
          <w:hyperlink w:anchor="__RefHeading___Toc1903015_581953129">
            <w:r>
              <w:rPr>
                <w:webHidden/>
                <w:rStyle w:val="IndexLink"/>
              </w:rPr>
              <w:t>4</w:t>
            </w:r>
            <w:r>
              <w:rPr>
                <w:rStyle w:val="IndexLink"/>
                <w:rtl w:val="true"/>
              </w:rPr>
              <w:t xml:space="preserve">. </w:t>
            </w:r>
            <w:r>
              <w:rPr>
                <w:rStyle w:val="IndexLink"/>
                <w:rtl w:val="true"/>
              </w:rPr>
              <w:t>در هم آمیختن آموزه</w:t>
            </w:r>
            <w:r>
              <w:rPr>
                <w:rStyle w:val="IndexLink"/>
                <w:rtl w:val="true"/>
              </w:rPr>
              <w:softHyphen/>
            </w:r>
            <w:r>
              <w:rPr>
                <w:rStyle w:val="IndexLink"/>
                <w:rtl w:val="true"/>
              </w:rPr>
              <w:t>های ادیان گوناگون</w:t>
            </w:r>
            <w:r>
              <w:rPr>
                <w:rStyle w:val="IndexLink"/>
                <w:rtl w:val="true"/>
              </w:rPr>
              <w:tab/>
            </w:r>
            <w:r>
              <w:rPr>
                <w:rStyle w:val="IndexLink"/>
              </w:rPr>
              <w:t>49</w:t>
            </w:r>
          </w:hyperlink>
        </w:p>
        <w:p>
          <w:pPr>
            <w:pStyle w:val="Contents4"/>
            <w:tabs>
              <w:tab w:val="clear" w:pos="8176"/>
              <w:tab w:val="right" w:pos="9026" w:leader="dot"/>
            </w:tabs>
            <w:rPr/>
          </w:pPr>
          <w:hyperlink w:anchor="__RefHeading___Toc1903017_581953129">
            <w:r>
              <w:rPr>
                <w:webHidden/>
                <w:rStyle w:val="IndexLink"/>
              </w:rPr>
              <w:t>5</w:t>
            </w:r>
            <w:r>
              <w:rPr>
                <w:rStyle w:val="IndexLink"/>
                <w:rtl w:val="true"/>
              </w:rPr>
              <w:t xml:space="preserve">. </w:t>
            </w:r>
            <w:r>
              <w:rPr>
                <w:rStyle w:val="IndexLink"/>
                <w:rtl w:val="true"/>
              </w:rPr>
              <w:t>مبهم‌گویی و مخفی</w:t>
            </w:r>
            <w:r>
              <w:rPr>
                <w:rStyle w:val="IndexLink"/>
                <w:rtl w:val="true"/>
              </w:rPr>
              <w:softHyphen/>
            </w:r>
            <w:r>
              <w:rPr>
                <w:rStyle w:val="IndexLink"/>
                <w:rtl w:val="true"/>
              </w:rPr>
              <w:t>کاری</w:t>
            </w:r>
            <w:r>
              <w:rPr>
                <w:rStyle w:val="IndexLink"/>
                <w:rtl w:val="true"/>
              </w:rPr>
              <w:tab/>
            </w:r>
            <w:r>
              <w:rPr>
                <w:rStyle w:val="IndexLink"/>
              </w:rPr>
              <w:t>50</w:t>
            </w:r>
          </w:hyperlink>
        </w:p>
        <w:p>
          <w:pPr>
            <w:pStyle w:val="Contents4"/>
            <w:tabs>
              <w:tab w:val="clear" w:pos="8176"/>
              <w:tab w:val="right" w:pos="9026" w:leader="dot"/>
            </w:tabs>
            <w:rPr/>
          </w:pPr>
          <w:hyperlink w:anchor="__RefHeading___Toc1903019_581953129">
            <w:r>
              <w:rPr>
                <w:webHidden/>
                <w:rStyle w:val="IndexLink"/>
              </w:rPr>
              <w:t>6</w:t>
            </w:r>
            <w:r>
              <w:rPr>
                <w:rStyle w:val="IndexLink"/>
                <w:rtl w:val="true"/>
              </w:rPr>
              <w:t xml:space="preserve">. </w:t>
            </w:r>
            <w:r>
              <w:rPr>
                <w:rStyle w:val="IndexLink"/>
                <w:rtl w:val="true"/>
              </w:rPr>
              <w:t>کارآمد ندانستن برخی احکام شریعت</w:t>
            </w:r>
            <w:r>
              <w:rPr>
                <w:rStyle w:val="IndexLink"/>
                <w:rtl w:val="true"/>
              </w:rPr>
              <w:tab/>
            </w:r>
            <w:r>
              <w:rPr>
                <w:rStyle w:val="IndexLink"/>
              </w:rPr>
              <w:t>52</w:t>
            </w:r>
          </w:hyperlink>
        </w:p>
        <w:p>
          <w:pPr>
            <w:pStyle w:val="Contents4"/>
            <w:tabs>
              <w:tab w:val="clear" w:pos="8176"/>
              <w:tab w:val="right" w:pos="9026" w:leader="dot"/>
            </w:tabs>
            <w:rPr/>
          </w:pPr>
          <w:hyperlink w:anchor="__RefHeading___Toc1903021_581953129">
            <w:r>
              <w:rPr>
                <w:webHidden/>
                <w:rStyle w:val="IndexLink"/>
              </w:rPr>
              <w:t>7</w:t>
            </w:r>
            <w:r>
              <w:rPr>
                <w:rStyle w:val="IndexLink"/>
                <w:rtl w:val="true"/>
              </w:rPr>
              <w:t xml:space="preserve">. </w:t>
            </w:r>
            <w:r>
              <w:rPr>
                <w:rStyle w:val="IndexLink"/>
                <w:rtl w:val="true"/>
              </w:rPr>
              <w:t xml:space="preserve">پذیرش روش </w:t>
            </w:r>
            <w:r>
              <w:rPr>
                <w:rStyle w:val="IndexLink"/>
                <w:rtl w:val="true"/>
              </w:rPr>
              <w:t>«</w:t>
            </w:r>
            <w:r>
              <w:rPr>
                <w:rStyle w:val="IndexLink"/>
                <w:rtl w:val="true"/>
              </w:rPr>
              <w:t>ضاد</w:t>
            </w:r>
            <w:r>
              <w:rPr>
                <w:rStyle w:val="IndexLink"/>
                <w:rtl w:val="true"/>
              </w:rPr>
              <w:t xml:space="preserve">» </w:t>
            </w:r>
            <w:r>
              <w:rPr>
                <w:rStyle w:val="IndexLink"/>
                <w:rtl w:val="true"/>
              </w:rPr>
              <w:t>و ملامتی</w:t>
            </w:r>
            <w:r>
              <w:rPr>
                <w:rStyle w:val="IndexLink"/>
                <w:rtl w:val="true"/>
              </w:rPr>
              <w:tab/>
            </w:r>
            <w:r>
              <w:rPr>
                <w:rStyle w:val="IndexLink"/>
              </w:rPr>
              <w:t>53</w:t>
            </w:r>
          </w:hyperlink>
        </w:p>
        <w:p>
          <w:pPr>
            <w:pStyle w:val="Contents4"/>
            <w:tabs>
              <w:tab w:val="clear" w:pos="8176"/>
              <w:tab w:val="right" w:pos="9026" w:leader="dot"/>
            </w:tabs>
            <w:rPr/>
          </w:pPr>
          <w:hyperlink w:anchor="__RefHeading___Toc1903023_581953129">
            <w:r>
              <w:rPr>
                <w:webHidden/>
                <w:rStyle w:val="IndexLink"/>
              </w:rPr>
              <w:t>8</w:t>
            </w:r>
            <w:r>
              <w:rPr>
                <w:rStyle w:val="IndexLink"/>
                <w:rtl w:val="true"/>
              </w:rPr>
              <w:t xml:space="preserve">. </w:t>
            </w:r>
            <w:r>
              <w:rPr>
                <w:rStyle w:val="IndexLink"/>
                <w:rtl w:val="true"/>
              </w:rPr>
              <w:t>امکان پیامبر شدن</w:t>
            </w:r>
            <w:r>
              <w:rPr>
                <w:rStyle w:val="IndexLink"/>
                <w:rtl w:val="true"/>
              </w:rPr>
              <w:tab/>
            </w:r>
            <w:r>
              <w:rPr>
                <w:rStyle w:val="IndexLink"/>
              </w:rPr>
              <w:t>54</w:t>
            </w:r>
          </w:hyperlink>
        </w:p>
        <w:p>
          <w:pPr>
            <w:pStyle w:val="Contents4"/>
            <w:tabs>
              <w:tab w:val="clear" w:pos="8176"/>
              <w:tab w:val="right" w:pos="9026" w:leader="dot"/>
            </w:tabs>
            <w:rPr/>
          </w:pPr>
          <w:hyperlink w:anchor="__RefHeading___Toc1903025_581953129">
            <w:r>
              <w:rPr>
                <w:webHidden/>
                <w:rStyle w:val="IndexLink"/>
              </w:rPr>
              <w:t>9</w:t>
            </w:r>
            <w:r>
              <w:rPr>
                <w:rStyle w:val="IndexLink"/>
                <w:rtl w:val="true"/>
              </w:rPr>
              <w:t xml:space="preserve">. </w:t>
            </w:r>
            <w:r>
              <w:rPr>
                <w:rStyle w:val="IndexLink"/>
                <w:rtl w:val="true"/>
              </w:rPr>
              <w:t>اشاعۀ گناه و اعتراف به آن</w:t>
            </w:r>
            <w:r>
              <w:rPr>
                <w:rStyle w:val="IndexLink"/>
                <w:rtl w:val="true"/>
              </w:rPr>
              <w:tab/>
            </w:r>
            <w:r>
              <w:rPr>
                <w:rStyle w:val="IndexLink"/>
              </w:rPr>
              <w:t>56</w:t>
            </w:r>
          </w:hyperlink>
        </w:p>
        <w:p>
          <w:pPr>
            <w:pStyle w:val="Contents4"/>
            <w:tabs>
              <w:tab w:val="clear" w:pos="8176"/>
              <w:tab w:val="right" w:pos="9026" w:leader="dot"/>
            </w:tabs>
            <w:rPr/>
          </w:pPr>
          <w:hyperlink w:anchor="__RefHeading___Toc1903027_581953129">
            <w:r>
              <w:rPr>
                <w:webHidden/>
                <w:rStyle w:val="IndexLink"/>
              </w:rPr>
              <w:t>10</w:t>
            </w:r>
            <w:r>
              <w:rPr>
                <w:rStyle w:val="IndexLink"/>
                <w:rtl w:val="true"/>
              </w:rPr>
              <w:t xml:space="preserve">. </w:t>
            </w:r>
            <w:r>
              <w:rPr>
                <w:rStyle w:val="IndexLink"/>
                <w:rtl w:val="true"/>
              </w:rPr>
              <w:t>بها ندادن به توسل و جایگاه معصومان علیهم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1903029_581953129">
            <w:r>
              <w:rPr>
                <w:webHidden/>
                <w:rStyle w:val="IndexLink"/>
              </w:rPr>
              <w:t>11</w:t>
            </w:r>
            <w:r>
              <w:rPr>
                <w:rStyle w:val="IndexLink"/>
                <w:rtl w:val="true"/>
              </w:rPr>
              <w:t xml:space="preserve">. </w:t>
            </w:r>
            <w:r>
              <w:rPr>
                <w:rStyle w:val="IndexLink"/>
                <w:rtl w:val="true"/>
              </w:rPr>
              <w:t>نگاه غلط به ازدواج</w:t>
            </w:r>
            <w:r>
              <w:rPr>
                <w:rStyle w:val="IndexLink"/>
                <w:rtl w:val="true"/>
              </w:rPr>
              <w:tab/>
            </w:r>
            <w:r>
              <w:rPr>
                <w:rStyle w:val="IndexLink"/>
              </w:rPr>
              <w:t>58</w:t>
            </w:r>
          </w:hyperlink>
        </w:p>
        <w:p>
          <w:pPr>
            <w:pStyle w:val="Contents3"/>
            <w:tabs>
              <w:tab w:val="clear" w:pos="8459"/>
              <w:tab w:val="right" w:pos="9026" w:leader="dot"/>
            </w:tabs>
            <w:rPr/>
          </w:pPr>
          <w:hyperlink w:anchor="__RefHeading___Toc1903031_581953129">
            <w:r>
              <w:rPr>
                <w:webHidden/>
                <w:rStyle w:val="IndexLink"/>
                <w:rtl w:val="true"/>
              </w:rPr>
              <w:t>جمع‌بندی</w:t>
            </w:r>
            <w:r>
              <w:rPr>
                <w:rStyle w:val="IndexLink"/>
                <w:rtl w:val="true"/>
              </w:rPr>
              <w:tab/>
            </w:r>
            <w:r>
              <w:rPr>
                <w:rStyle w:val="IndexLink"/>
              </w:rPr>
              <w:t>60</w:t>
            </w:r>
          </w:hyperlink>
        </w:p>
        <w:p>
          <w:pPr>
            <w:pStyle w:val="Contents3"/>
            <w:tabs>
              <w:tab w:val="clear" w:pos="8459"/>
              <w:tab w:val="right" w:pos="9026" w:leader="dot"/>
            </w:tabs>
            <w:rPr/>
          </w:pPr>
          <w:hyperlink w:anchor="__RefHeading___Toc1903033_581953129">
            <w:r>
              <w:rPr>
                <w:webHidden/>
                <w:rStyle w:val="IndexLink"/>
                <w:rtl w:val="true"/>
              </w:rPr>
              <w:t>فهرست منابع</w:t>
            </w:r>
            <w:r>
              <w:rPr>
                <w:rStyle w:val="IndexLink"/>
                <w:rtl w:val="true"/>
              </w:rPr>
              <w:tab/>
            </w:r>
            <w:r>
              <w:rPr>
                <w:rStyle w:val="IndexLink"/>
              </w:rPr>
              <w:t>63</w:t>
            </w:r>
          </w:hyperlink>
        </w:p>
        <w:p>
          <w:pPr>
            <w:pStyle w:val="Contents2"/>
            <w:tabs>
              <w:tab w:val="clear" w:pos="8743"/>
              <w:tab w:val="right" w:pos="9026" w:leader="dot"/>
            </w:tabs>
            <w:rPr/>
          </w:pPr>
          <w:hyperlink w:anchor="__RefHeading___Toc1903035_581953129">
            <w:r>
              <w:rPr>
                <w:webHidden/>
                <w:rStyle w:val="IndexLink"/>
                <w:rtl w:val="true"/>
              </w:rPr>
              <w:t xml:space="preserve">بررسی و نقد دیدگاه‌های جامعه‌شناختی الحادی دربارۀ منشأ دین </w:t>
            </w:r>
            <w:r>
              <w:rPr>
                <w:rStyle w:val="IndexLink"/>
                <w:rtl w:val="true"/>
              </w:rPr>
              <w:t xml:space="preserve">/ </w:t>
            </w:r>
            <w:r>
              <w:rPr>
                <w:rStyle w:val="IndexLink"/>
                <w:rtl w:val="true"/>
              </w:rPr>
              <w:t>عبدالحسین خسروپناه، محمود امیریان</w:t>
            </w:r>
            <w:r>
              <w:rPr>
                <w:rStyle w:val="IndexLink"/>
                <w:rtl w:val="true"/>
              </w:rPr>
              <w:tab/>
            </w:r>
            <w:r>
              <w:rPr>
                <w:rStyle w:val="IndexLink"/>
              </w:rPr>
              <w:t>66</w:t>
            </w:r>
          </w:hyperlink>
        </w:p>
        <w:p>
          <w:pPr>
            <w:pStyle w:val="Contents3"/>
            <w:tabs>
              <w:tab w:val="clear" w:pos="8459"/>
              <w:tab w:val="right" w:pos="9026" w:leader="dot"/>
            </w:tabs>
            <w:rPr/>
          </w:pPr>
          <w:hyperlink w:anchor="__RefHeading___Toc1903037_581953129">
            <w:r>
              <w:rPr>
                <w:webHidden/>
                <w:rStyle w:val="IndexLink"/>
                <w:rtl w:val="true"/>
              </w:rPr>
              <w:t>اشاره</w:t>
            </w:r>
            <w:r>
              <w:rPr>
                <w:rStyle w:val="IndexLink"/>
                <w:rtl w:val="true"/>
              </w:rPr>
              <w:tab/>
            </w:r>
            <w:r>
              <w:rPr>
                <w:rStyle w:val="IndexLink"/>
              </w:rPr>
              <w:t>66</w:t>
            </w:r>
          </w:hyperlink>
        </w:p>
        <w:p>
          <w:pPr>
            <w:pStyle w:val="Contents3"/>
            <w:tabs>
              <w:tab w:val="clear" w:pos="8459"/>
              <w:tab w:val="right" w:pos="9026" w:leader="dot"/>
            </w:tabs>
            <w:rPr/>
          </w:pPr>
          <w:hyperlink w:anchor="__RefHeading___Toc1903039_581953129">
            <w:r>
              <w:rPr>
                <w:webHidden/>
                <w:rStyle w:val="IndexLink"/>
                <w:rtl w:val="true"/>
              </w:rPr>
              <w:t>چکیده</w:t>
            </w:r>
            <w:r>
              <w:rPr>
                <w:rStyle w:val="IndexLink"/>
                <w:rtl w:val="true"/>
              </w:rPr>
              <w:tab/>
            </w:r>
            <w:r>
              <w:rPr>
                <w:rStyle w:val="IndexLink"/>
              </w:rPr>
              <w:t>66</w:t>
            </w:r>
          </w:hyperlink>
        </w:p>
        <w:p>
          <w:pPr>
            <w:pStyle w:val="Contents3"/>
            <w:tabs>
              <w:tab w:val="clear" w:pos="8459"/>
              <w:tab w:val="right" w:pos="9026" w:leader="dot"/>
            </w:tabs>
            <w:rPr/>
          </w:pPr>
          <w:hyperlink w:anchor="__RefHeading___Toc1903041_581953129">
            <w:r>
              <w:rPr>
                <w:webHidden/>
                <w:rStyle w:val="IndexLink"/>
                <w:rtl w:val="true"/>
              </w:rPr>
              <w:t>مقدمه</w:t>
            </w:r>
            <w:r>
              <w:rPr>
                <w:rStyle w:val="IndexLink"/>
                <w:rtl w:val="true"/>
              </w:rPr>
              <w:tab/>
            </w:r>
            <w:r>
              <w:rPr>
                <w:rStyle w:val="IndexLink"/>
              </w:rPr>
              <w:t>67</w:t>
            </w:r>
          </w:hyperlink>
        </w:p>
        <w:p>
          <w:pPr>
            <w:pStyle w:val="Contents3"/>
            <w:tabs>
              <w:tab w:val="clear" w:pos="8459"/>
              <w:tab w:val="right" w:pos="9026" w:leader="dot"/>
            </w:tabs>
            <w:rPr/>
          </w:pPr>
          <w:hyperlink w:anchor="__RefHeading___Toc1903043_581953129">
            <w:r>
              <w:rPr>
                <w:webHidden/>
                <w:rStyle w:val="IndexLink"/>
              </w:rPr>
              <w:t>1</w:t>
            </w:r>
            <w:r>
              <w:rPr>
                <w:rStyle w:val="IndexLink"/>
                <w:rtl w:val="true"/>
              </w:rPr>
              <w:t xml:space="preserve">. </w:t>
            </w:r>
            <w:r>
              <w:rPr>
                <w:rStyle w:val="IndexLink"/>
                <w:rtl w:val="true"/>
              </w:rPr>
              <w:t xml:space="preserve">نظریۀ طبقاتی </w:t>
            </w:r>
            <w:r>
              <w:rPr>
                <w:rStyle w:val="IndexLink"/>
                <w:rtl w:val="true"/>
              </w:rPr>
              <w:t>(</w:t>
            </w:r>
            <w:r>
              <w:rPr>
                <w:rStyle w:val="IndexLink"/>
                <w:rtl w:val="true"/>
              </w:rPr>
              <w:t>تکامل اجتماعی</w:t>
            </w:r>
            <w:r>
              <w:rPr>
                <w:rStyle w:val="IndexLink"/>
                <w:rtl w:val="true"/>
              </w:rPr>
              <w:t>)</w:t>
              <w:tab/>
            </w:r>
            <w:r>
              <w:rPr>
                <w:rStyle w:val="IndexLink"/>
              </w:rPr>
              <w:t>68</w:t>
            </w:r>
          </w:hyperlink>
        </w:p>
        <w:p>
          <w:pPr>
            <w:pStyle w:val="Contents4"/>
            <w:tabs>
              <w:tab w:val="clear" w:pos="8176"/>
              <w:tab w:val="right" w:pos="9026" w:leader="dot"/>
            </w:tabs>
            <w:rPr/>
          </w:pPr>
          <w:hyperlink w:anchor="__RefHeading___Toc1903045_58195312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903047_581953129">
            <w:r>
              <w:rPr>
                <w:webHidden/>
                <w:rStyle w:val="IndexLink"/>
                <w:rtl w:val="true"/>
              </w:rPr>
              <w:t>نقد و بررسی</w:t>
            </w:r>
            <w:r>
              <w:rPr>
                <w:rStyle w:val="IndexLink"/>
                <w:rtl w:val="true"/>
              </w:rPr>
              <w:tab/>
            </w:r>
            <w:r>
              <w:rPr>
                <w:rStyle w:val="IndexLink"/>
              </w:rPr>
              <w:t>70</w:t>
            </w:r>
          </w:hyperlink>
        </w:p>
        <w:p>
          <w:pPr>
            <w:pStyle w:val="Contents3"/>
            <w:tabs>
              <w:tab w:val="clear" w:pos="8459"/>
              <w:tab w:val="right" w:pos="9026" w:leader="dot"/>
            </w:tabs>
            <w:rPr/>
          </w:pPr>
          <w:hyperlink w:anchor="__RefHeading___Toc1903049_581953129">
            <w:r>
              <w:rPr>
                <w:webHidden/>
                <w:rStyle w:val="IndexLink"/>
              </w:rPr>
              <w:t>2</w:t>
            </w:r>
            <w:r>
              <w:rPr>
                <w:rStyle w:val="IndexLink"/>
                <w:rtl w:val="true"/>
              </w:rPr>
              <w:t xml:space="preserve">. </w:t>
            </w:r>
            <w:r>
              <w:rPr>
                <w:rStyle w:val="IndexLink"/>
                <w:rtl w:val="true"/>
              </w:rPr>
              <w:t>نظریۀ جهل</w:t>
            </w:r>
            <w:r>
              <w:rPr>
                <w:rStyle w:val="IndexLink"/>
                <w:rtl w:val="true"/>
              </w:rPr>
              <w:tab/>
            </w:r>
            <w:r>
              <w:rPr>
                <w:rStyle w:val="IndexLink"/>
              </w:rPr>
              <w:t>75</w:t>
            </w:r>
          </w:hyperlink>
        </w:p>
        <w:p>
          <w:pPr>
            <w:pStyle w:val="Contents4"/>
            <w:tabs>
              <w:tab w:val="clear" w:pos="8176"/>
              <w:tab w:val="right" w:pos="9026" w:leader="dot"/>
            </w:tabs>
            <w:rPr/>
          </w:pPr>
          <w:hyperlink w:anchor="__RefHeading___Toc1903051_58195312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903053_581953129">
            <w:r>
              <w:rPr>
                <w:webHidden/>
                <w:rStyle w:val="IndexLink"/>
                <w:rtl w:val="true"/>
              </w:rPr>
              <w:t>دیدگاه آگوست کُنت</w:t>
            </w:r>
            <w:r>
              <w:rPr>
                <w:rStyle w:val="IndexLink"/>
                <w:rtl w:val="true"/>
              </w:rPr>
              <w:tab/>
            </w:r>
            <w:r>
              <w:rPr>
                <w:rStyle w:val="IndexLink"/>
              </w:rPr>
              <w:t>75</w:t>
            </w:r>
          </w:hyperlink>
        </w:p>
        <w:p>
          <w:pPr>
            <w:pStyle w:val="Contents5"/>
            <w:tabs>
              <w:tab w:val="clear" w:pos="7892"/>
              <w:tab w:val="right" w:pos="9026" w:leader="dot"/>
            </w:tabs>
            <w:rPr/>
          </w:pPr>
          <w:hyperlink w:anchor="__RefHeading___Toc1903055_58195312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1903057_581953129">
            <w:r>
              <w:rPr>
                <w:webHidden/>
                <w:rStyle w:val="IndexLink"/>
                <w:rtl w:val="true"/>
              </w:rPr>
              <w:t>نقد و بررسی</w:t>
            </w:r>
            <w:r>
              <w:rPr>
                <w:rStyle w:val="IndexLink"/>
                <w:rtl w:val="true"/>
              </w:rPr>
              <w:tab/>
            </w:r>
            <w:r>
              <w:rPr>
                <w:rStyle w:val="IndexLink"/>
              </w:rPr>
              <w:t>78</w:t>
            </w:r>
          </w:hyperlink>
        </w:p>
        <w:p>
          <w:pPr>
            <w:pStyle w:val="Contents4"/>
            <w:tabs>
              <w:tab w:val="clear" w:pos="8176"/>
              <w:tab w:val="right" w:pos="9026" w:leader="dot"/>
            </w:tabs>
            <w:rPr/>
          </w:pPr>
          <w:hyperlink w:anchor="__RefHeading___Toc1903059_581953129">
            <w:r>
              <w:rPr>
                <w:webHidden/>
                <w:rStyle w:val="IndexLink"/>
                <w:rtl w:val="true"/>
              </w:rPr>
              <w:t>دیدگاه هربرت اسپنسر</w:t>
            </w:r>
            <w:r>
              <w:rPr>
                <w:rStyle w:val="IndexLink"/>
                <w:rtl w:val="true"/>
              </w:rPr>
              <w:tab/>
            </w:r>
            <w:r>
              <w:rPr>
                <w:rStyle w:val="IndexLink"/>
              </w:rPr>
              <w:t>79</w:t>
            </w:r>
          </w:hyperlink>
        </w:p>
        <w:p>
          <w:pPr>
            <w:pStyle w:val="Contents5"/>
            <w:tabs>
              <w:tab w:val="clear" w:pos="7892"/>
              <w:tab w:val="right" w:pos="9026" w:leader="dot"/>
            </w:tabs>
            <w:rPr/>
          </w:pPr>
          <w:hyperlink w:anchor="__RefHeading___Toc1903061_581953129">
            <w:r>
              <w:rPr>
                <w:webHidden/>
                <w:rStyle w:val="IndexLink"/>
                <w:rtl w:val="true"/>
              </w:rPr>
              <w:t>اشاره</w:t>
            </w:r>
            <w:r>
              <w:rPr>
                <w:rStyle w:val="IndexLink"/>
                <w:rtl w:val="true"/>
              </w:rPr>
              <w:tab/>
            </w:r>
            <w:r>
              <w:rPr>
                <w:rStyle w:val="IndexLink"/>
              </w:rPr>
              <w:t>79</w:t>
            </w:r>
          </w:hyperlink>
        </w:p>
        <w:p>
          <w:pPr>
            <w:pStyle w:val="Contents5"/>
            <w:tabs>
              <w:tab w:val="clear" w:pos="7892"/>
              <w:tab w:val="right" w:pos="9026" w:leader="dot"/>
            </w:tabs>
            <w:rPr/>
          </w:pPr>
          <w:hyperlink w:anchor="__RefHeading___Toc1903063_581953129">
            <w:r>
              <w:rPr>
                <w:webHidden/>
                <w:rStyle w:val="IndexLink"/>
                <w:rtl w:val="true"/>
              </w:rPr>
              <w:t>نقد و بررسی</w:t>
            </w:r>
            <w:r>
              <w:rPr>
                <w:rStyle w:val="IndexLink"/>
                <w:rtl w:val="true"/>
              </w:rPr>
              <w:tab/>
            </w:r>
            <w:r>
              <w:rPr>
                <w:rStyle w:val="IndexLink"/>
              </w:rPr>
              <w:t>81</w:t>
            </w:r>
          </w:hyperlink>
        </w:p>
        <w:p>
          <w:pPr>
            <w:pStyle w:val="Contents3"/>
            <w:tabs>
              <w:tab w:val="clear" w:pos="8459"/>
              <w:tab w:val="right" w:pos="9026" w:leader="dot"/>
            </w:tabs>
            <w:rPr/>
          </w:pPr>
          <w:hyperlink w:anchor="__RefHeading___Toc1903065_581953129">
            <w:r>
              <w:rPr>
                <w:webHidden/>
                <w:rStyle w:val="IndexLink"/>
              </w:rPr>
              <w:t>3</w:t>
            </w:r>
            <w:r>
              <w:rPr>
                <w:rStyle w:val="IndexLink"/>
                <w:rtl w:val="true"/>
              </w:rPr>
              <w:t xml:space="preserve">. </w:t>
            </w:r>
            <w:r>
              <w:rPr>
                <w:rStyle w:val="IndexLink"/>
                <w:rtl w:val="true"/>
              </w:rPr>
              <w:t>نظریۀ زایش اجتماعی</w:t>
            </w:r>
            <w:r>
              <w:rPr>
                <w:rStyle w:val="IndexLink"/>
                <w:rtl w:val="true"/>
              </w:rPr>
              <w:tab/>
            </w:r>
            <w:r>
              <w:rPr>
                <w:rStyle w:val="IndexLink"/>
              </w:rPr>
              <w:t>81</w:t>
            </w:r>
          </w:hyperlink>
        </w:p>
        <w:p>
          <w:pPr>
            <w:pStyle w:val="Contents4"/>
            <w:tabs>
              <w:tab w:val="clear" w:pos="8176"/>
              <w:tab w:val="right" w:pos="9026" w:leader="dot"/>
            </w:tabs>
            <w:rPr/>
          </w:pPr>
          <w:hyperlink w:anchor="__RefHeading___Toc1903067_581953129">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1903069_581953129">
            <w:r>
              <w:rPr>
                <w:webHidden/>
                <w:rStyle w:val="IndexLink"/>
                <w:rtl w:val="true"/>
              </w:rPr>
              <w:t>نقد و بررسی</w:t>
            </w:r>
            <w:r>
              <w:rPr>
                <w:rStyle w:val="IndexLink"/>
                <w:rtl w:val="true"/>
              </w:rPr>
              <w:tab/>
            </w:r>
            <w:r>
              <w:rPr>
                <w:rStyle w:val="IndexLink"/>
              </w:rPr>
              <w:t>85</w:t>
            </w:r>
          </w:hyperlink>
        </w:p>
        <w:p>
          <w:pPr>
            <w:pStyle w:val="Contents3"/>
            <w:tabs>
              <w:tab w:val="clear" w:pos="8459"/>
              <w:tab w:val="right" w:pos="9026" w:leader="dot"/>
            </w:tabs>
            <w:rPr/>
          </w:pPr>
          <w:hyperlink w:anchor="__RefHeading___Toc1903071_581953129">
            <w:r>
              <w:rPr>
                <w:webHidden/>
                <w:rStyle w:val="IndexLink"/>
                <w:rtl w:val="true"/>
              </w:rPr>
              <w:t>نتیجه</w:t>
            </w:r>
            <w:r>
              <w:rPr>
                <w:rStyle w:val="IndexLink"/>
                <w:rtl w:val="true"/>
              </w:rPr>
              <w:tab/>
            </w:r>
            <w:r>
              <w:rPr>
                <w:rStyle w:val="IndexLink"/>
              </w:rPr>
              <w:t>90</w:t>
            </w:r>
          </w:hyperlink>
        </w:p>
        <w:p>
          <w:pPr>
            <w:pStyle w:val="Contents3"/>
            <w:tabs>
              <w:tab w:val="clear" w:pos="8459"/>
              <w:tab w:val="right" w:pos="9026" w:leader="dot"/>
            </w:tabs>
            <w:rPr/>
          </w:pPr>
          <w:hyperlink w:anchor="__RefHeading___Toc1903073_581953129">
            <w:r>
              <w:rPr>
                <w:webHidden/>
                <w:rStyle w:val="IndexLink"/>
                <w:rtl w:val="true"/>
              </w:rPr>
              <w:t>فهرست منابع</w:t>
            </w:r>
            <w:r>
              <w:rPr>
                <w:rStyle w:val="IndexLink"/>
                <w:rtl w:val="true"/>
              </w:rPr>
              <w:tab/>
            </w:r>
            <w:r>
              <w:rPr>
                <w:rStyle w:val="IndexLink"/>
              </w:rPr>
              <w:t>91</w:t>
            </w:r>
          </w:hyperlink>
        </w:p>
        <w:p>
          <w:pPr>
            <w:pStyle w:val="Contents2"/>
            <w:tabs>
              <w:tab w:val="clear" w:pos="8743"/>
              <w:tab w:val="right" w:pos="9026" w:leader="dot"/>
            </w:tabs>
            <w:rPr/>
          </w:pPr>
          <w:hyperlink w:anchor="__RefHeading___Toc1903075_581953129">
            <w:r>
              <w:rPr>
                <w:webHidden/>
                <w:rStyle w:val="IndexLink"/>
                <w:rtl w:val="true"/>
              </w:rPr>
              <w:t xml:space="preserve">نگاهی انتقادی به وجوب پرداخت مکرر خمس اموال </w:t>
            </w:r>
            <w:r>
              <w:rPr>
                <w:rStyle w:val="IndexLink"/>
                <w:rtl w:val="true"/>
              </w:rPr>
              <w:t xml:space="preserve">/ </w:t>
            </w:r>
            <w:r>
              <w:rPr>
                <w:rStyle w:val="IndexLink"/>
                <w:rtl w:val="true"/>
              </w:rPr>
              <w:t>سیدمصطفی سجادی</w:t>
            </w:r>
            <w:r>
              <w:rPr>
                <w:rStyle w:val="IndexLink"/>
                <w:rtl w:val="true"/>
              </w:rPr>
              <w:tab/>
            </w:r>
            <w:r>
              <w:rPr>
                <w:rStyle w:val="IndexLink"/>
              </w:rPr>
              <w:t>92</w:t>
            </w:r>
          </w:hyperlink>
        </w:p>
        <w:p>
          <w:pPr>
            <w:pStyle w:val="Contents3"/>
            <w:tabs>
              <w:tab w:val="clear" w:pos="8459"/>
              <w:tab w:val="right" w:pos="9026" w:leader="dot"/>
            </w:tabs>
            <w:rPr/>
          </w:pPr>
          <w:hyperlink w:anchor="__RefHeading___Toc1903077_581953129">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1903079_581953129">
            <w:r>
              <w:rPr>
                <w:webHidden/>
                <w:rStyle w:val="IndexLink"/>
                <w:rtl w:val="true"/>
              </w:rPr>
              <w:t>چکیده</w:t>
            </w:r>
            <w:r>
              <w:rPr>
                <w:rStyle w:val="IndexLink"/>
                <w:rtl w:val="true"/>
              </w:rPr>
              <w:tab/>
            </w:r>
            <w:r>
              <w:rPr>
                <w:rStyle w:val="IndexLink"/>
              </w:rPr>
              <w:t>92</w:t>
            </w:r>
          </w:hyperlink>
        </w:p>
        <w:p>
          <w:pPr>
            <w:pStyle w:val="Contents3"/>
            <w:tabs>
              <w:tab w:val="clear" w:pos="8459"/>
              <w:tab w:val="right" w:pos="9026" w:leader="dot"/>
            </w:tabs>
            <w:rPr/>
          </w:pPr>
          <w:hyperlink w:anchor="__RefHeading___Toc1903081_581953129">
            <w:r>
              <w:rPr>
                <w:webHidden/>
                <w:rStyle w:val="IndexLink"/>
                <w:rtl w:val="true"/>
              </w:rPr>
              <w:t>مقدمه</w:t>
            </w:r>
            <w:r>
              <w:rPr>
                <w:rStyle w:val="IndexLink"/>
                <w:rtl w:val="true"/>
              </w:rPr>
              <w:tab/>
            </w:r>
            <w:r>
              <w:rPr>
                <w:rStyle w:val="IndexLink"/>
              </w:rPr>
              <w:t>93</w:t>
            </w:r>
          </w:hyperlink>
        </w:p>
        <w:p>
          <w:pPr>
            <w:pStyle w:val="Contents3"/>
            <w:tabs>
              <w:tab w:val="clear" w:pos="8459"/>
              <w:tab w:val="right" w:pos="9026" w:leader="dot"/>
            </w:tabs>
            <w:rPr/>
          </w:pPr>
          <w:hyperlink w:anchor="__RefHeading___Toc1903083_581953129">
            <w:r>
              <w:rPr>
                <w:webHidden/>
                <w:rStyle w:val="IndexLink"/>
                <w:rtl w:val="true"/>
              </w:rPr>
              <w:t>عدم وجوب پرداخت مکرر خمس</w:t>
            </w:r>
            <w:r>
              <w:rPr>
                <w:rStyle w:val="IndexLink"/>
                <w:rtl w:val="true"/>
              </w:rPr>
              <w:tab/>
            </w:r>
            <w:r>
              <w:rPr>
                <w:rStyle w:val="IndexLink"/>
              </w:rPr>
              <w:t>94</w:t>
            </w:r>
          </w:hyperlink>
        </w:p>
        <w:p>
          <w:pPr>
            <w:pStyle w:val="Contents3"/>
            <w:tabs>
              <w:tab w:val="clear" w:pos="8459"/>
              <w:tab w:val="right" w:pos="9026" w:leader="dot"/>
            </w:tabs>
            <w:rPr/>
          </w:pPr>
          <w:hyperlink w:anchor="__RefHeading___Toc1903085_581953129">
            <w:r>
              <w:rPr>
                <w:webHidden/>
                <w:rStyle w:val="IndexLink"/>
                <w:rtl w:val="true"/>
              </w:rPr>
              <w:t>دلائل اثبات حکم</w:t>
            </w:r>
            <w:r>
              <w:rPr>
                <w:rStyle w:val="IndexLink"/>
                <w:rtl w:val="true"/>
              </w:rPr>
              <w:tab/>
            </w:r>
            <w:r>
              <w:rPr>
                <w:rStyle w:val="IndexLink"/>
              </w:rPr>
              <w:t>95</w:t>
            </w:r>
          </w:hyperlink>
        </w:p>
        <w:p>
          <w:pPr>
            <w:pStyle w:val="Contents3"/>
            <w:tabs>
              <w:tab w:val="clear" w:pos="8459"/>
              <w:tab w:val="right" w:pos="9026" w:leader="dot"/>
            </w:tabs>
            <w:rPr/>
          </w:pPr>
          <w:hyperlink w:anchor="__RefHeading___Toc1903087_581953129">
            <w:r>
              <w:rPr>
                <w:webHidden/>
                <w:rStyle w:val="IndexLink"/>
                <w:rtl w:val="true"/>
              </w:rPr>
              <w:t>دلائل مخالفان و رد آن</w:t>
            </w:r>
            <w:r>
              <w:rPr>
                <w:rStyle w:val="IndexLink"/>
                <w:rtl w:val="true"/>
              </w:rPr>
              <w:tab/>
            </w:r>
            <w:r>
              <w:rPr>
                <w:rStyle w:val="IndexLink"/>
              </w:rPr>
              <w:t>97</w:t>
            </w:r>
          </w:hyperlink>
        </w:p>
        <w:p>
          <w:pPr>
            <w:pStyle w:val="Contents3"/>
            <w:tabs>
              <w:tab w:val="clear" w:pos="8459"/>
              <w:tab w:val="right" w:pos="9026" w:leader="dot"/>
            </w:tabs>
            <w:rPr/>
          </w:pPr>
          <w:hyperlink w:anchor="__RefHeading___Toc1903089_581953129">
            <w:r>
              <w:rPr>
                <w:webHidden/>
                <w:rStyle w:val="IndexLink"/>
                <w:rtl w:val="true"/>
              </w:rPr>
              <w:t>چند نکته پایانی</w:t>
            </w:r>
            <w:r>
              <w:rPr>
                <w:rStyle w:val="IndexLink"/>
                <w:rtl w:val="true"/>
              </w:rPr>
              <w:tab/>
            </w:r>
            <w:r>
              <w:rPr>
                <w:rStyle w:val="IndexLink"/>
              </w:rPr>
              <w:t>101</w:t>
            </w:r>
          </w:hyperlink>
        </w:p>
        <w:p>
          <w:pPr>
            <w:pStyle w:val="Contents3"/>
            <w:tabs>
              <w:tab w:val="clear" w:pos="8459"/>
              <w:tab w:val="right" w:pos="9026" w:leader="dot"/>
            </w:tabs>
            <w:rPr/>
          </w:pPr>
          <w:hyperlink w:anchor="__RefHeading___Toc1903091_581953129">
            <w:r>
              <w:rPr>
                <w:webHidden/>
                <w:rStyle w:val="IndexLink"/>
                <w:rtl w:val="true"/>
              </w:rPr>
              <w:t>فهرست منابع</w:t>
            </w:r>
            <w:r>
              <w:rPr>
                <w:rStyle w:val="IndexLink"/>
                <w:rtl w:val="true"/>
              </w:rPr>
              <w:tab/>
            </w:r>
            <w:r>
              <w:rPr>
                <w:rStyle w:val="IndexLink"/>
              </w:rPr>
              <w:t>105</w:t>
            </w:r>
          </w:hyperlink>
        </w:p>
        <w:p>
          <w:pPr>
            <w:pStyle w:val="Contents2"/>
            <w:tabs>
              <w:tab w:val="clear" w:pos="8743"/>
              <w:tab w:val="right" w:pos="9026" w:leader="dot"/>
            </w:tabs>
            <w:rPr/>
          </w:pPr>
          <w:hyperlink w:anchor="__RefHeading___Toc1903093_581953129">
            <w:r>
              <w:rPr>
                <w:webHidden/>
                <w:rStyle w:val="IndexLink"/>
                <w:rtl w:val="true"/>
              </w:rPr>
              <w:t xml:space="preserve">اثبات علوم دنیایی پیامبر صلی الله علیه و آله با تکیه بر نقد حدیث تأبیر نخل </w:t>
            </w:r>
            <w:r>
              <w:rPr>
                <w:rStyle w:val="IndexLink"/>
                <w:rtl w:val="true"/>
              </w:rPr>
              <w:t>(</w:t>
            </w:r>
            <w:r>
              <w:rPr>
                <w:rStyle w:val="IndexLink"/>
                <w:rtl w:val="true"/>
              </w:rPr>
              <w:t>گرده‌افشانی درختان خرما</w:t>
            </w:r>
            <w:r>
              <w:rPr>
                <w:rStyle w:val="IndexLink"/>
                <w:rtl w:val="true"/>
              </w:rPr>
              <w:t xml:space="preserve">) / </w:t>
            </w:r>
            <w:r>
              <w:rPr>
                <w:rStyle w:val="IndexLink"/>
                <w:rtl w:val="true"/>
              </w:rPr>
              <w:t>احمد مرادخانی، حسن‌رضا رضایی</w:t>
            </w:r>
            <w:r>
              <w:rPr>
                <w:rStyle w:val="IndexLink"/>
                <w:rtl w:val="true"/>
              </w:rPr>
              <w:tab/>
            </w:r>
            <w:r>
              <w:rPr>
                <w:rStyle w:val="IndexLink"/>
              </w:rPr>
              <w:t>108</w:t>
            </w:r>
          </w:hyperlink>
        </w:p>
        <w:p>
          <w:pPr>
            <w:pStyle w:val="Contents3"/>
            <w:tabs>
              <w:tab w:val="clear" w:pos="8459"/>
              <w:tab w:val="right" w:pos="9026" w:leader="dot"/>
            </w:tabs>
            <w:rPr/>
          </w:pPr>
          <w:hyperlink w:anchor="__RefHeading___Toc1903095_581953129">
            <w:r>
              <w:rPr>
                <w:webHidden/>
                <w:rStyle w:val="IndexLink"/>
                <w:rtl w:val="true"/>
              </w:rPr>
              <w:t>اشاره</w:t>
            </w:r>
            <w:r>
              <w:rPr>
                <w:rStyle w:val="IndexLink"/>
                <w:rtl w:val="true"/>
              </w:rPr>
              <w:tab/>
            </w:r>
            <w:r>
              <w:rPr>
                <w:rStyle w:val="IndexLink"/>
              </w:rPr>
              <w:t>108</w:t>
            </w:r>
          </w:hyperlink>
        </w:p>
        <w:p>
          <w:pPr>
            <w:pStyle w:val="Contents3"/>
            <w:tabs>
              <w:tab w:val="clear" w:pos="8459"/>
              <w:tab w:val="right" w:pos="9026" w:leader="dot"/>
            </w:tabs>
            <w:rPr/>
          </w:pPr>
          <w:hyperlink w:anchor="__RefHeading___Toc1903097_581953129">
            <w:r>
              <w:rPr>
                <w:webHidden/>
                <w:rStyle w:val="IndexLink"/>
                <w:rtl w:val="true"/>
              </w:rPr>
              <w:t>چکیده</w:t>
            </w:r>
            <w:r>
              <w:rPr>
                <w:rStyle w:val="IndexLink"/>
                <w:rtl w:val="true"/>
              </w:rPr>
              <w:tab/>
            </w:r>
            <w:r>
              <w:rPr>
                <w:rStyle w:val="IndexLink"/>
              </w:rPr>
              <w:t>108</w:t>
            </w:r>
          </w:hyperlink>
        </w:p>
        <w:p>
          <w:pPr>
            <w:pStyle w:val="Contents3"/>
            <w:tabs>
              <w:tab w:val="clear" w:pos="8459"/>
              <w:tab w:val="right" w:pos="9026" w:leader="dot"/>
            </w:tabs>
            <w:rPr/>
          </w:pPr>
          <w:hyperlink w:anchor="__RefHeading___Toc1903099_581953129">
            <w:r>
              <w:rPr>
                <w:webHidden/>
                <w:rStyle w:val="IndexLink"/>
                <w:rtl w:val="true"/>
              </w:rPr>
              <w:t>تبیین مسئله</w:t>
            </w:r>
            <w:r>
              <w:rPr>
                <w:rStyle w:val="IndexLink"/>
                <w:rtl w:val="true"/>
              </w:rPr>
              <w:tab/>
            </w:r>
            <w:r>
              <w:rPr>
                <w:rStyle w:val="IndexLink"/>
              </w:rPr>
              <w:t>109</w:t>
            </w:r>
          </w:hyperlink>
        </w:p>
        <w:p>
          <w:pPr>
            <w:pStyle w:val="Contents3"/>
            <w:tabs>
              <w:tab w:val="clear" w:pos="8459"/>
              <w:tab w:val="right" w:pos="9026" w:leader="dot"/>
            </w:tabs>
            <w:rPr/>
          </w:pPr>
          <w:hyperlink w:anchor="__RefHeading___Toc1903101_581953129">
            <w:r>
              <w:rPr>
                <w:webHidden/>
                <w:rStyle w:val="IndexLink"/>
                <w:rtl w:val="true"/>
              </w:rPr>
              <w:t>مفهوم شناسی</w:t>
            </w:r>
            <w:r>
              <w:rPr>
                <w:rStyle w:val="IndexLink"/>
                <w:rtl w:val="true"/>
              </w:rPr>
              <w:tab/>
            </w:r>
            <w:r>
              <w:rPr>
                <w:rStyle w:val="IndexLink"/>
              </w:rPr>
              <w:t>109</w:t>
            </w:r>
          </w:hyperlink>
        </w:p>
        <w:p>
          <w:pPr>
            <w:pStyle w:val="Contents3"/>
            <w:tabs>
              <w:tab w:val="clear" w:pos="8459"/>
              <w:tab w:val="right" w:pos="9026" w:leader="dot"/>
            </w:tabs>
            <w:rPr/>
          </w:pPr>
          <w:hyperlink w:anchor="__RefHeading___Toc1903103_581953129">
            <w:r>
              <w:rPr>
                <w:webHidden/>
                <w:rStyle w:val="IndexLink"/>
                <w:rtl w:val="true"/>
              </w:rPr>
              <w:t>راه‌های شناخت احادیث صحیح</w:t>
            </w:r>
            <w:r>
              <w:rPr>
                <w:rStyle w:val="IndexLink"/>
                <w:rtl w:val="true"/>
              </w:rPr>
              <w:tab/>
            </w:r>
            <w:r>
              <w:rPr>
                <w:rStyle w:val="IndexLink"/>
              </w:rPr>
              <w:t>110</w:t>
            </w:r>
          </w:hyperlink>
        </w:p>
        <w:p>
          <w:pPr>
            <w:pStyle w:val="Contents3"/>
            <w:tabs>
              <w:tab w:val="clear" w:pos="8459"/>
              <w:tab w:val="right" w:pos="9026" w:leader="dot"/>
            </w:tabs>
            <w:rPr/>
          </w:pPr>
          <w:hyperlink w:anchor="__RefHeading___Toc1903105_581953129">
            <w:r>
              <w:rPr>
                <w:webHidden/>
                <w:rStyle w:val="IndexLink"/>
                <w:rtl w:val="true"/>
              </w:rPr>
              <w:t>الهی بودن گفتار پیامبران</w:t>
            </w:r>
            <w:r>
              <w:rPr>
                <w:rStyle w:val="IndexLink"/>
                <w:rtl w:val="true"/>
              </w:rPr>
              <w:tab/>
            </w:r>
            <w:r>
              <w:rPr>
                <w:rStyle w:val="IndexLink"/>
              </w:rPr>
              <w:t>112</w:t>
            </w:r>
          </w:hyperlink>
        </w:p>
        <w:p>
          <w:pPr>
            <w:pStyle w:val="Contents3"/>
            <w:tabs>
              <w:tab w:val="clear" w:pos="8459"/>
              <w:tab w:val="right" w:pos="9026" w:leader="dot"/>
            </w:tabs>
            <w:rPr/>
          </w:pPr>
          <w:hyperlink w:anchor="__RefHeading___Toc1903107_581953129">
            <w:r>
              <w:rPr>
                <w:webHidden/>
                <w:rStyle w:val="IndexLink"/>
                <w:rtl w:val="true"/>
              </w:rPr>
              <w:t>حجیت سخنان ائمه اطهار علیهم السلام</w:t>
            </w:r>
            <w:r>
              <w:rPr>
                <w:rStyle w:val="IndexLink"/>
                <w:rtl w:val="true"/>
              </w:rPr>
              <w:tab/>
            </w:r>
            <w:r>
              <w:rPr>
                <w:rStyle w:val="IndexLink"/>
              </w:rPr>
              <w:t>114</w:t>
            </w:r>
          </w:hyperlink>
        </w:p>
        <w:p>
          <w:pPr>
            <w:pStyle w:val="Contents3"/>
            <w:tabs>
              <w:tab w:val="clear" w:pos="8459"/>
              <w:tab w:val="right" w:pos="9026" w:leader="dot"/>
            </w:tabs>
            <w:rPr/>
          </w:pPr>
          <w:hyperlink w:anchor="__RefHeading___Toc1903109_581953129">
            <w:r>
              <w:rPr>
                <w:webHidden/>
                <w:rStyle w:val="IndexLink"/>
                <w:rtl w:val="true"/>
              </w:rPr>
              <w:t>آگاهی ائمۀ معصومین علیهم السلام از علوم طبیعی</w:t>
            </w:r>
            <w:r>
              <w:rPr>
                <w:rStyle w:val="IndexLink"/>
                <w:rtl w:val="true"/>
              </w:rPr>
              <w:tab/>
            </w:r>
            <w:r>
              <w:rPr>
                <w:rStyle w:val="IndexLink"/>
              </w:rPr>
              <w:t>116</w:t>
            </w:r>
          </w:hyperlink>
        </w:p>
        <w:p>
          <w:pPr>
            <w:pStyle w:val="Contents3"/>
            <w:tabs>
              <w:tab w:val="clear" w:pos="8459"/>
              <w:tab w:val="right" w:pos="9026" w:leader="dot"/>
            </w:tabs>
            <w:rPr/>
          </w:pPr>
          <w:hyperlink w:anchor="__RefHeading___Toc1903111_581953129">
            <w:r>
              <w:rPr>
                <w:webHidden/>
                <w:rStyle w:val="IndexLink"/>
                <w:rtl w:val="true"/>
              </w:rPr>
              <w:t>حدیث تأبیر نخل</w:t>
            </w:r>
            <w:r>
              <w:rPr>
                <w:rStyle w:val="IndexLink"/>
                <w:rtl w:val="true"/>
              </w:rPr>
              <w:tab/>
            </w:r>
            <w:r>
              <w:rPr>
                <w:rStyle w:val="IndexLink"/>
              </w:rPr>
              <w:t>118</w:t>
            </w:r>
          </w:hyperlink>
        </w:p>
        <w:p>
          <w:pPr>
            <w:pStyle w:val="Contents4"/>
            <w:tabs>
              <w:tab w:val="clear" w:pos="8176"/>
              <w:tab w:val="right" w:pos="9026" w:leader="dot"/>
            </w:tabs>
            <w:rPr/>
          </w:pPr>
          <w:hyperlink w:anchor="__RefHeading___Toc1903113_581953129">
            <w:r>
              <w:rPr>
                <w:webHidden/>
                <w:rStyle w:val="IndexLink"/>
                <w:rtl w:val="true"/>
              </w:rPr>
              <w:t>اشاره</w:t>
            </w:r>
            <w:r>
              <w:rPr>
                <w:rStyle w:val="IndexLink"/>
                <w:rtl w:val="true"/>
              </w:rPr>
              <w:tab/>
            </w:r>
            <w:r>
              <w:rPr>
                <w:rStyle w:val="IndexLink"/>
              </w:rPr>
              <w:t>118</w:t>
            </w:r>
          </w:hyperlink>
        </w:p>
        <w:p>
          <w:pPr>
            <w:pStyle w:val="Contents4"/>
            <w:tabs>
              <w:tab w:val="clear" w:pos="8176"/>
              <w:tab w:val="right" w:pos="9026" w:leader="dot"/>
            </w:tabs>
            <w:rPr/>
          </w:pPr>
          <w:hyperlink w:anchor="__RefHeading___Toc1903115_581953129">
            <w:r>
              <w:rPr>
                <w:webHidden/>
                <w:rStyle w:val="IndexLink"/>
                <w:rtl w:val="true"/>
              </w:rPr>
              <w:t>نقد و بررسی حدیث</w:t>
            </w:r>
            <w:r>
              <w:rPr>
                <w:rStyle w:val="IndexLink"/>
                <w:rtl w:val="true"/>
              </w:rPr>
              <w:tab/>
            </w:r>
            <w:r>
              <w:rPr>
                <w:rStyle w:val="IndexLink"/>
              </w:rPr>
              <w:t>119</w:t>
            </w:r>
          </w:hyperlink>
        </w:p>
        <w:p>
          <w:pPr>
            <w:pStyle w:val="Contents3"/>
            <w:tabs>
              <w:tab w:val="clear" w:pos="8459"/>
              <w:tab w:val="right" w:pos="9026" w:leader="dot"/>
            </w:tabs>
            <w:rPr/>
          </w:pPr>
          <w:hyperlink w:anchor="__RefHeading___Toc1903117_581953129">
            <w:r>
              <w:rPr>
                <w:webHidden/>
                <w:rStyle w:val="IndexLink"/>
                <w:rtl w:val="true"/>
              </w:rPr>
              <w:t>نتیجه</w:t>
            </w:r>
            <w:r>
              <w:rPr>
                <w:rStyle w:val="IndexLink"/>
                <w:rtl w:val="true"/>
              </w:rPr>
              <w:tab/>
            </w:r>
            <w:r>
              <w:rPr>
                <w:rStyle w:val="IndexLink"/>
              </w:rPr>
              <w:t>123</w:t>
            </w:r>
          </w:hyperlink>
        </w:p>
        <w:p>
          <w:pPr>
            <w:pStyle w:val="Contents3"/>
            <w:tabs>
              <w:tab w:val="clear" w:pos="8459"/>
              <w:tab w:val="right" w:pos="9026" w:leader="dot"/>
            </w:tabs>
            <w:rPr/>
          </w:pPr>
          <w:hyperlink w:anchor="__RefHeading___Toc1903119_581953129">
            <w:r>
              <w:rPr>
                <w:webHidden/>
                <w:rStyle w:val="IndexLink"/>
                <w:rtl w:val="true"/>
              </w:rPr>
              <w:t>فهرست منابع</w:t>
            </w:r>
            <w:r>
              <w:rPr>
                <w:rStyle w:val="IndexLink"/>
                <w:rtl w:val="true"/>
              </w:rPr>
              <w:tab/>
            </w:r>
            <w:r>
              <w:rPr>
                <w:rStyle w:val="IndexLink"/>
              </w:rPr>
              <w:t>126</w:t>
            </w:r>
          </w:hyperlink>
        </w:p>
        <w:p>
          <w:pPr>
            <w:pStyle w:val="Contents2"/>
            <w:tabs>
              <w:tab w:val="clear" w:pos="8743"/>
              <w:tab w:val="right" w:pos="9026" w:leader="dot"/>
            </w:tabs>
            <w:rPr/>
          </w:pPr>
          <w:hyperlink w:anchor="__RefHeading___Toc1903121_581953129">
            <w:r>
              <w:rPr>
                <w:webHidden/>
                <w:rStyle w:val="IndexLink"/>
                <w:rtl w:val="true"/>
              </w:rPr>
              <w:t xml:space="preserve">خشونت‌های تکفیری و بررسی انطباق آن با سیرۀ نبوی و علوی </w:t>
            </w:r>
            <w:r>
              <w:rPr>
                <w:rStyle w:val="IndexLink"/>
                <w:rtl w:val="true"/>
              </w:rPr>
              <w:t xml:space="preserve">/ </w:t>
            </w:r>
            <w:r>
              <w:rPr>
                <w:rStyle w:val="IndexLink"/>
                <w:rtl w:val="true"/>
              </w:rPr>
              <w:t>یدالله حاجی‌زاده، امیر‌علی حسنلو</w:t>
            </w:r>
            <w:r>
              <w:rPr>
                <w:rStyle w:val="IndexLink"/>
                <w:rtl w:val="true"/>
              </w:rPr>
              <w:tab/>
            </w:r>
            <w:r>
              <w:rPr>
                <w:rStyle w:val="IndexLink"/>
              </w:rPr>
              <w:t>132</w:t>
            </w:r>
          </w:hyperlink>
        </w:p>
        <w:p>
          <w:pPr>
            <w:pStyle w:val="Contents3"/>
            <w:tabs>
              <w:tab w:val="clear" w:pos="8459"/>
              <w:tab w:val="right" w:pos="9026" w:leader="dot"/>
            </w:tabs>
            <w:rPr/>
          </w:pPr>
          <w:hyperlink w:anchor="__RefHeading___Toc1903123_581953129">
            <w:r>
              <w:rPr>
                <w:webHidden/>
                <w:rStyle w:val="IndexLink"/>
                <w:rtl w:val="true"/>
              </w:rPr>
              <w:t>اشاره</w:t>
            </w:r>
            <w:r>
              <w:rPr>
                <w:rStyle w:val="IndexLink"/>
                <w:rtl w:val="true"/>
              </w:rPr>
              <w:tab/>
            </w:r>
            <w:r>
              <w:rPr>
                <w:rStyle w:val="IndexLink"/>
              </w:rPr>
              <w:t>132</w:t>
            </w:r>
          </w:hyperlink>
        </w:p>
        <w:p>
          <w:pPr>
            <w:pStyle w:val="Contents3"/>
            <w:tabs>
              <w:tab w:val="clear" w:pos="8459"/>
              <w:tab w:val="right" w:pos="9026" w:leader="dot"/>
            </w:tabs>
            <w:rPr/>
          </w:pPr>
          <w:hyperlink w:anchor="__RefHeading___Toc1903125_581953129">
            <w:r>
              <w:rPr>
                <w:webHidden/>
                <w:rStyle w:val="IndexLink"/>
                <w:rtl w:val="true"/>
              </w:rPr>
              <w:t>چکیده</w:t>
            </w:r>
            <w:r>
              <w:rPr>
                <w:rStyle w:val="IndexLink"/>
                <w:rtl w:val="true"/>
              </w:rPr>
              <w:tab/>
            </w:r>
            <w:r>
              <w:rPr>
                <w:rStyle w:val="IndexLink"/>
              </w:rPr>
              <w:t>132</w:t>
            </w:r>
          </w:hyperlink>
        </w:p>
        <w:p>
          <w:pPr>
            <w:pStyle w:val="Contents3"/>
            <w:tabs>
              <w:tab w:val="clear" w:pos="8459"/>
              <w:tab w:val="right" w:pos="9026" w:leader="dot"/>
            </w:tabs>
            <w:rPr/>
          </w:pPr>
          <w:hyperlink w:anchor="__RefHeading___Toc1903127_581953129">
            <w:r>
              <w:rPr>
                <w:webHidden/>
                <w:rStyle w:val="IndexLink"/>
                <w:rtl w:val="true"/>
              </w:rPr>
              <w:t>مقدمه</w:t>
            </w:r>
            <w:r>
              <w:rPr>
                <w:rStyle w:val="IndexLink"/>
                <w:rtl w:val="true"/>
              </w:rPr>
              <w:tab/>
            </w:r>
            <w:r>
              <w:rPr>
                <w:rStyle w:val="IndexLink"/>
              </w:rPr>
              <w:t>133</w:t>
            </w:r>
          </w:hyperlink>
        </w:p>
        <w:p>
          <w:pPr>
            <w:pStyle w:val="Contents3"/>
            <w:tabs>
              <w:tab w:val="clear" w:pos="8459"/>
              <w:tab w:val="right" w:pos="9026" w:leader="dot"/>
            </w:tabs>
            <w:rPr/>
          </w:pPr>
          <w:hyperlink w:anchor="__RefHeading___Toc1903129_581953129">
            <w:r>
              <w:rPr>
                <w:webHidden/>
                <w:rStyle w:val="IndexLink"/>
                <w:rtl w:val="true"/>
              </w:rPr>
              <w:t>الف</w:t>
            </w:r>
            <w:r>
              <w:rPr>
                <w:rStyle w:val="IndexLink"/>
                <w:rtl w:val="true"/>
              </w:rPr>
              <w:t xml:space="preserve">) </w:t>
            </w:r>
            <w:r>
              <w:rPr>
                <w:rStyle w:val="IndexLink"/>
                <w:rtl w:val="true"/>
              </w:rPr>
              <w:t>علل و مبانی پیدایش خشونت در جوامع اسلامی</w:t>
            </w:r>
            <w:r>
              <w:rPr>
                <w:rStyle w:val="IndexLink"/>
                <w:rtl w:val="true"/>
              </w:rPr>
              <w:tab/>
            </w:r>
            <w:r>
              <w:rPr>
                <w:rStyle w:val="IndexLink"/>
              </w:rPr>
              <w:t>134</w:t>
            </w:r>
          </w:hyperlink>
        </w:p>
        <w:p>
          <w:pPr>
            <w:pStyle w:val="Contents4"/>
            <w:tabs>
              <w:tab w:val="clear" w:pos="8176"/>
              <w:tab w:val="right" w:pos="9026" w:leader="dot"/>
            </w:tabs>
            <w:rPr/>
          </w:pPr>
          <w:hyperlink w:anchor="__RefHeading___Toc1903131_581953129">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1903133_581953129">
            <w:r>
              <w:rPr>
                <w:webHidden/>
                <w:rStyle w:val="IndexLink"/>
              </w:rPr>
              <w:t>1</w:t>
            </w:r>
            <w:r>
              <w:rPr>
                <w:rStyle w:val="IndexLink"/>
                <w:rtl w:val="true"/>
              </w:rPr>
              <w:t xml:space="preserve">. </w:t>
            </w:r>
            <w:r>
              <w:rPr>
                <w:rStyle w:val="IndexLink"/>
                <w:rtl w:val="true"/>
              </w:rPr>
              <w:t>فقدان عدالت</w:t>
            </w:r>
            <w:r>
              <w:rPr>
                <w:rStyle w:val="IndexLink"/>
                <w:rtl w:val="true"/>
              </w:rPr>
              <w:tab/>
            </w:r>
            <w:r>
              <w:rPr>
                <w:rStyle w:val="IndexLink"/>
              </w:rPr>
              <w:t>135</w:t>
            </w:r>
          </w:hyperlink>
        </w:p>
        <w:p>
          <w:pPr>
            <w:pStyle w:val="Contents4"/>
            <w:tabs>
              <w:tab w:val="clear" w:pos="8176"/>
              <w:tab w:val="right" w:pos="9026" w:leader="dot"/>
            </w:tabs>
            <w:rPr/>
          </w:pPr>
          <w:hyperlink w:anchor="__RefHeading___Toc1903135_581953129">
            <w:r>
              <w:rPr>
                <w:webHidden/>
                <w:rStyle w:val="IndexLink"/>
              </w:rPr>
              <w:t>2</w:t>
            </w:r>
            <w:r>
              <w:rPr>
                <w:rStyle w:val="IndexLink"/>
                <w:rtl w:val="true"/>
              </w:rPr>
              <w:t xml:space="preserve">. </w:t>
            </w:r>
            <w:r>
              <w:rPr>
                <w:rStyle w:val="IndexLink"/>
                <w:rtl w:val="true"/>
              </w:rPr>
              <w:t>برداشت‌های ناصواب از آموزه‌های دینی</w:t>
            </w:r>
            <w:r>
              <w:rPr>
                <w:rStyle w:val="IndexLink"/>
                <w:rtl w:val="true"/>
              </w:rPr>
              <w:tab/>
            </w:r>
            <w:r>
              <w:rPr>
                <w:rStyle w:val="IndexLink"/>
              </w:rPr>
              <w:t>136</w:t>
            </w:r>
          </w:hyperlink>
        </w:p>
        <w:p>
          <w:pPr>
            <w:pStyle w:val="Contents4"/>
            <w:tabs>
              <w:tab w:val="clear" w:pos="8176"/>
              <w:tab w:val="right" w:pos="9026" w:leader="dot"/>
            </w:tabs>
            <w:rPr/>
          </w:pPr>
          <w:hyperlink w:anchor="__RefHeading___Toc1903137_581953129">
            <w:r>
              <w:rPr>
                <w:webHidden/>
                <w:rStyle w:val="IndexLink"/>
              </w:rPr>
              <w:t>3</w:t>
            </w:r>
            <w:r>
              <w:rPr>
                <w:rStyle w:val="IndexLink"/>
                <w:rtl w:val="true"/>
              </w:rPr>
              <w:t xml:space="preserve">. </w:t>
            </w:r>
            <w:r>
              <w:rPr>
                <w:rStyle w:val="IndexLink"/>
                <w:rtl w:val="true"/>
              </w:rPr>
              <w:t>رفتار حاکمان</w:t>
            </w:r>
            <w:r>
              <w:rPr>
                <w:rStyle w:val="IndexLink"/>
                <w:rtl w:val="true"/>
              </w:rPr>
              <w:tab/>
            </w:r>
            <w:r>
              <w:rPr>
                <w:rStyle w:val="IndexLink"/>
              </w:rPr>
              <w:t>137</w:t>
            </w:r>
          </w:hyperlink>
        </w:p>
        <w:p>
          <w:pPr>
            <w:pStyle w:val="Contents4"/>
            <w:tabs>
              <w:tab w:val="clear" w:pos="8176"/>
              <w:tab w:val="right" w:pos="9026" w:leader="dot"/>
            </w:tabs>
            <w:rPr/>
          </w:pPr>
          <w:hyperlink w:anchor="__RefHeading___Toc1903139_581953129">
            <w:r>
              <w:rPr>
                <w:webHidden/>
                <w:rStyle w:val="IndexLink"/>
              </w:rPr>
              <w:t>4</w:t>
            </w:r>
            <w:r>
              <w:rPr>
                <w:rStyle w:val="IndexLink"/>
                <w:rtl w:val="true"/>
              </w:rPr>
              <w:t xml:space="preserve">. </w:t>
            </w:r>
            <w:r>
              <w:rPr>
                <w:rStyle w:val="IndexLink"/>
                <w:rtl w:val="true"/>
              </w:rPr>
              <w:t>دخالت‌های بیگانگان</w:t>
            </w:r>
            <w:r>
              <w:rPr>
                <w:rStyle w:val="IndexLink"/>
                <w:rtl w:val="true"/>
              </w:rPr>
              <w:tab/>
            </w:r>
            <w:r>
              <w:rPr>
                <w:rStyle w:val="IndexLink"/>
              </w:rPr>
              <w:t>138</w:t>
            </w:r>
          </w:hyperlink>
        </w:p>
        <w:p>
          <w:pPr>
            <w:pStyle w:val="Contents3"/>
            <w:tabs>
              <w:tab w:val="clear" w:pos="8459"/>
              <w:tab w:val="right" w:pos="9026" w:leader="dot"/>
            </w:tabs>
            <w:rPr/>
          </w:pPr>
          <w:hyperlink w:anchor="__RefHeading___Toc1903141_581953129">
            <w:r>
              <w:rPr>
                <w:webHidden/>
                <w:rStyle w:val="IndexLink"/>
                <w:rtl w:val="true"/>
              </w:rPr>
              <w:t>ب</w:t>
            </w:r>
            <w:r>
              <w:rPr>
                <w:rStyle w:val="IndexLink"/>
                <w:rtl w:val="true"/>
              </w:rPr>
              <w:t xml:space="preserve">) </w:t>
            </w:r>
            <w:r>
              <w:rPr>
                <w:rStyle w:val="IndexLink"/>
                <w:rtl w:val="true"/>
              </w:rPr>
              <w:t>قوانین امنیتی اسلام در سایۀ اصول بازدارنده</w:t>
            </w:r>
            <w:r>
              <w:rPr>
                <w:rStyle w:val="IndexLink"/>
                <w:rtl w:val="true"/>
              </w:rPr>
              <w:tab/>
            </w:r>
            <w:r>
              <w:rPr>
                <w:rStyle w:val="IndexLink"/>
              </w:rPr>
              <w:t>141</w:t>
            </w:r>
          </w:hyperlink>
        </w:p>
        <w:p>
          <w:pPr>
            <w:pStyle w:val="Contents4"/>
            <w:tabs>
              <w:tab w:val="clear" w:pos="8176"/>
              <w:tab w:val="right" w:pos="9026" w:leader="dot"/>
            </w:tabs>
            <w:rPr/>
          </w:pPr>
          <w:hyperlink w:anchor="__RefHeading___Toc1903143_581953129">
            <w:r>
              <w:rPr>
                <w:webHidden/>
                <w:rStyle w:val="IndexLink"/>
                <w:rtl w:val="true"/>
              </w:rPr>
              <w:t>اشاره</w:t>
            </w:r>
            <w:r>
              <w:rPr>
                <w:rStyle w:val="IndexLink"/>
                <w:rtl w:val="true"/>
              </w:rPr>
              <w:tab/>
            </w:r>
            <w:r>
              <w:rPr>
                <w:rStyle w:val="IndexLink"/>
              </w:rPr>
              <w:t>141</w:t>
            </w:r>
          </w:hyperlink>
        </w:p>
        <w:p>
          <w:pPr>
            <w:pStyle w:val="Contents4"/>
            <w:tabs>
              <w:tab w:val="clear" w:pos="8176"/>
              <w:tab w:val="right" w:pos="9026" w:leader="dot"/>
            </w:tabs>
            <w:rPr/>
          </w:pPr>
          <w:hyperlink w:anchor="__RefHeading___Toc1903145_581953129">
            <w:r>
              <w:rPr>
                <w:webHidden/>
                <w:rStyle w:val="IndexLink"/>
              </w:rPr>
              <w:t>1</w:t>
            </w:r>
            <w:r>
              <w:rPr>
                <w:rStyle w:val="IndexLink"/>
                <w:rtl w:val="true"/>
              </w:rPr>
              <w:t xml:space="preserve">. </w:t>
            </w:r>
            <w:r>
              <w:rPr>
                <w:rStyle w:val="IndexLink"/>
                <w:rtl w:val="true"/>
              </w:rPr>
              <w:t>دفاع در مقابل تجاوز و اِشغال</w:t>
            </w:r>
            <w:r>
              <w:rPr>
                <w:rStyle w:val="IndexLink"/>
                <w:rtl w:val="true"/>
              </w:rPr>
              <w:tab/>
            </w:r>
            <w:r>
              <w:rPr>
                <w:rStyle w:val="IndexLink"/>
              </w:rPr>
              <w:t>142</w:t>
            </w:r>
          </w:hyperlink>
        </w:p>
        <w:p>
          <w:pPr>
            <w:pStyle w:val="Contents4"/>
            <w:tabs>
              <w:tab w:val="clear" w:pos="8176"/>
              <w:tab w:val="right" w:pos="9026" w:leader="dot"/>
            </w:tabs>
            <w:rPr/>
          </w:pPr>
          <w:hyperlink w:anchor="__RefHeading___Toc1903147_581953129">
            <w:r>
              <w:rPr>
                <w:webHidden/>
                <w:rStyle w:val="IndexLink"/>
              </w:rPr>
              <w:t>2</w:t>
            </w:r>
            <w:r>
              <w:rPr>
                <w:rStyle w:val="IndexLink"/>
                <w:rtl w:val="true"/>
              </w:rPr>
              <w:t xml:space="preserve">. </w:t>
            </w:r>
            <w:r>
              <w:rPr>
                <w:rStyle w:val="IndexLink"/>
                <w:rtl w:val="true"/>
              </w:rPr>
              <w:t>بازدارندگی از جرایم جمعی</w:t>
            </w:r>
            <w:r>
              <w:rPr>
                <w:rStyle w:val="IndexLink"/>
                <w:rtl w:val="true"/>
              </w:rPr>
              <w:tab/>
            </w:r>
            <w:r>
              <w:rPr>
                <w:rStyle w:val="IndexLink"/>
              </w:rPr>
              <w:t>142</w:t>
            </w:r>
          </w:hyperlink>
        </w:p>
        <w:p>
          <w:pPr>
            <w:pStyle w:val="Contents3"/>
            <w:tabs>
              <w:tab w:val="clear" w:pos="8459"/>
              <w:tab w:val="right" w:pos="9026" w:leader="dot"/>
            </w:tabs>
            <w:rPr/>
          </w:pPr>
          <w:hyperlink w:anchor="__RefHeading___Toc1903149_581953129">
            <w:r>
              <w:rPr>
                <w:webHidden/>
                <w:rStyle w:val="IndexLink"/>
                <w:rtl w:val="true"/>
              </w:rPr>
              <w:t>ج</w:t>
            </w:r>
            <w:r>
              <w:rPr>
                <w:rStyle w:val="IndexLink"/>
                <w:rtl w:val="true"/>
              </w:rPr>
              <w:t xml:space="preserve">) </w:t>
            </w:r>
            <w:r>
              <w:rPr>
                <w:rStyle w:val="IndexLink"/>
                <w:rtl w:val="true"/>
              </w:rPr>
              <w:t>سیرۀ پیامبراعظم صلی الله علیه و آله با اسیران</w:t>
            </w:r>
            <w:r>
              <w:rPr>
                <w:rStyle w:val="IndexLink"/>
                <w:rtl w:val="true"/>
              </w:rPr>
              <w:tab/>
            </w:r>
            <w:r>
              <w:rPr>
                <w:rStyle w:val="IndexLink"/>
              </w:rPr>
              <w:t>143</w:t>
            </w:r>
          </w:hyperlink>
        </w:p>
        <w:p>
          <w:pPr>
            <w:pStyle w:val="Contents4"/>
            <w:tabs>
              <w:tab w:val="clear" w:pos="8176"/>
              <w:tab w:val="right" w:pos="9026" w:leader="dot"/>
            </w:tabs>
            <w:rPr/>
          </w:pPr>
          <w:hyperlink w:anchor="__RefHeading___Toc1903151_58195312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1903153_581953129">
            <w:r>
              <w:rPr>
                <w:webHidden/>
                <w:rStyle w:val="IndexLink"/>
              </w:rPr>
              <w:t>1</w:t>
            </w:r>
            <w:r>
              <w:rPr>
                <w:rStyle w:val="IndexLink"/>
                <w:rtl w:val="true"/>
              </w:rPr>
              <w:t xml:space="preserve">. </w:t>
            </w:r>
            <w:r>
              <w:rPr>
                <w:rStyle w:val="IndexLink"/>
                <w:rtl w:val="true"/>
              </w:rPr>
              <w:t>رعایت حقوق اسیران</w:t>
            </w:r>
            <w:r>
              <w:rPr>
                <w:rStyle w:val="IndexLink"/>
                <w:rtl w:val="true"/>
              </w:rPr>
              <w:tab/>
            </w:r>
            <w:r>
              <w:rPr>
                <w:rStyle w:val="IndexLink"/>
              </w:rPr>
              <w:t>144</w:t>
            </w:r>
          </w:hyperlink>
        </w:p>
        <w:p>
          <w:pPr>
            <w:pStyle w:val="Contents4"/>
            <w:tabs>
              <w:tab w:val="clear" w:pos="8176"/>
              <w:tab w:val="right" w:pos="9026" w:leader="dot"/>
            </w:tabs>
            <w:rPr/>
          </w:pPr>
          <w:hyperlink w:anchor="__RefHeading___Toc1903155_581953129">
            <w:r>
              <w:rPr>
                <w:webHidden/>
                <w:rStyle w:val="IndexLink"/>
              </w:rPr>
              <w:t>2</w:t>
            </w:r>
            <w:r>
              <w:rPr>
                <w:rStyle w:val="IndexLink"/>
                <w:rtl w:val="true"/>
              </w:rPr>
              <w:t xml:space="preserve">. </w:t>
            </w:r>
            <w:r>
              <w:rPr>
                <w:rStyle w:val="IndexLink"/>
                <w:rtl w:val="true"/>
              </w:rPr>
              <w:t>آزاد کردن اسیران</w:t>
            </w:r>
            <w:r>
              <w:rPr>
                <w:rStyle w:val="IndexLink"/>
                <w:rtl w:val="true"/>
              </w:rPr>
              <w:tab/>
            </w:r>
            <w:r>
              <w:rPr>
                <w:rStyle w:val="IndexLink"/>
              </w:rPr>
              <w:t>145</w:t>
            </w:r>
          </w:hyperlink>
        </w:p>
        <w:p>
          <w:pPr>
            <w:pStyle w:val="Contents4"/>
            <w:tabs>
              <w:tab w:val="clear" w:pos="8176"/>
              <w:tab w:val="right" w:pos="9026" w:leader="dot"/>
            </w:tabs>
            <w:rPr/>
          </w:pPr>
          <w:hyperlink w:anchor="__RefHeading___Toc1903157_581953129">
            <w:r>
              <w:rPr>
                <w:webHidden/>
                <w:rStyle w:val="IndexLink"/>
              </w:rPr>
              <w:t>3</w:t>
            </w:r>
            <w:r>
              <w:rPr>
                <w:rStyle w:val="IndexLink"/>
                <w:rtl w:val="true"/>
              </w:rPr>
              <w:t xml:space="preserve">. </w:t>
            </w:r>
            <w:r>
              <w:rPr>
                <w:rStyle w:val="IndexLink"/>
                <w:rtl w:val="true"/>
              </w:rPr>
              <w:t>منع کشتن اسیران</w:t>
            </w:r>
            <w:r>
              <w:rPr>
                <w:rStyle w:val="IndexLink"/>
                <w:rtl w:val="true"/>
              </w:rPr>
              <w:tab/>
            </w:r>
            <w:r>
              <w:rPr>
                <w:rStyle w:val="IndexLink"/>
              </w:rPr>
              <w:t>146</w:t>
            </w:r>
          </w:hyperlink>
        </w:p>
        <w:p>
          <w:pPr>
            <w:pStyle w:val="Contents4"/>
            <w:tabs>
              <w:tab w:val="clear" w:pos="8176"/>
              <w:tab w:val="right" w:pos="9026" w:leader="dot"/>
            </w:tabs>
            <w:rPr/>
          </w:pPr>
          <w:hyperlink w:anchor="__RefHeading___Toc1903159_581953129">
            <w:r>
              <w:rPr>
                <w:webHidden/>
                <w:rStyle w:val="IndexLink"/>
              </w:rPr>
              <w:t>4</w:t>
            </w:r>
            <w:r>
              <w:rPr>
                <w:rStyle w:val="IndexLink"/>
                <w:rtl w:val="true"/>
              </w:rPr>
              <w:t xml:space="preserve">. </w:t>
            </w:r>
            <w:r>
              <w:rPr>
                <w:rStyle w:val="IndexLink"/>
                <w:rtl w:val="true"/>
              </w:rPr>
              <w:t>آزادی اسیران جنگ بدر</w:t>
            </w:r>
            <w:r>
              <w:rPr>
                <w:rStyle w:val="IndexLink"/>
                <w:rtl w:val="true"/>
              </w:rPr>
              <w:tab/>
            </w:r>
            <w:r>
              <w:rPr>
                <w:rStyle w:val="IndexLink"/>
              </w:rPr>
              <w:t>146</w:t>
            </w:r>
          </w:hyperlink>
        </w:p>
        <w:p>
          <w:pPr>
            <w:pStyle w:val="Contents3"/>
            <w:tabs>
              <w:tab w:val="clear" w:pos="8459"/>
              <w:tab w:val="right" w:pos="9026" w:leader="dot"/>
            </w:tabs>
            <w:rPr/>
          </w:pPr>
          <w:hyperlink w:anchor="__RefHeading___Toc1903161_581953129">
            <w:r>
              <w:rPr>
                <w:webHidden/>
                <w:rStyle w:val="IndexLink"/>
                <w:rtl w:val="true"/>
              </w:rPr>
              <w:t>د</w:t>
            </w:r>
            <w:r>
              <w:rPr>
                <w:rStyle w:val="IndexLink"/>
                <w:rtl w:val="true"/>
              </w:rPr>
              <w:t xml:space="preserve">) </w:t>
            </w:r>
            <w:r>
              <w:rPr>
                <w:rStyle w:val="IndexLink"/>
                <w:rtl w:val="true"/>
              </w:rPr>
              <w:t>سیرۀ امام‌علی علیه السلام با اسیران</w:t>
            </w:r>
            <w:r>
              <w:rPr>
                <w:rStyle w:val="IndexLink"/>
                <w:rtl w:val="true"/>
              </w:rPr>
              <w:tab/>
            </w:r>
            <w:r>
              <w:rPr>
                <w:rStyle w:val="IndexLink"/>
              </w:rPr>
              <w:t>148</w:t>
            </w:r>
          </w:hyperlink>
        </w:p>
        <w:p>
          <w:pPr>
            <w:pStyle w:val="Contents4"/>
            <w:tabs>
              <w:tab w:val="clear" w:pos="8176"/>
              <w:tab w:val="right" w:pos="9026" w:leader="dot"/>
            </w:tabs>
            <w:rPr/>
          </w:pPr>
          <w:hyperlink w:anchor="__RefHeading___Toc1903163_581953129">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1903165_581953129">
            <w:r>
              <w:rPr>
                <w:webHidden/>
                <w:rStyle w:val="IndexLink"/>
              </w:rPr>
              <w:t>1</w:t>
            </w:r>
            <w:r>
              <w:rPr>
                <w:rStyle w:val="IndexLink"/>
                <w:rtl w:val="true"/>
              </w:rPr>
              <w:t xml:space="preserve">. </w:t>
            </w:r>
            <w:r>
              <w:rPr>
                <w:rStyle w:val="IndexLink"/>
                <w:rtl w:val="true"/>
              </w:rPr>
              <w:t>منع مطلق از خون‌ریزی</w:t>
            </w:r>
            <w:r>
              <w:rPr>
                <w:rStyle w:val="IndexLink"/>
                <w:rtl w:val="true"/>
              </w:rPr>
              <w:tab/>
            </w:r>
            <w:r>
              <w:rPr>
                <w:rStyle w:val="IndexLink"/>
              </w:rPr>
              <w:t>149</w:t>
            </w:r>
          </w:hyperlink>
        </w:p>
        <w:p>
          <w:pPr>
            <w:pStyle w:val="Contents4"/>
            <w:tabs>
              <w:tab w:val="clear" w:pos="8176"/>
              <w:tab w:val="right" w:pos="9026" w:leader="dot"/>
            </w:tabs>
            <w:rPr/>
          </w:pPr>
          <w:hyperlink w:anchor="__RefHeading___Toc1903167_581953129">
            <w:r>
              <w:rPr>
                <w:webHidden/>
                <w:rStyle w:val="IndexLink"/>
              </w:rPr>
              <w:t>2</w:t>
            </w:r>
            <w:r>
              <w:rPr>
                <w:rStyle w:val="IndexLink"/>
                <w:rtl w:val="true"/>
              </w:rPr>
              <w:t xml:space="preserve">. </w:t>
            </w:r>
            <w:r>
              <w:rPr>
                <w:rStyle w:val="IndexLink"/>
                <w:rtl w:val="true"/>
              </w:rPr>
              <w:t>آزادی اسیران جنگ جمل</w:t>
            </w:r>
            <w:r>
              <w:rPr>
                <w:rStyle w:val="IndexLink"/>
                <w:rtl w:val="true"/>
              </w:rPr>
              <w:tab/>
            </w:r>
            <w:r>
              <w:rPr>
                <w:rStyle w:val="IndexLink"/>
              </w:rPr>
              <w:t>149</w:t>
            </w:r>
          </w:hyperlink>
        </w:p>
        <w:p>
          <w:pPr>
            <w:pStyle w:val="Contents4"/>
            <w:tabs>
              <w:tab w:val="clear" w:pos="8176"/>
              <w:tab w:val="right" w:pos="9026" w:leader="dot"/>
            </w:tabs>
            <w:rPr/>
          </w:pPr>
          <w:hyperlink w:anchor="__RefHeading___Toc1903169_581953129">
            <w:r>
              <w:rPr>
                <w:webHidden/>
                <w:rStyle w:val="IndexLink"/>
              </w:rPr>
              <w:t>3</w:t>
            </w:r>
            <w:r>
              <w:rPr>
                <w:rStyle w:val="IndexLink"/>
                <w:rtl w:val="true"/>
              </w:rPr>
              <w:t xml:space="preserve">. </w:t>
            </w:r>
            <w:r>
              <w:rPr>
                <w:rStyle w:val="IndexLink"/>
                <w:rtl w:val="true"/>
              </w:rPr>
              <w:t>آزادی اسیران جنگ صفین</w:t>
            </w:r>
            <w:r>
              <w:rPr>
                <w:rStyle w:val="IndexLink"/>
                <w:rtl w:val="true"/>
              </w:rPr>
              <w:tab/>
            </w:r>
            <w:r>
              <w:rPr>
                <w:rStyle w:val="IndexLink"/>
              </w:rPr>
              <w:t>151</w:t>
            </w:r>
          </w:hyperlink>
        </w:p>
        <w:p>
          <w:pPr>
            <w:pStyle w:val="Contents4"/>
            <w:tabs>
              <w:tab w:val="clear" w:pos="8176"/>
              <w:tab w:val="right" w:pos="9026" w:leader="dot"/>
            </w:tabs>
            <w:rPr/>
          </w:pPr>
          <w:hyperlink w:anchor="__RefHeading___Toc1903171_581953129">
            <w:r>
              <w:rPr>
                <w:webHidden/>
                <w:rStyle w:val="IndexLink"/>
              </w:rPr>
              <w:t>4</w:t>
            </w:r>
            <w:r>
              <w:rPr>
                <w:rStyle w:val="IndexLink"/>
                <w:rtl w:val="true"/>
              </w:rPr>
              <w:t xml:space="preserve">. </w:t>
            </w:r>
            <w:r>
              <w:rPr>
                <w:rStyle w:val="IndexLink"/>
                <w:rtl w:val="true"/>
              </w:rPr>
              <w:t>جنگ جمل و کشته‌های آن</w:t>
            </w:r>
            <w:r>
              <w:rPr>
                <w:rStyle w:val="IndexLink"/>
                <w:rtl w:val="true"/>
              </w:rPr>
              <w:tab/>
            </w:r>
            <w:r>
              <w:rPr>
                <w:rStyle w:val="IndexLink"/>
              </w:rPr>
              <w:t>153</w:t>
            </w:r>
          </w:hyperlink>
        </w:p>
        <w:p>
          <w:pPr>
            <w:pStyle w:val="Contents4"/>
            <w:tabs>
              <w:tab w:val="clear" w:pos="8176"/>
              <w:tab w:val="right" w:pos="9026" w:leader="dot"/>
            </w:tabs>
            <w:rPr/>
          </w:pPr>
          <w:hyperlink w:anchor="__RefHeading___Toc1903173_581953129">
            <w:r>
              <w:rPr>
                <w:webHidden/>
                <w:rStyle w:val="IndexLink"/>
              </w:rPr>
              <w:t>5</w:t>
            </w:r>
            <w:r>
              <w:rPr>
                <w:rStyle w:val="IndexLink"/>
                <w:rtl w:val="true"/>
              </w:rPr>
              <w:t xml:space="preserve">. </w:t>
            </w:r>
            <w:r>
              <w:rPr>
                <w:rStyle w:val="IndexLink"/>
                <w:rtl w:val="true"/>
              </w:rPr>
              <w:t>واقعۀ لیلةالهریر و کشته‌های آن</w:t>
            </w:r>
            <w:r>
              <w:rPr>
                <w:rStyle w:val="IndexLink"/>
                <w:rtl w:val="true"/>
              </w:rPr>
              <w:tab/>
            </w:r>
            <w:r>
              <w:rPr>
                <w:rStyle w:val="IndexLink"/>
              </w:rPr>
              <w:t>155</w:t>
            </w:r>
          </w:hyperlink>
        </w:p>
        <w:p>
          <w:pPr>
            <w:pStyle w:val="Contents4"/>
            <w:tabs>
              <w:tab w:val="clear" w:pos="8176"/>
              <w:tab w:val="right" w:pos="9026" w:leader="dot"/>
            </w:tabs>
            <w:rPr/>
          </w:pPr>
          <w:hyperlink w:anchor="__RefHeading___Toc1903175_581953129">
            <w:r>
              <w:rPr>
                <w:webHidden/>
                <w:rStyle w:val="IndexLink"/>
              </w:rPr>
              <w:t>6</w:t>
            </w:r>
            <w:r>
              <w:rPr>
                <w:rStyle w:val="IndexLink"/>
                <w:rtl w:val="true"/>
              </w:rPr>
              <w:t xml:space="preserve">. </w:t>
            </w:r>
            <w:r>
              <w:rPr>
                <w:rStyle w:val="IndexLink"/>
                <w:rtl w:val="true"/>
              </w:rPr>
              <w:t>جنگ نهروان و کشته‌های آن</w:t>
            </w:r>
            <w:r>
              <w:rPr>
                <w:rStyle w:val="IndexLink"/>
                <w:rtl w:val="true"/>
              </w:rPr>
              <w:tab/>
            </w:r>
            <w:r>
              <w:rPr>
                <w:rStyle w:val="IndexLink"/>
              </w:rPr>
              <w:t>156</w:t>
            </w:r>
          </w:hyperlink>
        </w:p>
        <w:p>
          <w:pPr>
            <w:pStyle w:val="Contents3"/>
            <w:tabs>
              <w:tab w:val="clear" w:pos="8459"/>
              <w:tab w:val="right" w:pos="9026" w:leader="dot"/>
            </w:tabs>
            <w:rPr/>
          </w:pPr>
          <w:hyperlink w:anchor="__RefHeading___Toc1903177_581953129">
            <w:r>
              <w:rPr>
                <w:webHidden/>
                <w:rStyle w:val="IndexLink"/>
                <w:rtl w:val="true"/>
              </w:rPr>
              <w:t>نتیجه</w:t>
            </w:r>
            <w:r>
              <w:rPr>
                <w:rStyle w:val="IndexLink"/>
                <w:rtl w:val="true"/>
              </w:rPr>
              <w:tab/>
            </w:r>
            <w:r>
              <w:rPr>
                <w:rStyle w:val="IndexLink"/>
              </w:rPr>
              <w:t>158</w:t>
            </w:r>
          </w:hyperlink>
        </w:p>
        <w:p>
          <w:pPr>
            <w:pStyle w:val="Contents3"/>
            <w:tabs>
              <w:tab w:val="clear" w:pos="8459"/>
              <w:tab w:val="right" w:pos="9026" w:leader="dot"/>
            </w:tabs>
            <w:rPr/>
          </w:pPr>
          <w:hyperlink w:anchor="__RefHeading___Toc1903179_581953129">
            <w:r>
              <w:rPr>
                <w:webHidden/>
                <w:rStyle w:val="IndexLink"/>
                <w:rtl w:val="true"/>
              </w:rPr>
              <w:t>فهرست منابع</w:t>
            </w:r>
            <w:r>
              <w:rPr>
                <w:rStyle w:val="IndexLink"/>
                <w:rtl w:val="true"/>
              </w:rPr>
              <w:tab/>
            </w:r>
            <w:r>
              <w:rPr>
                <w:rStyle w:val="IndexLink"/>
              </w:rPr>
              <w:t>160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44_51395"/>
      <w:bookmarkStart w:id="1" w:name="pg5444_51395"/>
      <w:bookmarkEnd w:id="1"/>
    </w:p>
    <w:p>
      <w:pPr>
        <w:pStyle w:val="Heading2"/>
        <w:numPr>
          <w:ilvl w:val="1"/>
          <w:numId w:val="1"/>
        </w:numPr>
        <w:rPr/>
      </w:pPr>
      <w:bookmarkStart w:id="2" w:name="pg5444_51395"/>
      <w:bookmarkStart w:id="3" w:name="__RefHeading___Toc1902931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پاسخ</w:t>
      </w:r>
    </w:p>
    <w:p>
      <w:pPr>
        <w:pStyle w:val="BookText"/>
        <w:rPr/>
      </w:pPr>
      <w:r>
        <w:rPr>
          <w:rFonts w:ascii="IRNazanin" w:hAnsi="IRNazanin" w:eastAsia="IRNazanin"/>
          <w:color w:val="111111"/>
          <w:sz w:val="28"/>
          <w:sz w:val="28"/>
          <w:szCs w:val="28"/>
          <w:rtl w:val="true"/>
          <w:lang w:bidi="fa-IR"/>
        </w:rPr>
        <w:t>سال اول، شماره چهارم، فصل زمستان</w:t>
      </w:r>
    </w:p>
    <w:p>
      <w:pPr>
        <w:pStyle w:val="BookText"/>
        <w:rPr/>
      </w:pP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مطالعات و پاسخگویی به شبهات</w:t>
      </w:r>
    </w:p>
    <w:p>
      <w:pPr>
        <w:pStyle w:val="BookText"/>
        <w:rPr/>
      </w:pPr>
      <w:r>
        <w:rPr>
          <w:rFonts w:ascii="IRNazanin" w:hAnsi="IRNazanin" w:eastAsia="IRNazanin"/>
          <w:color w:val="111111"/>
          <w:sz w:val="28"/>
          <w:sz w:val="28"/>
          <w:szCs w:val="28"/>
          <w:rtl w:val="true"/>
          <w:lang w:bidi="fa-IR"/>
        </w:rPr>
        <w:t>مدیر 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رضایی مهر</w:t>
      </w:r>
    </w:p>
    <w:p>
      <w:pPr>
        <w:pStyle w:val="BookText"/>
        <w:rPr/>
      </w:pPr>
      <w:r>
        <w:rPr>
          <w:rFonts w:ascii="IRNazanin" w:hAnsi="IRNazanin" w:eastAsia="IRNazanin"/>
          <w:color w:val="111111"/>
          <w:sz w:val="28"/>
          <w:sz w:val="28"/>
          <w:szCs w:val="28"/>
          <w:rtl w:val="true"/>
          <w:lang w:bidi="fa-IR"/>
        </w:rPr>
        <w:t>سرپرست سردبیری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حسن‌رضا رضایی</w:t>
      </w:r>
    </w:p>
    <w:p>
      <w:pPr>
        <w:pStyle w:val="BookText"/>
        <w:rPr/>
      </w:pPr>
      <w:r>
        <w:rPr>
          <w:rFonts w:ascii="IRNazanin" w:hAnsi="IRNazanin" w:eastAsia="IRNazanin"/>
          <w:color w:val="111111"/>
          <w:sz w:val="28"/>
          <w:sz w:val="28"/>
          <w:szCs w:val="28"/>
          <w:rtl w:val="true"/>
          <w:lang w:bidi="fa-IR"/>
        </w:rPr>
        <w:t>مدیر اجرایی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محمدکاظم حسینی کوهساری</w:t>
      </w:r>
    </w:p>
    <w:p>
      <w:pPr>
        <w:pStyle w:val="BookText"/>
        <w:rPr/>
      </w:pPr>
      <w:r>
        <w:rPr>
          <w:rFonts w:ascii="IRNazanin" w:hAnsi="IRNazanin" w:eastAsia="IRNazanin"/>
          <w:color w:val="111111"/>
          <w:sz w:val="28"/>
          <w:sz w:val="28"/>
          <w:szCs w:val="28"/>
          <w:rtl w:val="true"/>
          <w:lang w:bidi="fa-IR"/>
        </w:rPr>
        <w:t>صفحه‌آرا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ناصری</w:t>
      </w:r>
    </w:p>
    <w:p>
      <w:pPr>
        <w:pStyle w:val="BookText"/>
        <w:rPr/>
      </w:pPr>
      <w:r>
        <w:rPr>
          <w:rFonts w:ascii="IRNazanin" w:hAnsi="IRNazanin" w:eastAsia="IRNazanin"/>
          <w:color w:val="111111"/>
          <w:sz w:val="28"/>
          <w:sz w:val="28"/>
          <w:szCs w:val="28"/>
          <w:rtl w:val="true"/>
          <w:lang w:bidi="fa-IR"/>
        </w:rPr>
        <w:t xml:space="preserve">هیئت تحریریه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حروف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محمدجواد ارسطا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پردیس فارابی دانشگاه تهران</w:t>
      </w:r>
    </w:p>
    <w:p>
      <w:pPr>
        <w:pStyle w:val="BookText"/>
        <w:rPr/>
      </w:pPr>
      <w:r>
        <w:rPr>
          <w:rFonts w:ascii="IRNazanin" w:hAnsi="IRNazanin" w:eastAsia="IRNazanin"/>
          <w:color w:val="111111"/>
          <w:sz w:val="28"/>
          <w:sz w:val="28"/>
          <w:szCs w:val="28"/>
          <w:rtl w:val="true"/>
          <w:lang w:bidi="fa-IR"/>
        </w:rPr>
        <w:t>عزالدین رضانژاد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جامعةالمصطفی صلی الله علیه و آله العالمیه</w:t>
      </w:r>
    </w:p>
    <w:p>
      <w:pPr>
        <w:pStyle w:val="BookText"/>
        <w:rPr/>
      </w:pPr>
      <w:r>
        <w:rPr>
          <w:rFonts w:ascii="IRNazanin" w:hAnsi="IRNazanin" w:eastAsia="IRNazanin"/>
          <w:color w:val="111111"/>
          <w:sz w:val="28"/>
          <w:sz w:val="28"/>
          <w:szCs w:val="28"/>
          <w:rtl w:val="true"/>
          <w:lang w:bidi="fa-IR"/>
        </w:rPr>
        <w:t>حسن رضائی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جامعةالمصطفی صلی الله علیه و آله العالمیه</w:t>
      </w:r>
    </w:p>
    <w:p>
      <w:pPr>
        <w:pStyle w:val="BookText"/>
        <w:rPr/>
      </w:pPr>
      <w:r>
        <w:rPr>
          <w:rFonts w:ascii="IRNazanin" w:hAnsi="IRNazanin" w:eastAsia="IRNazanin"/>
          <w:color w:val="111111"/>
          <w:sz w:val="28"/>
          <w:sz w:val="28"/>
          <w:szCs w:val="28"/>
          <w:rtl w:val="true"/>
          <w:lang w:bidi="fa-IR"/>
        </w:rPr>
        <w:t>رسول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استادیار دانشگاه قرآن و حدیث</w:t>
      </w:r>
    </w:p>
    <w:p>
      <w:pPr>
        <w:pStyle w:val="BookText"/>
        <w:rPr/>
      </w:pPr>
      <w:r>
        <w:rPr>
          <w:rFonts w:ascii="IRNazanin" w:hAnsi="IRNazanin" w:eastAsia="IRNazanin"/>
          <w:color w:val="111111"/>
          <w:sz w:val="28"/>
          <w:sz w:val="28"/>
          <w:szCs w:val="28"/>
          <w:rtl w:val="true"/>
          <w:lang w:bidi="fa-IR"/>
        </w:rPr>
        <w:t>محمدجواد زارعان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موسسه آموزشی و پژوهشی امام‌خمینی رحمة الله</w:t>
      </w:r>
    </w:p>
    <w:p>
      <w:pPr>
        <w:pStyle w:val="BookText"/>
        <w:rPr/>
      </w:pPr>
      <w:r>
        <w:rPr>
          <w:rFonts w:ascii="IRNazanin" w:hAnsi="IRNazanin" w:eastAsia="IRNazanin"/>
          <w:color w:val="111111"/>
          <w:sz w:val="28"/>
          <w:sz w:val="28"/>
          <w:szCs w:val="28"/>
          <w:rtl w:val="true"/>
          <w:lang w:bidi="fa-IR"/>
        </w:rPr>
        <w:t>حسن معلمی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دانشیار دانشگاه باقر العلوم علیه السلام</w:t>
      </w:r>
    </w:p>
    <w:p>
      <w:pPr>
        <w:pStyle w:val="BookText"/>
        <w:rPr/>
      </w:pPr>
      <w:r>
        <w:rPr>
          <w:rFonts w:ascii="IRNazanin" w:hAnsi="IRNazanin" w:eastAsia="IRNazanin"/>
          <w:color w:val="111111"/>
          <w:sz w:val="28"/>
          <w:sz w:val="28"/>
          <w:szCs w:val="28"/>
          <w:rtl w:val="true"/>
          <w:lang w:bidi="fa-IR"/>
        </w:rPr>
        <w:t>سیدرضا مؤدب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دانشگاه قم</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خیابان معلم، کوچه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جنب جامعه مدرسین حوزه علمیه قم، پلاک</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داخلی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eastAsia="IRNazanin" w:cs="IRNazanin"/>
          <w:color w:val="111111"/>
          <w:sz w:val="28"/>
          <w:szCs w:val="28"/>
          <w:lang w:bidi="fa-IR"/>
        </w:rPr>
        <w:t>37737217</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دور نگار </w:t>
      </w:r>
      <w:r>
        <w:rPr>
          <w:rFonts w:eastAsia="IRNazanin" w:cs="IRNazanin"/>
          <w:color w:val="111111"/>
          <w:sz w:val="28"/>
          <w:szCs w:val="28"/>
          <w:rtl w:val="true"/>
          <w:lang w:bidi="fa-IR"/>
        </w:rPr>
        <w:t xml:space="preserve">: </w:t>
      </w:r>
      <w:r>
        <w:rPr>
          <w:rFonts w:eastAsia="IRNazanin" w:cs="IRNazanin"/>
          <w:color w:val="111111"/>
          <w:sz w:val="28"/>
          <w:szCs w:val="28"/>
          <w:lang w:bidi="fa-IR"/>
        </w:rPr>
        <w:t>37737213</w:t>
      </w:r>
      <w:r>
        <w:rPr>
          <w:rFonts w:eastAsia="IRNazanin" w:cs="IRNazanin"/>
          <w:color w:val="111111"/>
          <w:sz w:val="28"/>
          <w:szCs w:val="28"/>
          <w:rtl w:val="true"/>
          <w:lang w:bidi="fa-IR"/>
        </w:rPr>
        <w:t xml:space="preserve"> - </w:t>
      </w:r>
      <w:r>
        <w:rPr>
          <w:rFonts w:eastAsia="IRNazanin" w:cs="IRNazanin"/>
          <w:color w:val="111111"/>
          <w:sz w:val="28"/>
          <w:szCs w:val="28"/>
          <w:lang w:bidi="fa-IR"/>
        </w:rPr>
        <w:t>025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صندوق پستی</w:t>
      </w:r>
      <w:r>
        <w:rPr>
          <w:rFonts w:eastAsia="IRNazanin" w:cs="IRNazanin"/>
          <w:color w:val="111111"/>
          <w:sz w:val="28"/>
          <w:szCs w:val="28"/>
          <w:rtl w:val="true"/>
          <w:lang w:bidi="fa-IR"/>
        </w:rPr>
        <w:t xml:space="preserve">: </w:t>
      </w:r>
      <w:r>
        <w:rPr>
          <w:rFonts w:eastAsia="IRNazanin" w:cs="IRNazanin"/>
          <w:color w:val="111111"/>
          <w:sz w:val="28"/>
          <w:szCs w:val="28"/>
          <w:lang w:bidi="fa-IR"/>
        </w:rPr>
        <w:t>4466</w:t>
      </w:r>
      <w:r>
        <w:rPr>
          <w:rFonts w:eastAsia="IRNazanin" w:cs="IRNazanin"/>
          <w:color w:val="111111"/>
          <w:sz w:val="28"/>
          <w:szCs w:val="28"/>
          <w:rtl w:val="true"/>
          <w:lang w:bidi="fa-IR"/>
        </w:rPr>
        <w:t xml:space="preserve"> - </w:t>
      </w:r>
      <w:r>
        <w:rPr>
          <w:rFonts w:eastAsia="IRNazanin" w:cs="IRNazanin"/>
          <w:color w:val="111111"/>
          <w:sz w:val="28"/>
          <w:szCs w:val="28"/>
          <w:lang w:bidi="fa-IR"/>
        </w:rPr>
        <w:t>37185</w:t>
      </w:r>
    </w:p>
    <w:p>
      <w:pPr>
        <w:pStyle w:val="BookText"/>
        <w:rPr/>
      </w:pPr>
      <w:r>
        <w:rPr>
          <w:rFonts w:ascii="IRNazanin" w:hAnsi="IRNazanin" w:eastAsia="IRNazanin"/>
          <w:color w:val="111111"/>
          <w:sz w:val="28"/>
          <w:sz w:val="28"/>
          <w:szCs w:val="28"/>
          <w:rtl w:val="true"/>
          <w:lang w:bidi="fa-IR"/>
        </w:rPr>
        <w:t>آدرس الکترونیکی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info@</w:t>
        <w:softHyphen/>
        <w:softHyphen/>
        <w:t>ntpasokh.com</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مطالب فصلنامه با ذکر ماخذ بلا مانع است </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02933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راهنمای تهیه و تدوین مقالات</w:t>
      </w:r>
    </w:p>
    <w:p>
      <w:pPr>
        <w:pStyle w:val="BookText"/>
        <w:rPr/>
      </w:pPr>
      <w:r>
        <w:rPr>
          <w:rFonts w:ascii="IRNazanin" w:hAnsi="IRNazanin" w:eastAsia="IRNazanin"/>
          <w:color w:val="111111"/>
          <w:sz w:val="28"/>
          <w:sz w:val="28"/>
          <w:szCs w:val="28"/>
          <w:rtl w:val="true"/>
          <w:lang w:bidi="fa-IR"/>
        </w:rPr>
        <w:t xml:space="preserve">برای فصلنامه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تخصصی پاسخ مرکز مطالعات و پاسخگویی به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ساختار کلی مقاله</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 تدوین متن مقاله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گویا، رسا و ناظر به محتوای مقاله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مشخصات 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نام خانوادگی، رتبه علمی، تحصیلات، رشته، شماره تلفن و نشانی الکترونیکی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چکیده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مقاله است و باید بین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بیان مسئله یا موضوع، قلمرو بحث، قلمرو منابع، اشاره به دستاورد‌ها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کلید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واژه کلیدی که نقش محوری در متن اصلی مقاله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خلاصه‌ای از بیان مسئله، اهمیت موضوع، اهداف پژوهش سوال‌های پژوهش و پیشینه پژوهش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بدنه اصلی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ساماندهی بدنه اصلی مقاله لازم است به موارد زیر پرداخته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توصیف و تحلیل ماهیت، ابعاد و زوایای مسئله، نقد و ارزیابی نظریات رقیب به طور مستدل، تبیین نظریه پذیرفته شده، تقسیم مطالب در قالب محورهای مشخص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یافته‌های حاصل از پژوهش با اهداف درنظرگرفته شده از انجام پژوهش، مقاله و مقایسه نتایج پژوهش با یافته‌های پژوهش‌های مرتبط پیشنهاد تحقیق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ارجاعات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شیوه درون متنی تنظیم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خانوادگی مولف، سال نشر، شماره جلد و صفحه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چنین استناد به کتب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تورات،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 سوره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موضوعه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شماره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نویسندگان خارجی به فارسی نوشته شده و از زیر نویس کردن معادل انگلیسی آنها خودداری 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خانوادگی، نام، عنوان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و نام خانوادگی مترجم، مصحح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نوبت چاپ، محل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سال انتشار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نویسنده، عنوان مقاله، نام مترجم، نام مجله، شماره مجله، سال انتشار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خانوادگی، نام، عنوان پایان‌نامه، رشته، دانشکده، نام دانشگاه، نام کشور، سال دفاع</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جداگانه و به ترتیب از ابتدا تا انتها شمارهگذاری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صفحه بندی و نگارش مقاله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تعداد صفحات مقالات، حداقل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حداکثر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Times New Roman" w:cs="Times New Roman" w:ascii="Times New Roman" w:hAnsi="Times New Roman"/>
          <w:color w:val="111111"/>
          <w:sz w:val="28"/>
          <w:szCs w:val="28"/>
          <w:lang w:val="en-US" w:bidi="en-US"/>
        </w:rPr>
        <w:t>A4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با رعایت صفحه‌بندی موارد زیر قابل ارزیابی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مقاله باید در محیط نرم افزار </w:t>
      </w:r>
      <w:r>
        <w:rPr>
          <w:rFonts w:eastAsia="Times New Roman" w:cs="Times New Roman" w:ascii="Times New Roman" w:hAnsi="Times New Roman"/>
          <w:color w:val="111111"/>
          <w:sz w:val="28"/>
          <w:szCs w:val="28"/>
          <w:lang w:val="en-US" w:bidi="en-US"/>
        </w:rPr>
        <w:t>Microsoft office word 2007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ویرایشهای بالاتر ازآن تایپ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اندازهها از حاشیه صفحه، بالای صفحه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پایین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سمت چپ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سمت راست صفحه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تنظیم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آگاهی از نوع و سبک و اندازه قلم در نگارش مقاله به پایگاه نشریه الکترونیکی پاسخ به نشانی </w:t>
      </w:r>
      <w:r>
        <w:rPr>
          <w:rFonts w:eastAsia="Times New Roman" w:cs="Times New Roman" w:ascii="Times New Roman" w:hAnsi="Times New Roman"/>
          <w:color w:val="111111"/>
          <w:sz w:val="28"/>
          <w:szCs w:val="28"/>
          <w:lang w:val="en-US" w:bidi="en-US"/>
        </w:rPr>
        <w:t>www.ntpasokh.com</w:t>
      </w:r>
      <w:r>
        <w:rPr>
          <w:rFonts w:ascii="IRNazanin" w:hAnsi="IRNazanin" w:eastAsia="IRNazanin"/>
          <w:color w:val="111111"/>
          <w:sz w:val="28"/>
          <w:sz w:val="28"/>
          <w:szCs w:val="28"/>
          <w:rtl w:val="true"/>
          <w:lang w:bidi="fa-IR"/>
        </w:rPr>
        <w:t>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مهم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مقاله‌های ارسالی نباید در هیچ کتاب یا مجله دیگری چاپ شده باشند و یا به طور هم‌زمان برای کنفرانس‌ها و همایش‌های داخلی و خارجی ارسال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مقالات دریافت شده عودت داده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فصلنامه مقالاتی انتشار مییابد که در راستای پاسخ به شبهات نگاشته شده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 مقاله در فصلنامه منوط به تائید داوران می‌باشد و فصلنامه در ویرایش و تلخیص مقالات ارسالی آزاد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نسخه</w:t>
      </w:r>
      <w:r>
        <w:rPr>
          <w:rFonts w:eastAsia="Times New Roman" w:cs="Times New Roman" w:ascii="Times New Roman" w:hAnsi="Times New Roman"/>
          <w:color w:val="111111"/>
          <w:sz w:val="28"/>
          <w:szCs w:val="28"/>
          <w:lang w:val="en-US" w:bidi="en-US"/>
        </w:rPr>
        <w:t>word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w:t>
      </w:r>
      <w:r>
        <w:rPr>
          <w:rFonts w:eastAsia="Times New Roman" w:cs="Times New Roman" w:ascii="Times New Roman" w:hAnsi="Times New Roman"/>
          <w:color w:val="111111"/>
          <w:sz w:val="28"/>
          <w:szCs w:val="28"/>
          <w:lang w:val="en-US" w:bidi="en-US"/>
        </w:rPr>
        <w:t>pdf</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مقاله باید از طریق پست الکترونیکی به دفتر مجله ارسال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پذیرش صرفا پس از انجام اصلاحات مورد نظر داوران توسط نویسنده صادر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مقالات رسیده توسط سردبیر بررسی و پس از تایید، برای چاپ آماده میگردد</w:t>
      </w:r>
      <w:r>
        <w:rPr>
          <w:rFonts w:eastAsia="IRNazanin" w:cs="IRNazanin"/>
          <w:color w:val="111111"/>
          <w:sz w:val="28"/>
          <w:szCs w:val="28"/>
          <w:rtl w:val="true"/>
          <w:lang w:bidi="fa-IR"/>
        </w:rPr>
        <w:t xml:space="preserve">. </w:t>
      </w:r>
      <w:bookmarkStart w:id="7" w:name="pg5444_51399"/>
    </w:p>
    <w:p>
      <w:pPr>
        <w:pStyle w:val="Heading2"/>
        <w:numPr>
          <w:ilvl w:val="1"/>
          <w:numId w:val="1"/>
        </w:numPr>
        <w:rPr/>
      </w:pPr>
      <w:bookmarkStart w:id="8" w:name="__RefHeading___Toc1902935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رهیافتی به منظومة فکری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حوزة پاسخگویی به سؤالات و شبهات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مطالعات و پاسخگویی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حوزة علمیه قم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تکفیر و پروژه سرزمین سوخته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خاورمیانه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گفتگو</w:t>
      </w:r>
    </w:p>
    <w:p>
      <w:pPr>
        <w:pStyle w:val="BookText"/>
        <w:rPr/>
      </w:pPr>
      <w:r>
        <w:rPr>
          <w:rFonts w:ascii="IRNazanin" w:hAnsi="IRNazanin" w:eastAsia="IRNazanin"/>
          <w:color w:val="111111"/>
          <w:sz w:val="28"/>
          <w:sz w:val="28"/>
          <w:szCs w:val="28"/>
          <w:rtl w:val="true"/>
          <w:lang w:bidi="fa-IR"/>
        </w:rPr>
        <w:t xml:space="preserve">مهدی فرمانیان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آراء و اندیشه‌های گروه رام‌الله در بوتۀ نقد</w:t>
      </w:r>
    </w:p>
    <w:p>
      <w:pPr>
        <w:pStyle w:val="BookText"/>
        <w:rPr/>
      </w:pPr>
      <w:r>
        <w:rPr>
          <w:rFonts w:ascii="IRNazanin" w:hAnsi="IRNazanin" w:eastAsia="IRNazanin"/>
          <w:color w:val="111111"/>
          <w:sz w:val="28"/>
          <w:sz w:val="28"/>
          <w:szCs w:val="28"/>
          <w:rtl w:val="true"/>
          <w:lang w:bidi="fa-IR"/>
        </w:rPr>
        <w:t xml:space="preserve">حمید کریمی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بررسی و نقد دیدگاه‌های جامعه‌شناختی الحادی دربارۀ منشأ دین</w:t>
      </w:r>
    </w:p>
    <w:p>
      <w:pPr>
        <w:pStyle w:val="BookText"/>
        <w:rPr/>
      </w:pPr>
      <w:r>
        <w:rPr>
          <w:rFonts w:ascii="IRNazanin" w:hAnsi="IRNazanin" w:eastAsia="IRNazanin"/>
          <w:color w:val="111111"/>
          <w:sz w:val="28"/>
          <w:sz w:val="28"/>
          <w:szCs w:val="28"/>
          <w:rtl w:val="true"/>
          <w:lang w:bidi="fa-IR"/>
        </w:rPr>
        <w:t xml:space="preserve">عبدالحسین خسروپناه و محمود امیریان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نگاهی انتقادی به وجوب پرداخت مکرر خمس اموال</w:t>
      </w:r>
    </w:p>
    <w:p>
      <w:pPr>
        <w:pStyle w:val="BookText"/>
        <w:rPr/>
      </w:pPr>
      <w:r>
        <w:rPr>
          <w:rFonts w:ascii="IRNazanin" w:hAnsi="IRNazanin" w:eastAsia="IRNazanin"/>
          <w:color w:val="111111"/>
          <w:sz w:val="28"/>
          <w:sz w:val="28"/>
          <w:szCs w:val="28"/>
          <w:rtl w:val="true"/>
          <w:lang w:bidi="fa-IR"/>
        </w:rPr>
        <w:t>سیدمصطفی سجادی</w:t>
      </w:r>
    </w:p>
    <w:p>
      <w:pPr>
        <w:pStyle w:val="BookText"/>
        <w:rPr/>
      </w:pPr>
      <w:r>
        <w:rPr>
          <w:rFonts w:eastAsia="Times New Roman" w:cs="Times New Roman" w:ascii="Times New Roman" w:hAnsi="Times New Roman"/>
          <w:color w:val="111111"/>
          <w:sz w:val="28"/>
          <w:szCs w:val="28"/>
          <w:lang w:val="en-US" w:bidi="en-US"/>
        </w:rPr>
        <w:t>87</w:t>
      </w:r>
    </w:p>
    <w:p>
      <w:pPr>
        <w:pStyle w:val="BookText"/>
        <w:rPr/>
      </w:pPr>
      <w:r>
        <w:rPr>
          <w:rFonts w:ascii="IRNazanin" w:hAnsi="IRNazanin" w:eastAsia="IRNazanin"/>
          <w:color w:val="111111"/>
          <w:sz w:val="28"/>
          <w:sz w:val="28"/>
          <w:szCs w:val="28"/>
          <w:rtl w:val="true"/>
          <w:lang w:bidi="fa-IR"/>
        </w:rPr>
        <w:t xml:space="preserve">اثبات علوم دنیایی پیامبر صلی الله علیه و آله با تکیه بر نقد حدیث تأبیر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گرده‌افشانی درختان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مرادخانی و حسن‌رضا رضایی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خشونت‌های تکفیری و بررسی انطباق آن با سیرۀ نبوی و علوی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یدالله حاجی‌زاده و امیرعلی حسنلو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5444_51401"/>
      <w:bookmarkStart w:id="11" w:name="pg5444_51401"/>
      <w:bookmarkEnd w:id="11"/>
    </w:p>
    <w:p>
      <w:pPr>
        <w:pStyle w:val="Heading2"/>
        <w:numPr>
          <w:ilvl w:val="1"/>
          <w:numId w:val="1"/>
        </w:numPr>
        <w:rPr/>
      </w:pPr>
      <w:bookmarkStart w:id="12" w:name="pg5444_51401"/>
      <w:bookmarkStart w:id="13" w:name="__RefHeading___Toc1902937_581953129"/>
      <w:bookmarkStart w:id="14" w:name="_Toc4"/>
      <w:bookmarkEnd w:id="12"/>
      <w:bookmarkEnd w:id="13"/>
      <w:r>
        <w:rPr>
          <w:rtl w:val="true"/>
        </w:rPr>
        <w:t>رهیافتی به منظومة فکری مقام معظم رهبری</w:t>
      </w:r>
      <w:r>
        <w:rPr>
          <w:rtl w:val="true"/>
        </w:rPr>
        <w:t>(</w:t>
      </w:r>
      <w:r>
        <w:rPr>
          <w:rtl w:val="true"/>
        </w:rPr>
        <w:t>مدّ ظله العالی</w:t>
      </w:r>
      <w:r>
        <w:rPr>
          <w:rtl w:val="true"/>
        </w:rPr>
        <w:t>)</w:t>
      </w:r>
      <w:r>
        <w:rPr>
          <w:rtl w:val="true"/>
        </w:rPr>
        <w:t xml:space="preserve">در حوزة پاسخگویی به سؤالات و شبهات </w:t>
      </w:r>
      <w:r>
        <w:rPr>
          <w:rtl w:val="true"/>
        </w:rPr>
        <w:t>(</w:t>
      </w:r>
      <w:r>
        <w:rPr/>
        <w:t>2</w:t>
      </w:r>
      <w:r>
        <w:rPr>
          <w:rtl w:val="true"/>
        </w:rPr>
        <w:t xml:space="preserve">) / </w:t>
      </w:r>
      <w:r>
        <w:rPr>
          <w:rtl w:val="true"/>
        </w:rPr>
        <w:t xml:space="preserve">مرکز مطالعات و پاسخگویی به شبهات </w:t>
      </w:r>
      <w:r>
        <w:rPr>
          <w:rtl w:val="true"/>
        </w:rPr>
        <w:t xml:space="preserve">- </w:t>
      </w:r>
      <w:r>
        <w:rPr>
          <w:rtl w:val="true"/>
        </w:rPr>
        <w:t>حوزة علمیة قم</w:t>
      </w:r>
      <w:bookmarkEnd w:id="14"/>
    </w:p>
    <w:p>
      <w:pPr>
        <w:pStyle w:val="Heading3"/>
        <w:numPr>
          <w:ilvl w:val="2"/>
          <w:numId w:val="1"/>
        </w:numPr>
        <w:rPr/>
      </w:pPr>
      <w:bookmarkStart w:id="15" w:name="__RefHeading___Toc1902939_581953129"/>
      <w:bookmarkStart w:id="16" w:name="_Toc5"/>
      <w:bookmarkEnd w:id="15"/>
      <w:r>
        <w:rPr>
          <w:rtl w:val="true"/>
        </w:rPr>
        <w:t>اشاره</w:t>
      </w:r>
      <w:bookmarkEnd w:id="16"/>
    </w:p>
    <w:p>
      <w:pPr>
        <w:pStyle w:val="BookText"/>
        <w:rPr/>
      </w:pPr>
      <w:r>
        <w:rPr>
          <w:rFonts w:ascii="IRNazanin" w:hAnsi="IRNazanin" w:eastAsia="IRNazanin"/>
          <w:color w:val="111111"/>
          <w:sz w:val="28"/>
          <w:sz w:val="28"/>
          <w:szCs w:val="28"/>
          <w:rtl w:val="true"/>
          <w:lang w:bidi="fa-IR"/>
        </w:rPr>
        <w:t xml:space="preserve">مرکز مطالعات و پاسخگویی به 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علمیة قم</w:t>
      </w:r>
      <w:r>
        <w:rPr>
          <w:rStyle w:val="FootnoteAnchor"/>
          <w:rtl w:val="true"/>
        </w:rPr>
        <w:footnoteReference w:id="2"/>
      </w:r>
    </w:p>
    <w:p>
      <w:pPr>
        <w:pStyle w:val="Heading3"/>
        <w:numPr>
          <w:ilvl w:val="2"/>
          <w:numId w:val="1"/>
        </w:numPr>
        <w:rPr/>
      </w:pPr>
      <w:bookmarkStart w:id="17" w:name="__RefHeading___Toc1902941_581953129"/>
      <w:bookmarkStart w:id="18" w:name="_Toc6"/>
      <w:bookmarkEnd w:id="17"/>
      <w:r>
        <w:rPr>
          <w:rtl w:val="true"/>
        </w:rPr>
        <w:t>مقدمه</w:t>
      </w:r>
      <w:bookmarkEnd w:id="18"/>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بدون‌شک یکی از مهم‌ترین عناصر موفقیت در هر کار، انضباط و برنامه‌ریزی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به انسان در شناخت بهتر ظرفیت‌ها، امکانات، محدودیت‌ها کمک می‌کند و فرد و سازمان را در استفاده بهینه از زمان و منابع، چابک‌تر و توانمندتر می‌سازد؛ در‌این‌راستا پروژه‌های علمی و فرهنگی نیاز بیشتری به برنامه‌ریزی کوتاه‌مدت و بلندمدت دارد و غفلت از این امر به تضییع منابع و امکانات مادی و معنوی و از دست‌رفتن فرصت‌های ارزشمند منتهی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تحلیل و پاسخگویی به شبهات هم از این قاعده مستثنا نیست، بلکه اهمیت افزون‌تری دارد؛ زیرا ورود شبهه به سیستم فکری و روانی فرد و جامعه ممکن است به‌سرعت باعث فروپاشی نظام اعتقادی و ارزشی شده و آسیب‌های جدی به دینداری مؤمنان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برنامه‌ریزی برای شناخت شبهات و پاسخگویی به‌هنگام، عالمان و نهادهای دینی را برای شناخت به‌موقع و پاسخگویی دقیق و علمی یاری می‌رساند و زمینه بهره‌جستن بهینه و بیشینه از منابع و امکانات مادی و معنوی را در این عرصه مهیا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معظم رهبری در سخنان خود همواره مراکز و نهادهای دینی، به‌ویژه حوزه‌های علمیه را به کارهای </w:t>
      </w:r>
      <w:bookmarkStart w:id="19" w:name="pg5444_51402"/>
    </w:p>
    <w:p>
      <w:pPr>
        <w:pStyle w:val="BookText"/>
        <w:rPr/>
      </w:pPr>
      <w:bookmarkEnd w:id="19"/>
      <w:r>
        <w:rPr>
          <w:rFonts w:ascii="IRNazanin" w:hAnsi="IRNazanin" w:eastAsia="IRNazanin"/>
          <w:color w:val="111111"/>
          <w:sz w:val="28"/>
          <w:sz w:val="28"/>
          <w:szCs w:val="28"/>
          <w:rtl w:val="true"/>
          <w:lang w:bidi="fa-IR"/>
        </w:rPr>
        <w:t>منظم، منضبط و برنامه‌ریزی شده در عرصة پژوهش و تبلیغ دینی سفارش کرده و این امر را از اهم اولویت‌ها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بخش‌هایی از سخنان معظم‌له در‌این‌باره اشاره می‌کنیم</w:t>
      </w:r>
      <w:r>
        <w:rPr>
          <w:rFonts w:eastAsia="IRNazanin" w:cs="IRNazanin"/>
          <w:color w:val="111111"/>
          <w:sz w:val="28"/>
          <w:szCs w:val="28"/>
          <w:rtl w:val="true"/>
          <w:lang w:bidi="fa-IR"/>
        </w:rPr>
        <w:t>.</w:t>
      </w:r>
    </w:p>
    <w:p>
      <w:pPr>
        <w:pStyle w:val="Heading3"/>
        <w:numPr>
          <w:ilvl w:val="2"/>
          <w:numId w:val="1"/>
        </w:numPr>
        <w:rPr/>
      </w:pPr>
      <w:bookmarkStart w:id="20" w:name="__RefHeading___Toc1902943_581953129"/>
      <w:bookmarkStart w:id="21" w:name="_Toc7"/>
      <w:bookmarkEnd w:id="20"/>
      <w:r>
        <w:rPr>
          <w:rtl w:val="true"/>
        </w:rPr>
        <w:t>برنامه ریزی و ساماندهی برای پاسخگویی به شبهات</w:t>
      </w:r>
      <w:bookmarkEnd w:id="21"/>
    </w:p>
    <w:p>
      <w:pPr>
        <w:pStyle w:val="Heading4"/>
        <w:numPr>
          <w:ilvl w:val="3"/>
          <w:numId w:val="1"/>
        </w:numPr>
        <w:rPr/>
      </w:pPr>
      <w:bookmarkStart w:id="22" w:name="__RefHeading___Toc1902945_581953129"/>
      <w:bookmarkStart w:id="23" w:name="_Toc8"/>
      <w:bookmarkEnd w:id="22"/>
      <w:r>
        <w:rPr/>
        <w:t>1</w:t>
      </w:r>
      <w:r>
        <w:rPr>
          <w:rtl w:val="true"/>
        </w:rPr>
        <w:t xml:space="preserve">. </w:t>
      </w:r>
      <w:r>
        <w:rPr>
          <w:rtl w:val="true"/>
        </w:rPr>
        <w:t xml:space="preserve">شناخت وضعیت جامعه </w:t>
      </w:r>
      <w:r>
        <w:rPr>
          <w:rtl w:val="true"/>
        </w:rPr>
        <w:t>(</w:t>
      </w:r>
      <w:r>
        <w:rPr>
          <w:rtl w:val="true"/>
        </w:rPr>
        <w:t>به تفکیک مناطق</w:t>
      </w:r>
      <w:r>
        <w:rPr>
          <w:rtl w:val="true"/>
        </w:rPr>
        <w:t xml:space="preserve">) </w:t>
      </w:r>
      <w:r>
        <w:rPr>
          <w:rtl w:val="true"/>
        </w:rPr>
        <w:t>از جهتِ وجود و شیوع شبهات</w:t>
      </w:r>
      <w:bookmarkEnd w:id="23"/>
    </w:p>
    <w:p>
      <w:pPr>
        <w:pStyle w:val="BookText"/>
        <w:rPr/>
      </w:pPr>
      <w:r>
        <w:rPr>
          <w:rFonts w:ascii="IRNazanin" w:hAnsi="IRNazanin" w:eastAsia="IRNazanin"/>
          <w:color w:val="111111"/>
          <w:sz w:val="28"/>
          <w:sz w:val="28"/>
          <w:szCs w:val="28"/>
          <w:rtl w:val="true"/>
          <w:lang w:bidi="fa-IR"/>
        </w:rPr>
        <w:t xml:space="preserve">یک سلسله مسائل دیگر هم، در کنار 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مسائل مادّی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وقتی ما، با شما آقایان محترم علما روبه رو می‌شویم و حرف می زنیم، نمی توانیم این مسائل را از نظر دور بداریم و قهراً توجّه خود را به این مسائل هم منعطف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مسائل چیست؟ عبارت است از مسائل فرهنگی، دینی و اعتقادی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این کارها، بر عهدة آقایان علماست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که در این باره هم، آماری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گله ای ندارم از اینکه چرا گزارش داده نمی شود و چه کسی می تواند گزارش دهد؛ چه کسی می تواند از روی آمار و با تکیه بر حقایق، بگوید الآن در اینجا، وضع مردم از لحاظ دینی، معرفتی، شیوع و سریان یا عدم شیوع و سریان شبهات دینی در ذهن های جوان‌ها و از لحاظ پایبندی به مفاهیم اسلامی و انقلابی، در چه حدّی است؟ چرا؟ چون آماری وجود ندارد و ما کمتر دنبال این قضایا رفته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دنبال این قضایا برویم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جبهة مقابل ما دارد برای همه برنامه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غیر از تبلیغاتی است که رادیوها و تلویزیون ها می کنند؛ کارهای سیاسی و فشارهای سیاسی؛ یعنی واقعاً ما الآن یک جنگ غیرنظامی به معنای حقیقی کلمه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این جنگ، روحانیت و حوزة علمیة قم کجاست؟ واقعاً روی این باید فکر کرد</w:t>
      </w:r>
      <w:r>
        <w:rPr>
          <w:rFonts w:eastAsia="IRNazanin" w:cs="IRNazanin"/>
          <w:color w:val="111111"/>
          <w:sz w:val="28"/>
          <w:szCs w:val="28"/>
          <w:rtl w:val="true"/>
          <w:lang w:bidi="fa-IR"/>
        </w:rPr>
        <w:t>.</w:t>
      </w:r>
      <w:r>
        <w:rPr>
          <w:rStyle w:val="FootnoteAnchor"/>
          <w:rtl w:val="true"/>
        </w:rPr>
        <w:footnoteReference w:id="4"/>
      </w:r>
    </w:p>
    <w:p>
      <w:pPr>
        <w:pStyle w:val="Heading4"/>
        <w:numPr>
          <w:ilvl w:val="3"/>
          <w:numId w:val="1"/>
        </w:numPr>
        <w:rPr/>
      </w:pPr>
      <w:bookmarkStart w:id="24" w:name="__RefHeading___Toc1902947_581953129"/>
      <w:bookmarkStart w:id="25" w:name="_Toc9"/>
      <w:bookmarkEnd w:id="24"/>
      <w:r>
        <w:rPr/>
        <w:t>2</w:t>
      </w:r>
      <w:r>
        <w:rPr>
          <w:rtl w:val="true"/>
        </w:rPr>
        <w:t xml:space="preserve">. </w:t>
      </w:r>
      <w:r>
        <w:rPr>
          <w:rtl w:val="true"/>
        </w:rPr>
        <w:t>تدوین برنامه برای تأمین اهداف</w:t>
      </w:r>
      <w:bookmarkEnd w:id="25"/>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چهار انتظار را مطرح کردم که حوزة علمیه پاسخگو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بفرمایید که حوزه با شکل و سازماندهی کنونی، می‌تواند پاسخگو باشد؟ پاسخ من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همین جواب را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خودم طلبه هستم و از حوزه منسلخ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و حوزه را خوب می‌شناسم و در آن بودم و زندگی کردم و درس خواندم و بعد هم بی‌ارتباط با حوزه نبودم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حوزه‌های ما با وضع کنونی نمی‌تواند آن انتظارات را پاسخ دهد؛ مگر در آن برنامه‌ریزی شود و طرح نوینی افکنده و دنبال گردد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اگر سؤال شود با این منبع عظیم اسلامی و با این متد هزار سالة تجربه‌شده و تحقیق حقیقتاً شگفت‌آور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تحقیقات این فقها، از نظر ظرافت و دقت و ژرف‌نگری، واقعاً شگفت‌آور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خصوص آن فقه پیچیده‌ای که در شیعه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برادران اهل‌سنت نسبت به فقهی که در بین علمای شیعه است، آن پیچیدگی و فنی‌گری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خیلی فنی‌تر و پیچیده‌تر و عمیق‌تر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فقهای ما کار عظیمی در این باب کردند که به‌هرحال، همه‌اش متعلق به اسلام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پاسخ ذره ذره و دانه دانة مسائل زندگی چیست؟ شما و همة ما در جواب خواهیم ماند؛ یعنی ما امروز به فراخور نیاز و استفهامی که وجود دارد، پاسخ حاضر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هم معادن عظیم و غنی از جنس‌های فاخر در اختیارمان است؛ اما پولی را که بشود در بازار دست این و آن داد و خرجش کرد،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می‌خواهد این کارها را بکند؟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این است که آیا روال جاری و موجود حوزه‌های علمیه، برای پاسخ دادن به این نیازها کافی است؟ جواب این است که نه،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چارچوب‌های مستحکم و استخوان‌بندی قوی حوزة علمیه و از امکانات فراوان فکری و معنوی‌ای که در این مراکز است، وسایلی برای فراهم کردن پاسخ‌های این استفهام‌های فراوان و ساختن انسان‌هایی که بتوانند مثل چشمه‌های جوشانی از معارف و احکام بجوشند و نیازها و خلأها را پر کنند، ساخت</w:t>
      </w:r>
      <w:r>
        <w:rPr>
          <w:rFonts w:eastAsia="IRNazanin" w:cs="IRNazanin"/>
          <w:color w:val="111111"/>
          <w:sz w:val="28"/>
          <w:szCs w:val="28"/>
          <w:rtl w:val="true"/>
          <w:lang w:bidi="fa-IR"/>
        </w:rPr>
        <w:t>.</w:t>
      </w:r>
      <w:r>
        <w:rPr>
          <w:rStyle w:val="FootnoteAnchor"/>
          <w:rtl w:val="true"/>
        </w:rPr>
        <w:footnoteReference w:id="6"/>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بدون برنامه ریزی، آسان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وقت، ممکن است کاری با برنامه ریزی، مثلاً در ظرف ده سال تحقق پیدا کند؛ امّا همان کار، بدون برنامه ریزی، در ظرف صد سال پیش بیاید؛ به تدریج، یک نفری پیدا بشود یک کاری بکند؛ تصادفاً، دیگری پیدا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مکمّل کار این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دوباره کاری ها، چقدر تکرارها، چقدر تناقض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می 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برنامه ریزی، اینها برطرف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مسئلة بسیار مهم و یک نیاز بسیار اساسی است</w:t>
      </w:r>
      <w:r>
        <w:rPr>
          <w:rFonts w:eastAsia="IRNazanin" w:cs="IRNazanin"/>
          <w:color w:val="111111"/>
          <w:sz w:val="28"/>
          <w:szCs w:val="28"/>
          <w:rtl w:val="true"/>
          <w:lang w:bidi="fa-IR"/>
        </w:rPr>
        <w:t>.</w:t>
      </w:r>
      <w:r>
        <w:rPr>
          <w:rStyle w:val="FootnoteAnchor"/>
          <w:rtl w:val="true"/>
        </w:rPr>
        <w:footnoteReference w:id="7"/>
      </w:r>
      <w:bookmarkStart w:id="26" w:name="pg5444_51404"/>
    </w:p>
    <w:p>
      <w:pPr>
        <w:pStyle w:val="Heading4"/>
        <w:numPr>
          <w:ilvl w:val="3"/>
          <w:numId w:val="1"/>
        </w:numPr>
        <w:rPr/>
      </w:pPr>
      <w:bookmarkStart w:id="27" w:name="__RefHeading___Toc1902949_581953129"/>
      <w:bookmarkStart w:id="28" w:name="_Toc10"/>
      <w:bookmarkEnd w:id="26"/>
      <w:bookmarkEnd w:id="27"/>
      <w:r>
        <w:rPr/>
        <w:t>3</w:t>
      </w:r>
      <w:r>
        <w:rPr>
          <w:rtl w:val="true"/>
        </w:rPr>
        <w:t xml:space="preserve">. </w:t>
      </w:r>
      <w:r>
        <w:rPr>
          <w:rtl w:val="true"/>
        </w:rPr>
        <w:t>ساماندهی و به‌کارگیری ظرفیت‌ها</w:t>
      </w:r>
      <w:bookmarkEnd w:id="28"/>
    </w:p>
    <w:p>
      <w:pPr>
        <w:pStyle w:val="Heading5"/>
        <w:numPr>
          <w:ilvl w:val="4"/>
          <w:numId w:val="1"/>
        </w:numPr>
        <w:rPr/>
      </w:pPr>
      <w:bookmarkStart w:id="29" w:name="__RefHeading___Toc1902951_581953129"/>
      <w:bookmarkStart w:id="30" w:name="_Toc11"/>
      <w:bookmarkEnd w:id="29"/>
      <w:r>
        <w:rPr>
          <w:rtl w:val="true"/>
        </w:rPr>
        <w:t>الف</w:t>
      </w:r>
      <w:r>
        <w:rPr>
          <w:rtl w:val="true"/>
        </w:rPr>
        <w:t xml:space="preserve">) </w:t>
      </w:r>
      <w:r>
        <w:rPr>
          <w:rtl w:val="true"/>
        </w:rPr>
        <w:t>جریان‌سازی برای رفع شبهات</w:t>
      </w:r>
      <w:bookmarkEnd w:id="30"/>
    </w:p>
    <w:p>
      <w:pPr>
        <w:pStyle w:val="Heading6"/>
        <w:numPr>
          <w:ilvl w:val="5"/>
          <w:numId w:val="1"/>
        </w:numPr>
        <w:rPr/>
      </w:pPr>
      <w:bookmarkStart w:id="31" w:name="__RefHeading___Toc1902953_581953129"/>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مرحوم شهید مطهری نمونة یک شخصیت روحانیِ متناسب با زمان است که می‌تواند در چالش اول، کارِ درست بکند و اقدام به جا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شبیه ایشان باز هم داشتیم و بحمداللَّه امروز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قم فضلای جوانی به این کارها مشغول هستند؛ خوب هم مشغول هستند؛ من با بعضی از آنها و آثارشان آشنایم؛ اما این در حوزه‌های ما باید به صورت یک جریان اصیل دربیاید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خود را با این حرکت و این جریان آشنا کنند</w:t>
      </w:r>
      <w:r>
        <w:rPr>
          <w:rFonts w:eastAsia="IRNazanin" w:cs="IRNazanin"/>
          <w:color w:val="111111"/>
          <w:sz w:val="28"/>
          <w:szCs w:val="28"/>
          <w:rtl w:val="true"/>
          <w:lang w:bidi="fa-IR"/>
        </w:rPr>
        <w:t>.</w:t>
      </w:r>
      <w:r>
        <w:rPr>
          <w:rStyle w:val="FootnoteAnchor"/>
          <w:rtl w:val="true"/>
        </w:rPr>
        <w:footnoteReference w:id="8"/>
      </w:r>
    </w:p>
    <w:p>
      <w:pPr>
        <w:pStyle w:val="Heading6"/>
        <w:numPr>
          <w:ilvl w:val="5"/>
          <w:numId w:val="1"/>
        </w:numPr>
        <w:rPr/>
      </w:pPr>
      <w:bookmarkStart w:id="33" w:name="__RefHeading___Toc1902955_581953129"/>
      <w:bookmarkStart w:id="34" w:name="_Toc13"/>
      <w:bookmarkEnd w:id="33"/>
      <w:r>
        <w:rPr/>
        <w:t>1</w:t>
      </w:r>
      <w:r>
        <w:rPr>
          <w:rtl w:val="true"/>
        </w:rPr>
        <w:t xml:space="preserve">) </w:t>
      </w:r>
      <w:r>
        <w:rPr>
          <w:rtl w:val="true"/>
        </w:rPr>
        <w:t>الگوسازی از بزرگان در پاسخگویی</w:t>
      </w:r>
      <w:bookmarkEnd w:id="34"/>
    </w:p>
    <w:p>
      <w:pPr>
        <w:pStyle w:val="BookText"/>
        <w:rPr/>
      </w:pPr>
      <w:r>
        <w:rPr>
          <w:rFonts w:ascii="IRNazanin" w:hAnsi="IRNazanin" w:eastAsia="IRNazanin"/>
          <w:color w:val="111111"/>
          <w:sz w:val="28"/>
          <w:sz w:val="28"/>
          <w:szCs w:val="28"/>
          <w:rtl w:val="true"/>
          <w:lang w:bidi="fa-IR"/>
        </w:rPr>
        <w:t>علامه طباطبایی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مثل مرحوم علامة طباطبایی رحمة الله در حوزة علمیة قم پیدا شد؛ ایشان، هم فقیه بود و هم اصولی؛ هم می‌توانست درس خارج فقهِ مفصلی بدهد؛ هم می‌توانست درس خارجِ اصول مفصلی ترتیب دهد و فضلا را جمع کند؛ اما او به کاری پرداخت که آن روز آن را لازم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حوادث و وقایع شهادت داد بر اینکه اینها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 من می‌بینم که دارند تفکرات و فلسفة کاذب مارکسیستی را در ذهن ها جا می‌دهند؛ نمی‌شود با توضیح‌المسائل اینها را پاسخ دهیم؛ توضیح‌المسائل جای خودش را دارد؛ جواب این شبهه‌ها را با چیز دیگری 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فلسفه و روش رئالیسم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شهید مطهری</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تربیت‌شده‌های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شهید مطهری رحمة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شهید مطهری کرد، امروز باید همة فضلای جوان درصدد باشند خود را برای آن آماده کنند؛ و اگر آماده هستند،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مطهری به عرصة ذهنیت جامعه نگاه کرد و عمده‌ترین سؤالات ذهنیت جامعة جوان و تحصیل کرده و روشنفکر کشور را بیرون کشید و آنها را با تفکر اسلامی و فلسفة اسلامی و منطق قرآنی منطبق کرد و پاسخ آنها را در سطوح مختلف در مقابل افراد گذاشت</w:t>
      </w:r>
      <w:r>
        <w:rPr>
          <w:rFonts w:eastAsia="IRNazanin" w:cs="IRNazanin"/>
          <w:color w:val="111111"/>
          <w:sz w:val="28"/>
          <w:szCs w:val="28"/>
          <w:rtl w:val="true"/>
          <w:lang w:bidi="fa-IR"/>
        </w:rPr>
        <w:t>.</w:t>
      </w:r>
      <w:r>
        <w:rPr>
          <w:rStyle w:val="FootnoteAnchor"/>
          <w:rtl w:val="true"/>
        </w:rPr>
        <w:footnoteReference w:id="10"/>
      </w:r>
      <w:bookmarkStart w:id="35" w:name="pg5444_51405"/>
    </w:p>
    <w:p>
      <w:pPr>
        <w:pStyle w:val="Heading6"/>
        <w:numPr>
          <w:ilvl w:val="5"/>
          <w:numId w:val="1"/>
        </w:numPr>
        <w:rPr/>
      </w:pPr>
      <w:bookmarkStart w:id="36" w:name="__RefHeading___Toc1902957_581953129"/>
      <w:bookmarkStart w:id="37" w:name="_Toc14"/>
      <w:bookmarkEnd w:id="35"/>
      <w:bookmarkEnd w:id="36"/>
      <w:r>
        <w:rPr/>
        <w:t>2</w:t>
      </w:r>
      <w:r>
        <w:rPr>
          <w:rtl w:val="true"/>
        </w:rPr>
        <w:t xml:space="preserve">) </w:t>
      </w:r>
      <w:r>
        <w:rPr>
          <w:rtl w:val="true"/>
        </w:rPr>
        <w:t>ظرفیت‌شناسی و فعال‌سازی ظرفیت‌ها</w:t>
      </w:r>
      <w:bookmarkEnd w:id="37"/>
    </w:p>
    <w:p>
      <w:pPr>
        <w:pStyle w:val="BookText"/>
        <w:rPr/>
      </w:pPr>
      <w:r>
        <w:rPr>
          <w:rFonts w:ascii="IRNazanin" w:hAnsi="IRNazanin" w:eastAsia="IRNazanin"/>
          <w:color w:val="111111"/>
          <w:sz w:val="28"/>
          <w:sz w:val="28"/>
          <w:szCs w:val="28"/>
          <w:rtl w:val="true"/>
          <w:lang w:bidi="fa-IR"/>
        </w:rPr>
        <w:t>فکر اسلامی به ویژه پس از انقلاب اسلامی مورد چالش جدی قرار گرفته و این روند ادامه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خود را آماده کنیم و با توجه به سرمایه‌های عظیم فکری و فرهنگی‌ای که در اختیار ما است اگر از همة امکانات خوب استفاده کنیم در این مصاف پیروز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حوزه‌های علمیه و دانشگاه‌ها، فضلا، علما، دانشمندان و افراد صالح و شایسته از نظر علمی و فکری وجود دارند و باید حضور خود را در این میدان‌ها گسترش دهند و با امواج تبلیغاتی و شبهات جدید مقابله کنند و وظیفه خود را نسبت به اسلام ادا نمایند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همان‌طور که عرض کردم، ما به مطهری‌هایی در دهه‌های آینده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سرمایة غنی و تمام نشدنی‌ای که امروز از فرهنگ اسلامی در اختیار ماست، در این مصاف، امکانات خیلی فراوانی در اختیار ما می‌گذارد؛ اگر ما اهل استفادة از اینها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حقیقتاً یک زرادخانة عظیم فکری و فرهنگی در اختیار ماست؛ اگر بتوانیم از آن درست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فضلای جوانی هستند؛ من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حوزة قم، در تهران، فضلا، علما، افراد صالح، شایسته، از لحاظ علمی، از لحاظ بلندنظری و فکر قوی وجود دارند؛ باید وارد این میدان‌ها شوند و حضور در این میدان‌ها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دورة فعالیت مرحوم شهید مطهری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سال های دهة چهل و پنجاه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ما به مراتب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 نیاز ما یک‌طور بود، امروز نیاز ما بسیار وسیع‌تر و عمیق‌تر است و لازم است این جریان ادامه پیدا کند</w:t>
      </w:r>
      <w:r>
        <w:rPr>
          <w:rFonts w:eastAsia="IRNazanin" w:cs="IRNazanin"/>
          <w:color w:val="111111"/>
          <w:sz w:val="28"/>
          <w:szCs w:val="28"/>
          <w:rtl w:val="true"/>
          <w:lang w:bidi="fa-IR"/>
        </w:rPr>
        <w:t>.</w:t>
      </w:r>
      <w:r>
        <w:rPr>
          <w:rStyle w:val="FootnoteAnchor"/>
          <w:rtl w:val="true"/>
        </w:rPr>
        <w:footnoteReference w:id="12"/>
      </w:r>
    </w:p>
    <w:p>
      <w:pPr>
        <w:pStyle w:val="Heading6"/>
        <w:numPr>
          <w:ilvl w:val="5"/>
          <w:numId w:val="1"/>
        </w:numPr>
        <w:rPr/>
      </w:pPr>
      <w:bookmarkStart w:id="38" w:name="__RefHeading___Toc1902959_581953129"/>
      <w:bookmarkStart w:id="39" w:name="_Toc15"/>
      <w:bookmarkEnd w:id="38"/>
      <w:r>
        <w:rPr/>
        <w:t>3</w:t>
      </w:r>
      <w:r>
        <w:rPr>
          <w:rtl w:val="true"/>
        </w:rPr>
        <w:t xml:space="preserve">) </w:t>
      </w:r>
      <w:r>
        <w:rPr>
          <w:rtl w:val="true"/>
        </w:rPr>
        <w:t>ایجاد آمادگی گسترده برای پاسخگویی در حوزه های علمیه</w:t>
      </w:r>
      <w:bookmarkEnd w:id="39"/>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حوزه نباید در صحنه‌های متعدد فلسفی و فقهی و کلامی در دنیا غائب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سؤال در دنیا و در مسائل گوناگون مطرح است؛ پاسخ حوزه چیست؟ نه باید غائب باشد، نه باید منفعل باشد؛ هر دو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نو لازم است، پاسخ به نیازهای نوبه‌نو لازم است که دارد مثل سیل در دنیا مطرح می شود؛ باید شما برایش جواب فراهم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شما باید ناظر باشد به این نیاز و نیز ناظر باشد به پاسخ هایی که مکاتب و فرقه‌های گوناگون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جواب های آنها غافل باشید، پاسخ شما نمی تواند کار خودش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پاسخ قوی، منطقی و قانع کننده بیاورید وسط</w:t>
      </w:r>
      <w:r>
        <w:rPr>
          <w:rFonts w:eastAsia="IRNazanin" w:cs="IRNazanin"/>
          <w:color w:val="111111"/>
          <w:sz w:val="28"/>
          <w:szCs w:val="28"/>
          <w:rtl w:val="true"/>
          <w:lang w:bidi="fa-IR"/>
        </w:rPr>
        <w:t xml:space="preserve">. </w:t>
      </w:r>
      <w:bookmarkStart w:id="40" w:name="pg5444_51406"/>
    </w:p>
    <w:p>
      <w:pPr>
        <w:pStyle w:val="BookText"/>
        <w:rPr/>
      </w:pPr>
      <w:bookmarkEnd w:id="40"/>
      <w:r>
        <w:rPr>
          <w:rFonts w:ascii="IRNazanin" w:hAnsi="IRNazanin" w:eastAsia="IRNazanin"/>
          <w:color w:val="111111"/>
          <w:sz w:val="28"/>
          <w:sz w:val="28"/>
          <w:szCs w:val="28"/>
          <w:rtl w:val="true"/>
          <w:lang w:bidi="fa-IR"/>
        </w:rPr>
        <w:t>باید پاسخ ها در دنیا مطرح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 بایستی صادرات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عرض کردیم، این قلب معرفتی دنیای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پمپاژ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وسائل ارتباطیِ سریع در اختیار همه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توانید اینجا اقدامی بکنید، در آن طرف دنیا در همان ساعت از شما بشنوند و استفاده کنند</w:t>
      </w:r>
      <w:r>
        <w:rPr>
          <w:rFonts w:eastAsia="IRNazanin" w:cs="IRNazanin"/>
          <w:color w:val="111111"/>
          <w:sz w:val="28"/>
          <w:szCs w:val="28"/>
          <w:rtl w:val="true"/>
          <w:lang w:bidi="fa-IR"/>
        </w:rPr>
        <w:t>.</w:t>
      </w:r>
      <w:r>
        <w:rPr>
          <w:rStyle w:val="FootnoteAnchor"/>
          <w:rtl w:val="true"/>
        </w:rPr>
        <w:footnoteReference w:id="13"/>
      </w:r>
    </w:p>
    <w:p>
      <w:pPr>
        <w:pStyle w:val="Heading5"/>
        <w:numPr>
          <w:ilvl w:val="4"/>
          <w:numId w:val="1"/>
        </w:numPr>
        <w:rPr/>
      </w:pPr>
      <w:bookmarkStart w:id="41" w:name="__RefHeading___Toc1902961_581953129"/>
      <w:bookmarkStart w:id="42" w:name="_Toc16"/>
      <w:bookmarkEnd w:id="41"/>
      <w:r>
        <w:rPr>
          <w:rtl w:val="true"/>
        </w:rPr>
        <w:t>ب</w:t>
      </w:r>
      <w:r>
        <w:rPr>
          <w:rtl w:val="true"/>
        </w:rPr>
        <w:t xml:space="preserve">) </w:t>
      </w:r>
      <w:r>
        <w:rPr>
          <w:rtl w:val="true"/>
        </w:rPr>
        <w:t>ایجاد بسترهای علمی مورد نیاز در حوزه</w:t>
      </w:r>
      <w:bookmarkEnd w:id="42"/>
    </w:p>
    <w:p>
      <w:pPr>
        <w:pStyle w:val="Heading6"/>
        <w:numPr>
          <w:ilvl w:val="5"/>
          <w:numId w:val="1"/>
        </w:numPr>
        <w:rPr/>
      </w:pPr>
      <w:bookmarkStart w:id="43" w:name="__RefHeading___Toc1902963_581953129"/>
      <w:bookmarkStart w:id="44" w:name="_Toc17"/>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الآن، بحران‌های ناشی از تهاجم فرهنگی دشمن،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حوزه، باید خودش را آماده کند برای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به شما عرض بکنم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درس فقه و اصول و استدلال و خارج، جزء اوجب واجبات است؛ امّا این، جواب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جوابِ آن را نمی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درس خارج و با فقه استدلالی مخالفید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بنیة اصلی و استخوان بندی حوزه، فقه است؛ در این، شکی هم نیست؛ باید هم این استدلال و این دقّت و این فقاهت، روزبه روز، قوی تر بشود؛ امّا جواب آن کار را، این فقاهت شما نمی دهد؛ نه خود فقاهت می دهد؛ نه مقدماتش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آقای وزیر فرهنگ و ارشاد اسلامی در اوایل وزارتش، به اینجا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بدانید که من حقیقتاً با بیان شبهات، هیچ مخالفت ندارم؛ به شرط اینکه ما کسانی را آماده به کار داشته باشیم که بنویسیند؛ در آن صورت، استقبال هم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در این است که آیا ما الآن کسانی را داریم و آمادگی هایش هست که بتوانند آن حرف درست را بزنند؟ با توجه به این، باید تصمیم بگیریم</w:t>
      </w:r>
      <w:r>
        <w:rPr>
          <w:rFonts w:eastAsia="IRNazanin" w:cs="IRNazanin"/>
          <w:color w:val="111111"/>
          <w:sz w:val="28"/>
          <w:szCs w:val="28"/>
          <w:rtl w:val="true"/>
          <w:lang w:bidi="fa-IR"/>
        </w:rPr>
        <w:t>!».</w:t>
      </w:r>
      <w:r>
        <w:rPr>
          <w:rStyle w:val="FootnoteAnchor"/>
          <w:rtl w:val="true"/>
        </w:rPr>
        <w:footnoteReference w:id="14"/>
      </w:r>
    </w:p>
    <w:p>
      <w:pPr>
        <w:pStyle w:val="Heading6"/>
        <w:numPr>
          <w:ilvl w:val="5"/>
          <w:numId w:val="1"/>
        </w:numPr>
        <w:rPr/>
      </w:pPr>
      <w:bookmarkStart w:id="45" w:name="__RefHeading___Toc1902965_581953129"/>
      <w:bookmarkStart w:id="46" w:name="_Toc18"/>
      <w:bookmarkEnd w:id="45"/>
      <w:r>
        <w:rPr/>
        <w:t>1</w:t>
      </w:r>
      <w:r>
        <w:rPr>
          <w:rtl w:val="true"/>
        </w:rPr>
        <w:t xml:space="preserve">) </w:t>
      </w:r>
      <w:r>
        <w:rPr>
          <w:rtl w:val="true"/>
        </w:rPr>
        <w:t>رواج درس‌های فلسفه، کلام و تفسیر</w:t>
      </w:r>
      <w:bookmarkEnd w:id="46"/>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هویت علمی حوزه هم نکتة مهمی است؛ منحصر به فقه و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و اصول خیلی مهم است، در این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ما گفتیم ستون فقرات حوزه‌های ما فقه است؛ اما این معنایش این نیست که ما به فلسفه احتیاج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بیش از گذشته به فلسفه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بود که ملاهای بزرگ ما، مجتهدین بزرگ ما برای تحصیل فلسفه شدّ رحال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می‌کردند، مثل آخوند خراسانی که در سبزوار پیش حاج ملّاهادی رفت و زانو زد و فلسفه خواند، یا بزرگانی از فقها و اصولیین ما که رفتند فلسفه خواندند و آن را فرا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از آن خیلی بیشتر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p>
    <w:p>
      <w:pPr>
        <w:pStyle w:val="BookText"/>
        <w:rPr/>
      </w:pPr>
      <w:r>
        <w:rPr>
          <w:rFonts w:ascii="IRNazanin" w:hAnsi="IRNazanin" w:eastAsia="IRNazanin"/>
          <w:color w:val="111111"/>
          <w:sz w:val="28"/>
          <w:sz w:val="28"/>
          <w:szCs w:val="28"/>
          <w:rtl w:val="true"/>
          <w:lang w:bidi="fa-IR"/>
        </w:rPr>
        <w:t>روزی که مرحوم علامه طباطبایی در نجف پیش مرحوم آسیدحسین بادکوبه‌ای فلسفه می خواند، آن روز نیاز به فلسفة اسلامی به مراتب کمتر از امروز بود که این همه مکاتب گوناگون، این همه افکار جدید، این همه شبهه، این همه پیشنهاد فکری در دنیا مطرح است؛ آن هم با این روابط و ارتباطات آسان و سریع؛ با اینترنت و با بقیة وسایل، کتاب و مجله و چه و چه؛ بنابر‌این به فلسفه احتیاج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به فلسفه، به علوم دیگر هم در حوزة قم نیاز است</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نباید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کلام را یاد می گیریم؛ فلسفه، دیگر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خیر؛ کلام در یکجا مشکل‌گشاست؛ امّا وقتی بنای زورآزمایی و کشتی گرفتن با فلسفه های غربی باشد، فلسفه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را نداشته باشید، یک فلسفه نمای بی سواد، در فلان محیط دانشگاهی پیدا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گروه سیاسی هم، به خاطر پیروزی در انتخابات، به مصلحت خود می بیند از این فیلسوف نما، حمایت و پشتیبانی کند؛ در این صورت، مگر می شود گفت بالای چشمِ این فیلسوف نما، ابروست؟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بگوییم،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سیاسی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محیط های علمی هم، دیگر جرئت نمی کنند نقدش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فلسفه دانی وجود داشته باشد، در چارچوب استدلال و برهان فلسفی و منطقی، می شود رفت و کشتی گرفت و اینها را، خرد و خمیر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مباحثی که بعضی از آقایان نوگرا که چهار کلمة فلسفة غربی خوانده اند، می خواهند راجع به اسلام و همة مبانی دینی اظهارنظر کنند، مبتنی بر مبانی فلسفه ای است که پنجاه سال است در اروپا، منسوخ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اینها، تازه آن را آورده اند تا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شما، فلسفه لازم دارید و باید به روز باشید</w:t>
      </w:r>
      <w:r>
        <w:rPr>
          <w:rFonts w:eastAsia="IRNazanin" w:cs="IRNazanin"/>
          <w:color w:val="111111"/>
          <w:sz w:val="28"/>
          <w:szCs w:val="28"/>
          <w:rtl w:val="true"/>
          <w:lang w:bidi="fa-IR"/>
        </w:rPr>
        <w:t>.</w:t>
      </w:r>
      <w:r>
        <w:rPr>
          <w:rStyle w:val="FootnoteAnchor"/>
          <w:rtl w:val="true"/>
        </w:rPr>
        <w:footnoteReference w:id="16"/>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را به نظر می رسد علاج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کاستی‌های 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فهرست وار مطرح می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ایجاد رشته های مستقلّ، مثل فقه 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یک رشتة اصلی در حوزة علمیه است؛ کلام هم، باید یک رشتة اصلی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نگویید که حالا، چند ساعت هم، درس کلام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طلبه باید تا جایی بخواند؛ بعد، طرف فقه یا کلام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رشتة اصلی در حوزه، باید مجتهد در کلام هم داشته باشیم</w:t>
      </w:r>
      <w:r>
        <w:rPr>
          <w:rFonts w:eastAsia="IRNazanin" w:cs="IRNazanin"/>
          <w:color w:val="111111"/>
          <w:sz w:val="28"/>
          <w:szCs w:val="28"/>
          <w:rtl w:val="true"/>
          <w:lang w:bidi="fa-IR"/>
        </w:rPr>
        <w:t>.</w:t>
      </w:r>
      <w:r>
        <w:rPr>
          <w:rStyle w:val="FootnoteAnchor"/>
          <w:rtl w:val="true"/>
        </w:rPr>
        <w:footnoteReference w:id="17"/>
      </w:r>
      <w:bookmarkStart w:id="47" w:name="pg5444_51408"/>
    </w:p>
    <w:p>
      <w:pPr>
        <w:pStyle w:val="Heading6"/>
        <w:numPr>
          <w:ilvl w:val="5"/>
          <w:numId w:val="1"/>
        </w:numPr>
        <w:rPr/>
      </w:pPr>
      <w:bookmarkStart w:id="48" w:name="__RefHeading___Toc1902967_581953129"/>
      <w:bookmarkStart w:id="49" w:name="_Toc19"/>
      <w:bookmarkEnd w:id="47"/>
      <w:bookmarkEnd w:id="48"/>
      <w:r>
        <w:rPr/>
        <w:t>2</w:t>
      </w:r>
      <w:r>
        <w:rPr>
          <w:rtl w:val="true"/>
        </w:rPr>
        <w:t xml:space="preserve">) </w:t>
      </w:r>
      <w:r>
        <w:rPr>
          <w:rtl w:val="true"/>
        </w:rPr>
        <w:t>سوق دادن طلاب به سمت پاسخگویی</w:t>
      </w:r>
      <w:bookmarkEnd w:id="49"/>
    </w:p>
    <w:p>
      <w:pPr>
        <w:pStyle w:val="BookText"/>
        <w:rPr/>
      </w:pPr>
      <w:r>
        <w:rPr>
          <w:rFonts w:ascii="IRNazanin" w:hAnsi="IRNazanin" w:eastAsia="IRNazanin"/>
          <w:color w:val="111111"/>
          <w:sz w:val="28"/>
          <w:sz w:val="28"/>
          <w:szCs w:val="28"/>
          <w:rtl w:val="true"/>
          <w:lang w:bidi="fa-IR"/>
        </w:rPr>
        <w:t>فهم سیاسی و هدایت سیاسی حوزه، بایستی بسیار سطح بالا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طلاب و فضلای حوزة علمیه، در سرتاسر کشور منتشر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مردم از آنها بخواهند، به رأی‌شان فقط مسئله و رساله توضیح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آن را هم می‌خواهند، آن هم نیاز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امروز راجع به مسائل منطقه و سیاست‌های گوناگون جهانی و مسائل داخلی هم از روحانی سؤال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هم نکنند، او باید متصدی پاسخگویی بشود</w:t>
      </w:r>
      <w:r>
        <w:rPr>
          <w:rFonts w:eastAsia="IRNazanin" w:cs="IRNazanin"/>
          <w:color w:val="111111"/>
          <w:sz w:val="28"/>
          <w:szCs w:val="28"/>
          <w:rtl w:val="true"/>
          <w:lang w:bidi="fa-IR"/>
        </w:rPr>
        <w:t>.</w:t>
      </w:r>
      <w:r>
        <w:rPr>
          <w:rStyle w:val="FootnoteAnchor"/>
          <w:rtl w:val="true"/>
        </w:rPr>
        <w:footnoteReference w:id="18"/>
      </w:r>
    </w:p>
    <w:p>
      <w:pPr>
        <w:pStyle w:val="Heading5"/>
        <w:numPr>
          <w:ilvl w:val="4"/>
          <w:numId w:val="1"/>
        </w:numPr>
        <w:rPr/>
      </w:pPr>
      <w:bookmarkStart w:id="50" w:name="__RefHeading___Toc1902969_581953129"/>
      <w:bookmarkStart w:id="51" w:name="_Toc20"/>
      <w:bookmarkEnd w:id="50"/>
      <w:r>
        <w:rPr>
          <w:rtl w:val="true"/>
        </w:rPr>
        <w:t>ج</w:t>
      </w:r>
      <w:r>
        <w:rPr>
          <w:rtl w:val="true"/>
        </w:rPr>
        <w:t xml:space="preserve">) </w:t>
      </w:r>
      <w:r>
        <w:rPr>
          <w:rtl w:val="true"/>
        </w:rPr>
        <w:t>تربیت کارشناسان پاسخگویی و گسترش کمی پاسخگویان در حوزة علمیه</w:t>
      </w:r>
      <w:bookmarkEnd w:id="51"/>
    </w:p>
    <w:p>
      <w:pPr>
        <w:pStyle w:val="Heading6"/>
        <w:numPr>
          <w:ilvl w:val="5"/>
          <w:numId w:val="1"/>
        </w:numPr>
        <w:rPr/>
      </w:pPr>
      <w:bookmarkStart w:id="52" w:name="__RefHeading___Toc1902971_581953129"/>
      <w:bookmarkStart w:id="53" w:name="_Toc21"/>
      <w:bookmarkEnd w:id="52"/>
      <w:r>
        <w:rPr>
          <w:rtl w:val="true"/>
        </w:rPr>
        <w:t>اشاره</w:t>
      </w:r>
      <w:bookmarkEnd w:id="53"/>
    </w:p>
    <w:p>
      <w:pPr>
        <w:pStyle w:val="BookText"/>
        <w:rPr/>
      </w:pPr>
      <w:r>
        <w:rPr>
          <w:rFonts w:ascii="IRNazanin" w:hAnsi="IRNazanin" w:eastAsia="IRNazanin"/>
          <w:color w:val="111111"/>
          <w:sz w:val="28"/>
          <w:sz w:val="28"/>
          <w:szCs w:val="28"/>
          <w:rtl w:val="true"/>
          <w:lang w:bidi="fa-IR"/>
        </w:rPr>
        <w:t xml:space="preserve">مسئولیت اساسی که امروز، طلبة جوان و فاضل حوزة علمیه بر دوش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مواجهه با امواج فکری و آماده شدن برای مقابله و مبارزه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این مبارزه، لزوماً منبررفتن و نوشتن نیست؛ امّا لزوماً با تولید و پرورش فکر همراه است؛ و البته این، به مقدمات احتیاج دارد که در درجة اوّل، درس خواندن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های جوان، فراموش نکنند؛ باید درس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مایه، فطیر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مایه داشته باشید؛ اگر بخواهید در این نهضت، یک گوشة کار را بگیرید و مؤثر باشید، باید عالم و دانا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در مقابل کسی که تحت عنوان قرائت های مختلف دینی، هر رطب و یابسی که به زبانش می آید، به دین نسبت می دهد، حرف دین را بزنید، باید بتوانید سفسطة او را بشناسید؛ تا سفسطه و مغالطه را باز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وارد شدن به وادی تفکّرات دینی، مثل هر چیز دیگر، به علم و سوادِ این کار، احتیاج است</w:t>
      </w:r>
      <w:r>
        <w:rPr>
          <w:rFonts w:eastAsia="IRNazanin" w:cs="IRNazanin"/>
          <w:color w:val="111111"/>
          <w:sz w:val="28"/>
          <w:szCs w:val="28"/>
          <w:rtl w:val="true"/>
          <w:lang w:bidi="fa-IR"/>
        </w:rPr>
        <w:t>.</w:t>
      </w:r>
      <w:r>
        <w:rPr>
          <w:rStyle w:val="FootnoteAnchor"/>
          <w:rtl w:val="true"/>
        </w:rPr>
        <w:footnoteReference w:id="19"/>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حوزة علمیه باید مثل یک کارخانة تأمین کنندة نیازهای جامعه، مرتّب کار کند و محصول خود را که همان محقّقان، مبلّغان، مدرّسان، مؤلّفان و انواع قشرهای روحانی هستند، بیرون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باید برنامه‌ریزی کند و مشخص باشد که مثلاً پنج سال دیگر چه تعداد مبلّغِ مناسب برای مناطق گوناگون دنیا و داخل کشور تربیت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زمینة مسائل قرآنی، تفسیر، دیگر علوم حوزوی و نیز تربیت مدرّس برای دانشگاه ها و دروس معارف اسلامی و نیز تربیت محقّق و مؤلّف برای پاسخگویی و مقابله با شبهات، برنامه ریزیِ منظّم و مرتّبی داشته باشد</w:t>
      </w:r>
      <w:r>
        <w:rPr>
          <w:rFonts w:eastAsia="IRNazanin" w:cs="IRNazanin"/>
          <w:color w:val="111111"/>
          <w:sz w:val="28"/>
          <w:szCs w:val="28"/>
          <w:rtl w:val="true"/>
          <w:lang w:bidi="fa-IR"/>
        </w:rPr>
        <w:t>.</w:t>
      </w:r>
      <w:r>
        <w:rPr>
          <w:rStyle w:val="FootnoteAnchor"/>
          <w:rtl w:val="true"/>
        </w:rPr>
        <w:footnoteReference w:id="20"/>
      </w:r>
      <w:bookmarkStart w:id="54" w:name="pg5444_51409"/>
    </w:p>
    <w:p>
      <w:pPr>
        <w:pStyle w:val="Heading6"/>
        <w:numPr>
          <w:ilvl w:val="5"/>
          <w:numId w:val="1"/>
        </w:numPr>
        <w:rPr/>
      </w:pPr>
      <w:bookmarkStart w:id="55" w:name="__RefHeading___Toc1902973_581953129"/>
      <w:bookmarkStart w:id="56" w:name="_Toc22"/>
      <w:bookmarkEnd w:id="54"/>
      <w:bookmarkEnd w:id="55"/>
      <w:r>
        <w:rPr>
          <w:rtl w:val="true"/>
        </w:rPr>
        <w:t>شاخصه‌های کارشناسان پاسخگویی مطلوب</w:t>
      </w:r>
      <w:bookmarkEnd w:id="56"/>
    </w:p>
    <w:p>
      <w:pPr>
        <w:pStyle w:val="Heading6"/>
        <w:numPr>
          <w:ilvl w:val="5"/>
          <w:numId w:val="1"/>
        </w:numPr>
        <w:rPr/>
      </w:pPr>
      <w:bookmarkStart w:id="57" w:name="__RefHeading___Toc1902975_581953129"/>
      <w:bookmarkStart w:id="58" w:name="_Toc23"/>
      <w:bookmarkEnd w:id="57"/>
      <w:r>
        <w:rPr>
          <w:rtl w:val="true"/>
        </w:rPr>
        <w:t>اشاره</w:t>
      </w:r>
      <w:bookmarkEnd w:id="58"/>
    </w:p>
    <w:p>
      <w:pPr>
        <w:pStyle w:val="BookText"/>
        <w:rPr/>
      </w:pPr>
      <w:r>
        <w:rPr>
          <w:rFonts w:ascii="IRNazanin" w:hAnsi="IRNazanin" w:eastAsia="IRNazanin"/>
          <w:color w:val="111111"/>
          <w:sz w:val="28"/>
          <w:sz w:val="28"/>
          <w:szCs w:val="28"/>
          <w:rtl w:val="true"/>
          <w:lang w:bidi="fa-IR"/>
        </w:rPr>
        <w:t>جوان ما، می خواهد بپرسد و بداند؛ نباید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نپرس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پرسید، نباید رو ترش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پرسید، باید گره ذهنی او را باز کرد؛ این کار، به علم و تعهد احتیاج دارد؛ گره گشای عقده های ذهنی، هم باید عالِم باشد و بداند با چه چیزی مواجه است و چگونه باید آن را علاج کند؛ هم باید دلسوز باشد؛ چون کار سختی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با یک بار نشستن، با یک بار گفتن و با یک بار شنیدن، مقصود حاصل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مواقع، بیمار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شما طبیب او هستید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اخلاقی می‌کند؛ باید با این بد اخلاقی و دشواری، ساخت و این گره را باز کرد</w:t>
      </w:r>
      <w:r>
        <w:rPr>
          <w:rFonts w:eastAsia="IRNazanin" w:cs="IRNazanin"/>
          <w:color w:val="111111"/>
          <w:sz w:val="28"/>
          <w:szCs w:val="28"/>
          <w:rtl w:val="true"/>
          <w:lang w:bidi="fa-IR"/>
        </w:rPr>
        <w:t>.</w:t>
      </w:r>
      <w:r>
        <w:rPr>
          <w:rStyle w:val="FootnoteAnchor"/>
          <w:rtl w:val="true"/>
        </w:rPr>
        <w:footnoteReference w:id="21"/>
      </w:r>
    </w:p>
    <w:p>
      <w:pPr>
        <w:pStyle w:val="Heading6"/>
        <w:numPr>
          <w:ilvl w:val="5"/>
          <w:numId w:val="1"/>
        </w:numPr>
        <w:rPr/>
      </w:pPr>
      <w:bookmarkStart w:id="59" w:name="__RefHeading___Toc1902977_581953129"/>
      <w:bookmarkStart w:id="60" w:name="_Toc24"/>
      <w:bookmarkEnd w:id="59"/>
      <w:r>
        <w:rPr/>
        <w:t>1</w:t>
      </w:r>
      <w:r>
        <w:rPr>
          <w:rtl w:val="true"/>
        </w:rPr>
        <w:t xml:space="preserve">) </w:t>
      </w:r>
      <w:r>
        <w:rPr>
          <w:rtl w:val="true"/>
        </w:rPr>
        <w:t>خودسازی علمی و اخلاقی</w:t>
      </w:r>
      <w:bookmarkEnd w:id="60"/>
    </w:p>
    <w:p>
      <w:pPr>
        <w:pStyle w:val="BookText"/>
        <w:rPr/>
      </w:pPr>
      <w:r>
        <w:rPr>
          <w:rFonts w:ascii="IRNazanin" w:hAnsi="IRNazanin" w:eastAsia="IRNazanin"/>
          <w:color w:val="111111"/>
          <w:sz w:val="28"/>
          <w:sz w:val="28"/>
          <w:szCs w:val="28"/>
          <w:rtl w:val="true"/>
          <w:lang w:bidi="fa-IR"/>
        </w:rPr>
        <w:t>امروز، مخاطب شما، جوانان اند؛ روی آنها باید کار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مشکل او، حتماً بایستی عالمانه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پهلوی در طول تبلیغات متوالی خود، به قشر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تفهیم کرده بود که کسانی که عمامه سرشان است، در دستگاه شان، از علم و سواد،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نمی شد آن دانشگاهی را ملامت کرد؛ از فقه و مبانی فقهی و متد فقاهت و امثال اینها، سر در نمی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احیاناً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 یک منبر هم بنشیند که منبری آن، خیلی عمیق و اهل علم نبود؛ لذا آن نظریه، تأیید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شروع نهضت اسلامی و ورود فضلای جوان به محیط های دانشگاهی، به کلّی، این تصور را به هم ریخت؛ دیدند نه؛ اینها، اهل علم اند و اهل فکرند؛ اهل منطق و استدلال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وجهة علمی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موقع، این وجهه باقی می ماند؟ تا آن وقتی که این نسل، همواره در مقابل سؤال های خود، پاسخ عالمانه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احتیاج داریم؛ بی مایه فطیر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جوان و فاضل، هم باید درس خودش را خوب بخواند؛ هم باید مطالعات اسلامی را عمق بدهد؛ تفسیر را عمیقاً مطالعه کند؛ خودش را با فلسفه آشنا کند و از تاریخ، مطالب زیادی بداند</w:t>
      </w:r>
      <w:r>
        <w:rPr>
          <w:rFonts w:eastAsia="IRNazanin" w:cs="IRNazanin"/>
          <w:color w:val="111111"/>
          <w:sz w:val="28"/>
          <w:szCs w:val="28"/>
          <w:rtl w:val="true"/>
          <w:lang w:bidi="fa-IR"/>
        </w:rPr>
        <w:t>.</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درستان را خوب بخوانید تا عالم بشوید و بتوانید جواب نیازهای مردم را بدهید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نَصَبَ نَفْسَهُ لِلنَّاسِ إِمَاماً فَعَلَیْهِ أَنْ یَبْدَأَ بِتَعْلِیمِ نَفْسِهِ قَبْلَ تَعْلِیمِ غَیْرِهِ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خودمان، خودمان را بایستی تک‌تک تأدیب و تربیت کنیم تا ان‌شاءالله مفید باشیم</w:t>
      </w:r>
      <w:r>
        <w:rPr>
          <w:rFonts w:eastAsia="Amiri" w:cs="Amiri" w:ascii="Amiri" w:hAnsi="Amiri"/>
          <w:color w:val="111111"/>
          <w:sz w:val="28"/>
          <w:szCs w:val="28"/>
          <w:rtl w:val="true"/>
          <w:lang w:bidi="ar-SA"/>
        </w:rPr>
        <w:t>.</w:t>
      </w:r>
      <w:r>
        <w:rPr>
          <w:rStyle w:val="FootnoteAnchor"/>
          <w:rtl w:val="true"/>
        </w:rPr>
        <w:footnoteReference w:id="23"/>
      </w:r>
      <w:bookmarkStart w:id="61" w:name="pg5444_51410"/>
    </w:p>
    <w:p>
      <w:pPr>
        <w:pStyle w:val="Heading6"/>
        <w:numPr>
          <w:ilvl w:val="5"/>
          <w:numId w:val="1"/>
        </w:numPr>
        <w:rPr/>
      </w:pPr>
      <w:bookmarkStart w:id="62" w:name="__RefHeading___Toc1902979_581953129"/>
      <w:bookmarkStart w:id="63" w:name="_Toc25"/>
      <w:bookmarkEnd w:id="61"/>
      <w:bookmarkEnd w:id="62"/>
      <w:r>
        <w:rPr/>
        <w:t>2</w:t>
      </w:r>
      <w:r>
        <w:rPr>
          <w:rtl w:val="true"/>
        </w:rPr>
        <w:t xml:space="preserve">) </w:t>
      </w:r>
      <w:r>
        <w:rPr>
          <w:rtl w:val="true"/>
        </w:rPr>
        <w:t>فعالیت مستمر و تلاش بی وقفه در عرصه پاسخگویی</w:t>
      </w:r>
      <w:bookmarkEnd w:id="6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شهید مطهری رحمة الله در میدان مبارزة با افکار التقاطی فعال بود؛ حقیقتاً هم پهلوان این میدان بود؛ اما شهید مطهری چرا موفق شد؟ چرا این اثر عمیق و گسترده را از جهت ایجابی و سلبی در جامعة فکری ما گذاشت؟ چون برای آماده‌سازی خود، تلاش فراوان علمی کرده بود؛ بعد هم برای خرج کردن این ذخیرة علمی، به هیچ‌وجه سستی و کوتاهی نکرده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شهید مطهری 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 مرتب مشغول یادداشت کردن، تنظیم یادداشت، مرتب کردن سخنرانی‌هایی که خود او انجام داده بود، به‌دست آوردن شواعب گوناگون و نوبه‌نو در زمینه‌های فکر و اندیشة مذهبی و دینی، و پاسخگویی به انحرافات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مرد اصلاً تنبلی وجود نداشت؛ لذا با آن ذخیرة علمی و کارآمدی عملی توانست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ما حقیقتاً ریزه‌خوار سفرة انعام فکر شهید مطهری هستیم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هیچ تردیدی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فضای فکری جامعه همچنان مرهون فکر او در زمینه‌های گوناگون، چه در زمینه‌های فلسفی، چه در زمینه‌های اجتماعی دینی و چه در زمینه‌های سیاسی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به ایشان احتیاج داریم؛ ولی آن هم باز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حرف‌ها جدیدتر و تازه‌تر است؛ خیلی از شائبه‌ها و اشکالات و شبهات بعد از حرف‌های شهید مطهری به‌وجود آمده؛ باید برای اینها آمادة پاسخ بود؛ لذا حوزه‌های علمیه وظیفة سنگینی برعهده دارند</w:t>
      </w:r>
      <w:r>
        <w:rPr>
          <w:rFonts w:eastAsia="IRNazanin" w:cs="IRNazanin"/>
          <w:color w:val="111111"/>
          <w:sz w:val="28"/>
          <w:szCs w:val="28"/>
          <w:rtl w:val="true"/>
          <w:lang w:bidi="fa-IR"/>
        </w:rPr>
        <w:t>.</w:t>
      </w:r>
      <w:r>
        <w:rPr>
          <w:rStyle w:val="FootnoteAnchor"/>
          <w:rtl w:val="true"/>
        </w:rPr>
        <w:footnoteReference w:id="24"/>
      </w:r>
    </w:p>
    <w:p>
      <w:pPr>
        <w:pStyle w:val="Heading6"/>
        <w:numPr>
          <w:ilvl w:val="5"/>
          <w:numId w:val="1"/>
        </w:numPr>
        <w:rPr/>
      </w:pPr>
      <w:bookmarkStart w:id="64" w:name="__RefHeading___Toc1902981_581953129"/>
      <w:bookmarkStart w:id="65" w:name="_Toc26"/>
      <w:bookmarkEnd w:id="64"/>
      <w:r>
        <w:rPr/>
        <w:t>3</w:t>
      </w:r>
      <w:r>
        <w:rPr>
          <w:rtl w:val="true"/>
        </w:rPr>
        <w:t xml:space="preserve">) </w:t>
      </w:r>
      <w:r>
        <w:rPr>
          <w:rtl w:val="true"/>
        </w:rPr>
        <w:t>روحیة قوی و تأثیرناپذیری</w:t>
      </w:r>
      <w:bookmarkEnd w:id="65"/>
    </w:p>
    <w:p>
      <w:pPr>
        <w:pStyle w:val="BookText"/>
        <w:rPr/>
      </w:pPr>
      <w:r>
        <w:rPr>
          <w:rFonts w:ascii="IRNazanin" w:hAnsi="IRNazanin" w:eastAsia="IRNazanin"/>
          <w:color w:val="111111"/>
          <w:sz w:val="28"/>
          <w:sz w:val="28"/>
          <w:szCs w:val="28"/>
          <w:rtl w:val="true"/>
          <w:lang w:bidi="fa-IR"/>
        </w:rPr>
        <w:t>به نظر من از جمله عناصری که در اینجا لازم است، روحیة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مقابل تهاجم هایی که می‌شود و حرف‌هایی که مطرح می‌گردد، ضعف روحیه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درجة اول، این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نکنید چند سالی گذشته و ضعف های حکومت اسلامی آشکار شده و نمی‌شود کاری کرد؛ نه، قضیه این‌طوری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هنوز اول راه قرار داریم؛ امروز کارهای فراوان و عظیم و قدم های بلند در انتظار ماست</w:t>
      </w:r>
      <w:r>
        <w:rPr>
          <w:rFonts w:eastAsia="IRNazanin" w:cs="IRNazanin"/>
          <w:color w:val="111111"/>
          <w:sz w:val="28"/>
          <w:szCs w:val="28"/>
          <w:rtl w:val="true"/>
          <w:lang w:bidi="fa-IR"/>
        </w:rPr>
        <w:t>.</w:t>
      </w:r>
      <w:r>
        <w:rPr>
          <w:rStyle w:val="FootnoteAnchor"/>
          <w:rtl w:val="true"/>
        </w:rPr>
        <w:footnoteReference w:id="25"/>
      </w:r>
    </w:p>
    <w:p>
      <w:pPr>
        <w:pStyle w:val="Heading6"/>
        <w:numPr>
          <w:ilvl w:val="5"/>
          <w:numId w:val="1"/>
        </w:numPr>
        <w:rPr/>
      </w:pPr>
      <w:bookmarkStart w:id="66" w:name="__RefHeading___Toc1902983_581953129"/>
      <w:bookmarkStart w:id="67" w:name="_Toc27"/>
      <w:bookmarkEnd w:id="66"/>
      <w:r>
        <w:rPr/>
        <w:t>4</w:t>
      </w:r>
      <w:r>
        <w:rPr>
          <w:rtl w:val="true"/>
        </w:rPr>
        <w:t xml:space="preserve">) </w:t>
      </w:r>
      <w:r>
        <w:rPr>
          <w:rtl w:val="true"/>
        </w:rPr>
        <w:t>آشنایی با اوضاع عالم، کشور و مسائل سیاسی</w:t>
      </w:r>
      <w:bookmarkEnd w:id="6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ان‌شاءالله که شما آقایان موفق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درستان را خوب بخوانید تا عالم بشوید و بتوانید جواب نیازهای مردم را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درس، از اوضاع عالم و کشور و مسائل سیاسی مطلع باشید که اگر بی‌اطلاع باشید، به درد پاسخگویی به نیازهای مردم </w:t>
      </w:r>
      <w:bookmarkStart w:id="68" w:name="pg5444_51411"/>
    </w:p>
    <w:p>
      <w:pPr>
        <w:pStyle w:val="BookText"/>
        <w:rPr/>
      </w:pPr>
      <w:bookmarkEnd w:id="68"/>
      <w:r>
        <w:rPr>
          <w:rFonts w:ascii="IRNazanin" w:hAnsi="IRNazanin" w:eastAsia="IRNazanin"/>
          <w:color w:val="111111"/>
          <w:sz w:val="28"/>
          <w:sz w:val="28"/>
          <w:szCs w:val="28"/>
          <w:rtl w:val="true"/>
          <w:lang w:bidi="fa-IR"/>
        </w:rPr>
        <w:t>نخواهید خورد؛ این را صریحاً 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بدانید که در مملکت و در دنیا چه می‌گذرد و نیازهای مردم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هم باشید، تا آن وقت مفید باشید؛ والا مفید نخواهید بود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باید خودتان را با تفکرات عمیق و صحیحی که امروز بحمدالله، نمونه ها و مظاهر بسیار خوبی در محیط فکری ما دارد، آشنا کنید و با افکار و سؤالات و شبهات جوانان، مواجه شوید، به روزبودن روحانیت در همة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مسائل اعتقادی، چه در مسائل فرعی و چه در مسائل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مهم است</w:t>
      </w:r>
      <w:r>
        <w:rPr>
          <w:rFonts w:eastAsia="IRNazanin" w:cs="IRNazanin"/>
          <w:color w:val="111111"/>
          <w:sz w:val="28"/>
          <w:szCs w:val="28"/>
          <w:rtl w:val="true"/>
          <w:lang w:bidi="fa-IR"/>
        </w:rPr>
        <w:t>.</w:t>
      </w:r>
      <w:r>
        <w:rPr>
          <w:rStyle w:val="FootnoteAnchor"/>
          <w:rtl w:val="true"/>
        </w:rPr>
        <w:footnoteReference w:id="27"/>
      </w:r>
    </w:p>
    <w:p>
      <w:pPr>
        <w:pStyle w:val="Heading6"/>
        <w:numPr>
          <w:ilvl w:val="5"/>
          <w:numId w:val="1"/>
        </w:numPr>
        <w:rPr/>
      </w:pPr>
      <w:bookmarkStart w:id="69" w:name="__RefHeading___Toc1902985_581953129"/>
      <w:bookmarkStart w:id="70" w:name="_Toc28"/>
      <w:bookmarkEnd w:id="69"/>
      <w:r>
        <w:rPr/>
        <w:t>5</w:t>
      </w:r>
      <w:r>
        <w:rPr>
          <w:rtl w:val="true"/>
        </w:rPr>
        <w:t xml:space="preserve">) </w:t>
      </w:r>
      <w:r>
        <w:rPr>
          <w:rtl w:val="true"/>
        </w:rPr>
        <w:t>داشتن ذوق ادبی و توان برقراری مفاهمه با مخاطب</w:t>
      </w:r>
      <w:bookmarkEnd w:id="70"/>
    </w:p>
    <w:p>
      <w:pPr>
        <w:pStyle w:val="BookText"/>
        <w:rPr/>
      </w:pPr>
      <w:r>
        <w:rPr>
          <w:rFonts w:ascii="IRNazanin" w:hAnsi="IRNazanin" w:eastAsia="IRNazanin"/>
          <w:color w:val="111111"/>
          <w:sz w:val="28"/>
          <w:sz w:val="28"/>
          <w:szCs w:val="28"/>
          <w:rtl w:val="true"/>
          <w:lang w:bidi="fa-IR"/>
        </w:rPr>
        <w:t>بعضی از چیزها هست که مردم، به آنها محتاج نیستند؛ فرض بفرمایید در مورد شعر و ادب؛ مردم در باب شعر و ادب، به حوزة علمیه، محتاج نیستند؛ امّا اگر حوزة علمیه بخواهد اثرگذار باشد، نمی تواند از ادبیات، از شعر و از ذوقیات، دور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مشت آدمِ خشک جامد بی اطلاع از همة نشانه های ذوق و ادب درست کنیم و به درون جامعه بفرستیم؛ آنها اصلاً، جایی باز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حوزة علمیه، فقط فقه و اصول و کلام و فلسفه نیست؛ ادبیات هست؛ عرفان و ذوق هم هست؛ اینها هم، جزء کارهای حوزه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اینها، زبان خارجی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ها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طلبه ها را مشغول 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 که امروز، وسیلة تفاهم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 کارها،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کارهای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 همین بحث اخلاق هم که مطرح می شود، جزء کارهای علمی و کارهای پرورشی است</w:t>
      </w:r>
      <w:r>
        <w:rPr>
          <w:rFonts w:eastAsia="IRNazanin" w:cs="IRNazanin"/>
          <w:color w:val="111111"/>
          <w:sz w:val="28"/>
          <w:szCs w:val="28"/>
          <w:rtl w:val="true"/>
          <w:lang w:bidi="fa-IR"/>
        </w:rPr>
        <w:t>.</w:t>
      </w:r>
      <w:r>
        <w:rPr>
          <w:rStyle w:val="FootnoteAnchor"/>
          <w:rtl w:val="true"/>
        </w:rPr>
        <w:footnoteReference w:id="28"/>
      </w:r>
    </w:p>
    <w:p>
      <w:pPr>
        <w:pStyle w:val="Heading5"/>
        <w:numPr>
          <w:ilvl w:val="4"/>
          <w:numId w:val="1"/>
        </w:numPr>
        <w:rPr/>
      </w:pPr>
      <w:bookmarkStart w:id="71" w:name="__RefHeading___Toc1902987_581953129"/>
      <w:bookmarkStart w:id="72" w:name="_Toc29"/>
      <w:bookmarkEnd w:id="71"/>
      <w:r>
        <w:rPr>
          <w:rtl w:val="true"/>
        </w:rPr>
        <w:t>د</w:t>
      </w:r>
      <w:r>
        <w:rPr>
          <w:rtl w:val="true"/>
        </w:rPr>
        <w:t xml:space="preserve">) </w:t>
      </w:r>
      <w:r>
        <w:rPr>
          <w:rtl w:val="true"/>
        </w:rPr>
        <w:t>به‌کارگیری امکانات و حمایت های دولتی</w:t>
      </w:r>
      <w:bookmarkEnd w:id="72"/>
    </w:p>
    <w:p>
      <w:pPr>
        <w:pStyle w:val="BookText"/>
        <w:rPr/>
      </w:pPr>
      <w:r>
        <w:rPr>
          <w:rFonts w:ascii="IRNazanin" w:hAnsi="IRNazanin" w:eastAsia="IRNazanin"/>
          <w:color w:val="111111"/>
          <w:sz w:val="28"/>
          <w:sz w:val="28"/>
          <w:szCs w:val="28"/>
          <w:rtl w:val="true"/>
          <w:lang w:bidi="fa-IR"/>
        </w:rPr>
        <w:t>مقابله با این تهاجم، پول و بودجه، امکانات و پشتیبانی های سیاسی دولت را می خواهد؛ امّا دولت، پول بدهد و پشتیبانی بکند که چه بشود؟ طبیعی است که فکری، پخش بشود؛ آن فکر، کجا تولید خواهد شد؟ آیا آن هم، در دولت است یا در حوزه؟</w:t>
      </w:r>
      <w:r>
        <w:rPr>
          <w:rFonts w:eastAsia="IRNazanin" w:cs="IRNazanin"/>
          <w:color w:val="111111"/>
          <w:sz w:val="28"/>
          <w:szCs w:val="28"/>
          <w:rtl w:val="true"/>
          <w:lang w:bidi="fa-IR"/>
        </w:rPr>
        <w:t>.</w:t>
      </w:r>
      <w:r>
        <w:rPr>
          <w:rStyle w:val="FootnoteAnchor"/>
          <w:rtl w:val="true"/>
        </w:rPr>
        <w:footnoteReference w:id="29"/>
      </w:r>
    </w:p>
    <w:p>
      <w:pPr>
        <w:pStyle w:val="Heading5"/>
        <w:numPr>
          <w:ilvl w:val="4"/>
          <w:numId w:val="1"/>
        </w:numPr>
        <w:rPr/>
      </w:pPr>
      <w:bookmarkStart w:id="73" w:name="__RefHeading___Toc1902989_581953129"/>
      <w:bookmarkStart w:id="74" w:name="_Toc30"/>
      <w:bookmarkEnd w:id="73"/>
      <w:r>
        <w:rPr>
          <w:rtl w:val="true"/>
        </w:rPr>
        <w:t>ه</w:t>
      </w:r>
      <w:r>
        <w:rPr>
          <w:rtl w:val="true"/>
        </w:rPr>
        <w:t xml:space="preserve">) </w:t>
      </w:r>
      <w:r>
        <w:rPr>
          <w:rtl w:val="true"/>
        </w:rPr>
        <w:t>ارزش دهی مناسب در حوزه های علمیه به جایگاه پاسخگویی</w:t>
      </w:r>
      <w:bookmarkEnd w:id="74"/>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اگر کسی می خواست در حوزه، مقام علمی پیدا کند، بایستی به تفسیر نمی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آقای ملّای محترم عالِمی، فرضاً اهل تفسیر باشد و مردم از تفسیر او </w:t>
      </w:r>
      <w:bookmarkStart w:id="75" w:name="pg5444_51412"/>
    </w:p>
    <w:p>
      <w:pPr>
        <w:pStyle w:val="BookText"/>
        <w:rPr/>
      </w:pPr>
      <w:bookmarkEnd w:id="75"/>
      <w:r>
        <w:rPr>
          <w:rFonts w:ascii="IRNazanin" w:hAnsi="IRNazanin" w:eastAsia="IRNazanin"/>
          <w:color w:val="111111"/>
          <w:sz w:val="28"/>
          <w:sz w:val="28"/>
          <w:szCs w:val="28"/>
          <w:rtl w:val="true"/>
          <w:lang w:bidi="fa-IR"/>
        </w:rPr>
        <w:t>استفاده کنند؛ بعد برای خاطر آنکه این درس، موجب می گردد او به بی‌سوادی شهره بشود، این درس را ترک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این، فاجعه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عکسِ این باشد؛ یعنی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فلانی، متخصص و استاد بزرگ تفسیر است؛ ایشان، متخصص در فلسفه است؛ ایشان، متخصص در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باید عنوانی در حوزه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چیزها، باید در حوزه ارزش پیدا بکند؛ کما اینکه در گذشته هم، از این چیزها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زمان خود ما، مرحوم علامه طباطبایی رحمة الله در حدّی بود که اگر منحصر به فقاهت می شد، یقیناً به مرجعیت تقلید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فلسفه گردید و رکنی شد و بعد از آنکه در قم، هیچ نشان قابل توجهی از فلسفه نبود، آن را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ها، باید این طور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نباشد که همه، باید رشتة فقاهت را بگیرند؛ نه خیر؛ طلبه باید بداند که اگر رشته تاریخ یا تفسیر یا فلسفه یا کلام یا علوم قرآن یا بقیة علوم اسلامی را پیمود، ارزشی در انتظار اوست و ارزش گذاری مناسبی می‌شود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76" w:name="__RefHeading___Toc1902991_581953129"/>
      <w:bookmarkStart w:id="77" w:name="_Toc31"/>
      <w:bookmarkEnd w:id="76"/>
      <w:r>
        <w:rPr>
          <w:rtl w:val="true"/>
        </w:rPr>
        <w:t>و</w:t>
      </w:r>
      <w:r>
        <w:rPr>
          <w:rtl w:val="true"/>
        </w:rPr>
        <w:t xml:space="preserve">) </w:t>
      </w:r>
      <w:r>
        <w:rPr>
          <w:rtl w:val="true"/>
        </w:rPr>
        <w:t>سوق دادن پژوهش ها به سمت پاسخگویی به نیازهای فکری مخاطبان</w:t>
      </w:r>
      <w:bookmarkEnd w:id="77"/>
    </w:p>
    <w:p>
      <w:pPr>
        <w:pStyle w:val="BookText"/>
        <w:rPr/>
      </w:pPr>
      <w:r>
        <w:rPr>
          <w:rFonts w:ascii="IRNazanin" w:hAnsi="IRNazanin" w:eastAsia="IRNazanin"/>
          <w:color w:val="111111"/>
          <w:sz w:val="28"/>
          <w:sz w:val="28"/>
          <w:szCs w:val="28"/>
          <w:rtl w:val="true"/>
          <w:lang w:bidi="fa-IR"/>
        </w:rPr>
        <w:t>امروز در حوزة علمیة قم، خوشبختانه، بخش های تحقیقاتی زیادی وجود دارد که بعضی مربوط به حوزه، بعضی مربوط به خارج حوزه و بعضی مربوط به بخش های خصوصی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طلاب و فضلای جوان، کارهای تحقیقاتی انجام می دهند؛ اینها را باید با تدبیری، مدیریت حوزه، مکمّل هم کند؛ به‌طوری‌که از مجموعة این تحقیقات، یک منظومة کامل برای رصدکردن هجوم فکری و تبلیغاتی دشمن و امکان مقابله با این هجوم،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برای طلاب، اغلب این تحقیقات در بخش های مختلف، جنبة کاربردی پیدا خواهد کرد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طوری انتخاب شود که هرکس می خواهد یک مجموعة کاری تحقیقاتی درست کند، با مدیریت حوزه مشورت کند؛ با او، در میان بگذارد؛ توصیة او را به طور الزامی، بپذیرد و آنها بدانند چه 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نگاه کلّی به برنامه و کار تحقیق در </w:t>
      </w:r>
    </w:p>
    <w:p>
      <w:pPr>
        <w:pStyle w:val="BookText"/>
        <w:rPr/>
      </w:pPr>
      <w:r>
        <w:rPr>
          <w:rFonts w:ascii="IRNazanin" w:hAnsi="IRNazanin" w:eastAsia="IRNazanin"/>
          <w:color w:val="111111"/>
          <w:sz w:val="28"/>
          <w:sz w:val="28"/>
          <w:szCs w:val="28"/>
          <w:rtl w:val="true"/>
          <w:lang w:bidi="fa-IR"/>
        </w:rPr>
        <w:t>حوزه، باشد؛ کارهای تکراری، بیهوده و بی فایده وارد مسئلة تحقیقات نشود و وقت های حوزه را از بین نبرد؛ این، کار بسیار لازمی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مجموعة کارهای پژوهشی حوزه، باید بتواند یک جمع کامل و یک منظومة کامل را به وجود بیاورد؛ تا همة نیازهایی را که حوزه، متصدّی و مُهتَمّ به آن است، پوشش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توی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نمایشگاه مراکز علمی پژوهشی حوزة علمیة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احساس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پایگاه ها و مراکز تحقیقی که هدفش، دفاع از دین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کمربستگی برای ترویج دین و نشر معارف اسلامی است، باید جوری تنظیم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مجموع، از همه طرف، این مقصود حاصل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قبول بکنند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 بخش از کار خودش را همین قرار بدهد که ببیند کجا خلأ تحقیقی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احیاناً اگر بخشی از کارها تکراری است، آن تکرارکنندگان را هدایت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کند که در مجموع، یک پوشش همه جانبه ای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کار تحقیق، از پراکنده کاری خلاص بشود</w:t>
      </w:r>
      <w:r>
        <w:rPr>
          <w:rFonts w:eastAsia="IRNazanin" w:cs="IRNazanin"/>
          <w:color w:val="111111"/>
          <w:sz w:val="28"/>
          <w:szCs w:val="28"/>
          <w:rtl w:val="true"/>
          <w:lang w:bidi="fa-IR"/>
        </w:rPr>
        <w:t xml:space="preserve">. </w:t>
      </w:r>
      <w:r>
        <w:rPr>
          <w:rStyle w:val="FootnoteAnchor"/>
          <w:rtl w:val="true"/>
        </w:rPr>
        <w:footnoteReference w:id="32"/>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5444_51417"/>
      <w:bookmarkStart w:id="79" w:name="pg5444_51417"/>
      <w:bookmarkEnd w:id="79"/>
    </w:p>
    <w:p>
      <w:pPr>
        <w:pStyle w:val="Heading2"/>
        <w:numPr>
          <w:ilvl w:val="1"/>
          <w:numId w:val="1"/>
        </w:numPr>
        <w:rPr/>
      </w:pPr>
      <w:bookmarkStart w:id="80" w:name="pg5444_51417"/>
      <w:bookmarkStart w:id="81" w:name="__RefHeading___Toc1902993_581953129"/>
      <w:bookmarkStart w:id="82" w:name="_Toc32"/>
      <w:bookmarkEnd w:id="80"/>
      <w:bookmarkEnd w:id="81"/>
      <w:r>
        <w:rPr>
          <w:rtl w:val="true"/>
        </w:rPr>
        <w:t xml:space="preserve">تکفیر و پروژة سرزمین سوخته </w:t>
      </w:r>
      <w:r>
        <w:rPr>
          <w:rtl w:val="true"/>
        </w:rPr>
        <w:t>(</w:t>
      </w:r>
      <w:r>
        <w:rPr>
          <w:rtl w:val="true"/>
        </w:rPr>
        <w:t>خاورمیانه</w:t>
      </w:r>
      <w:r>
        <w:rPr>
          <w:rtl w:val="true"/>
        </w:rPr>
        <w:t xml:space="preserve">) / </w:t>
      </w:r>
      <w:r>
        <w:rPr>
          <w:rtl w:val="true"/>
        </w:rPr>
        <w:t>گفتگو با حجت‌الاسلام والمسلمین دکتر مهدی فرمانیان</w:t>
      </w:r>
      <w:bookmarkEnd w:id="82"/>
    </w:p>
    <w:p>
      <w:pPr>
        <w:pStyle w:val="BookText"/>
        <w:rPr/>
      </w:pPr>
      <w:r>
        <w:rPr>
          <w:rFonts w:ascii="IRNazanin" w:hAnsi="IRNazanin" w:eastAsia="IRNazanin"/>
          <w:color w:val="111111"/>
          <w:sz w:val="28"/>
          <w:sz w:val="28"/>
          <w:szCs w:val="28"/>
          <w:rtl w:val="true"/>
          <w:lang w:bidi="fa-IR"/>
        </w:rPr>
        <w:t>گفتگو با حجت‌الاسلام والمسلمین دکتر مهدی فرمانیان</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دکتر مهدی فرمانیان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در کاشان متولد شد؛ تحصیلات حوزوی خود را از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حوزة علمیة همان شهر آغاز کرد و پس از گذراندن دورة ادبیات در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حوزة علمیة قم وارد شد؛ از سال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مطالعات و تحقیقات ادیان و مذاهب به تحقیق و پژوهش در مذاهب کلامی پرداخته و از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به تدریس در فرق و مذاهب مشغول بوده که حاصل آن هشت کتاب تألیفی و بیش از سی مقالة علمی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استادیار و عضو هیئت علمی و رئیس دانشکدة مذاهب اسلامی دانشگاه ادیان و مذاهب قم است و دارای دکتری کلام با گرایش فلسفه دین و با تخصص فرق و مذاهب اسلامی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مجلة پاسخ، گفتگویی با ایشان دربارة پروژة تکفیر ترتیب داده است که در ذیل می‌خوانیم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شاید کمتر کسی نام سلفی و گروه‌های مانند القاعده، طالبان، داعش را نشنیده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جریان‌ها و تقسیمات مختلفی در سلفیه وجود دارد مثل سلفیه سنتی، جهادی، اصلاحی، میانه‌رو، اصیل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چه معیاری برای تفاوت این جریان‌ها با یکدیگر وجود دارد و چه وجه مشترکی را می‌توان در ماهیت و هدف برای اینها در نظر گرفت؟</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برای تقسیم‌بندی سلفیه یک تعریف دقیقی وجود دارد که آن تعریف را اولین بار خود ابن‌تیمیه مطرح کرد و قبل از آن در جهان اسلام مکتب، تفکر یا فرقه‌ای به نام سلفیه وجود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هشت قرن بسیاری از افرادی که </w:t>
      </w:r>
    </w:p>
    <w:p>
      <w:pPr>
        <w:pStyle w:val="BookText"/>
        <w:rPr/>
      </w:pPr>
      <w:r>
        <w:rPr>
          <w:rFonts w:ascii="IRNazanin" w:hAnsi="IRNazanin" w:eastAsia="IRNazanin"/>
          <w:color w:val="111111"/>
          <w:sz w:val="28"/>
          <w:sz w:val="28"/>
          <w:szCs w:val="28"/>
          <w:rtl w:val="true"/>
          <w:lang w:bidi="fa-IR"/>
        </w:rPr>
        <w:t>تمایل به برخی از اندیشه‌های ابن‌تیمیه پیدا کردند، خود را سلفی نامیدند ولی اکثر اینها التزامی به آن تعریف ابن‌تیمیه ندارند و چون آن التزام وجود ندارد، می‌بینید که این تقسیم‌بندی‌ها ایجاد شده و هر کدام طبق نگرشی که اضافه‌تر یا کمتر از آن از آن چه که ابن‌تیمیه مطرح کرده، به عنوان سلفیه شناخته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دقیق سلفیه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به سلفیه به معنای دقیق علمی و کلامی نگاه کنیم این است که هر کس که معتقد باشد فهم ظاهرگرا و ضدتاویل و ضدعقل اصحاب حدیث، مخصوصاً در سه قرن اول، از فهم خَلَف</w:t>
      </w:r>
      <w:r>
        <w:rPr>
          <w:rStyle w:val="FootnoteAnchor"/>
          <w:rtl w:val="true"/>
        </w:rPr>
        <w:footnoteReference w:id="34"/>
      </w:r>
      <w:r>
        <w:rPr>
          <w:rFonts w:ascii="IRNazanin" w:hAnsi="IRNazanin" w:eastAsia="IRNazanin"/>
          <w:color w:val="111111"/>
          <w:sz w:val="28"/>
          <w:sz w:val="28"/>
          <w:szCs w:val="28"/>
          <w:rtl w:val="true"/>
          <w:lang w:bidi="fa-IR"/>
        </w:rPr>
        <w:t>با این ویژگی‌های خاص، برتر است، او سلفی محسوب می‌شود؛ به‌عبارت‌دیگر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 گفت فهم اصحاب حدیث بر فهم متکلمان، مقدم است؛ هر کس این اعتقاد را داشته باشد می‌شود سلفی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 دیگری که افتاده است، این است که اصحاب حدیث عقایدی در باب صفات و اسمای الهی داشتند خصوصاً آنکه آنان در باب صفات خبری، تأویل را نمی‌پذیرفتند اما ابن‌تیمیه بخشی از عقاید جدید را که خودش مطرح کرده بود آن را هم به نام سلف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عقاید نیز متأسفانه جزء عقاید سلفیه محسوب یا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می‌توان گفت سلفیه امروز کسی است که فهم سلف را یعنی فهم اصحاب حدیث را بر فهم اشاعره و ماتریدیه مقدم بدارد و افکار ابن‌تیمیه را هم مخصوصاً در بحث توحید عبادی، قبول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تعریف دقیق سلفیه امروز باشد خیلی از این گروه‌های سلفی اصلاً سلفی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اخوان‌المسلمین واقعاً معتقد به تقدم فهم سلف بر خلف نیست؛ دیوبندیه واقعاً قائل به تقدم فهم سلف بر خلف نیست؛ القاعده و طالبان و داعش و خیلی از این گروه‌های تکفیری اصلاً و ابداً این اعتقاد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این گروه‌ها آمده‌اند دیدگاه و تفسیرهای خودشان را به اسم سلف مطرح می‌کنند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تنها گروهی که به صورت جدی همان مفهومی که ابن‌تیمیه مطرح کرده است را ادامه می‌دهند همین وهابی‌ها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دلیلش هم این است که چون خود محمد بن‌عبدالوهاب حرفی برای گفتن نداشت؛ او علم نداشت چون علم نداشت مجبور </w:t>
      </w:r>
    </w:p>
    <w:p>
      <w:pPr>
        <w:pStyle w:val="BookText"/>
        <w:rPr/>
      </w:pPr>
      <w:r>
        <w:rPr>
          <w:rFonts w:ascii="IRNazanin" w:hAnsi="IRNazanin" w:eastAsia="IRNazanin"/>
          <w:color w:val="111111"/>
          <w:sz w:val="28"/>
          <w:sz w:val="28"/>
          <w:szCs w:val="28"/>
          <w:rtl w:val="true"/>
          <w:lang w:bidi="fa-IR"/>
        </w:rPr>
        <w:t>بود مقلد باشد و چون مقلد بود تمام افکار ابن‌تیمیه را دربست قبول کرد و با افراط و تندروی بیشتری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هم که پیرو وهابیت هستند همین فضا را ترسیم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همین فضا اتفاقاتی افتاده؛ مثلاً اخوانی‌ها مقداری از این فکر را گرفتند و با بخش فقه مخلوط کردند و در فقه اصلاحاتی ایجاد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اینها معجونی شد از اعتقادات اصحاب حدیث، ماتریدیه، اشاعره و فقه اجتهادی که برگرفته از هر جایی می‌تواند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اینها اسم خود را سلفی‌های اصلاحی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فضا مفاهیم دیگری مثل جهاد و جاهلیت و امثال این در کنار آن عقاید ابن‌تیمیه و محمد بن‌عبدالوهاب و برخی از اندیشه‌های اخوان قرار گرفت و با هم ترکیب شد که از این ترکیب، سلفی‌های جهادی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سلفی‌های جهادی روی جهاد بیشتر از همه تأکید داشتند و جهاد را واجب عینی و اوجب واجبات می‌دانستند لذا اسم اینها شد سلفیة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گروه‌ها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و سلفیه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طیفی مثل وهابیت بودند که عده‌ای به آنها سلفیه سنتی می‌گفتند و به طیف دیگری مثل البانی که شاید اختلافاتی هم با وهابیت داشت، اسم اینها را سلفیه علمی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خیلی از اینها به معنای دقیق کلمه سلفی محسوب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بخواهید به معنای دقیق کلمه بگویید چه کسی سلفی است؟ باید بگویید اهل حدیث پاکستان، انصارالسنه محمدیة مصر و وهابی‌ها سلفی هستند البته طبق آن تعریفی که ابن‌تیمیه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اینکه چقدر عقایدشان عین سلف است بحث دیگری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بهتر باید بگوییم وهابی‌ها واقعاً اصحاب حدیثی هستند؛ اهل حدیث پاکستان اهل حدیثی هستند؛ انصارالسنه محمدیه مصر اهل حدیثی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در این قالب قرار گرفت می‌توان اسمش را گذاشت سلفیة سنتی، سلفیه علمی، سلفیه تقلیدی که به نظرم بهترین عبارت همان سلفیه تقلیدی است یعنی اینان در اعتقادات و کلامشان از گذشتگان مخصوصاً از ابن‌تیمیه تقلید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جالب است در فقه می‌گویند ما مجتهدیم و تقلید کردن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یک پارادوکس خیلی عجیبی در سلفی‌ها دیده می‌شود، در مباحث کلامی می‌گویند تقلید واجب، چون فهم سَلَف بر فهم خَلَف برتر است اما در بحث‌های فقهی، تقلید حرام است و اجتهاد واجب که </w:t>
      </w:r>
    </w:p>
    <w:p>
      <w:pPr>
        <w:pStyle w:val="BookText"/>
        <w:rPr/>
      </w:pPr>
      <w:r>
        <w:rPr>
          <w:rFonts w:ascii="IRNazanin" w:hAnsi="IRNazanin" w:eastAsia="IRNazanin"/>
          <w:color w:val="111111"/>
          <w:sz w:val="28"/>
          <w:sz w:val="28"/>
          <w:szCs w:val="28"/>
          <w:rtl w:val="true"/>
          <w:lang w:bidi="fa-IR"/>
        </w:rPr>
        <w:t>ترکیب اینها یک فضایی را در جهان اسلام به وجود می‌آورد سرشار از فتواها، رفتارهای عجیب و کارهای عجیب آن‌هم به اسم 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ما با پدیده‌ای به نام تکفیر آن‌هم در قالب تروریسم بین‌الملل مواجهیم، فارغ از نگاه‌های امنیتی چه عواملی را در شکل‌گیری این پدیده بیش از سایر عوامل مؤثر می‌دانید؟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عوامل، به دو دسته تقسیم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عامل سیاسی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مهم‌ترین مسئله در گسترش جریان‌های تکفیری در جهان اسلام، مسائل سیاسی است؛ نداشتن خلافت اسلامی و خلیفه یا امپراتوری، در بین اهل‌سنت، مسئله بسیار مهمی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اهل‌سنت، هر گاه خلافت یا امپراتوری یا اقتدار نداشتند، به در و دیوار زدند تا این خلافت دوباره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برای آنها عدالت مهم نیست بلکه امپراتوری، بزرگی، اقتدار و این جایگاه بزرگ، اینها برای آنان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زمانی که امپراتور عثمانی از بین رفته تا به امروز، تمام فعالیت‌های اهل‌سنت در راستای این بوده است که این اقتدار و بزرگی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روشنفکرانشان، چه سکولارهایشان، چه سلفی‌ها، چه اصلاح‌طلبانشان، چه اصلاح‌گرشان،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اسمی که باشند؛ همه در راستای احیای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آنها هم که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نمی‌توانیم به خلافت برسیم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می‌گویند ما باید دنبال حکومت باشیم؛ یا حکومت اسلامی یا حکومتی که خودشان می‌خواستند یا جمع بین سنت و تجدد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اولین عامل، عامل سیاسی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نیز همین مسائل سیاسی است، یعنی سوء‌استفاده غرب و آمریکا از فضای سیاسی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در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استعمار، استکبار، آمریکا، انگلیس به شدت از این فضا سوءاستفاده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جریان‌ها را به سمتی هدایت کرده‌اند که جهان اسلام علیه آمریکا و اسرائیل یکپارچه و متحد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نمونه‌اش را در بیداری اسلامی، در دوره جمال عبدالناصر و دوره‌های قبل‌تر و بعد از امپراتوری عثمانی دیده و می‌بینیم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جهان اسلام حداقل یک میلیارد، مسلمان سنی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می‌بینند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زحمت می‌کشند، هر تلاشی شده انجام می‌دهند، اما به هیچ جایی نرسیدند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 تز و تفکر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با شمشیر کارمان را پیش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از جوان‌ها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با هر کاری و هر روشی شروع کردیم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کار را با شمشیر شروع بکنیم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جوانان هر کدام دسته و عده‌ای برای خودشان تشکیل دادند و اسمی برای خودشان انتخاب کردند و در جهان اسلام پخش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با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اسم اینکه ما می‌خواهیم حکومت اسلامی تشکیل بدهیم و احکام اسلامی جاری بشود، با تکفیر، حمله، کشتن دیگران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 و افراط خیلی عجیب‌وغریب ایجاد کردند؛ غرب هم روی این فضا مانور تبلیغاتی داد و اسلام‌هراسی شدیدی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هر گاه یکی از این گروه‌ها رو به افول بود غربی‌ها تلاش می‌کردند مانع خاموشی آنها شوند چون با افول آنها فضای تبلیغاتی دل‌خواه آنان خودبه‌خود از بین می‌رفت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 هیچ‌گاه دوست ندارد القاعده، داعش و بوکوحرام از بین برود، چون کاری به منافع آمریکا ندارند و فقط منافع مسلمانان را از بین می‌برند، این گروه‌ها مثل یک سرباز بی‌جیره و مواجب، و پیاده‌نظام خوبی برای استعمار و استکبار هستند که راحت می‌توانند جهان اسلام را بر هم بزنند و اتحاد، منافع و موقعیت آن را از بین ببرند و جهان اسلام را به یک سرزمین سوخته تبدیل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گروه‌ها هر جا پا گذاشتند فقط امنیت را، اقتصاد را، بیت‌المال را و مردم را از بین بردند و تنها چیزی که باقی گذاشتند تلی از خاک و آدم‌های کشته‌شده و بی‌امنیتی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تفکر مبتنی بر شمشیر اشاره کردید آیا این تفکر پروسه است یا یک پروژة طراحی شده است؟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ابتدا پروسه بود اما الان تبدیل به پروژه‌ها شده نه یک پروژه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غرب رصد می‌کند که کدام یک از این گروه‌های تکفیری در کدام یک از مناطق می‌توانند یک پروژه خوب برای عملیات‌های خاص آنان باشد تا مورد استفاده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شاید بیش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تکفیری این‌چنینی در جهان اسلام وجود دارد ولی غربی‌ها نسبت به بعضی از آنها کاری نمی‌کنند و ساکت هستند اما نسبت به بعضی دیگر خیلی جدی ورود کرده از آنها حمایت و به آنها کمک می‌کنند؛ چون احساس می‌کنند در راستای منافع آنان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گروه‌ها را هم می‌کوبند؛ چون احساس می‌کنند منافع آنان را به خطر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گروه‌های که ساکت </w:t>
      </w:r>
    </w:p>
    <w:p>
      <w:pPr>
        <w:pStyle w:val="BookText"/>
        <w:rPr/>
      </w:pPr>
      <w:r>
        <w:rPr>
          <w:rFonts w:ascii="IRNazanin" w:hAnsi="IRNazanin" w:eastAsia="IRNazanin"/>
          <w:color w:val="111111"/>
          <w:sz w:val="28"/>
          <w:sz w:val="28"/>
          <w:szCs w:val="28"/>
          <w:rtl w:val="true"/>
          <w:lang w:bidi="fa-IR"/>
        </w:rPr>
        <w:t>هستند که البته تعداد آنان خیلی زیاد است، چون هنوز وقت آن نرسیده است که از اینها استفاده کنند؛ دلیلش هم یا کمی افراد آن گروه‌هاست، یا موقعیت و مکان آن گروه‌ها، و خیلی از عوامل دیگر که باعث می‌شود فعلاً نسبت به آنها ساکت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به صورت غیرمحسوس، به آنها کمک کنند تا در آینده بهره خود را از آنها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نظرم این یک پروسه بوده که در ابتدا دشمن اصلاً و ابداً در آن تأثیری نداشته اما کم‌کم دشمن متوجه شد که اینها گروه‌های خوبی هستند که می‌توانند هر کدامشان یک پروژه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تا زمانی که در فضای یمن، الحوثی‌ها رشد نکرده و اعتباری نیافته بودند آمریکا، با القاعده یمن درگیر بود ولی از زمانی که الحوثی‌ها رشد کردند آمریکا، القاعده یمن را تجهیز کرد؛ عربستان نیز اینها را علیه حوثی‌ها تجهیز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نه تنها مواضع القاعده را نمی‌زند بلکه کمکش هم می‌کند چون قبلاً حکومت دست علی عبدالله صالح و سکولارهای مدافع آمریکا بود و القاعده مزاحم بود ولی الان القاعده فرصت خوبی است برای کوبیدن الحوثی‌ها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داعش چون تا دیروز علیه سوریه و بشار اسد بود باید کمک می‌شد بعد که ادعای خلافت کرد و هم‌پیاله‌های آمریکا در منطقه مثل قطر و عربستان ترسیدند، داعش شد یک مهره سوخته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مهره سوخته برای چالش کشاندن موقعیت شیعه به‌درد می‌خورد پس حضور داعش در منطقة سوریه و عراق خوب است ولی به شرط اینکه محدود به این منطقه بشود یعنی نه آن قدر کمکش کنند که بزرگ بشود و عربستان و قطر را ببلعد و نباید این قدر هم کوچک شود که شیعیان بتوانند آن را از بین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در یک حدی نگاه داشت که شیعه را به چالش بکشد و از آن طرف آن قدر هم نباشد که هم‌پیاله‌ها و همراهان آمریکا در منطقه را به چالش بکشاند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سال گذشته کنفرانسی با عنوان جریان‌های افراطی و تکفیری از دیدگاه علمای جهان اسلام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عاملی سبب شد که چنین کنفرانسی در قم با این وسعت برگزار شود؟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عامل، حضور گروه القاعدة عراق بود که تبدیل به داعش یا جبهة‌النصره شده بود که متأسفانه هدف اصلی و دشمن اصلی خودشان را شیعه معرفی </w:t>
      </w:r>
    </w:p>
    <w:p>
      <w:pPr>
        <w:pStyle w:val="BookText"/>
        <w:rPr/>
      </w:pPr>
      <w:r>
        <w:rPr>
          <w:rFonts w:ascii="IRNazanin" w:hAnsi="IRNazanin" w:eastAsia="IRNazanin"/>
          <w:color w:val="111111"/>
          <w:sz w:val="28"/>
          <w:sz w:val="28"/>
          <w:szCs w:val="28"/>
          <w:rtl w:val="true"/>
          <w:lang w:bidi="fa-IR"/>
        </w:rPr>
        <w:t>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القاعده عراق، شیعه را دشمن اول خودش معرفی کرد، این گروه تا وقتی که در عراق بود چون جایگاهی نداشت، می‌توانستند کنترلش کنند؛ گرچه گاهی اوقات بمب‌گذاری می‌کرد و آدم می‌کشت ولی نتوانسته بود به صورت رسمی جایی را تصرف کند و توان خودش را نشان بدهد اما با به هم ریختن سوریه و ایجاد فضایی خالی در سوریه، احساس کردند می‌توانند منطقه‌ای را بگیرند و دولتی داشته باشند لذا اعلام دولت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وقتی تبدیل به دولت می‌شود یعنی سرزمین دارد، موقعیت دارد؛ جایگاه دارد، پول دارد و می‌تواند امنیت ما را به چالش بکشاند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حضرت آیت‌الله‌العظمی مکارم‌شیرازی احساس خطر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قبل از اینکه داعش به عراق حمله کند و هنوز در سوریه بود؛ شاید وقتی که کلید این کنفرانس زده شد، داعش حتی اعلام حضور هم نکرده بود ولی با تیزبینی و نگاه بلندی که حضرت آیت‌الله‌العظمی مکارم‌شیرازی داشتند به این نتیجه رسیدند که در آینده هر روز اینها بیشتر و بیشتر خواهند شد و رشد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راستا ایشان به عنوان یک عالم و مرجع شیعی، تصمیم گرفتند از علمای جهان اسلام دعوت کنند تا هم موضع رسمی شیعه را مطرح کنند و بگویند شیعه هیچ کدام از مسلمانان را کافر نمی‌داند و این کشت و کشتارها را غلط می‌داند و دوم اینکه علمای اهل‌سنت بیایند و بگویند که تکفیری‌ها از ما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تعبیر کل علمای جهان اسلام و مذاهب دور هم بنشینند و به شدت تکفیری‌ها را مورد انتقاد قرار دهند و اصولاً تکفیری‌ها را جزء اسلام و مسلمانان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خودبه‌خود هم در جامعه اسلامی تأثیر دارد و هم در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کار هم جوابی به اسلام‌هراسی بود و هم جوابی به شیعه‌کشی، هم مانع جنگ شیعه و سنی که می‌خواستند راه بیندازند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نوع می‌توان گفت این همایش، تقابلی بود در مواجهه با این سه فضای سیاسی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اسلام‌هراسی، شیعه‌کشی و جنگ شیعه و سنی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افراطی‌گری در شیعه را چقدر جدی می‌دانید؟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چون جهان اهل‌سنت و جهان عرب، مخصوصاً وهابی‌ها، در بحث سوریه و یمن با شبکه‌های ماهواره‌ای که در اختیار داشتند، گفتند جنگ سوریه، جنگ شیعه و سنی است، جنگ یمن، جنگ شیعه و سنی است و متأسفانه آنها موفق </w:t>
      </w:r>
    </w:p>
    <w:p>
      <w:pPr>
        <w:pStyle w:val="BookText"/>
        <w:rPr/>
      </w:pPr>
      <w:r>
        <w:rPr>
          <w:rFonts w:ascii="IRNazanin" w:hAnsi="IRNazanin" w:eastAsia="IRNazanin"/>
          <w:color w:val="111111"/>
          <w:sz w:val="28"/>
          <w:sz w:val="28"/>
          <w:szCs w:val="28"/>
          <w:rtl w:val="true"/>
          <w:lang w:bidi="fa-IR"/>
        </w:rPr>
        <w:t>شدند یعنی از چیزی که ما می‌ترسیدیم که وهابیت در کنار اهل‌سنت علیه شیعه متحد شود این دارد اتفاق می‌افتد و در این سه چهار ساله، متأسفانه شبکه‌های ماهواره‌ای وهابی برنده میدان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کسی به این فضا کمک کرد؟ شبکه‌های ماهواره‌ای افراطی و تندروی شیعه، یعنی اینها کمک‌کار بسیار جدی بودند تا فضای جهان اسلام به سمت جنگ شیعه و سنی هدایت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یک آقایی که از بزرگان زیدی‌مذهب است، در جریان جنگ یمن، وقتی از او سؤال کرده بودند که مشکل شما چیست؟ گفته بود مشکل ما یاسر الحبیب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بود مشکل ما عربستان است؛ نگفته بود مشکل ما القاعده است، گفته بود مشکل ما یاسر الحبیب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چرا؟ گفته بود چون سنی‌ها، همه شیعه را با هم 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ندارند من زیدی هستم، تو اسماعیلی هستی؛ تو افراطی هستی یا معتدل؛ می‌گویند شیعه نمونه‌اش یاسر الحبیب است و کارهای یاسر الحبیب را به عنوان نماد شیعه نشان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مصیبت‌زاست؛ واقعاً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اینها الان به هیئت‌های مذهبی ما ورود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مداحان ما، هیئت‌های مذهبی ما، چون احساسی و عاطفی‌اند و فضای جهان اسلام به‌خوبی برایشان ترسیم نشده، متأسفانه به شدت از رویکرد تقریبی مقام معظم رهبری، انتقاد می‌کنند؛ اینکه چرا ما ورود نمی‌کنیم، چرا نمی‌رویم بجنگیم، چرا به یمنی‌ها کمک نمی‌کنیم، چرا اصلاً عربستان را با خاک یکسان نمی‌کنیم؛ این فضا دقیقاً ضد آن چیزی است که نظام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نظام نمی‌خواهد وارد جنگ مذهبی بشود ولی برخی هیئت‌های مذهبی و مداحان، احساسات و عواطف مردم را در راستای همان اهدافی که تندروها می‌خواهند، تحریک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فضا و این احساسات غلیان پیدا کرد و جامعه طوری شد که اکثر مردم به نظام فشار آوردند که چرا وارد جنگ نمی‌شوی؛ چرا مثل آنها که ما را می‌کشند شما هم آنها را نمی‌کشی؟ ممکن است گاهی وقت‌ها ناخودآگاه یا شاید خودآگاه اما مجبور، وارد جنگی شود که جز کشتار مسلمین چیز دیگری عایدش نخواهد 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حوزه علمیه قم و مراجع، باید به صورت جدی ورود کنند، مثل یک پدر، به هیئت‌های مذهبی محبت کنند و بگویند که مواظب باشید بر مسیر احساسات و </w:t>
      </w:r>
    </w:p>
    <w:p>
      <w:pPr>
        <w:pStyle w:val="BookText"/>
        <w:rPr/>
      </w:pPr>
      <w:r>
        <w:rPr>
          <w:rFonts w:ascii="IRNazanin" w:hAnsi="IRNazanin" w:eastAsia="IRNazanin"/>
          <w:color w:val="111111"/>
          <w:sz w:val="28"/>
          <w:sz w:val="28"/>
          <w:szCs w:val="28"/>
          <w:rtl w:val="true"/>
          <w:lang w:bidi="fa-IR"/>
        </w:rPr>
        <w:t>عواطف حرکت نکنید؛ الان وقت احساسات و عواطف نیست، وقت تعقل، وقت تدبر و وقت صبر است تا به خواست خدا، بتوانیم از این گردنه و پیچ تاریخی که مقام معظم رهبری فرمودند عبور کنیم و یک تمدن خوب در ایران بسازیم که الگوی کشورهای دیگر بشود نه اینکه خدای ناکرده وارد جنگی مذهبی شویم که کل هزینه‌لازم برای تمدن‌سازی را، خرج مسلمان‌کشی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ما را بکشند ما هم آنها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چه اتفاقی می‌افتد؟ چه فضایی می‌شود؟ آینده ایران، آینده جهان اسلام، حتی آینده کشورهای مسلمان چه خواهد شد؟</w:t>
      </w:r>
    </w:p>
    <w:p>
      <w:pPr>
        <w:pStyle w:val="BookText"/>
        <w:rPr/>
      </w:pPr>
      <w:r>
        <w:rPr>
          <w:rFonts w:ascii="IRNazanin" w:hAnsi="IRNazanin" w:eastAsia="IRNazanin"/>
          <w:color w:val="111111"/>
          <w:sz w:val="28"/>
          <w:sz w:val="28"/>
          <w:szCs w:val="28"/>
          <w:rtl w:val="true"/>
          <w:lang w:bidi="fa-IR"/>
        </w:rPr>
        <w:t>حتی فکر کردن دربارة این مسائل جالب نیست چه برسد به اینکه بخواهیم درباره‌اش برنامه‌ریزی کنیم، ورود کنیم یا کاری انجام بدهیم که نشان دهد ما هم در این زمینه دستی داریم یا مردم را برای جنگ مذهبی تحریک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مجلة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نگاه‌های امنیتی و نظامی به مسئله تکفیر، بهترین راهبرد برای مقابله با این جریان‌ها در سطح داخلی و منطقه‌ای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حرفی که زده می‌شود تقریب است ولی به نظر من، بهترین راهبرد اعتدال در حوزه علمیه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که نمی‌توانیم اهل‌سنت را تغییر بدهیم یا وهابیت را جابجا کنیم اما می‌توانیم تا حدودی حوزه علمیه قم را با برنامه‌ریزی، با نشست‌ها، با بیان مراجع، با تبیین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تأثیرگذارند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اعتدال برسانیم و جلوی فضای افراطی و تند را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بنده اگر بخواهیم راهبردی خیلی جدی برای عدم ورود به جنگ مذهبی تبیین کنیم، باید اعتدال را در حوزه علمیه قم نهادینه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نهادینه شدن در حوزه، به سمت هیئت‌های مذهبی، به سمت مداحان، به سمت واعظان سرازیر شود یعنی باید در جمهوری اسلامی ایران گفتمانی ایجاد کنیم که مردم خودشان به مداحی که حرفش موجب تحریک احساسات می‌شود، یا واعظی که سخنش موجب جنگ مذهبی شود، اعتراض کنند و بگویند که این کار برای شیعه ضرر دارد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نظرم این بهترین راهبردی است که می‌شود عملیاتی کرد یعنی عملیاتی کردنش هزینة زیادی نمی‌برد اما اگر بحث تقریب را مطرح کنیم، به‌هرحال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از زمان آیت‌الله بروجردی، بحث تقریب را مطرح کرده‌ایم، ولی می‌بینیم </w:t>
      </w:r>
    </w:p>
    <w:p>
      <w:pPr>
        <w:pStyle w:val="BookText"/>
        <w:rPr/>
      </w:pPr>
      <w:r>
        <w:rPr>
          <w:rFonts w:ascii="IRNazanin" w:hAnsi="IRNazanin" w:eastAsia="IRNazanin"/>
          <w:color w:val="111111"/>
          <w:sz w:val="28"/>
          <w:sz w:val="28"/>
          <w:szCs w:val="28"/>
          <w:rtl w:val="true"/>
          <w:lang w:bidi="fa-IR"/>
        </w:rPr>
        <w:t>وقتی جریانی مثل سوریه اتفاق می‌افتد و فضای جنگ مذهبی، جنگ شیعه و سنی مطرح می‌شود بسیاری از کسانی که ما در کنفرانس‌های متعدد وحدت از آنها دعوت کرده‌ایم، همین‌ها حکم به مخالفت و جهاد علیه ما می‌دهند و عربستان را تأیید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رقاصه‌ها و روشنفکران یعنی کسانی که اصلاً مذهب و دین برایشان هیچ اهمیتی ندارد؛ از عربستان حمایت می‌کنند؟ چرا در جهان اسلام یک تظاهرات به نفع مردم یمن نشد؟ مگر ندیدند این همه مردم یمن کشته می‌شوند چرا هیچ اتفاقی نیفتاد؟ چرا؟ چون متأسفانه فضا به سمت جنگ مذهبی رفته و رفتار و گفتارهای افراطیون، خواه مسئول، خواه واعظ و مداح، به این مسئله کمک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وقتی یک مداح می‌گوید من عبد رقیه‌ام؛ من عبد زینب هستم؛ مشخص است که مفهوم مجازی‌اش را می‌گوید نه اینکه من واقعاً بنده رقیه‌ام بلکه یعنی من واقعاً رقیه را خیلی دوست دارم و محبت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داعشی القاعده‌ای یا سلفی حتی یک سنی، اصلاً اینها را نمی‌فهمد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تصویر را در فضای مجازی می‌بیند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 کنید شیعیان در قم و تهران می‌گویند ما عبد رقیه هستیم؛ پس اینها غالی‌اند، کشتنشان هم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تنها کشتنشان بلکه سوزاندن‌شان هم واجب است چرا؟ چون امام‌علی علیه‌السلام غالی‌ها را 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می‌بینیم در سوریه شیعه می‌سوزانند بعد استناد می‌کنند به روایتی منسوب به امیرالمؤمنین علیه‌السلام که ایشان غالیان را سوزاند؛ البته روایتی که داریم این است که امام دو چاله کَند، در یک چاله آتش روشن کرد و در چاله دیگر غالیان را گذاشت که از دود ایجاد شده، خفه شدند و از بین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سلفی‌ها، تمام کسانی که می‌گویند من عبد رقیه‌ام، عبد زینب هستم، عبد حسینم، مشرک و کافرند که حتماً باید کشته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اگر مداح ما این عبد رقیه بودن را نگوید، اتفاق خاصی برای او نمی‌افتد ولی حداقلش این است که بهانه به دست دیگری نمی‌دهد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مجلة 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یک نگاهِ آینده‌پژوهانه به تحولات جهان اسلام بیندازیم با رشد فزاینده جریان‌های سلفی، تحولات پیش رو را خصوصاً با توجه به جنگ مذهبی که گفتید، چگونه ارزیابی می‌کنید؟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فضایی که من دارم می‌بینم جنگ مذهبی برایم مثل روز روشن و قطعی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اول سوریه بعد عراق، امروز یمن است، و فردا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نظام و حوزه علمیه قم یک کار جدی کنند؛ داعش تا نزدیکی‌های مرز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در سوریه می‌جنگیم و سوریه را با چنگ و دندان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سوریه سقوط کند، کل سوریه یک جایی می‌شود مثل لیبی یعنی یک به هم ریختگی، آن وقت چند هزار شیعه احتمالاً سر بریده بشوند؟ خدا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سوریه فارغ شوند به طرف عراق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ورودشان به مرزهای ما خیلی جدی‌تر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فضایی است که هم جهان عرب آن را می‌خواهد و هم جهان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جهان غرب می‌خواهد با کمترین هزینه ایران اسلامی را وارد چالش مذهبی کند و بعد قهقهه مستانه‌اش را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معتقدم این اتفاق خواهد افتاد، مگر اینکه ایران کاری بکند؛ یعنی از رویکرد شیعی به رویکرد اسلامی برگردد و تبلیغاتش بیش از آنکه رویکرد شیعی پیدا کند، رویکرد اسلام‌گرایانه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تبلیغات، در صحبت‌ها، در شبکه‌های ماهواره‌ای؛ که من اسم شبکه‌های ماهواره‌ای را طبل‌های جنگ مذهبی گذاشته‌ام و افرادی مثل سیدصادق شیرازی و امثال او، بر این طبل می‌زنند؛ البته الان بر طبل می‌زنند تا کی دستور جنگ صادر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وهابی‌ها، علیه ما شبکه ماهواره‌ای راه می‌اندازند، ما هم شبکه ماهواره‌ای علیه آنها راه می‌اندازیم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آنها علیه ما، ما علیه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کجا پیش خواهیم رفت ؟ تا جایی که احساسات تمام جهان اسلام را تحریک بکنیم؛ ما شیعیان را تحریک کنیم آنها اهل‌سنت را؟</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اصلی همین حرف‌هایی بود که رک و پوست‌کنده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اصلی این است که حوزه علمیه قم، شورای عالی حوزه، جامعه مدرسین، مراجع، واقعاً به صورت جدی وارد صحنه شوند و برای هیئت‌های مذهبی، برای طلاب، برای مداحان، برای واعظان مشهور، کلاس هایی برگزار کنند و این مسائل را برای آنان خیلی زیبا ترسیم کنند و نشان بدهند که هر حرفی و هر حرکتی از سوی یک مداح یا یک مسئول یا یک واعظ، می‌تواند به جنگ مذهبی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آنجایی که می‌توانند از حرف‌ها، از کلمات، از سخنان، از مداحی‌ها، از هر کاری که موجب تحریک احساسات و سوءاستفاده دشمن بشود پرهیز بکنند</w:t>
      </w:r>
      <w:r>
        <w:rPr>
          <w:rFonts w:eastAsia="IRNazanin" w:cs="IRNazanin"/>
          <w:color w:val="111111"/>
          <w:sz w:val="28"/>
          <w:szCs w:val="28"/>
          <w:rtl w:val="true"/>
          <w:lang w:bidi="fa-IR"/>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3" w:name="pg5444_51429"/>
      <w:bookmarkStart w:id="84" w:name="pg5444_51429"/>
      <w:bookmarkEnd w:id="84"/>
    </w:p>
    <w:p>
      <w:pPr>
        <w:pStyle w:val="Heading2"/>
        <w:numPr>
          <w:ilvl w:val="1"/>
          <w:numId w:val="1"/>
        </w:numPr>
        <w:rPr/>
      </w:pPr>
      <w:bookmarkStart w:id="85" w:name="pg5444_51429"/>
      <w:bookmarkStart w:id="86" w:name="__RefHeading___Toc1902995_581953129"/>
      <w:bookmarkStart w:id="87" w:name="_Toc33"/>
      <w:bookmarkEnd w:id="85"/>
      <w:bookmarkEnd w:id="86"/>
      <w:r>
        <w:rPr>
          <w:rtl w:val="true"/>
        </w:rPr>
        <w:t xml:space="preserve">آراء و اندیشه‌های گروه رام‌الله در بوتۀ نقد </w:t>
      </w:r>
      <w:r>
        <w:rPr>
          <w:rtl w:val="true"/>
        </w:rPr>
        <w:t xml:space="preserve">/ </w:t>
      </w:r>
      <w:r>
        <w:rPr>
          <w:rtl w:val="true"/>
        </w:rPr>
        <w:t>حمید کریمی</w:t>
      </w:r>
      <w:bookmarkEnd w:id="87"/>
    </w:p>
    <w:p>
      <w:pPr>
        <w:pStyle w:val="Heading3"/>
        <w:numPr>
          <w:ilvl w:val="2"/>
          <w:numId w:val="1"/>
        </w:numPr>
        <w:rPr/>
      </w:pPr>
      <w:bookmarkStart w:id="88" w:name="__RefHeading___Toc1902997_581953129"/>
      <w:bookmarkStart w:id="89" w:name="_Toc34"/>
      <w:bookmarkEnd w:id="88"/>
      <w:r>
        <w:rPr>
          <w:rtl w:val="true"/>
        </w:rPr>
        <w:t>اشاره</w:t>
      </w:r>
      <w:bookmarkEnd w:id="89"/>
    </w:p>
    <w:p>
      <w:pPr>
        <w:pStyle w:val="BookText"/>
        <w:rPr/>
      </w:pPr>
      <w:r>
        <w:rPr>
          <w:rFonts w:ascii="IRNazanin" w:hAnsi="IRNazanin" w:eastAsia="IRNazanin"/>
          <w:color w:val="111111"/>
          <w:sz w:val="28"/>
          <w:sz w:val="28"/>
          <w:szCs w:val="28"/>
          <w:rtl w:val="true"/>
          <w:lang w:bidi="fa-IR"/>
        </w:rPr>
        <w:t>حمید کریمی</w:t>
      </w:r>
      <w:r>
        <w:rPr>
          <w:rStyle w:val="FootnoteAnchor"/>
          <w:rtl w:val="true"/>
        </w:rPr>
        <w:footnoteReference w:id="35"/>
      </w:r>
    </w:p>
    <w:p>
      <w:pPr>
        <w:pStyle w:val="Heading3"/>
        <w:numPr>
          <w:ilvl w:val="2"/>
          <w:numId w:val="1"/>
        </w:numPr>
        <w:rPr/>
      </w:pPr>
      <w:bookmarkStart w:id="90" w:name="__RefHeading___Toc1902999_581953129"/>
      <w:bookmarkStart w:id="91" w:name="_Toc35"/>
      <w:bookmarkEnd w:id="90"/>
      <w:r>
        <w:rPr>
          <w:rtl w:val="true"/>
        </w:rPr>
        <w:t>چکیده</w:t>
      </w:r>
      <w:bookmarkEnd w:id="91"/>
    </w:p>
    <w:p>
      <w:pPr>
        <w:pStyle w:val="BookText"/>
        <w:rPr/>
      </w:pPr>
      <w:r>
        <w:rPr>
          <w:rFonts w:ascii="IRNazanin" w:hAnsi="IRNazanin" w:eastAsia="IRNazanin"/>
          <w:color w:val="111111"/>
          <w:sz w:val="28"/>
          <w:sz w:val="28"/>
          <w:szCs w:val="28"/>
          <w:rtl w:val="true"/>
          <w:lang w:bidi="fa-IR"/>
        </w:rPr>
        <w:t>گروه رام‌الله یکی از فرقه‌های نوظهور عرفانی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در سال‌های اخیر، گروهی را به خود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پی معرفی این گروه و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پیمان فتّاحی، مؤسس آن است و ریشه‌ها و اشکالات آن را روشن می‌نماید تا کسانی که جویای حق هستند به بیراهه کشیده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این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استدلال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عقلی و نقلی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 بررسی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نشان‌دهندۀ آن است که تفکرات رهبر این گروه از جهاتی، مانند پذیرش پلورالیسم دینی، تأکید بر لازم نداشتن شریعت و تردید در برخی احکام مسلّم دین، مخدوش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فتاحی، رام‌الله، ایلیا، عرفان‌های نوظهور، جریان هدایت الهی</w:t>
      </w:r>
      <w:r>
        <w:rPr>
          <w:rFonts w:eastAsia="IRNazanin" w:cs="IRNazanin"/>
          <w:color w:val="111111"/>
          <w:sz w:val="28"/>
          <w:szCs w:val="28"/>
          <w:rtl w:val="true"/>
          <w:lang w:bidi="fa-IR"/>
        </w:rPr>
        <w:t xml:space="preserve">. </w:t>
      </w:r>
      <w:bookmarkStart w:id="92" w:name="pg5444_51430"/>
    </w:p>
    <w:p>
      <w:pPr>
        <w:pStyle w:val="Heading3"/>
        <w:numPr>
          <w:ilvl w:val="2"/>
          <w:numId w:val="1"/>
        </w:numPr>
        <w:rPr/>
      </w:pPr>
      <w:bookmarkStart w:id="93" w:name="__RefHeading___Toc1903001_581953129"/>
      <w:bookmarkStart w:id="94" w:name="_Toc36"/>
      <w:bookmarkEnd w:id="92"/>
      <w:bookmarkEnd w:id="93"/>
      <w:r>
        <w:rPr>
          <w:rtl w:val="true"/>
        </w:rPr>
        <w:t>مقدمه</w:t>
      </w:r>
      <w:bookmarkEnd w:id="94"/>
    </w:p>
    <w:p>
      <w:pPr>
        <w:pStyle w:val="BookText"/>
        <w:rPr/>
      </w:pPr>
      <w:r>
        <w:rPr>
          <w:rFonts w:ascii="IRNazanin" w:hAnsi="IRNazanin" w:eastAsia="IRNazanin"/>
          <w:color w:val="111111"/>
          <w:sz w:val="28"/>
          <w:sz w:val="28"/>
          <w:szCs w:val="28"/>
          <w:rtl w:val="true"/>
          <w:lang w:bidi="fa-IR"/>
        </w:rPr>
        <w:t>در طول تاریخ و به موازات مکتب برحق انبیای الهی، همواره جریان باطل نیز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جاه‌طلبی، عشق به شهرت، شهوت مال و مقام، از جمله انگیزه‌های مدعیان دروغین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دهه‌های اخیر، رشد فرقه‌های فکری و عرفانی شتاب بیشتری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گروه‌های جدید، پیروان ایلیا رام‌الله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به رام‌الله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مطالعاتی دربارۀ این گروه بسیار محدود است و در خصوص نقد آن، کمتر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کتاب آفتاب و سایه‌ها، قدری دربارة این جریان فکری، سخن گفته شده است اما نگارنده، هیچ مقالۀ مستقلی در این زمینه مشاهده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 ضرورت پژوهش در این موضوع روشن می‌گردد؛ چراکه بر عالمان دین، لازم است با هر خط فکری باطل، مقابله و به منظور روشن شدن اذهان جامعه، تلاش علمی و متناسب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مسئلۀ اصلی در این نوشتار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گروهی است و چه اندیشه‌هایی دارد؟ توسط چه کسی آغاز شده؟ در کجا و چه زمانی مطرح گردیده؟ و چه اشکالاتی بر آن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نوشتار، به شکل گذرا، ابتدا این گروه معرفی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سپس آراء آنان طرح و نقد می‌گردد</w:t>
      </w:r>
      <w:r>
        <w:rPr>
          <w:rFonts w:eastAsia="IRNazanin" w:cs="IRNazanin"/>
          <w:color w:val="111111"/>
          <w:sz w:val="28"/>
          <w:szCs w:val="28"/>
          <w:rtl w:val="true"/>
          <w:lang w:bidi="fa-IR"/>
        </w:rPr>
        <w:t>.</w:t>
      </w:r>
    </w:p>
    <w:p>
      <w:pPr>
        <w:pStyle w:val="Heading3"/>
        <w:numPr>
          <w:ilvl w:val="2"/>
          <w:numId w:val="1"/>
        </w:numPr>
        <w:rPr/>
      </w:pPr>
      <w:bookmarkStart w:id="95" w:name="__RefHeading___Toc1903003_581953129"/>
      <w:bookmarkStart w:id="96" w:name="_Toc37"/>
      <w:bookmarkEnd w:id="95"/>
      <w:r>
        <w:rPr>
          <w:rtl w:val="true"/>
        </w:rPr>
        <w:t>پیدایش</w:t>
      </w:r>
      <w:bookmarkEnd w:id="96"/>
    </w:p>
    <w:p>
      <w:pPr>
        <w:pStyle w:val="BookText"/>
        <w:rPr/>
      </w:pPr>
      <w:r>
        <w:rPr>
          <w:rFonts w:ascii="IRNazanin" w:hAnsi="IRNazanin" w:eastAsia="IRNazanin"/>
          <w:color w:val="111111"/>
          <w:sz w:val="28"/>
          <w:sz w:val="28"/>
          <w:szCs w:val="28"/>
          <w:rtl w:val="true"/>
          <w:lang w:bidi="fa-IR"/>
        </w:rPr>
        <w:t>در دهه‌های اخیر، رشد سریع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نوپدید دینی، بسیاری از مناطق دنیا و ازجمله ایران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تنوع این حرکت‌ها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عرفان‌های شرقی و هندی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تا عرفان‌های غربی و سرخ‌پوستی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پائولو کوئیلو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وجود تفاوت‌های فراوان، اشتراکاتی نیز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کریمی،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فرقه‌ها و آیین‌ها، پیشینۀ روشن و دیرینی دارند که نسل به نسل ادامه یافته است؛ مانند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سلسلۀ دراویش گنابادی و نعمت‌اللهی؛ اما برخی جریان‌ها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آمیزه‌ای از آیین‌های گوناگون و ابداعات رهبران این حرکت‌ها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جریان‌هایی است که آموزه‌های اسلامی را با بخش‌هایی از عرفان‌های دیگر در هم آمیخته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فرقه از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 فتاحی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اسامی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فتاح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ادریس قادری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مسیح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کورش آریانژاد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ایلیاهو هناوی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داود عبدالحی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رامین رام‌الله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القابی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علوم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 علوم باطنی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بنیانگذار الاهیسم 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راه‌اندازی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 فتاحی در سال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 xml:space="preserve">شمسی و در شهر کرمانشاه در خانواده‌ای پرجمعیت به دنیا آمد؛ وی به سبب مشکلات متعدد خانوادگی، به ویژه جوّ روانی پرتلاطم و درگیری‌های خانوادگی، مجبور به ترک تحصیل و گوشه‌نشینی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روزنامة جام‌جم، اسفند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برادرهایم اهل کتک‌کاری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آنقدر کتکم می‌زد که غش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بایست در اوج گریه‌ها و کتک‌ها به اشارۀ 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بازی‌های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خندیدم، کتک‌ها شدیدتر و خشن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بین پیروان خود، بیشتر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جریان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مجسم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فتاحی، معروف به رام‌الله، به همراه همسر و سایر همدستانش با استفاده از قالب و ظاهری معنوی، توانست در مدت دوازده سال، در شهر تهران عده‌ای را که مشتاق تعالیم الهی بودند، جذب کند و سوءاستفاده‌های گسترده‌ای از آنها به عمل آورد و زندگی‌ها و خانواده‌های بسیاری را از هم بپاشد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فرقۀ جدید رام‌الله، با انتشار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شمسی، ظهور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عنوان مرام‌نامه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مانیفست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به رازآلودگی رام‌الله افزود و تشنگی بیشتری در بین طرفدارانش برای شناخت بیشتر وی، پدید آورد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واقعیت آن است که سخنان صحیح و زیبا، دقت در برخی امور، آشنایی با برخی هنرها و فنون غریبه و باطنی، تفکر و قدرت مدیریت و جذب و مهار دیگران در لابه‌لای کلمات و برنامۀ ایشان به روشنی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افرادی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توانند جریانی راه‌اندازی کنند و جمعی را به خود جذب نمایند که حتماً از ویژگی‌های برجسته‌ای برخوردار باشند</w:t>
      </w:r>
      <w:r>
        <w:rPr>
          <w:rFonts w:eastAsia="IRNazanin" w:cs="IRNazanin"/>
          <w:color w:val="111111"/>
          <w:sz w:val="28"/>
          <w:szCs w:val="28"/>
          <w:rtl w:val="true"/>
          <w:lang w:bidi="fa-IR"/>
        </w:rPr>
        <w:t xml:space="preserve">. </w:t>
      </w:r>
      <w:bookmarkStart w:id="97" w:name="pg5444_51432"/>
    </w:p>
    <w:p>
      <w:pPr>
        <w:pStyle w:val="Heading3"/>
        <w:numPr>
          <w:ilvl w:val="2"/>
          <w:numId w:val="1"/>
        </w:numPr>
        <w:rPr/>
      </w:pPr>
      <w:bookmarkStart w:id="98" w:name="__RefHeading___Toc1903005_581953129"/>
      <w:bookmarkStart w:id="99" w:name="_Toc38"/>
      <w:bookmarkEnd w:id="97"/>
      <w:bookmarkEnd w:id="98"/>
      <w:r>
        <w:rPr>
          <w:rtl w:val="true"/>
        </w:rPr>
        <w:t>بررسی و نقد دیدگاه‌ها</w:t>
      </w:r>
      <w:bookmarkEnd w:id="99"/>
    </w:p>
    <w:p>
      <w:pPr>
        <w:pStyle w:val="Heading4"/>
        <w:numPr>
          <w:ilvl w:val="3"/>
          <w:numId w:val="1"/>
        </w:numPr>
        <w:rPr/>
      </w:pPr>
      <w:bookmarkStart w:id="100" w:name="__RefHeading___Toc1903007_581953129"/>
      <w:bookmarkStart w:id="101" w:name="_Toc39"/>
      <w:bookmarkEnd w:id="100"/>
      <w:r>
        <w:rPr>
          <w:rtl w:val="true"/>
        </w:rPr>
        <w:t>اشاره</w:t>
      </w:r>
      <w:bookmarkEnd w:id="101"/>
    </w:p>
    <w:p>
      <w:pPr>
        <w:pStyle w:val="BookText"/>
        <w:rPr/>
      </w:pPr>
      <w:r>
        <w:rPr>
          <w:rFonts w:ascii="IRNazanin" w:hAnsi="IRNazanin" w:eastAsia="IRNazanin"/>
          <w:color w:val="111111"/>
          <w:sz w:val="28"/>
          <w:sz w:val="28"/>
          <w:szCs w:val="28"/>
          <w:rtl w:val="true"/>
          <w:lang w:bidi="fa-IR"/>
        </w:rPr>
        <w:t>در مورد این فرقه، بنیان‌گذار آن، ایده‌ها و عقاید او، تحلیل‌ها و نقدهای فراوانی وجود دارد که به برخی از آنها اشاره می‌شود</w:t>
      </w:r>
      <w:r>
        <w:rPr>
          <w:rFonts w:eastAsia="IRNazanin" w:cs="IRNazanin"/>
          <w:color w:val="111111"/>
          <w:sz w:val="28"/>
          <w:szCs w:val="28"/>
          <w:rtl w:val="true"/>
          <w:lang w:bidi="fa-IR"/>
        </w:rPr>
        <w:t>:</w:t>
      </w:r>
    </w:p>
    <w:p>
      <w:pPr>
        <w:pStyle w:val="Heading4"/>
        <w:numPr>
          <w:ilvl w:val="3"/>
          <w:numId w:val="1"/>
        </w:numPr>
        <w:rPr/>
      </w:pPr>
      <w:bookmarkStart w:id="102" w:name="__RefHeading___Toc1903009_581953129"/>
      <w:bookmarkStart w:id="103" w:name="_Toc40"/>
      <w:bookmarkEnd w:id="102"/>
      <w:r>
        <w:rPr/>
        <w:t>1</w:t>
      </w:r>
      <w:r>
        <w:rPr>
          <w:rtl w:val="true"/>
        </w:rPr>
        <w:t xml:space="preserve">. </w:t>
      </w:r>
      <w:r>
        <w:rPr>
          <w:rtl w:val="true"/>
        </w:rPr>
        <w:t>نداشتن تحصیلات پیوستۀ دانشگاهی یا حوزوی</w:t>
      </w:r>
      <w:bookmarkEnd w:id="103"/>
    </w:p>
    <w:p>
      <w:pPr>
        <w:pStyle w:val="BookText"/>
        <w:rPr/>
      </w:pPr>
      <w:r>
        <w:rPr>
          <w:rFonts w:ascii="IRNazanin" w:hAnsi="IRNazanin" w:eastAsia="IRNazanin"/>
          <w:color w:val="111111"/>
          <w:sz w:val="28"/>
          <w:sz w:val="28"/>
          <w:szCs w:val="28"/>
          <w:rtl w:val="true"/>
          <w:lang w:bidi="fa-IR"/>
        </w:rPr>
        <w:t>مؤسس فرقة رام‌الله که سواد مدرسه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ای او در حد دبیرستان است گرچه می‌گوید مسلمان شیعه است، اما خود را شاگرد خدا، ائمه اطهار علیهم السلام و کتب مقدس ادیان گوناگون و چند معلم امور باطنی و معنوی مثل استاد روح‌الله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شخصیتی مجهول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آموخته‌های دیگرم عمدتاً از تفکرات و مشاهدات و دریافت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هایم بوده و از رؤیاها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طبیعت هم بسیار یاد گرفته‌ام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226</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که به او و پیروان ایشان وارد می‌شود این است که وی در سخنان خود، اعتراف می‌کند که نه سواد دانشگاهی دارد نه حوزوی، حتی اهل مطالعۀ کتاب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علم و اطلاعات و در دورانی که عالمان برجستۀ دینی و صاحب‌فکر وجود دارند، نظریه‌پردازی و تبعیت از چنین فردی، عملی صحیح و سنجیده به نظر نمی‌آید؛ چراکه قرآن‌کریم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نمی‌دانید از اهل ذکر و عالمان بپرسید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جای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آنچه به آن علم نداری پیروی 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وی یا همفکران ایشان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و علم مدرسه‌ای چندان مهم نیست، مهم رسیدن به حقایق و باطن امور عالم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ایشان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وجود عارفان بلند‌مرتبه و شناخته‌شده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مانند سیدبن‌طاووس، علامه بحرالعلوم، سیدعلی قاضی، امام خمینی، آیت‌الله بهاء‌الدینی، بهجت، حسن‌زاده آملی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دوره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ای وجود داشته و مورد تأیید علمای بزرگ دینی هستند، باز هم نوبت به امثال آقای پیمان فتاحی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رسد؟ حق</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جویان باید برای دستیابی به معارف ناب، از چهره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شناخته شده و کارآزموده استفاده کنند نه افراد ناشناس و مدعی؛ همواره چنین بوده است که افراد و تشکیلاتی که زیرمجموعۀ خود را از ارتباط و تماس با منابع دیگر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 نمی‌توانند قابل اعتماد باشند</w:t>
      </w:r>
      <w:r>
        <w:rPr>
          <w:rFonts w:eastAsia="IRNazanin" w:cs="IRNazanin"/>
          <w:color w:val="111111"/>
          <w:sz w:val="28"/>
          <w:szCs w:val="28"/>
          <w:rtl w:val="true"/>
          <w:lang w:bidi="fa-IR"/>
        </w:rPr>
        <w:t xml:space="preserve">. </w:t>
      </w:r>
      <w:bookmarkStart w:id="104" w:name="pg5444_51433"/>
    </w:p>
    <w:p>
      <w:pPr>
        <w:pStyle w:val="Heading4"/>
        <w:numPr>
          <w:ilvl w:val="3"/>
          <w:numId w:val="1"/>
        </w:numPr>
        <w:rPr/>
      </w:pPr>
      <w:bookmarkStart w:id="105" w:name="__RefHeading___Toc1903011_581953129"/>
      <w:bookmarkStart w:id="106" w:name="_Toc41"/>
      <w:bookmarkEnd w:id="104"/>
      <w:bookmarkEnd w:id="105"/>
      <w:r>
        <w:rPr/>
        <w:t>2</w:t>
      </w:r>
      <w:r>
        <w:rPr>
          <w:rtl w:val="true"/>
        </w:rPr>
        <w:t xml:space="preserve">. </w:t>
      </w:r>
      <w:r>
        <w:rPr>
          <w:rtl w:val="true"/>
        </w:rPr>
        <w:t>پذیرش کثرت‌گرایی دینی</w:t>
      </w:r>
      <w:bookmarkEnd w:id="106"/>
    </w:p>
    <w:p>
      <w:pPr>
        <w:pStyle w:val="BookText"/>
        <w:rPr/>
      </w:pPr>
      <w:r>
        <w:rPr>
          <w:rFonts w:ascii="IRNazanin" w:hAnsi="IRNazanin" w:eastAsia="IRNazanin"/>
          <w:color w:val="111111"/>
          <w:sz w:val="28"/>
          <w:sz w:val="28"/>
          <w:szCs w:val="28"/>
          <w:rtl w:val="true"/>
          <w:lang w:bidi="fa-IR"/>
        </w:rPr>
        <w:t>از نظر رام‌الله، تمام ادیان برابرند و هیچ دینی بر دین دیگر، ترجیح و امتیازی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سؤالی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من، دین تو، این دین الهی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دین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همچنین در پاسخ به این سؤال که شما چه دینی دارید؛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مذهب،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و مکاتب، روش‌های آشکار شدن و نشان دادن این عشق می‌باشند همه ادیان در اصل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از شماست، نه از کلام و روش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به هر شکلی که باشد، عمل شیطانی است و تفرقه در میان تعالیم الهی و بندگان خداوند از مکرهای به ثمر نشستۀ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من عشق است و عشق و عاشق و معشوق یکی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فعالی،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رام‌الله از مسیح با کمال احترام و ادب یاد می‌کند و حتی معتقد است او به صلیب کشیده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تمام ادیان را برابر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داند و هیچ دینی را بر دین دیگر ترجیح و امتیاز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دربارة ایمان و اسلام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دیدن دیده نشدۀ دیده شدنی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اسلام دین محبت و نرمش و آسان گرفتن است از این رو است که قرآن و سوره‌های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خشن و بنیادگرا، اسلام دروغین و ساختگی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قاعدۀ آسان گرفتن و سخت نگرفتن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سخت‌گیری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تضاد است؛ همان‌طور که آسان گرفتن با آن هم‌خوانی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ابراز عقیده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 بودم که اسلام مطلوب آن است که مسیحی و یهودی و بودایی و هندو و ادیان دیگر را مادامی که خد‌اپرست و موحد هستند، واقعاً برادر و خواهر خود بداند و در ورای اختلاف عقیده به آنها عشق بورزد و آنها را مانند خود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ادیان یکی از نقاط مورد نظر بود که می‌خواستم در آینده دنبال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 ادیان، به پیوند ملل و تمدن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نیز منجر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347</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تعامل میان اسلام و یهود و مسیحیت می‌تواند بسیاری از مسائل جهان امروز را </w:t>
      </w:r>
    </w:p>
    <w:p>
      <w:pPr>
        <w:pStyle w:val="BookText"/>
        <w:rPr/>
      </w:pPr>
      <w:r>
        <w:rPr>
          <w:rFonts w:ascii="IRNazanin" w:hAnsi="IRNazanin" w:eastAsia="IRNazanin"/>
          <w:color w:val="111111"/>
          <w:sz w:val="28"/>
          <w:sz w:val="28"/>
          <w:szCs w:val="28"/>
          <w:rtl w:val="true"/>
          <w:lang w:bidi="fa-IR"/>
        </w:rPr>
        <w:t>حل کند؛ زیرا ریشۀ اکثر مسائل جهانی در اختلافات ایدئولوژی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366</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برای انسان است نه انسان برای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زندگی انسان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قربانی اختلاف ادیان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دربارة قرآن و سایر کتب مقدس چنین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کتاب مقدس و کتب مقدس ادیان دیگر، محبوب‌ترین کتاب‌هایم بوده 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دانش حال و گذشته و آینده، نهفته در اعماق کلمات خداست، اما من این کلمات را منحصر در قرآن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کامل</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و بزرگ</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گنج معانی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جایگاه بسیار بالا و مقدسی برای کتاب مقدس و کتب ادیان دیگر مثلاً گیتا یا اوپانیشاد یا تعلیمات بودا، کنفوسیوس، لائوتسه و دیگران قایل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علی‌رغم اینکه در اسلام، به تحریفی بودن کتاب مقدس تأکید می‌شود اما من علاوه بر قرآن، ارتباط عمیقی با کتاب مقدس داشته‌ام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اندیشه‌هایی در کتاب مقدس وجود دارد که متاسفانه در اعتقادات اسلامی مردود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موحد و مؤمن بودن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 را تنها راه اصلی نیل به حقیقت نمی‌دانستم، بلکه آن را یکی از راه‌ها می‌دانستم به موازات راه‌های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نمی‌کنم که دیگر مسلمانان ایمان‌دار یا مسیحیان یا یهودیان یا امت‌های دیگر، که به هر نحو به خداوند ایمان دارند و موحد محسوب می‌شوند، اگر مهربان و بخشنده باشد، اگر انسان باشد، همین می‌تواند او را به خداوند بازگرداند و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lang w:bidi="fa-IR"/>
        </w:rPr>
        <w:t>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تفکرات مشترک بین گرایش‌های صوفیانه و 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نوظهور، اندیشۀ پلورالیسم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این فرقه‌ها، حامیان خود را از هر دین و آیینی باشند، می‌پذیرند و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شما مسلمان هستید یا مسیحی یا یهودی، شیعه یا سنی، حتی به نظر پیمان فتاحی، بودایی هستید یا هندو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حتی سخن گفتن از این امور را تفرقه‌افکنانه می‌داند و می‌گوید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نگاهم این است که هرکس در هر دینی باشد اگر معنا و روح دین را که همانا عشق و تسلیم و ایمان است تجربه کند، او هدایت‌یافته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اعتقادی ندارم به اینکه حتماً باید در شناسنامه او نوشته شده باشد که مسلمان شیعه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تبیین و نقد پلورالیسم یا کثرت‌گرایی دینی، مجال دیگری می‌طلبد، اما در اینجا به‌طور خلاصه، اشاره می‌شود که در خلال مباحث پلورالیسم از سه مسئله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در بحث حقانیت ادیان، نمی‌توان هم اسلام را حق دانست و هم مسیحیتی را که معتقد به سه خدایی است؛ هم موحدان را حق دانست و هم بوداییان را که قایل به وجود خدا نیستند؛ هم کسانی که علی علیه السلام را خلیفۀ اول و امام معصوم می‌دانند، حق دانست و هم گروهی که علی علیه السلام را خلیفۀ چهارم و غیرمعصوم و غیرمنصوب از طرف خدا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این آراء، مستلزم جمع بین نقیضین و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دوم، یعنی نجات و رستگاری، ممکن است کسی غیرمسلمان و غیرشیعه باشد، اما به دلیل عدم توجه و عدم تقصیر در شناختن و پیمودن حق، اهل دوزخ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عدم حقانیت، مساوی با عدم نجات از عذاب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سوم، در مورد چگونگی رفتار با مخالفان است، بدین معنا که حقانیت یک دین، مستلزم خشونت و بی‌رحمی و بی‌منطقی و ناسازگاری با دیگران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مانند پیامبر و امام معصوم بود و ذره‌ای شک و عقب‌نشینی در عقاید خود نداشت، اما بالاترین تحمل و مدارا و عطوفت و انسانیت را نسبت به دیگران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دین رحمت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 رحمت است یا شریعت اسلام، سهل و آسان است، سخنی درست است، اما با حقانیت همۀ ادیان و مذاهب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منافع هم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افزایی و همکاری موحدان عالم، با اعتبار همۀ شریعت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در دوران کنونی ملازم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خسروپناه، کلام جدید،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قدردان قراملکی،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کتب ادیان، خصوصاً کتب ادیان آسمانی، مشتمل بر آموزه‌های صحیح فراوانی است، اما سخن درست این است که تورات و انجیل کنونی، متاسفانه تحریف شده و گزاره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نادرست در آنها رسوخ کرده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پذیرش پلورالیسم دینی، گاهی برای به دست آوردن دل و ذهن دیگران و جمع </w:t>
      </w:r>
      <w:bookmarkStart w:id="107" w:name="pg5444_51436"/>
    </w:p>
    <w:p>
      <w:pPr>
        <w:pStyle w:val="BookText"/>
        <w:rPr/>
      </w:pPr>
      <w:bookmarkEnd w:id="107"/>
      <w:r>
        <w:rPr>
          <w:rFonts w:ascii="IRNazanin" w:hAnsi="IRNazanin" w:eastAsia="IRNazanin"/>
          <w:color w:val="111111"/>
          <w:sz w:val="28"/>
          <w:sz w:val="28"/>
          <w:szCs w:val="28"/>
          <w:rtl w:val="true"/>
          <w:lang w:bidi="fa-IR"/>
        </w:rPr>
        <w:t>کردن پیروان بیشتر است؛ و گاهی به داعیۀ وحدت ادیان، که این امر، مستلزم دست برداشتن از آموزه‌های خاص دینی و دستورات ویژۀ اخلاقی و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توجه داشت که بر اساس پلورالیسم، تا ادیان مختلف از نظر روش و محتوا، کم‌رنگ و بی‌شکل نشوند، قابل نزدیکی و اتحاد نیستند</w:t>
      </w:r>
      <w:r>
        <w:rPr>
          <w:rFonts w:eastAsia="IRNazanin" w:cs="IRNazanin"/>
          <w:color w:val="111111"/>
          <w:sz w:val="28"/>
          <w:szCs w:val="28"/>
          <w:rtl w:val="true"/>
          <w:lang w:bidi="fa-IR"/>
        </w:rPr>
        <w:t>.</w:t>
      </w:r>
    </w:p>
    <w:p>
      <w:pPr>
        <w:pStyle w:val="Heading4"/>
        <w:numPr>
          <w:ilvl w:val="3"/>
          <w:numId w:val="1"/>
        </w:numPr>
        <w:rPr/>
      </w:pPr>
      <w:bookmarkStart w:id="108" w:name="__RefHeading___Toc1903013_581953129"/>
      <w:bookmarkStart w:id="109" w:name="_Toc42"/>
      <w:bookmarkEnd w:id="108"/>
      <w:r>
        <w:rPr/>
        <w:t>3</w:t>
      </w:r>
      <w:r>
        <w:rPr>
          <w:rtl w:val="true"/>
        </w:rPr>
        <w:t xml:space="preserve">. </w:t>
      </w:r>
      <w:r>
        <w:rPr>
          <w:rtl w:val="true"/>
        </w:rPr>
        <w:t>تاکید بر باطن دین بدون ظواهر شریعت</w:t>
      </w:r>
      <w:bookmarkEnd w:id="109"/>
    </w:p>
    <w:p>
      <w:pPr>
        <w:pStyle w:val="BookText"/>
        <w:rPr/>
      </w:pPr>
      <w:r>
        <w:rPr>
          <w:rFonts w:ascii="IRNazanin" w:hAnsi="IRNazanin" w:eastAsia="IRNazanin"/>
          <w:color w:val="111111"/>
          <w:sz w:val="28"/>
          <w:sz w:val="28"/>
          <w:szCs w:val="28"/>
          <w:rtl w:val="true"/>
          <w:lang w:bidi="fa-IR"/>
        </w:rPr>
        <w:t>مؤسس فرقة رام‌الله از ابتدای جوانی به حرکات و اعمال رازآلود، از جمله شعبده‌بازی و فنون تردستی علاقه‌مند بود و در گفتگو با دیگران سعی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کرد سخنانی رازآلود و پیچیده بر زبان بیاورد تا شنونده را دچار سردرگمی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بعدها به مطالعۀ کتب و نوشته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مرتبط با علوم متافیزیک روز، از جمله سایکوتکنولوژی، هاله‌بینی،</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هاله در نزد علمای روحی، به جو روشنی که محیط بر اشخاص و اشیاء دارد، اطلاق می‌شود و تعداد و نوع این هاله‌ها، به تعداد و نوع موجودات زنده می‌باشد یعنی کیفیت هاله هر انسان و یا جانداران دیگر شبیه هم نیستند مهمترین وظیفه این هاله‌ها این است که عقل را در برابر بعضی از اثرات محیط خارج، حفظ کند و آن اثرات در عقل به شکل محدودیت‌های نفسانی، نگرانی اضطراب و یا عدم آرامش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رویا‌بینی، ماهامدیتیشن،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انرژی درمانی و دیگر علوم موسوم به علوم کیهانی پرداخت و با افراد معروف در این حوزه ملاقات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جام‌جم، اسفند</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ایلیا از سال‌های نوجوانی با بعضی از بزرگان باطنی و اقطاب ارتباط داشت، به ملاقات آنها می‌رفت و مدتی را با هر یک از آنان سپری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این افراد، برخی در کویر مرکزی ایران بودند که به روش‌های حروفی، عددی و ارواح یعنی علم سیمیا</w:t>
      </w:r>
      <w:r>
        <w:rPr>
          <w:rStyle w:val="FootnoteAnchor"/>
          <w:rtl w:val="true"/>
        </w:rPr>
        <w:footnoteReference w:id="37"/>
      </w:r>
      <w:r>
        <w:rPr>
          <w:rFonts w:ascii="IRNazanin" w:hAnsi="IRNazanin" w:eastAsia="IRNazanin"/>
          <w:color w:val="111111"/>
          <w:sz w:val="28"/>
          <w:sz w:val="28"/>
          <w:szCs w:val="28"/>
          <w:rtl w:val="true"/>
          <w:lang w:bidi="fa-IR"/>
        </w:rPr>
        <w:t xml:space="preserve">و تسخیر اشتغال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ایلیا در مورد ظاهر و باطن دین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گمان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کنم که اصل، باطن دین است و ظاهر دین، پوسته و ساختار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روح دین، عشق و تسلیم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دین، توجه به خدا و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 و ظواهر دینی، جسمی است که این روح و جان در آن جای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بدون روح و جان،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 را در ایمان و محبت و بخشندگی، و کلاً معنویات می‌دانستم و هنوز هم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و جان شریعت برایم بسیار مهم‌تر از جسم و ظاهر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عوض گمان می‌کردم و متأسفانه هنوز هم گمان می‌کنم که بیش از هر کسی مفهوم کلام خدا را درک می‌کنم و با آن ارتباطی زنده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هیچ احساس گناهی از نگاه کردن به نامحرم نداشتم و احساسم طبیعی و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به آن دلیل بود که با 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هزار زن و دختر برخورد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یکی دیگر از انحرافات فکری و عملی ایشان، بی‌توجهی به شریعت و تمرکز بر طریقت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اندیشۀ غلط در بسیاری از فرقه‌های صوفیانه و عرفان‌های غیرالهی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دسته‌بندی و طبقه‌بندی افراد به اهل شریعت، طریقت و حقیقت، نگاه غلطی است که آثار سوء فراوانی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لاهیجی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در موارد متعددی، تصریح می‌کند که چندان اطلاعی از جزئیات دین ندارد و پایبند به همۀ آن‌ها نیست و آنچه را مهم می‌داند عبارت است از عمل به روح اسلام که محبت و معرفت و تسلیم در برابر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گرچه به اهمیت نداشتن شریعت به طور کلی، تصریح نمی‌کند اما به هر حال اهمیت شریعت را بسیار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به شریعت ایمان دارم و غالباً ایمان خود را بسیار بزرگ می‌دانستم و می‌دانم اما اعتقادم به جزئیات شریعت، کم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رنگ‌تر شده بود و معنویت را منهای احکام ظاهری، غیرممکن نمی‌دانستم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آموزه‌های دین، تردیدی نیست که متون دینی و عبادات، دارای ظاهر و باطن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نماز، روزه و 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گذرگاهی برای ورود به اعماق آنها و نزدیکی به خداوند و منبع همه حقایق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بدین‌روی باید با توجه، خلوص و آداب بهتر 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امری مخفی نبوده تا کسی امروز آن را کشف کند اما مهم این است که به‌جا آوردن نماز و روزه و واجبات و محرمات شرعی، موضوعیت و اصالت دارند و هیچ متشرّعی از پایبندی به آنها گریزی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همه انبیا و اولیا الهی و شخصیت بی‌نظیری مانند امیرالمومنین علی علیه السلام که همه اهل معنا و سیر و سلوک، به نحوی خود را به او منتسب می‌کنند، تا پایان عمر مقید به نماز و روزه و جمیع آداب دینی بود تا جایی که برخی شب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هزار رکعت، نماز مستحبی می‌خواند و نهایتاً در حال انجام فریضۀ صبح، در مسجد و محراب عبادت به شهادت رسید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بدون انجام ظواهر و غیر از طریق آنها، نمی‌توان به حقیقت دین و قرب الهی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تسلیم خدابودن و عشق کامل به حقیقت مطلق، با انجام ندادن فرامین </w:t>
      </w:r>
      <w:bookmarkStart w:id="110" w:name="pg5444_51438"/>
    </w:p>
    <w:p>
      <w:pPr>
        <w:pStyle w:val="BookText"/>
        <w:rPr/>
      </w:pPr>
      <w:bookmarkEnd w:id="110"/>
      <w:r>
        <w:rPr>
          <w:rFonts w:ascii="IRNazanin" w:hAnsi="IRNazanin" w:eastAsia="IRNazanin"/>
          <w:color w:val="111111"/>
          <w:sz w:val="28"/>
          <w:sz w:val="28"/>
          <w:szCs w:val="28"/>
          <w:rtl w:val="true"/>
          <w:lang w:bidi="fa-IR"/>
        </w:rPr>
        <w:t>الهی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 تسلیم خدا بود، اما اوامر و نواهی او را کنار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می‌توان به کمال دست یافت بدون طی طریق و سیر و سلوک از راه بندگی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سرشار از امرها و نهی‌های فراوانی است که متوجه بندگان است؛ و خداوند به‌صراحت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برای شما آورده و به آن امر کرده عمل کنید و از آن چه نهی کرده پرهیز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آیۀ</w:t>
      </w: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اکرم صلی الله علیه و 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پرهیزگارترین مردم کسی است که به واجبات عمل کند و از محرمات اجتناب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کسانی که تقید کامل به دستورات شرع، ندارند خارج از صراط مستقیم هدایت‌اند و کسی که در مسیر هدایت نیست نمی‌تواند هادی دیگران باشد</w:t>
      </w:r>
      <w:r>
        <w:rPr>
          <w:rFonts w:eastAsia="IRNazanin" w:cs="IRNazanin"/>
          <w:color w:val="111111"/>
          <w:sz w:val="28"/>
          <w:szCs w:val="28"/>
          <w:rtl w:val="true"/>
          <w:lang w:bidi="fa-IR"/>
        </w:rPr>
        <w:t>.</w:t>
      </w:r>
    </w:p>
    <w:p>
      <w:pPr>
        <w:pStyle w:val="Heading4"/>
        <w:numPr>
          <w:ilvl w:val="3"/>
          <w:numId w:val="1"/>
        </w:numPr>
        <w:rPr/>
      </w:pPr>
      <w:bookmarkStart w:id="111" w:name="__RefHeading___Toc1903015_581953129"/>
      <w:bookmarkStart w:id="112" w:name="_Toc43"/>
      <w:bookmarkEnd w:id="111"/>
      <w:r>
        <w:rPr/>
        <w:t>4</w:t>
      </w:r>
      <w:r>
        <w:rPr>
          <w:rtl w:val="true"/>
        </w:rPr>
        <w:t xml:space="preserve">. </w:t>
      </w:r>
      <w:r>
        <w:rPr>
          <w:rtl w:val="true"/>
        </w:rPr>
        <w:t>در هم آمیختن آموزه</w:t>
      </w:r>
      <w:r>
        <w:rPr>
          <w:rtl w:val="true"/>
        </w:rPr>
        <w:softHyphen/>
      </w:r>
      <w:r>
        <w:rPr>
          <w:rtl w:val="true"/>
        </w:rPr>
        <w:t>های ادیان گوناگون</w:t>
      </w:r>
      <w:bookmarkEnd w:id="112"/>
    </w:p>
    <w:p>
      <w:pPr>
        <w:pStyle w:val="BookText"/>
        <w:rPr/>
      </w:pPr>
      <w:r>
        <w:rPr>
          <w:rFonts w:ascii="IRNazanin" w:hAnsi="IRNazanin" w:eastAsia="IRNazanin"/>
          <w:color w:val="111111"/>
          <w:sz w:val="28"/>
          <w:sz w:val="28"/>
          <w:szCs w:val="28"/>
          <w:rtl w:val="true"/>
          <w:lang w:bidi="fa-IR"/>
        </w:rPr>
        <w:t>تعالیم رام‌الله در دو سطح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سطح اول شامل آموزشی ساده و عمومی است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احیا و تولّد 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بیداری از خواب، گشودن چشم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گوش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و فعّال شدن قلب</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دوم، که آموزش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برای منتخبان و برگزیدگان برگزار می‌شود، هنرهای ماورایی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مرحلۀ تعلیم 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نام استراتژی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هدایت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تعلیمات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زندگی متعالی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کتابی که از این فرقه به صورت مستقیم و رسمی در دسترس است، جریان هدایت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کاملاً به مبانی آیین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هندی، به ویژه تفکرات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پای‌بند و معتقد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162</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رام‌الله مدعی است که روح و تجسّم خدا روی زمین است و در برخی مواقع، صریحاً مدعی الوهیت، جانشینی خدا، شفادهی، تغییر سرنوشت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اختصاصی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رام‌الله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شود و اعضا موظفند از طرح آن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خودداری نمایند، در قالب دین جدیدی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جدید، مغلطه‌ای از بودائیسم، مسیحیت، کابالیسم یهود، تصوف، روانشناسی و اسلام تحریف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مدرسین حوزۀ علمیه قم، ش</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bookmarkStart w:id="113" w:name="pg5444_51439"/>
    </w:p>
    <w:p>
      <w:pPr>
        <w:pStyle w:val="BookText"/>
        <w:rPr/>
      </w:pPr>
      <w:bookmarkEnd w:id="113"/>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یکی از اشکالات افرادی چون فتّاحی آن است که بر اثر ناآشنایی و فهم غیرعمیق یک دین و آیین مشخص، بخش‌های گوناگونی را از آیین‌های مختلف گردهم قرار داده و تفکری التقاطی، پدید آورده‌اند که اجزای آن با یکدیگر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و شیعۀ واقعی بودن با پذیرش حقّانیت آیین بودا و هندو یا بی‌اعتبار دانستن شریعت یا بخش‌هایی از آن و تردید در برخی از احکام، قابل جمع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کاش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برخی جملات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پرسش‌های دینی و ابهامات خود را با عالمان مسلمان مطرح می‌کرد و دیدگاه‌های خود را اصلاح می‌نمود و از این راه؛ به معلومات دینی بیشتری دست می‌یافت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اعتراف کنم با وجودی که سواد زیادی دربارۀ مسائل مذهبی ندارم، اما در خودم قائل بودم که باید تغییراتی را در بعضی از بینش‌ها پدید آورد و بعضی اندیشه‌ها و برداشت‌ها را در این ارتباط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می‌خواستم دیدگاه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هایم را با علمای اسلامی در میان بگذارم، با این استدلال که اگر این ایده‌ها را موافق شریعت و قابل انتقال به عموم بدانند، آن را طرح کنند و انتشار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علت اینکه این جریان را رام‌الله خوانده می‌شود، همین خلطی است که بین اسلام و آیین‌های شبه قارۀ هند و دیگر ادیان ایجاد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همواره در جریان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نوپدید مراد و سردسته، مریدان را از بازگوکردن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منع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سستی تعلیمات او آشکار نشود</w:t>
      </w:r>
      <w:r>
        <w:rPr>
          <w:rFonts w:eastAsia="IRNazanin" w:cs="IRNazanin"/>
          <w:color w:val="111111"/>
          <w:sz w:val="28"/>
          <w:szCs w:val="28"/>
          <w:rtl w:val="true"/>
          <w:lang w:bidi="fa-IR"/>
        </w:rPr>
        <w:t>.</w:t>
      </w:r>
    </w:p>
    <w:p>
      <w:pPr>
        <w:pStyle w:val="Heading4"/>
        <w:numPr>
          <w:ilvl w:val="3"/>
          <w:numId w:val="1"/>
        </w:numPr>
        <w:rPr/>
      </w:pPr>
      <w:bookmarkStart w:id="114" w:name="__RefHeading___Toc1903017_581953129"/>
      <w:bookmarkStart w:id="115" w:name="_Toc44"/>
      <w:bookmarkEnd w:id="114"/>
      <w:r>
        <w:rPr/>
        <w:t>5</w:t>
      </w:r>
      <w:r>
        <w:rPr>
          <w:rtl w:val="true"/>
        </w:rPr>
        <w:t xml:space="preserve">. </w:t>
      </w:r>
      <w:r>
        <w:rPr>
          <w:rtl w:val="true"/>
        </w:rPr>
        <w:t>مبهم‌گویی و مخفی</w:t>
      </w:r>
      <w:r>
        <w:rPr>
          <w:rtl w:val="true"/>
        </w:rPr>
        <w:softHyphen/>
      </w:r>
      <w:r>
        <w:rPr>
          <w:rtl w:val="true"/>
        </w:rPr>
        <w:t>کاری</w:t>
      </w:r>
      <w:bookmarkEnd w:id="115"/>
    </w:p>
    <w:p>
      <w:pPr>
        <w:pStyle w:val="BookText"/>
        <w:rPr/>
      </w:pPr>
      <w:r>
        <w:rPr>
          <w:rFonts w:ascii="IRNazanin" w:hAnsi="IRNazanin" w:eastAsia="IRNazanin"/>
          <w:color w:val="111111"/>
          <w:sz w:val="28"/>
          <w:sz w:val="28"/>
          <w:szCs w:val="28"/>
          <w:rtl w:val="true"/>
          <w:lang w:bidi="fa-IR"/>
        </w:rPr>
        <w:t>نکتۀ دیگر سفسطه کردن، جواب‌های مجمل و مبهم دادن، با کنایه سخن گفتن و فرار از پاسخ صریح است که در پرسش و پاسخ‌های مکرّر، این شیوه از سوی ایشان مشاهده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راه را برای شناخت دقیق و روشن شخصیت و تفکرات ایشان مسدود می‌سازد و راهی برای مخفی‌کاری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این پرسش و پاسخ 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نام‌های مختلفی دارید؟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من یک نام بیشتر ندارم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شما را به اسامی گوناگون خطاب می‌کنند، چرا؟</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کسی از زاویه‌ای و از بینش خاص خودش به من نگاه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اصلی شما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او هم‌اسمیم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منظورتان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همانی است که در شناسنامه افراد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شناسنامۀ اصلی شما در غیبت و در عالم بالاست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که پدر و مادرتان برای شما انتخاب کرده‌اند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انتخابی نکرده‌اند؟ به آنها تحمیل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شما را به چه اسمی بخوانیم؟</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می‌توانید مرا نخوانید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رام‌الله،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تعلیمات شما نوعی دین و مذهب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تعلیمات مکتب عرفانی جدیدی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مکتب یا حرکت، که نه شریعت است و نه طریقت، پس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زندگی متعالی، آشکاری حقیقت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امام یا پیامبرید؟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فقیه و روحانی هستید؟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این‌طور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از مردان مقدس هستید؟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و این به قضاوت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خودتان دراین‌باره چیست؟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روح پاک خدا بر ما ببارد مقدّس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مذهبی هستید؟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هستم</w:t>
      </w:r>
      <w:r>
        <w:rPr>
          <w:rFonts w:eastAsia="IRNazanin" w:cs="IRNazanin"/>
          <w:color w:val="111111"/>
          <w:sz w:val="28"/>
          <w:szCs w:val="28"/>
          <w:rtl w:val="true"/>
          <w:lang w:bidi="fa-IR"/>
        </w:rPr>
        <w:t xml:space="preserve">. </w:t>
      </w:r>
      <w:bookmarkStart w:id="116" w:name="pg5444_51441"/>
    </w:p>
    <w:p>
      <w:pPr>
        <w:pStyle w:val="BookText"/>
        <w:rPr/>
      </w:pPr>
      <w:bookmarkEnd w:id="116"/>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من، مذهب من است و مذهبم زندگی‌ام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درس خوانده‌اید؟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خوانده شده‌ام، به همین دلیل، اینجا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به مدرسه رفته‌اید؟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مدرسه آمده‌ام تا شما را به مدرسه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دانشگاه هم محروم بوده‌اید؟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دانشگاه‌ها هستند که از وجود ما محرومند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 شما کیست؟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من، منم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این جمله‌ها چیزی جز نفسانیت، غرور و تکّبر، اسرارآمیز و قدرتمند جلوه دادن خود، بازی با الفاظ، از پاسخ طفره رفتن، خود را مقدّس جلوه دادن و خود را به‌عنوان یک رهبر عارف و فوق‌العاده نشان دادن، به دست می‌آید؟ ایشان با انواع مغالطات منطقی، مانند استفاده از الفاظ مشترک، مخاطب را گمراه می‌کند و درحقیقت، از پاسخ‌دهی شفاف فرار می‌کند؛ مثلاً،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معنای دیگری غیر از مراد پرسشگر به‌کار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برد؛ یا به جای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درس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و یادگیری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پاسخ ایشان، به معنای دعوت شدن و مطلوب بودن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خندان،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4"/>
        <w:numPr>
          <w:ilvl w:val="3"/>
          <w:numId w:val="1"/>
        </w:numPr>
        <w:rPr/>
      </w:pPr>
      <w:bookmarkStart w:id="117" w:name="__RefHeading___Toc1903019_581953129"/>
      <w:bookmarkStart w:id="118" w:name="_Toc45"/>
      <w:bookmarkEnd w:id="117"/>
      <w:r>
        <w:rPr/>
        <w:t>6</w:t>
      </w:r>
      <w:r>
        <w:rPr>
          <w:rtl w:val="true"/>
        </w:rPr>
        <w:t xml:space="preserve">. </w:t>
      </w:r>
      <w:r>
        <w:rPr>
          <w:rtl w:val="true"/>
        </w:rPr>
        <w:t>کارآمد ندانستن برخی احکام شریعت</w:t>
      </w:r>
      <w:bookmarkEnd w:id="118"/>
    </w:p>
    <w:p>
      <w:pPr>
        <w:pStyle w:val="BookText"/>
        <w:rPr/>
      </w:pPr>
      <w:r>
        <w:rPr>
          <w:rFonts w:ascii="IRNazanin" w:hAnsi="IRNazanin" w:eastAsia="IRNazanin"/>
          <w:color w:val="111111"/>
          <w:sz w:val="28"/>
          <w:sz w:val="28"/>
          <w:szCs w:val="28"/>
          <w:rtl w:val="true"/>
          <w:lang w:bidi="fa-IR"/>
        </w:rPr>
        <w:t>او عقیدۀ خود را دربارۀ تغییر در بعضی از احکام، چنین بیان می‌کند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هرگز در دین بدعت‌گذاری نکردم، اما مثلاً این زمینه را در خودم داشتم و دارم که بعضی از احکام مذهبی مانند سنگسار، اعدام، ارث، حق سرپرستی و دیه زن را ناموافق با تمدن این عصر بدانم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واقعیت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 هم گاهی فکر می‌کنم چرا نباید زن و مرد حق یکسانی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امکانات و فرصت‌ها برای زنان و مردان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زنان نباید رئیس جمهور و قاضی و فرمانده نظامی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واقعاً اعدام، بهترین </w:t>
      </w:r>
      <w:bookmarkStart w:id="119" w:name="pg5444_51442"/>
    </w:p>
    <w:p>
      <w:pPr>
        <w:pStyle w:val="BookText"/>
        <w:rPr/>
      </w:pPr>
      <w:bookmarkEnd w:id="119"/>
      <w:r>
        <w:rPr>
          <w:rFonts w:ascii="IRNazanin" w:hAnsi="IRNazanin" w:eastAsia="IRNazanin"/>
          <w:color w:val="111111"/>
          <w:sz w:val="28"/>
          <w:sz w:val="28"/>
          <w:szCs w:val="28"/>
          <w:rtl w:val="true"/>
          <w:lang w:bidi="fa-IR"/>
        </w:rPr>
        <w:t>گزینه به‌عنوان اشدّ مجازات است؟ چه حکمتی در سنگسار یا قطع دست و پا هست؟ و بسیاری سؤالات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نظرم، این اعتقادات می‌بایست خود را با شرایط و تغییر و تحولات این عصر متناسب کند و در جریان همین هماهنگ‌سازی، ممکن است تفسیر بسیاری از چیز</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های آن تغییر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ایشان بسیاری از بخش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ها و احکام دین جاوید الهی، یعنی اسلام را قبول ندارد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تردید و اشکال می‌کند، اما نزدیکی با حضرت حق و اسلام و دین خاتم را بهترین دین و قرآن را کامل‌ترین کتاب آسمانی دانستن، چگونه با این سخنان سازگاری دارد؟ اگر کسی مسلمان شیعه یا سنی است، در هر صورت، بر اساس آیات قرآن و روایات مسلّم دینی و نبوی، اسلام را شریعت جهانی و جاودانی و جامع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داند؛ بنابراین احکام اسلامی برای همۀ مکان‌ها و زمان‌هاست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محدود انسان‌ها به همۀ مصالح و مفاسد امور و قوانین الهی احاطه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روی توانایی حذف و اضافۀ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بندگی انسان و مولویت خداوند، مقتضی پیروی از فرامین آسمانی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ریشۀ این‌گونه نگرش‌ها و رفتارها در این واقعیت است که سران این‌گونه جریان‌ها اصلاً باوری به اصل اسلام و شریعت ندارند</w:t>
      </w:r>
      <w:r>
        <w:rPr>
          <w:rFonts w:eastAsia="IRNazanin" w:cs="IRNazanin"/>
          <w:color w:val="111111"/>
          <w:sz w:val="28"/>
          <w:szCs w:val="28"/>
          <w:rtl w:val="true"/>
          <w:lang w:bidi="fa-IR"/>
        </w:rPr>
        <w:t>.</w:t>
      </w:r>
    </w:p>
    <w:p>
      <w:pPr>
        <w:pStyle w:val="Heading4"/>
        <w:numPr>
          <w:ilvl w:val="3"/>
          <w:numId w:val="1"/>
        </w:numPr>
        <w:rPr/>
      </w:pPr>
      <w:bookmarkStart w:id="120" w:name="__RefHeading___Toc1903021_581953129"/>
      <w:bookmarkStart w:id="121" w:name="_Toc46"/>
      <w:bookmarkEnd w:id="120"/>
      <w:r>
        <w:rPr/>
        <w:t>7</w:t>
      </w:r>
      <w:r>
        <w:rPr>
          <w:rtl w:val="true"/>
        </w:rPr>
        <w:t xml:space="preserve">. </w:t>
      </w:r>
      <w:r>
        <w:rPr>
          <w:rtl w:val="true"/>
        </w:rPr>
        <w:t xml:space="preserve">پذیرش روش </w:t>
      </w:r>
      <w:r>
        <w:rPr>
          <w:rtl w:val="true"/>
        </w:rPr>
        <w:t>«</w:t>
      </w:r>
      <w:r>
        <w:rPr>
          <w:rtl w:val="true"/>
        </w:rPr>
        <w:t>ضاد</w:t>
      </w:r>
      <w:r>
        <w:rPr>
          <w:rtl w:val="true"/>
        </w:rPr>
        <w:t xml:space="preserve">» </w:t>
      </w:r>
      <w:r>
        <w:rPr>
          <w:rtl w:val="true"/>
        </w:rPr>
        <w:t>و ملامتی</w:t>
      </w:r>
      <w:bookmarkEnd w:id="121"/>
    </w:p>
    <w:p>
      <w:pPr>
        <w:pStyle w:val="BookText"/>
        <w:rPr/>
      </w:pPr>
      <w:r>
        <w:rPr>
          <w:rFonts w:ascii="IRNazanin" w:hAnsi="IRNazanin" w:eastAsia="IRNazanin"/>
          <w:color w:val="111111"/>
          <w:sz w:val="28"/>
          <w:sz w:val="28"/>
          <w:szCs w:val="28"/>
          <w:rtl w:val="true"/>
          <w:lang w:bidi="fa-IR"/>
        </w:rPr>
        <w:t xml:space="preserve">ایلیا مدت‌ها از شیوۀ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شباهت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هایی با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زندگی ملامتیان داشت، استفاده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کرد و در مقطعی، یک چهرۀ غیرمذهبی از خود نشان داده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ایلیا می‌گوید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علاقه‌ام به روش ملامتیان به دلیل همین شباهت نسبی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طریقۀ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بدی‌ها فرار نکن، بلکه بدی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را مهار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تو چیزی را در خود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دهی و فعّال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کنی، ضد آن هم در تو پرورش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صفات خوب و بد گذر کرد تا نور ذات الهی، که عاری از هر رنگ و صفت است، شاید به ادراک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 در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است که ظاهر تو در تضاد با باطن تو، و ظاهر تو بدتر از باطن تو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bookmarkStart w:id="122" w:name="pg5444_51443"/>
    </w:p>
    <w:p>
      <w:pPr>
        <w:pStyle w:val="BookText"/>
        <w:rPr/>
      </w:pPr>
      <w:bookmarkEnd w:id="122"/>
      <w:r>
        <w:rPr>
          <w:rFonts w:ascii="IRNazanin" w:hAnsi="IRNazanin" w:eastAsia="IRNazanin"/>
          <w:color w:val="111111"/>
          <w:sz w:val="28"/>
          <w:sz w:val="28"/>
          <w:szCs w:val="28"/>
          <w:rtl w:val="true"/>
          <w:lang w:bidi="fa-IR"/>
        </w:rPr>
        <w:t>مثلاً یکبار در خیابان انقلاب چند تا از بچه‌ها، چهاردست‌وپا راه می‌رفتند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خیابان ولی‌عصر و بعضی جاهای دیگر، بعضی از کارورزان قدرتمند باطنی را وادار کردم که دربارۀ مسائلی ظاهراً مضحک برای رهگذران سخنرانی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قبل از شروع، خودم یکبار این کار را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این کار دچار فشار زیادی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آنها را که بچه‌های مغروری بودند وادار می‌کردم که ادای گدا را دربیاورند و این برایشان شکننده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بلندگوی وانت دوره‌گرد را گرفتم و در بلندگو آواز خواندم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333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عرفان بلند اسلامی با عرفان‌های سایر مکاتب مانند بودا، هندو، کنفوسیوس، تصوف و جنبش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نوپدید دینی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صحیح اسلامی، که برگرفته از قرآن و روایات و شیوۀ معصومان علیهم السلام است، کاملاً بر انجام واجبات و مستحبات و ترک محرّمات و مکروهات تأکید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بدین‌روی، عارف و سالک الی الله هرگز نباید از حدود شرعی فراتر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روش‌هایی که صوفیان ملامتی از آن استفاده می‌کردند یا بر اساس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می‌شود، این است که شخص برای اینکه نفس خود را بسازد یا مهار کند، دست به اعمالی می‌زند که موجب تحقیر و ملامت او از سوی دیگران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شیوه‌ها، که موجب هتک حرمت و تحقیر مؤمن می‌گردد، شرعاً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برخی از کارها، که ایشان به آن اعتراف کرده‌اند، از نظر یک مسلمان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عزیز است و حق ندارد زمینۀ تحقیر خود را فراهم کند</w:t>
      </w:r>
      <w:r>
        <w:rPr>
          <w:rFonts w:eastAsia="IRNazanin" w:cs="IRNazanin"/>
          <w:color w:val="111111"/>
          <w:sz w:val="28"/>
          <w:szCs w:val="28"/>
          <w:rtl w:val="true"/>
          <w:lang w:bidi="fa-IR"/>
        </w:rPr>
        <w:t>.</w:t>
      </w:r>
      <w:r>
        <w:rPr>
          <w:rStyle w:val="FootnoteAnchor"/>
          <w:rtl w:val="true"/>
        </w:rPr>
        <w:footnoteReference w:id="38"/>
      </w:r>
    </w:p>
    <w:p>
      <w:pPr>
        <w:pStyle w:val="Heading4"/>
        <w:numPr>
          <w:ilvl w:val="3"/>
          <w:numId w:val="1"/>
        </w:numPr>
        <w:rPr/>
      </w:pPr>
      <w:bookmarkStart w:id="123" w:name="__RefHeading___Toc1903023_581953129"/>
      <w:bookmarkStart w:id="124" w:name="_Toc47"/>
      <w:bookmarkEnd w:id="123"/>
      <w:r>
        <w:rPr/>
        <w:t>8</w:t>
      </w:r>
      <w:r>
        <w:rPr>
          <w:rtl w:val="true"/>
        </w:rPr>
        <w:t xml:space="preserve">. </w:t>
      </w:r>
      <w:r>
        <w:rPr>
          <w:rtl w:val="true"/>
        </w:rPr>
        <w:t>امکان پیامبر شدن</w:t>
      </w:r>
      <w:bookmarkEnd w:id="124"/>
    </w:p>
    <w:p>
      <w:pPr>
        <w:pStyle w:val="BookText"/>
        <w:rPr/>
      </w:pPr>
      <w:r>
        <w:rPr>
          <w:rFonts w:ascii="IRNazanin" w:hAnsi="IRNazanin" w:eastAsia="IRNazanin"/>
          <w:color w:val="111111"/>
          <w:sz w:val="28"/>
          <w:sz w:val="28"/>
          <w:szCs w:val="28"/>
          <w:rtl w:val="true"/>
          <w:lang w:bidi="fa-IR"/>
        </w:rPr>
        <w:t>او خود را رسول و مبلغ مستقیم خدا می‌دانست و می‌گفت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وظیفۀ ماست که به‌عنوان خدمتگزاران الهی و کارگزاران قرآن، ادیان و فرهنگ‌های الهی را به یکدیگر پیوند زنیم، و آشکار کنیم که تورات و انجیل حقیقی و دیگر کتب کلام خدا، مستتر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نماز را جهانی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باید الگوهای عالی زندگی و روش‌های متعالی اندیشیدن را دوباره و به تناسب شرایط، از </w:t>
      </w:r>
    </w:p>
    <w:p>
      <w:pPr>
        <w:pStyle w:val="BookText"/>
        <w:rPr/>
      </w:pPr>
      <w:r>
        <w:rPr>
          <w:rFonts w:ascii="IRNazanin" w:hAnsi="IRNazanin" w:eastAsia="IRNazanin"/>
          <w:color w:val="111111"/>
          <w:sz w:val="28"/>
          <w:sz w:val="28"/>
          <w:szCs w:val="28"/>
          <w:rtl w:val="true"/>
          <w:lang w:bidi="fa-IR"/>
        </w:rPr>
        <w:t>قرآن استخراج کنیم و عملاً به دیگران تعلیم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و ملت‌ها به زبان و روش خودشان ارتباط برقرار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شیوۀ ما هماهنگ با آنان و شرایط آنان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فرقة رام‌الله برای عقاید خود اصول بنیادینی قائل است که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خلاقه، نسبی‌گرایی و عدم مطلق‌گرایی، هماهنگی، عدم‌قاطعیت، امکان‌پذیری نامحدود، کوانتوم، اثر مشاهده شونده، ارتباط میدان‌ها و ضد‌میدان‌ها و فرامیدان‌ها، کثرت‌گرایی و تنوع‌گرایی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تعیین‌کنندگی کلام، میزان‌بودن شعور و قوانین آگاهی، سطوح هفت‌گانه و سه‌گانه، فرمول‌ها و ضد فرمول‌ها، زندگی فراگیر و جهان زنده، نظریه اَبَر ریسمان‌ها، اصل هولوگرام، واقعیت جهان‌های موازی 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موارد ذکر شده، نامفهوم یا تعریف نشده و غیررایج است؛ اما ایشان در توضیح نگاه خلاقانه، می‌گوید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خلاقانه می‌گوید انسان می‌تواند هر طور که بخواهد خدا را تجربه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هر کس خدای خود را دارد و با این حال خدا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بیان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که ما می‌توانیم تعیین‌کننده تجربه خود از خدا باشیم و تعیین کنیم خداوند چگونه در زندگی ما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شرع چنین چیزهایی را مردود می‌داند یا تأیید می‌کند؟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اکثر چیزها حد کاملاً معلومی را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خلاقه می‌گوید همه چیز می‌تواند نامحدود باشد، هر تجربه‌ای، هر دریافتی، هر ارتباطی، هر دانش و هر قدرتی و بلکه همه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می‌گوید ارتباط مستقیم با خدا به انبیا اختصاص دارد اما نگاه خلاقانه می‌گوید اگر کسی بتواند همان نگاه انبیا به خدا را داشته باشد، همان ارتباط را با خدا تجربه خواهد کرد و حتی اگر عمق و وسعت این نگاه از بینش انبیا بیشتر باشد، پس ارتباط او با خدا از آنها هم عمیق‌تر و خوب‌تر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می‌گوید فقط خداوند نامحدود است اما نگاه خلاقانه می‌گوید اگر نگاه انسان متوجه بی‌نهایت شود، اگر تعریف انسان از من کیستم خودش نامحدود باشد، انسان هم می‌تواند نامحدود باشد، به خدا بپیوندد و بر همۀ حدود غلبه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403</w:t>
      </w:r>
      <w:r>
        <w:rPr>
          <w:rFonts w:eastAsia="IRNazanin" w:cs="IRNazanin"/>
          <w:color w:val="111111"/>
          <w:sz w:val="28"/>
          <w:szCs w:val="28"/>
          <w:rtl w:val="true"/>
          <w:lang w:bidi="fa-IR"/>
        </w:rPr>
        <w:t>-</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bookmarkStart w:id="125" w:name="pg5444_51445"/>
    </w:p>
    <w:p>
      <w:pPr>
        <w:pStyle w:val="BookText"/>
        <w:rPr/>
      </w:pPr>
      <w:bookmarkEnd w:id="125"/>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ایشان، چنان‌که گذشت، معتقد است ارتباط مستقیم با خدا، از نظر شریعت، اختصاص به انبیاء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نگاه خلّاقه ایشان این امر را به غیر انبیاء هم توسعه می‌دهد و حتی این امر، بیشتر از مقام پیامبران هم، قابل تعمیق است، یعنی اینکه غیرپیامبران می‌توانند بیش از انبیاء به خداوند، نزدیک شوند، امّا آنچه روشن نیست این است که مراد از ارتباط مستقیم با خدا چیست؟ علاوه بر آن، بالاتر رفتن از مقام انبیا، آیا شامل پیامبران اولوالعزم و پیامبر خاتم صلی الله علیه و آله هم می‌شود یا نه؟</w:t>
      </w:r>
    </w:p>
    <w:p>
      <w:pPr>
        <w:pStyle w:val="BookText"/>
        <w:rPr/>
      </w:pPr>
      <w:r>
        <w:rPr>
          <w:rFonts w:ascii="IRNazanin" w:hAnsi="IRNazanin" w:eastAsia="IRNazanin"/>
          <w:color w:val="111111"/>
          <w:sz w:val="28"/>
          <w:sz w:val="28"/>
          <w:szCs w:val="28"/>
          <w:rtl w:val="true"/>
          <w:lang w:bidi="fa-IR"/>
        </w:rPr>
        <w:t>از نگاه دین، اصل ارتباط با خدا، عمومیت داشته و همه موجودات با او مرتبط هستند؛ ما انسان‌ها نیز هرگاه بخواهیم می‌توانیم با خداوند سخن بگوییم و او را مخاطب قرار دهیم و در خود و همه جا، او را حاضر ببینیم، اما ارتباط به عنوان پیامبر و دریافت وحی، رابطۀ خاصی است که فقط بین پیامبر و خداست؛ حتی اولیا و ائمه هم از مقام دریافت وحی تشریعی برخوردار نیستند، البته الهام و تحدیث نسبت به آنان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دستیابی به مقامات معنوی و اینکه گفته شود می‌توان از برخی انبیا بالاتر رفت، گرچه نسبت به برخی انبیا درست است چرا که پیامبر صلی الله علیه و 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عُلَماءُ اُمَّتی أفضَلُ مِن أنبِیاءِ بَنی إسرائیل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پیامبری منصبی الهی است و پیامبر از جانب خدا تعیین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 و کسی را نشاید که خودش پیامبر بشود</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چه اینکه بالاتر رفتن از همۀ انبیا حتی پیامبران اولوالعزم و خصوصاً پیامبر خاتم صلی الله علیه و آله، هرگز در وسع و طاقت هیچ بشری نیست</w:t>
      </w:r>
      <w:r>
        <w:rPr>
          <w:rFonts w:eastAsia="IRNazanin" w:cs="IRNazanin"/>
          <w:color w:val="111111"/>
          <w:sz w:val="28"/>
          <w:szCs w:val="28"/>
          <w:rtl w:val="true"/>
          <w:lang w:bidi="fa-IR"/>
        </w:rPr>
        <w:t>.</w:t>
      </w:r>
      <w:r>
        <w:rPr>
          <w:rStyle w:val="FootnoteAnchor"/>
          <w:rtl w:val="true"/>
        </w:rPr>
        <w:footnoteReference w:id="40"/>
      </w:r>
    </w:p>
    <w:p>
      <w:pPr>
        <w:pStyle w:val="Heading4"/>
        <w:numPr>
          <w:ilvl w:val="3"/>
          <w:numId w:val="1"/>
        </w:numPr>
        <w:rPr/>
      </w:pPr>
      <w:bookmarkStart w:id="126" w:name="__RefHeading___Toc1903025_581953129"/>
      <w:bookmarkStart w:id="127" w:name="_Toc48"/>
      <w:bookmarkEnd w:id="126"/>
      <w:r>
        <w:rPr/>
        <w:t>9</w:t>
      </w:r>
      <w:r>
        <w:rPr>
          <w:rtl w:val="true"/>
        </w:rPr>
        <w:t xml:space="preserve">. </w:t>
      </w:r>
      <w:r>
        <w:rPr>
          <w:rtl w:val="true"/>
        </w:rPr>
        <w:t>اشاعۀ گناه و اعتراف به آن</w:t>
      </w:r>
      <w:bookmarkEnd w:id="127"/>
    </w:p>
    <w:p>
      <w:pPr>
        <w:pStyle w:val="BookText"/>
        <w:rPr/>
      </w:pPr>
      <w:r>
        <w:rPr>
          <w:rFonts w:ascii="IRNazanin" w:hAnsi="IRNazanin" w:eastAsia="IRNazanin"/>
          <w:color w:val="111111"/>
          <w:sz w:val="28"/>
          <w:sz w:val="28"/>
          <w:szCs w:val="28"/>
          <w:rtl w:val="true"/>
          <w:lang w:bidi="fa-IR"/>
        </w:rPr>
        <w:t>ایلیا، در رابطه با آگاهی از کید شیاطین،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قدیس نبوده‌ام، معصوم نبوده‌ام، گناه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اگر به خطا نمی‌رفتم، اکنون قادر به تعلیم گناهکاران نبودم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شیطان و بدی، همنشین شده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 و مدت‌ها در کنار آن زیسته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روش</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هلاک کردن و به انحراف کشاندن، حقّه‌ها، مکرها و دام</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جریان شیطانی را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دانم و همچنین راه رها شدن و ایمنی از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bookmarkStart w:id="128" w:name="pg5444_51446"/>
    </w:p>
    <w:p>
      <w:pPr>
        <w:pStyle w:val="BookText"/>
        <w:rPr/>
      </w:pPr>
      <w:bookmarkEnd w:id="128"/>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این‌گونه ابراز نظر کردن و بیان کلماتی این‌چنینی، مورد تأمل جدی است چرا که اولاً، اعتراف به گناه و خطا است و این نکته با آنچه برخی مریدان او دربارۀ وی می‌پندارند، سازگار نیست، دوم آنکه، اگر انسان گناهی انجام داد و مرتکب خطایی شد، نباید در حضور دیگران آن را ذکر کند، سوم، این ایده که گناه کردن، شرط راه‌یافتن و کمال و دستگیری از اهل گناه است، سخن و ایده‌ای غلط و به دور از واقع است چرا که پیامبران الهی و اوصیاء آنان که راهنمای اصلی بشر هستند، همگی معصوم و دور از گناه و خطا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کسی که گناهی را مرتکب نشده بالاتر است از کسی که مرتکب شده و سپس توبه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برای هدایت و دستگیری دیگران، آشنایی با لغزش‌ها و زشتی گناهان لازم است، نه ارتکاب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شیطان انسان را وسوسه و تحریک به ارتکاب گناه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تا مثلاً بعد از ارتکاب گناه، توبه کند و به مقام تائبان دست پیدا کند، غافل از آنکه که شاید اصلاً امکان توبه فراهم نشود، و حتی با فرض امکان توبه، ضمیر انسان هرگز مانند اول نخواهد شد</w:t>
      </w:r>
      <w:r>
        <w:rPr>
          <w:rFonts w:eastAsia="IRNazanin" w:cs="IRNazanin"/>
          <w:color w:val="111111"/>
          <w:sz w:val="28"/>
          <w:szCs w:val="28"/>
          <w:rtl w:val="true"/>
          <w:lang w:bidi="fa-IR"/>
        </w:rPr>
        <w:t>.</w:t>
      </w:r>
    </w:p>
    <w:p>
      <w:pPr>
        <w:pStyle w:val="Heading4"/>
        <w:numPr>
          <w:ilvl w:val="3"/>
          <w:numId w:val="1"/>
        </w:numPr>
        <w:rPr/>
      </w:pPr>
      <w:bookmarkStart w:id="129" w:name="__RefHeading___Toc1903027_581953129"/>
      <w:bookmarkStart w:id="130" w:name="_Toc49"/>
      <w:bookmarkEnd w:id="129"/>
      <w:r>
        <w:rPr/>
        <w:t>10</w:t>
      </w:r>
      <w:r>
        <w:rPr>
          <w:rtl w:val="true"/>
        </w:rPr>
        <w:t xml:space="preserve">. </w:t>
      </w:r>
      <w:r>
        <w:rPr>
          <w:rtl w:val="true"/>
        </w:rPr>
        <w:t>بها ندادن به توسل و جایگاه معصومان علیهم السلام</w:t>
      </w:r>
      <w:bookmarkEnd w:id="130"/>
    </w:p>
    <w:p>
      <w:pPr>
        <w:pStyle w:val="BookText"/>
        <w:rPr/>
      </w:pPr>
      <w:r>
        <w:rPr>
          <w:rFonts w:ascii="IRNazanin" w:hAnsi="IRNazanin" w:eastAsia="IRNazanin"/>
          <w:color w:val="111111"/>
          <w:sz w:val="28"/>
          <w:sz w:val="28"/>
          <w:szCs w:val="28"/>
          <w:rtl w:val="true"/>
          <w:lang w:bidi="fa-IR"/>
        </w:rPr>
        <w:t>غالباً چنین است که باور و اعتقاد هر شخص در کلام او، نمایان است؛ دقت در برخی از کلمات و گفته‌های رام‌الله، جایگاه توسل را در باور او نشان می‌دهد، مثلاً آنجا که می‌گوید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با من و 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ساکن روح من است و مرا در احاطه و تسخیر خود دارد و معنای کلمۀ رام‌الله برایم همین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تسلیم و مسخّر خداست و در روح خود با خداوند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برای دعا کردن، به روح خودم متوسل می‌شدم، نه اهل‌بیت و حتی انبیا و چنان با خداوندم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زدم که انگار با روح خودم دارم حرف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زنم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131" w:name="pg5444_51447"/>
    </w:p>
    <w:p>
      <w:pPr>
        <w:pStyle w:val="BookText"/>
        <w:rPr/>
      </w:pPr>
      <w:bookmarkEnd w:id="131"/>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در آموزه‌های ایشان نه تنها، هیچ سخنی از چهارده معصوم و توسّل به آنان و تقرّب به خداوند از طریق آنان بیان نشده است بلکه به نحوی تنها راه دعا را توسّل به خدا و روح خود می‌داند، این در حالی است که در بسیاری از آموزه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دینی در مورد توجه به اهل‌بیت علیهم السلام و توسل به ایشان و درود بر آنان و توجه به خدا به واسطه ایشان، توصیه شده است</w:t>
      </w:r>
      <w:r>
        <w:rPr>
          <w:rFonts w:eastAsia="IRNazanin" w:cs="IRNazanin"/>
          <w:color w:val="111111"/>
          <w:sz w:val="28"/>
          <w:szCs w:val="28"/>
          <w:rtl w:val="true"/>
          <w:lang w:bidi="fa-IR"/>
        </w:rPr>
        <w:t>.</w:t>
      </w:r>
      <w:r>
        <w:rPr>
          <w:rStyle w:val="FootnoteAnchor"/>
          <w:rtl w:val="true"/>
        </w:rPr>
        <w:footnoteReference w:id="41"/>
      </w:r>
    </w:p>
    <w:p>
      <w:pPr>
        <w:pStyle w:val="Heading4"/>
        <w:numPr>
          <w:ilvl w:val="3"/>
          <w:numId w:val="1"/>
        </w:numPr>
        <w:rPr/>
      </w:pPr>
      <w:bookmarkStart w:id="132" w:name="__RefHeading___Toc1903029_581953129"/>
      <w:bookmarkStart w:id="133" w:name="_Toc50"/>
      <w:bookmarkEnd w:id="132"/>
      <w:r>
        <w:rPr/>
        <w:t>11</w:t>
      </w:r>
      <w:r>
        <w:rPr>
          <w:rtl w:val="true"/>
        </w:rPr>
        <w:t xml:space="preserve">. </w:t>
      </w:r>
      <w:r>
        <w:rPr>
          <w:rtl w:val="true"/>
        </w:rPr>
        <w:t>نگاه غلط به ازدواج</w:t>
      </w:r>
      <w:bookmarkEnd w:id="133"/>
    </w:p>
    <w:p>
      <w:pPr>
        <w:pStyle w:val="BookText"/>
        <w:rPr/>
      </w:pPr>
      <w:r>
        <w:rPr>
          <w:rFonts w:ascii="IRNazanin" w:hAnsi="IRNazanin" w:eastAsia="IRNazanin"/>
          <w:color w:val="111111"/>
          <w:sz w:val="28"/>
          <w:sz w:val="28"/>
          <w:szCs w:val="28"/>
          <w:rtl w:val="true"/>
          <w:lang w:bidi="fa-IR"/>
        </w:rPr>
        <w:t>یکی دیگر از دیدگاه‌های رام‌الله در زمینۀ پیوند دو جنس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بارۀ پیوند زن و مرد، تأکید را بر یکپارچگی و وحدت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معتقد است پیوند بیرونی می‌تواند منشأ ازدواج درونی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انسان از دوگانگی رها شود و به یگانگی برسد، می‌توان امید داشت که انسان به ازدواج متعالی درونی هم نائل شود به تعبیر او، تا یگانگی را در زمین تجربه نکنی، تجربۀ آن در آسمان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رام‌الله، در بارۀ نسبت زن و مرد ریشه در اندیشه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آیین تانتریک</w:t>
      </w:r>
      <w:r>
        <w:rPr>
          <w:rStyle w:val="FootnoteAnchor"/>
          <w:rtl w:val="true"/>
        </w:rPr>
        <w:footnoteReference w:id="42"/>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فعالی،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165</w:t>
      </w:r>
      <w:r>
        <w:rPr>
          <w:rFonts w:eastAsia="IRNazanin" w:cs="IRNazanin"/>
          <w:color w:val="111111"/>
          <w:sz w:val="28"/>
          <w:szCs w:val="28"/>
          <w:rtl w:val="true"/>
          <w:lang w:bidi="fa-IR"/>
        </w:rPr>
        <w:t>-</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ازدواج، به رابطۀ قبل از ازدواج تأکید داشتم؛ با این اعتقاد که دختر و پسر باید مدتی با هم باشند و همدیگر را از زوایای مختلف بشناسند و بعد از آن برای ازدواج تصمیم بگیرند؛ چون یکی از شرایط اصلی ازدواج، شناخت متقابل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بر رابطۀ دختر و پسر قبل از عقد و ازدواج برای شناخت از زوایای مختلف تأکید دارد اما باید دانست که این رابطه اگر امری فراتر از صحبت</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ابتدایی و پرس‌و‌جو از مسائل و علایق و شرایط همدیگر باشد، قهراً امری مشروع نیست؛ زیرا رابطۀ دختر و پسر قبل از ازدواج و استمرار آن، بستری است برای آسیب‌های فراوانی که بر کسی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شناختی که دو طرف برای زندگی لازم دارند، هرگز با دوستی‌های قبل از ازدواج حاصل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نکات ذکر شده و ده‌ها نکتۀ دیگری دربارة دیدگاه‌های ایشان مانند رابطه مرید و مرادی؛ اطاعت بی‌چون و چرای اعضا؛ افزایش دائم ادعاهای مراد، دعوت به خود به جای دعوت به حق و خداوند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را از استقامت و سلامت فکری دور می‌کند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نکات دیگری مثل سوابق نامناسب اعضای خانوادۀ پیمان فتّاحی، راه‌اندازی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اوامر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تشکیلات سایه‌ای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فعالیت‌های مخفی این گروه، ترویج آدابی مانند نماز خاص، روزۀ خاص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یا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ساعته، دعاهای مخصوص و برگرفته از سخنان رام‌الله، لباس مشکی مخصوص، تسبیح مخصوص، سهم امداد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جایگزین خمس و زکات که اعضا به حساب فرقه واریز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کیفیت پشتیبانی مالی جمعیت، و نیز کلمات عجیب و اغراق‌آمیزی که مریدان در بارۀ او گفته‌اند مانند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هرکس می‌خواهد خدا را ببیند بیاید و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اسامی خداوند را من برای ایشان به کار می‌برم و اگر از من بپرسند او کیست، می‌گویم او خدای خدای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به‌طور مستند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نوشتار، به سبب تأکید بر بعد فکری و پرهیز از طولانی شدن، از ذکر این مسائل دیگر پرهیز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خبرنامه جامعه‌مدرسین، ش</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bookmarkStart w:id="134" w:name="pg5444_51449"/>
    </w:p>
    <w:p>
      <w:pPr>
        <w:pStyle w:val="Heading3"/>
        <w:numPr>
          <w:ilvl w:val="2"/>
          <w:numId w:val="1"/>
        </w:numPr>
        <w:rPr/>
      </w:pPr>
      <w:bookmarkStart w:id="135" w:name="__RefHeading___Toc1903031_581953129"/>
      <w:bookmarkStart w:id="136" w:name="_Toc51"/>
      <w:bookmarkEnd w:id="134"/>
      <w:bookmarkEnd w:id="135"/>
      <w:r>
        <w:rPr>
          <w:rtl w:val="true"/>
        </w:rPr>
        <w:t>جمع‌بندی</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انسانی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 xml:space="preserve">تواند بدون ارتباط با خداوند، ارائه دهندۀ یک مکتب فکری کامل و صحیح باشد، چرا که عدم ارتباط با خدا باعث می‌شود که فرد، همواره دعوت به خود </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کند، نه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پیامبران و پیروان راستین آنان هستند که بی‌مزد و منت، مردم را به سوی خداوند دعوت 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جوانان و مردم مسلمان و موحد نباید فریب افراد خام و منحرف را بخورند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نوپدید، هرگز جایگزین ادیان آسمانی و معنویت واقعی نمی</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رام‌الله از جهات متعددی مردود است و پیروی از ایشان راه مناسبی برای رسیدن به کمال و خداوند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سران این جریان فکری انحرافی، سوء استفاده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های فراوانی از پیروان خود کرده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7" w:name="pg5444_51452"/>
      <w:bookmarkStart w:id="138" w:name="pg5444_51452"/>
      <w:bookmarkEnd w:id="138"/>
    </w:p>
    <w:p>
      <w:pPr>
        <w:pStyle w:val="Heading3"/>
        <w:numPr>
          <w:ilvl w:val="2"/>
          <w:numId w:val="1"/>
        </w:numPr>
        <w:rPr/>
      </w:pPr>
      <w:bookmarkStart w:id="139" w:name="pg5444_51452"/>
      <w:bookmarkStart w:id="140" w:name="__RefHeading___Toc1903033_581953129"/>
      <w:bookmarkStart w:id="141" w:name="_Toc52"/>
      <w:bookmarkEnd w:id="139"/>
      <w:bookmarkEnd w:id="140"/>
      <w:r>
        <w:rPr>
          <w:rtl w:val="true"/>
        </w:rPr>
        <w:t>فهرست منابع</w:t>
      </w:r>
      <w:bookmarkEnd w:id="141"/>
    </w:p>
    <w:p>
      <w:pPr>
        <w:pStyle w:val="BookText"/>
        <w:rPr/>
      </w:pPr>
      <w:r>
        <w:rPr>
          <w:rFonts w:ascii="IRNazanin" w:hAnsi="IRNazanin" w:eastAsia="IRNazanin"/>
          <w:color w:val="111111"/>
          <w:sz w:val="28"/>
          <w:sz w:val="28"/>
          <w:szCs w:val="28"/>
          <w:rtl w:val="true"/>
          <w:lang w:bidi="fa-IR"/>
        </w:rPr>
        <w:t>قرآن‌کریم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جمعی از نویسندگان، آمین ایلیا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 من است،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علم و موفقیت،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رام‌الله 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هدایت الهی یا تعالیم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 محمدتقی، آفتاب و سایه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نگرشی به جریان‌های نوظهور معنویت‌گرا، چاپ پنجم،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الهدی،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خسروپناه، عبدالحسین،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پلورالیزم دینی و تکثرگرایی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فصل‌نامۀ کتاب نقد، ش</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خسروپناه، عبدالحسین، کلام جدید،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پژوهش‌های فرهنگی حوزۀ علمیه،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قدردان قراملکی، محمدحسن، کندوکاوی در سویه‌های پلورالیزم دینی،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اندیشۀ جوان،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محمدبن‌یعقوب، الکافی، تصحیح علی‌اکبر غفاری و محمد آخوندی، چاپ‌چهارم،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الإسلامیة،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لاهیجی، محمد، مفاتیح الاعجاز فی شرح گلشن راز،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محمودی،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طباطبائی، محمدحسین، المیزان فی تفسیر القرآن، چاپ‌پنجم،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محمد‌بن‌علی، الأمالی، چاپ ششم،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علی، من لایحضره الفقیه، ترجمۀ علی‌اکبر غفاری و محمدجواد بلاغی،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ابن‌شهر آشوب مازندرانی، محمدبن‌علی، مناقب آل أبی طالب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خندان، علی‌اصغر، مغالطات، چاپ 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محمدباقر، بحارالانوار،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کریمی، حمید، جهان تاریک شناخت و نقد فرقۀ شیطان پرستی،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بوستان کتاب،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خبرنامۀ جامعه مدرسین حوزۀ علمیۀ قم، خبرنامه، ش</w:t>
      </w:r>
      <w:r>
        <w:rPr>
          <w:rFonts w:eastAsia="IRNazanin" w:cs="IRNazanin"/>
          <w:color w:val="111111"/>
          <w:sz w:val="28"/>
          <w:szCs w:val="28"/>
          <w:lang w:bidi="fa-IR"/>
        </w:rPr>
        <w:t>1049</w:t>
      </w:r>
      <w:r>
        <w:rPr>
          <w:rFonts w:ascii="IRNazanin" w:hAnsi="IRNazanin" w:eastAsia="IRNazanin"/>
          <w:color w:val="111111"/>
          <w:sz w:val="28"/>
          <w:sz w:val="28"/>
          <w:szCs w:val="28"/>
          <w:rtl w:val="true"/>
          <w:lang w:bidi="fa-IR"/>
        </w:rPr>
        <w:t xml:space="preserve">،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چشم‌انداز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نگارنده، اسفند، روزنامۀ جام‌جم، ویژه 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کژراهه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 سایت خبری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استقامت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www.esteghamat.ir</w:t>
      </w:r>
      <w:r>
        <w:rPr>
          <w:rFonts w:eastAsia="Times New Roman" w:cs="Times New Roman" w:ascii="Times New Roman" w:hAnsi="Times New Roman"/>
          <w:color w:val="111111"/>
          <w:sz w:val="28"/>
          <w:szCs w:val="28"/>
          <w:rtl w:val="true"/>
          <w:lang w:val="en-US" w:bidi="en-US"/>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5444_51455"/>
      <w:bookmarkStart w:id="143" w:name="pg5444_51455"/>
      <w:bookmarkEnd w:id="143"/>
    </w:p>
    <w:p>
      <w:pPr>
        <w:pStyle w:val="Heading2"/>
        <w:numPr>
          <w:ilvl w:val="1"/>
          <w:numId w:val="1"/>
        </w:numPr>
        <w:rPr/>
      </w:pPr>
      <w:bookmarkStart w:id="144" w:name="pg5444_51455"/>
      <w:bookmarkStart w:id="145" w:name="__RefHeading___Toc1903035_581953129"/>
      <w:bookmarkStart w:id="146" w:name="_Toc53"/>
      <w:bookmarkEnd w:id="144"/>
      <w:bookmarkEnd w:id="145"/>
      <w:r>
        <w:rPr>
          <w:rtl w:val="true"/>
        </w:rPr>
        <w:t xml:space="preserve">بررسی و نقد دیدگاه‌های جامعه‌شناختی الحادی دربارۀ منشأ دین </w:t>
      </w:r>
      <w:r>
        <w:rPr>
          <w:rtl w:val="true"/>
        </w:rPr>
        <w:t xml:space="preserve">/ </w:t>
      </w:r>
      <w:r>
        <w:rPr>
          <w:rtl w:val="true"/>
        </w:rPr>
        <w:t>عبدالحسین خسروپناه، محمود امیریان</w:t>
      </w:r>
      <w:bookmarkEnd w:id="146"/>
    </w:p>
    <w:p>
      <w:pPr>
        <w:pStyle w:val="Heading3"/>
        <w:numPr>
          <w:ilvl w:val="2"/>
          <w:numId w:val="1"/>
        </w:numPr>
        <w:rPr/>
      </w:pPr>
      <w:bookmarkStart w:id="147" w:name="__RefHeading___Toc1903037_581953129"/>
      <w:bookmarkStart w:id="148" w:name="_Toc54"/>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عبدالحسین خسروپناه</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محمود امیریان</w:t>
      </w:r>
      <w:r>
        <w:rPr>
          <w:rStyle w:val="FootnoteAnchor"/>
          <w:rtl w:val="true"/>
        </w:rPr>
        <w:footnoteReference w:id="44"/>
      </w:r>
    </w:p>
    <w:p>
      <w:pPr>
        <w:pStyle w:val="Heading3"/>
        <w:numPr>
          <w:ilvl w:val="2"/>
          <w:numId w:val="1"/>
        </w:numPr>
        <w:rPr/>
      </w:pPr>
      <w:bookmarkStart w:id="149" w:name="__RefHeading___Toc1903039_581953129"/>
      <w:bookmarkStart w:id="150" w:name="_Toc55"/>
      <w:bookmarkEnd w:id="149"/>
      <w:r>
        <w:rPr>
          <w:rtl w:val="true"/>
        </w:rPr>
        <w:t>چکیده</w:t>
      </w:r>
      <w:bookmarkEnd w:id="150"/>
    </w:p>
    <w:p>
      <w:pPr>
        <w:pStyle w:val="BookText"/>
        <w:rPr/>
      </w:pPr>
      <w:r>
        <w:rPr>
          <w:rFonts w:ascii="IRNazanin" w:hAnsi="IRNazanin" w:eastAsia="IRNazanin"/>
          <w:color w:val="111111"/>
          <w:sz w:val="28"/>
          <w:sz w:val="28"/>
          <w:szCs w:val="28"/>
          <w:rtl w:val="true"/>
          <w:lang w:bidi="fa-IR"/>
        </w:rPr>
        <w:t xml:space="preserve">یکی از مهم‌ترین مسایل فلسفۀ دین و کلام جدید،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دراین‌باره دیدگاه‌های متفاوتی از سوی صاحب‌نظران ارائه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با رویکردی خداگرایانه در پی عاملی ماورائی و غیرمادی برای آن بوده و در مقابل، برخی با رویکردی الحادی و با پیش‌فرض عدم وجود خدا، با الهی بودن دین، مخالفت کرده، برای تبیین دین‌داری انسان‌ها، به عوامل مختلفِ روان‌شناختی، مردم‌شناختی، پدیدارشناختی و جامعه‌شناختی تمسک جسته‌اند؛ عواملی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 نظریۀ طبقاتی و زایش اجتماعی ازجمله عواملی هستند که برخی از دیدگاه‌های جامعه‌شناختی الحادی دربارۀ منشأ دین بیان داشته‌اند که در این نوشتار به تبیین و نقد آنها پرداخته می‌شود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دین، جهل، نظام طبقاتی، تکامل اجتماعی، زایش اجتماعی</w:t>
      </w:r>
      <w:r>
        <w:rPr>
          <w:rFonts w:eastAsia="IRNazanin" w:cs="IRNazanin"/>
          <w:color w:val="111111"/>
          <w:sz w:val="28"/>
          <w:szCs w:val="28"/>
          <w:rtl w:val="true"/>
          <w:lang w:bidi="fa-IR"/>
        </w:rPr>
        <w:t xml:space="preserve">. </w:t>
      </w:r>
      <w:bookmarkStart w:id="151" w:name="pg5444_51456"/>
    </w:p>
    <w:p>
      <w:pPr>
        <w:pStyle w:val="Heading3"/>
        <w:numPr>
          <w:ilvl w:val="2"/>
          <w:numId w:val="1"/>
        </w:numPr>
        <w:rPr/>
      </w:pPr>
      <w:bookmarkStart w:id="152" w:name="__RefHeading___Toc1903041_581953129"/>
      <w:bookmarkStart w:id="153" w:name="_Toc56"/>
      <w:bookmarkEnd w:id="151"/>
      <w:bookmarkEnd w:id="152"/>
      <w:r>
        <w:rPr>
          <w:rtl w:val="true"/>
        </w:rPr>
        <w:t>مقدمه</w:t>
      </w:r>
      <w:bookmarkEnd w:id="153"/>
    </w:p>
    <w:p>
      <w:pPr>
        <w:pStyle w:val="BookText"/>
        <w:rPr/>
      </w:pPr>
      <w:r>
        <w:rPr>
          <w:rFonts w:ascii="IRNazanin" w:hAnsi="IRNazanin" w:eastAsia="IRNazanin"/>
          <w:color w:val="111111"/>
          <w:sz w:val="28"/>
          <w:sz w:val="28"/>
          <w:szCs w:val="28"/>
          <w:rtl w:val="true"/>
          <w:lang w:bidi="fa-IR"/>
        </w:rPr>
        <w:t xml:space="preserve">یکی از مهم‌ترین مسایل کلام جدید،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 منشأ دین، در معانی گوناگونی به‌کار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به‌معنای منشأ پیدایش و تحقق دین و گاهی به‌معنای علت گرایش بشر به دین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نخست که فلسفی و کلامی است ناظر به حقیقت دین بوده اما معنای دوم، روان‌شناسانه، جامعه‌شناسانه و ناظر به واقعیت دین‌داری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غربی‌ها با خَلط این دو معنا و بدون جداسازی میان آنها، از ابتدا بر این باور بودند که حقیقت دین، نمی‌تواند ریشۀ منطقی داشته باشد، اما پس از رویارویی با گرایش عموم مردم به دین و خداپرستی، برای رفع این تناقض به این نتیجه رسیدند که ابتدا به بررسی علت و منشأ دین‌داری توجه کنند؛ آنها با رویکردی ملحدانه، دین را ساخته و پرداخته تمایلات روانی و نهادهای اجتماعی بشر دانسته و بر این باورند که واقعیتی ورای باورهای متدینان وجود نداشته است؛ به‌عبارت‌دیگر برخی از منکران الهی بودن دین، منشأ دین‌داری را عقده‌های روانی یا ابزار تولید و یا امور دیگر دانسته و پس از مسلّم انگاشتن این امر، منشأ حقیقت و اصل دین را هم غیرالهی معرفی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منشأ دین به‌معنای جستجو در علل و عوامل اجتماعی پیدایش دین با صرف نظر از وجود خدا، در حقیقت محصول مدرنیته و عصر جدید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این عصر سعی نموده‌اند روش علوم طبیعی را در علوم انسانی نیز به‌کار ببرند؛ بنابراین در علوم انسانی‌ای مانند جامعه‌شناسی هم، روش علوم طبیعی در نظر گرفته شده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جدید، دین به‌عنوان معضلی برای علوم طبیعی مطرح شد؛ زیرا دین پدیده‌ای است که دارای ابعاد مختلفی مانند بُعد روان‌شناسی،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همین در زمینۀ خاصی مانند جامعه‌شناسی نمی‌توان تمام ابعاد دین را تحلیل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علم نوین مشکلاتی را برای تفکر مسیحی پدید آورد و شاید مهمترین پیامد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اثبات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خدا مربوط می‌شود؛ چراکه این امر باعث پیدایش روش خاصی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علمی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میان جامعه‌شناسان باعث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روش، </w:t>
      </w:r>
      <w:bookmarkStart w:id="154" w:name="pg5444_51457"/>
    </w:p>
    <w:p>
      <w:pPr>
        <w:pStyle w:val="BookText"/>
        <w:rPr/>
      </w:pPr>
      <w:bookmarkEnd w:id="154"/>
      <w:r>
        <w:rPr>
          <w:rFonts w:ascii="IRNazanin" w:hAnsi="IRNazanin" w:eastAsia="IRNazanin"/>
          <w:color w:val="111111"/>
          <w:sz w:val="28"/>
          <w:sz w:val="28"/>
          <w:szCs w:val="28"/>
          <w:rtl w:val="true"/>
          <w:lang w:bidi="fa-IR"/>
        </w:rPr>
        <w:t>تلاش برای تبیین دین، بدون توسل به پیش‌فرضی فلسفی و غیرعلمی دربارۀ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نوین همان‌طورکه نمی‌توانست وجود خدا را رد کند، نمی‌توانست آن را هم اثبات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علاوه‌بر‌این، تأملات فلسفی هم برای آنها جذابیتی نداشت؛ به‌همین‌خاطر کوشیدند با توسل به عوامل اجتماعی، دین را تبیین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استفاده از روش علمی، به توصیف پدیده‌های مختلف دینی در جوامع گوناگون پرداختند و در این مسیر از ورود پیش‌فرض‌های غیرعلمی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فلسفی و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فرآیند تبیین، خودداری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دربارۀ منشأ دین که در حقیقت، فرآورده بررسی علمی دین بوده است؛ دیدگاه‌های گوناگونی ارائه شده است که در این مقاله به بررسی و نقد دیدگاه‌های جامعه‌شناختیِ الحادی پرداخته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دیدگاه‌های جامعه‌شناختی الحادی در‌این‌باره دو ویژگی مهم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تکامل‌گرا هستند؛ یعنی حالت ساده‌ای برای ادیان در نظر گرفته و آن را براساس عاملی جامعه‌شناختی تبیین می‌کنند و سپس ادیان پیچیده را حالت تکامل‌یافته دین ساده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نظریات، عدم وجود خدا را بدون آنکه دلیلی برای آن بیاورند، به‌عنوان پیش‌فرض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از همۀ نظریات جامعه‌شناختیِ الحادی دربارۀ منشأ دین از حوصلۀ این مقاله خارج است؛ بنابراین به بررسی برخی از مهمترین دیدگاه‌ها دراین‌باره می‌پردازیم</w:t>
      </w:r>
      <w:r>
        <w:rPr>
          <w:rFonts w:eastAsia="IRNazanin" w:cs="IRNazanin"/>
          <w:color w:val="111111"/>
          <w:sz w:val="28"/>
          <w:szCs w:val="28"/>
          <w:rtl w:val="true"/>
          <w:lang w:bidi="fa-IR"/>
        </w:rPr>
        <w:t>.</w:t>
      </w:r>
    </w:p>
    <w:p>
      <w:pPr>
        <w:pStyle w:val="Heading3"/>
        <w:numPr>
          <w:ilvl w:val="2"/>
          <w:numId w:val="1"/>
        </w:numPr>
        <w:rPr/>
      </w:pPr>
      <w:bookmarkStart w:id="155" w:name="__RefHeading___Toc1903043_581953129"/>
      <w:bookmarkStart w:id="156" w:name="_Toc57"/>
      <w:bookmarkEnd w:id="155"/>
      <w:r>
        <w:rPr/>
        <w:t>1</w:t>
      </w:r>
      <w:r>
        <w:rPr>
          <w:rtl w:val="true"/>
        </w:rPr>
        <w:t xml:space="preserve">. </w:t>
      </w:r>
      <w:r>
        <w:rPr>
          <w:rtl w:val="true"/>
        </w:rPr>
        <w:t xml:space="preserve">نظریۀ طبقاتی </w:t>
      </w:r>
      <w:r>
        <w:rPr>
          <w:rtl w:val="true"/>
        </w:rPr>
        <w:t>(</w:t>
      </w:r>
      <w:r>
        <w:rPr>
          <w:rtl w:val="true"/>
        </w:rPr>
        <w:t>تکامل اجتماعی</w:t>
      </w:r>
      <w:r>
        <w:rPr>
          <w:rtl w:val="true"/>
        </w:rPr>
        <w:t>)</w:t>
      </w:r>
      <w:bookmarkEnd w:id="156"/>
    </w:p>
    <w:p>
      <w:pPr>
        <w:pStyle w:val="Heading4"/>
        <w:numPr>
          <w:ilvl w:val="3"/>
          <w:numId w:val="1"/>
        </w:numPr>
        <w:rPr/>
      </w:pPr>
      <w:bookmarkStart w:id="157" w:name="__RefHeading___Toc1903045_581953129"/>
      <w:bookmarkStart w:id="158" w:name="_Toc58"/>
      <w:bookmarkEnd w:id="157"/>
      <w:r>
        <w:rPr>
          <w:rtl w:val="true"/>
        </w:rPr>
        <w:t>اشاره</w:t>
      </w:r>
      <w:bookmarkEnd w:id="158"/>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کارل مارکس</w:t>
      </w:r>
      <w:r>
        <w:rPr>
          <w:rFonts w:eastAsia="IRNazanin" w:cs="IRNazanin"/>
          <w:color w:val="111111"/>
          <w:sz w:val="28"/>
          <w:szCs w:val="28"/>
          <w:rtl w:val="true"/>
          <w:lang w:bidi="fa-IR"/>
        </w:rPr>
        <w:t>(</w:t>
      </w:r>
      <w:r>
        <w:rPr>
          <w:rFonts w:eastAsia="IRNazanin" w:cs="IRNazanin"/>
          <w:color w:val="111111"/>
          <w:sz w:val="28"/>
          <w:szCs w:val="28"/>
          <w:lang w:bidi="fa-IR"/>
        </w:rPr>
        <w:t>1818</w:t>
      </w:r>
      <w:r>
        <w:rPr>
          <w:rFonts w:eastAsia="IRNazanin" w:cs="IRNazanin"/>
          <w:color w:val="111111"/>
          <w:sz w:val="28"/>
          <w:szCs w:val="28"/>
          <w:rtl w:val="true"/>
          <w:lang w:bidi="fa-IR"/>
        </w:rPr>
        <w:t>-</w:t>
      </w:r>
      <w:r>
        <w:rPr>
          <w:rFonts w:eastAsia="IRNazanin" w:cs="IRNazanin"/>
          <w:color w:val="111111"/>
          <w:sz w:val="28"/>
          <w:szCs w:val="28"/>
          <w:lang w:bidi="fa-IR"/>
        </w:rPr>
        <w:t>1883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ازجمله جامعه‌شناسانی است که در باب منشأ گرایش بشر به دین و نیاز انسان به آموزه‌ها و باورهای دینی، به‌صورت پراکنده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تکامل اجتماعی و طبقاتی و تفسیر جامعه‌شناختی وی از دین هم متأثر از دیالکتیک هگل، فلسفۀ تاریخ و منطق دو قطبی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 و آنتی‌تز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متأثر از نظریات داروین و لامارک بود؛ البته وضعیت اقتصادی و اجتماعی قرن نوزدهم انگلستان نیز بر او تأثیر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بیانیۀ کمونیزم وی، در‌بردارندۀ تضاد اجتماعی ناشی از نبرد طبقاتی بود؛ تضاد دائم و رودررو، میان آزادمردان و بردگان، نجیبان و اعیان، اربابان و </w:t>
      </w:r>
    </w:p>
    <w:p>
      <w:pPr>
        <w:pStyle w:val="BookText"/>
        <w:rPr/>
      </w:pPr>
      <w:r>
        <w:rPr>
          <w:rFonts w:ascii="IRNazanin" w:hAnsi="IRNazanin" w:eastAsia="IRNazanin"/>
          <w:color w:val="111111"/>
          <w:sz w:val="28"/>
          <w:sz w:val="28"/>
          <w:szCs w:val="28"/>
          <w:rtl w:val="true"/>
          <w:lang w:bidi="fa-IR"/>
        </w:rPr>
        <w:t xml:space="preserve">رعایا، استادکاران و شاگردان، ستمگران و ستمدیدگان که در تاریخ اجتماعی بشر، آشکار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از نظر مارکس، از دو بخش زیرساخت و روساخت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نیروهای تولیدی که شالودۀ اصلی اقتصاد جامعه را تشکیل می‌دهند، زیرساخت هستند و روابط تولیدی شامل اموری چون ارزش‌ها، ایدئولوژی، هنر و فلسفه، روساخت بوده، تحت تأثیر مستقیم زیرساخت قرار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آرون،</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دگرگونی تاریخی جامعۀ بشری از نظر مارکس، براساس شیوۀ نظام‌های تولیدی است که به سه مرحله گذار، تقسیم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اشتراکی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مالکیت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دوران طبقاتی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توسعۀ مالکیت خصوصی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دوران اشتراکی نهایی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بازگشت مالکیت عمومی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تنهایی،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ریمون آرون،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به‌طور‌کلی، توسعۀ زندگی اجتماعی، سیاسی و فکری، زیر سلطۀ شیوۀ تولید زندگانی مادی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آدمیان نیست که تعیین‌کنندۀ هستی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این هستی اجتماعی آدمیان است که آگاهی آنان را تعیین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از نظر مارکس، از اساس، محصول جامعۀ طبقاتی است که طبقۀ حاکم آن را اختراع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منشأ دین، مسائل اجتماعی و اقتصادی و از خودبیگانگی انسان می‌باشد؛ زیرا در جامعۀ طبقاتی، انسان‌ها از خود بیگانه‌اند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مارکس، دین را ساختۀ دست قدرتمندان در جهت چپاول محرومان می‌شناساند و گاه آن را نوعی رفتار دفاعی، از ناحیۀ محرومان، جهت توجیه و تحمل وضع موجود و به امید بهشت موعود،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او، دین، تریاک و افیون ملت‌ها است و البته گاهی دین را محصول نادانی انسان در برابر طبیعت نیز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عقیدۀ او، دین، گرایش سرشت بشری نیست؛ بلکه محصول مقتضیات خاص اجتماعی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نتیجۀ سخن آنکه از نظر مارکس، علت گرایش به دین، در دو بُعد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بُعد آن مربوط به طبقۀ حاکم و استثمارگر و بُعد دیگر مربوط به طبقۀ محکوم و استثمارشده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طبقۀ حاکم با اینکه </w:t>
      </w:r>
      <w:bookmarkStart w:id="159" w:name="pg5444_51459"/>
    </w:p>
    <w:p>
      <w:pPr>
        <w:pStyle w:val="BookText"/>
        <w:rPr/>
      </w:pPr>
      <w:bookmarkEnd w:id="159"/>
      <w:r>
        <w:rPr>
          <w:rFonts w:ascii="IRNazanin" w:hAnsi="IRNazanin" w:eastAsia="IRNazanin"/>
          <w:color w:val="111111"/>
          <w:sz w:val="28"/>
          <w:sz w:val="28"/>
          <w:szCs w:val="28"/>
          <w:rtl w:val="true"/>
          <w:lang w:bidi="fa-IR"/>
        </w:rPr>
        <w:t>اعتقادی به دین ندارند، اما از دین برای حفظ اقتدار و حکومت خود بر استثمارشدگان بهره می‌گیرند، اما طبقۀ محکوم و استثمارشده به گمان تسکین درد و رنج‌های خود و توجیه نابرابری‌های دنیا، به سمت دین گرایش پیدا می‌کنند، چراکه به گفتۀ مارکس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آه و حسرت توده‌های ستمدیده و قلب جهانِ فاقد قلب و عاطفه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همان‌گونه که روح وضعیتی بی‌روح است، دین عامل تخدیر توده‌های انسانی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و خواص،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انگلس در تعریف دین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چیزی نیست جز بازتاب تخیلی نیروهای خارجی حاکم بر زندگی روزانه، در ذهن انسان‌ها که طی آن، نیروهای زمینی، صورت نیروهای فراطبیعی را به خود می‌گیرند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مارکس در مقام بیان ثمرات نقد دین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 دین، انسان را از توهم در می‌آورد و وادارش می‌سازد تا مانند انسان توهم زدوده و سرعقل آمده، بیندیشد و عمل کند و واقعیت زندگی‌اش را شکل بخشد و بر مدار ذات خویش و یا در واقع، دور خورشید انسان چرخ خواهد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160" w:name="__RefHeading___Toc1903047_581953129"/>
      <w:bookmarkStart w:id="161" w:name="_Toc59"/>
      <w:bookmarkEnd w:id="160"/>
      <w:r>
        <w:rPr>
          <w:rtl w:val="true"/>
        </w:rPr>
        <w:t>نقد و بررسی</w:t>
      </w:r>
      <w:bookmarkEnd w:id="161"/>
    </w:p>
    <w:p>
      <w:pPr>
        <w:pStyle w:val="BookText"/>
        <w:rPr/>
      </w:pPr>
      <w:r>
        <w:rPr>
          <w:rFonts w:ascii="IRNazanin" w:hAnsi="IRNazanin" w:eastAsia="IRNazanin"/>
          <w:color w:val="111111"/>
          <w:sz w:val="28"/>
          <w:sz w:val="28"/>
          <w:szCs w:val="28"/>
          <w:rtl w:val="true"/>
          <w:lang w:bidi="fa-IR"/>
        </w:rPr>
        <w:t>نظریۀ طبقاتی یا تکاملی اجتماعی مارکس، از زوایای گوناگون قابل نقد و بررسی است که به بیان چند نقد بسنده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زیربنا بودن اقتصاد و منحصر به‌فرد دانستن آن در دگرگونی‌های فکری و اجتماعی، دلیل استواری ندارد؛ دست‌کم، پاره‌ای از معارف بشری، بدون استناد به چرخ تولید و با استمداد به فرآیند تفکر و ربط نظریات به بدیهیات، به‌دست می‌آیند، همچنین در مواردی با دگرگونی‌های اقتصادی و تولیدی، هیچ‌گونه تغییر معرفتی در این دامنه پدید نمی‌آید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مارکس، هرگز دین را به‌طور کامل مطالعه نکرده و به پیام، رسالت و اهداف حقیقی دین پی نبرده است و نیز برداشت او از دین از متون اصیل دینی،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اجمالی او از دین با مطالعۀ آثار برخی از عابدان و حکیمان قرن نوزدهم، شکل گرفته است، چنان‌که گیدنز بر این باور است که مارکس هرگز مذهب را به‌تفصیل مطالعه نکرده و اندیشه‌های او بیشتر از نوشته‌های تعدادی از مؤلّفان علوم </w:t>
      </w:r>
    </w:p>
    <w:p>
      <w:pPr>
        <w:pStyle w:val="BookText"/>
        <w:rPr/>
      </w:pPr>
      <w:r>
        <w:rPr>
          <w:rFonts w:ascii="IRNazanin" w:hAnsi="IRNazanin" w:eastAsia="IRNazanin"/>
          <w:color w:val="111111"/>
          <w:sz w:val="28"/>
          <w:sz w:val="28"/>
          <w:szCs w:val="28"/>
          <w:rtl w:val="true"/>
          <w:lang w:bidi="fa-IR"/>
        </w:rPr>
        <w:t xml:space="preserve">الهی و فلسفی اوایل قرن نوزدهم سرچشمه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به‌همین‌جهت نگاه مارکس به دین نمی‌تواند نگاهی مورد قبول باشد؛ چراکه دین در نظر او یکی از اشکال و صور ایدئولوژی یعنی امری روبنایی در مقابل امور اقتصادی یعنی امور زیربنایی، به‌شمار می‌آید؛ این در حالی است که دین به‌عنوان مجموعه‌ای از باورها، اصول و آموزه‌هایی است که نه تنها براساس امر دیگری نیست، بلکه خود، پایه و اساس سایر امور ازجمله احکام و ارزش‌ها می‌باشد؛ همانند باور به خدای یگانه در ادیان توحیدی که پایه و اساس بسیاری از احکام و ارزش‌هاست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استاد مطهری در نقد دیدگاه مارکس می‌گوید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ادیان نشان می‌دهد، از قدیم‌ترین ایامی که بشر بر روی زمین بوده است، از همان دوره‌ای که اینها آن را دورۀ اشتراک اولیه می‌نامند، آثار پرستش وجود دارد، ماکس مولر حتی معتقد است که برخلاف نظریۀ معروف که می‌گویند دین، اول از پرستش طبیعت و اشیاء و بت‌پرستی و ارباب انواع شروع شده و بعد به پرستش خدای واحد رسید، دیرینه‌شناسی ثابت کرده و ثابت هم می‌کند که از قدیم‌ترین ایام، پرستش خدای یگانه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نظریه، اولاً در دورۀ اشتراک اولیه امکان ندارد دین وجود داشته باشد؛ درحالی‌که این امر با تاریخ ادیان سازگار نیست و ثانیاً در این دوره‌هایی که دورۀ طبقاتی است مثلاً در دورۀ فئودالیسم ما باید ضرورتاً قبول کنیم که آورنده و پیروان اولیۀ تمام ادیان از طبقۀ حاکمه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با تاریخ قطعی و مسلم ادیان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یهود و بنی‌اسرائیل و مسیحیت جور در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علیه السلام گو اینکه از نظر خونی و نژادی به قوم محروم و استثمار شده، وابسته است، ولی از نظر وضع طبقاتی به طبقۀ استثمارگر وابسته است؛ زیرا به‌منزلۀ فرزند فرعون است و در خانۀ فرعون در ناز و نعمت فراوان بزرگ شده، یعنی به‌منزلۀ شاهزادۀ درجۀ اول است، چون آنها فرزند نداشته‌اند و او به‌جای فرزندشان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در خانۀ فرعون بر ضد فرعون و به سود طبقۀ استثمارشدۀ فرعون قیام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به هیچ وجه توجیۀ مارکسیستی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ما یا باید ریشۀ قومی و نژادی و خونی بدهیم که به‌هر‌حال با مارکسیسم جور در نمی‌آید، چون اینها اصلاً تاریخ را جدال طبقات می‌دانند نه جدال خون‌ها، به‌عبارت‌دیگر یا باید این را تعصب نژادی </w:t>
      </w:r>
    </w:p>
    <w:p>
      <w:pPr>
        <w:pStyle w:val="BookText"/>
        <w:rPr/>
      </w:pPr>
      <w:r>
        <w:rPr>
          <w:rFonts w:ascii="IRNazanin" w:hAnsi="IRNazanin" w:eastAsia="IRNazanin"/>
          <w:color w:val="111111"/>
          <w:sz w:val="28"/>
          <w:sz w:val="28"/>
          <w:szCs w:val="28"/>
          <w:rtl w:val="true"/>
          <w:lang w:bidi="fa-IR"/>
        </w:rPr>
        <w:t>بدانیم که موسی بعد از اینکه بزرگ شد و فهمید که خونش با خون فرعون دوتاست و آنهایی که با او هم‌خون هستند چنین و چنان‌اند، تعصب خونی، او را وادار به قیام کرد، که به‌هرحال با مارکسیسم جور در نمی‌آید و یا اگر چنین نگوییم هرچه بخواهیم بگوییم با وضع زندگی فرعون جور در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موسی علیه السلام در خانۀ فرعون درواقع به سود بنی‌اسرائیل قیام می‌کند، پس گروه استثمارشده هستند که قیام می‌کنند و قیام، قیام فرعونی‌ها نیست، قیام بر ضد فرعونی‌ها است، یعنی قیام بنی‌اسرائیل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درست صددرصد بر ضد حرف‌هایی است که اینها می‌گویند که دین را طبقۀ حاکم وضع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نظریه باید بگوییم دستگاه فرعون، دین یهود را برای ایجاد حس تسلیم و تمکین در قوم بنی‌اسرائیل وضع کردند؛ درصورتی‌که دین یهود برای تحریک و تهییج بنی‌اسرائیل و وادار کردنشان به قیام آمد و به تعبیر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تِلْک نِعْمَهٌ تَمُنُّها عَلَی أَنْ عَبَّدْتَ بَنی إِسْرائیل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قَوْمِ ادْخُلُوا الْأَرْضَ الْمُقَدَّسَةَ الَّتی کتَبَ اللَّهُ لَکمْ وَ لا تَرْتَدُّوا عَلی أَدْبارِکمْ فَتَنْقَلِبُوا خاسِرین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آنها تهییج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نترسید، پایداری کنید، توکل بر خدا کنید، خداوند چنین و چنان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اسلام چنین دینی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نُریدُ أَنْ نَمُنَّ عَلَی الَّذینَ اسْتُضْعِفُوا فِی الْأَرْضِ وَ نَجْعَلَهُمْ أَئِمَّةً وَ نَجْعَلَهُمُ الْوارِثین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الَّذینَ آمَنُوا مِنْکمْ وَ عَمِلُوا الصَّالِحاتِ لَیسْتَخْلِفَنَّهُمْ فِی الْأَرْضِ کمَا اسْتَخْلَفَ الَّذینَ مِنْ قَبْلِهِمْ وَ لَیمَکنَنَّ لَهُمْ دینَهُمُ الَّذِی ارْتَضی لَهُمْ وَ لَیبَدِّلَنَّهُمْ مِنْ بَعْدِ خَوْفِهِمْ أَمْناً یعْبُدُونَنی لا یشْرِکونَ بی شَیئاً وَ مَنْ کفَرَ بَعْدَ ذلِک فَأُولئِک هُمُ الْفاسِقُون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مردم نوید است، مردمی که دیگران خلافت زمین را گرفته‌اند که خلافت زمین را ما به شما می‌دهیم، زمین را ارث شما قرار می‌دهیم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مُوسی لِقَوْمِهِ اسْتَعینُوا بِاللَّهِ وَ اصْبِرُوا إِنَّ الْأَرْضَ لِلَّهِ یورِثُها مَنْ یشاءُ مِنْ عِبادِهِ وَ الْعاقِبَةُ لِلْمُتَّقین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کتَبْنا فِی الزَّبُورِ مِنْ بَعْدِ الذِّکرِ أَنَّ الْأَرْضَ یرِثُها عِبادِی الصَّالِحُون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امتیازات طبقاتی، منشأ دین است پس وقتی امتیازات طبقاتی از بین رفت، دین </w:t>
      </w:r>
    </w:p>
    <w:p>
      <w:pPr>
        <w:pStyle w:val="BookText"/>
        <w:rPr/>
      </w:pPr>
      <w:r>
        <w:rPr>
          <w:rFonts w:ascii="IRNazanin" w:hAnsi="IRNazanin" w:eastAsia="IRNazanin"/>
          <w:color w:val="111111"/>
          <w:sz w:val="28"/>
          <w:sz w:val="28"/>
          <w:szCs w:val="28"/>
          <w:rtl w:val="true"/>
          <w:lang w:bidi="fa-IR"/>
        </w:rPr>
        <w:t>باید خود‌به‌خود از بین برود؛ یعنی احتیاج ندارد شما با دین مبارزه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منطق فویرباخ، جهل را از بین ببرید، دین خود‌به‌خود از بین می‌رود، و به منطق مارکسیست‌ها امتیازات طبقاتی را از بین ببرید، جامعۀ سوسیالیستی ایجاد کنید، خود‌به‌خود، دیگر دینی وجود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این ادعا در خود کشورهای سوسیالیست آشکار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کشورهای سوسیالیست بهترین دلیل بر رد این نظریه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اینها هنوز هم در کشور شوروی تبلیغات زیاد بر ضد دین می‌کنند برای چیست؟ امتیازات طبقاتی دیگر وجود ندارد، ولی باز هر چند یکبار می‌گویند دین در جوانان رسوخ کرده و به مبارزه کردن شروع کنید؛ درحالی‌که علت که از بین رفت، دیگر معلول از بین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 دورانت با اینکه خودش یک آدم لامذهبی است، در کتاب درس‌های تاریخ تعبیری دارد که معلوم است از روی ناراحتی و خشم است، توجیهاتی را که راجع به پیدایش دین کرده‌اند، نقل می‌کند و می‌گوید اینها درست نیست و در پایان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صد جان دارد، هر چه آن را بکشی دو مرتبه زنده می‌شود و این یک حقیقتی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نمی‌خواهد بگویی صد جان دارد، همین قدر بگو جان دارد خودت را راحت کن، یعنی فطری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 صد جان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بشر را نمی‌شود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این همه در جاهایی با دین و مذهب مبارزه کردند و به حساب خودشان به‌کلی آن را ریشه‌کن کردند، اما دوباره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عادتی، یک نسل که با آن مبارزه کردند، دیگر در نسل دوم نمی‌تواند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دین‌گرایی، امری عادی نیست؛ بلکه حقیقتی فطری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مطهری،</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577</w:t>
      </w:r>
      <w:r>
        <w:rPr>
          <w:rFonts w:eastAsia="IRNazanin" w:cs="IRNazanin"/>
          <w:color w:val="111111"/>
          <w:sz w:val="28"/>
          <w:szCs w:val="28"/>
          <w:rtl w:val="true"/>
          <w:lang w:bidi="fa-IR"/>
        </w:rPr>
        <w:t xml:space="preserve"> - </w:t>
      </w:r>
      <w:r>
        <w:rPr>
          <w:rFonts w:eastAsia="IRNazanin" w:cs="IRNazanin"/>
          <w:color w:val="111111"/>
          <w:sz w:val="28"/>
          <w:szCs w:val="28"/>
          <w:lang w:bidi="fa-IR"/>
        </w:rPr>
        <w:t>582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نقد دیگر بر مارکس، این است که وی بین دین و دین‌داران خَلط کرده؛ درحالی‌که با ارزیابی رفتار دین‌داران، نمی‌توان دین را نفی و اثبات کرد؛ افزون بر اینکه از جنبه‌ها و ویژگی‌های مثبت دین‌داران نیز غفلت کرده و از نظر سیاسی و مقاصد ایدئولوژیکی به دین نگریسته،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همیلتون،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منطقه و عصر خاص را بر دیگر زمان‌ها و مکان‌ها سرایت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زیتلین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مارکس و انگلس، همانند تکامل‌گرایان عصر خویش، با گزینش نمونه‌هایی متعلق به زمان‌ها و مکان‌های متفاوت، مراحل تکامل خودشان را می‌سازند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زیتلین،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به‌عبارت‌دیگر نمی‌توان از تحقق پاره‌ای از جریانات غربی در اروپا، حکمی کلی را به تمام مملکت‌ها و سرزمین‌های دیگر سرایت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تاریخی فراوانی از مخالفت ادیان آسمانی، با ظلم و ظالم حکایت دارند و نیز بیشتر پیروان ادیان حق، محرومان و مستضعفان بوده که همواره با ستمگران و استثمارگران درگیری داشته‌اند و نظام اعتقادی و ارزشی این ادیان دربردارنده مطالب ظلم‌ستیزانه و انقلابی است و علت اصلی مخالفت کافران و مشرکان نیز حفظ موقعیت برتر اقتصادی، سیاسی و اجتماعی خود بوده است؛ بنابراین، احتمال اختراع دین از سوی استثمارگران، برای حفظ منابع قدرت و نیز از طرف مستمندان و ضعیفان، برای توجیه وضع موجود،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بی‌شک در طول تاریخ، ستمگرانی بوده‌اند که برای خاموش ساختن فریاد برهنگان، به تحریف پاره‌ای از حقایق دینی پرداخته و مقام و منزلت خویش را الهی و آسمانی جلوه داده‌اند و تاریخ دینی مسیحیت حاکی از این مطلب است؛ ولی این واقعیت تاریخی، نباید مانع از شناخت حقیقی ادیان واقعی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خسروپناه،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349</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چه‌بسا افرادی، بدون اینکه گرفتار وضعیت سخت اقتصادی شوند یا در دفاع از فعالیت‌های اقتصادی برآیند یا گرفتار جهلی باشند، در سلامت و استحکام عقاید دینی می‌کوشند و در راه آن، جانفشانی می‌کنند و این بیانگر آن است که اندیشه و ایدئولوژی، همیشه زاییدة عقاید اقتصادی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مارکس دین را زاییدۀ طبقۀ حاکمه می‌داند؛ درحالی‌که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مطالعۀ تاریخ ادیان و به‌طور اخص، ادیان توحیدی، خلاف این ایده را نشان می‌دهد؛ مثلاً مسیحیت در میان گروهی ظهور و گسترش یافت که جزء طبقۀ حاکمه نبودند و یا اسلام در میان فقرای عرب تحقق و توسعه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بر فرض اینکه دین زاییدۀ طبقۀ حاکم باشد، نباید در میان حاکمان و اغنیا، دین‌داران واقعی یافت شوند؛ حال آنکه در میان این طبقه افرادی که واقعاً دین‌دار هستند، یافت می‌شود به گونه‌ای که به هیچ وجه از دین به‌عنوان ابزاری جهت تسلط بر طبقۀ فقرا و دیگر اقشار بهره نمی‌گیرند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سیدمحمدباقر صدر در بیان این مطلب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مسلماً مارکسیسم نمی‌تواند وجود عقیدۀ دینی را نزد افرادی که ارتباطی با شرایط سخت اقتصادی ندارند انکار کند و این حقیقت بدان سان بود که سلامت و استحکام عقیدۀ برخی از آنان </w:t>
      </w:r>
      <w:bookmarkStart w:id="162" w:name="pg5444_51464"/>
    </w:p>
    <w:p>
      <w:pPr>
        <w:pStyle w:val="BookText"/>
        <w:rPr/>
      </w:pPr>
      <w:bookmarkEnd w:id="162"/>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اغنیای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درجه‌ای بود که آنان را بر می‌انگیخت تا در راه آن جانفشانی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صدر،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اگر دین زاییدۀ طبقۀ حاکم است، باید دارای امتیازات ویژه‌ای نسبت به آن طبقه باشد؛ درحالی‌که این امتیازات وجود ندارد؛ فقیر و غنی، حاکم و محکوم هر دو در دین ارزش برابری دارند؛ حتی اغنیا در برخی شرایط به‌دلیل برخی اعمالشان مورد مذمت قرار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قرآن‌کریم در آیات متعددی زراندوزان را مورد ملامت قرار داده است؛ برای نمونه در سورۀ توبه آیۀ</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یکنِزُونَ الذَّهَبَ وَ الْفِضَّةَ وَ لا ینْفِقُونَها فی سَبیلِ اللَّهِ فَبَشِّرْهُمْ بِعَذابٍ أَلیم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کسانی که طلا و نقره را گنجینه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می‌سازند و در راه خدا انفاق نمی‌کنند، به مجازات دردناکی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حضرت‌عیسی علیه السلام نقل شده است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که بخواهد میان شما بزرگ جلوه‌گر شود، کافی است که خادم شما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 شتر از سوراخ سوزن ساده‌تر از داخل شدن یک ثروتمند به ملکوت خداوند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لوقا،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برخی از احکام ادیان کاملاً برخلاف منافع سرمایه‌داران و طبقۀ حاکمه است؛ مانند تحریم ربا، حرمت استثمار انسان، وجوب خمس و زکات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و خواص،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163" w:name="__RefHeading___Toc1903049_581953129"/>
      <w:bookmarkStart w:id="164" w:name="_Toc60"/>
      <w:bookmarkEnd w:id="163"/>
      <w:r>
        <w:rPr/>
        <w:t>2</w:t>
      </w:r>
      <w:r>
        <w:rPr>
          <w:rtl w:val="true"/>
        </w:rPr>
        <w:t xml:space="preserve">. </w:t>
      </w:r>
      <w:r>
        <w:rPr>
          <w:rtl w:val="true"/>
        </w:rPr>
        <w:t>نظریۀ جهل</w:t>
      </w:r>
      <w:bookmarkEnd w:id="164"/>
    </w:p>
    <w:p>
      <w:pPr>
        <w:pStyle w:val="Heading4"/>
        <w:numPr>
          <w:ilvl w:val="3"/>
          <w:numId w:val="1"/>
        </w:numPr>
        <w:rPr/>
      </w:pPr>
      <w:bookmarkStart w:id="165" w:name="__RefHeading___Toc1903051_581953129"/>
      <w:bookmarkStart w:id="166" w:name="_Toc61"/>
      <w:bookmarkEnd w:id="165"/>
      <w:r>
        <w:rPr>
          <w:rtl w:val="true"/>
        </w:rPr>
        <w:t>اشاره</w:t>
      </w:r>
      <w:bookmarkEnd w:id="166"/>
    </w:p>
    <w:p>
      <w:pPr>
        <w:pStyle w:val="BookText"/>
        <w:rPr/>
      </w:pPr>
      <w:r>
        <w:rPr>
          <w:rFonts w:ascii="IRNazanin" w:hAnsi="IRNazanin" w:eastAsia="IRNazanin"/>
          <w:color w:val="111111"/>
          <w:sz w:val="28"/>
          <w:sz w:val="28"/>
          <w:szCs w:val="28"/>
          <w:rtl w:val="true"/>
          <w:lang w:bidi="fa-IR"/>
        </w:rPr>
        <w:t>اگوست کنت، اسپنسر و تایلور، دربارۀ منشأ دین، بر این باورند که مذهب، زاییدۀ و محصول جهل است؛ ازآنجاکه سخن اگوست کنت با سخن اسپنسر و تایلور متفاوت است و ازسوی‌دیگر نظریۀ اسپنسر و تایلور شباهت زیادی به یکدیگر دارد، در اینجا به بیان نظریۀ اگوست کنت و اسپنسر بسنده می‌شود</w:t>
      </w:r>
      <w:r>
        <w:rPr>
          <w:rFonts w:eastAsia="IRNazanin" w:cs="IRNazanin"/>
          <w:color w:val="111111"/>
          <w:sz w:val="28"/>
          <w:szCs w:val="28"/>
          <w:rtl w:val="true"/>
          <w:lang w:bidi="fa-IR"/>
        </w:rPr>
        <w:t>.</w:t>
      </w:r>
    </w:p>
    <w:p>
      <w:pPr>
        <w:pStyle w:val="Heading4"/>
        <w:numPr>
          <w:ilvl w:val="3"/>
          <w:numId w:val="1"/>
        </w:numPr>
        <w:rPr/>
      </w:pPr>
      <w:bookmarkStart w:id="167" w:name="__RefHeading___Toc1903053_581953129"/>
      <w:bookmarkStart w:id="168" w:name="_Toc62"/>
      <w:bookmarkEnd w:id="167"/>
      <w:r>
        <w:rPr>
          <w:rtl w:val="true"/>
        </w:rPr>
        <w:t>دیدگاه آگوست کُنت</w:t>
      </w:r>
      <w:bookmarkEnd w:id="168"/>
    </w:p>
    <w:p>
      <w:pPr>
        <w:pStyle w:val="Heading5"/>
        <w:numPr>
          <w:ilvl w:val="4"/>
          <w:numId w:val="1"/>
        </w:numPr>
        <w:rPr/>
      </w:pPr>
      <w:bookmarkStart w:id="169" w:name="__RefHeading___Toc1903055_581953129"/>
      <w:bookmarkStart w:id="170" w:name="_Toc63"/>
      <w:bookmarkEnd w:id="169"/>
      <w:r>
        <w:rPr>
          <w:rtl w:val="true"/>
        </w:rPr>
        <w:t>اشاره</w:t>
      </w:r>
      <w:bookmarkEnd w:id="17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آگوست کُنت دربارۀ دین، دو نگرش متفاوت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یک سو دین را نخستین تلاش و کوشش انسان برای تبیین واقعیات عالم، تلقی می‌کند و ازسوی‌دیگر، دین را عامل وحدت‌بخش به جامعۀ بشری معرفی می‌نماید؛ براین‌اساس وی هر چیزی را که این وظیفه را بر دوش می‌کشد، دین می‌نامد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نگرش اول آگوست کُنت، حاصل قانون سه مرحله‌ای است که او دربارۀ تکامل اندیشۀ بشری بدان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عقیدۀ او دین زاییدۀ مرحلۀ اول که مرحلۀ خداشناسی یا ربانی است، بوده و بشر همۀ امور و حوادث و پدیده‌های طبیعی مانند زلزله و طوفان را براساس علل مابعدالطبیعیِ مقدس تبیین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ذهن بشر به دنبال تبیین علمی نبود؛ یعنی سعی نمی‌کرد با روش‌های علمی پدیده‌های طبیعی را تبیین کند؛ بلکه به دنبال ماهیت ذاتی و علت‌های نخستین همۀ معلول‌ها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این مرحله را به سه مرتبه و دورۀ جزئی‌تر تقسیم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طلسم‌باوری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Fetishism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خداپرستی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polytheism</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یکتاپرستی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Monotheism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دورۀ طلسم‌باوری، این باور حاکم است که همه چیز حتی جمادات، مانند جان انسان‌ها روح و جانی دارند و 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کنت این باور بر همۀ اندیشه‌های مذهبی برتری دارد و تنها در صورتی به‌درستی شناخته می‌شود که در زمینۀ تحول اولیۀ بشری به آن نگریسته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دورۀ دوم که دورۀ چند خداپرستی است، هر یک از امور مادی چیزی بی‌اثر و در معرض ارادۀ خارجی یک عامل فراطبیعی هستند و دارای روح خاصی نیستند؛ بلکه مجموعه‌ای از امور که یکسان و متشابه می‌باشند، زیر سیطرۀ و قدرت روحی برتر قرار می‌گیرند؛ مثلاً درختان به‌دلیل شباهت به یکدیگر زیر سلطۀ روحی برتر به نام خدای جنگل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برای ایجاد ارتباط میان انسان‌ها و آن خدایان، دستگاهی به نام کهانت که نقش واسطه را اجرا می‌کند،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دورۀ سوم که دورۀ یکتاپرستی است، با شکل‌گیری دین‌های بزرگ جهانی و پیدا شدن نهادهای مذهبی همچون کلیسا محقق می‌گردد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کُنت این سه دوره، اولین مرحلۀ تکامل اندیشۀ بشری را به وجود می‌آورند که با طی شدن آن، انسان، وارد مرحلۀ مابعدالطبیعی می‌گردد که دوران جوانی اندیشۀ بشری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مابعدالطبیعی، ذهن به دنبال نیروهای انتزاعی و موجودات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ویژگی این مرحله، توسل به جوهرهای مجرد و مفاهیمی همچون ذوات و </w:t>
      </w:r>
    </w:p>
    <w:p>
      <w:pPr>
        <w:pStyle w:val="BookText"/>
        <w:rPr/>
      </w:pPr>
      <w:r>
        <w:rPr>
          <w:rFonts w:ascii="IRNazanin" w:hAnsi="IRNazanin" w:eastAsia="IRNazanin"/>
          <w:color w:val="111111"/>
          <w:sz w:val="28"/>
          <w:sz w:val="28"/>
          <w:szCs w:val="28"/>
          <w:rtl w:val="true"/>
          <w:lang w:bidi="fa-IR"/>
        </w:rPr>
        <w:t>ویژگی‌های مابعدالطبیعی است، با استفاده از این مفاهیم است که حوادث طبیعی تبیین می‌شود؛ مثلاً رشد گیاهان براساس روح نباتی آنها تبیین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جوهرهای مجرد به‌عنوان موجودات واقعی تلقی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پایان یافتن مرحلۀ مابعدالطبیعی، مرحلۀ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اثباتی تحقیقی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با مشاهده و استدلال، روابط ضروری میان حوادث، جستجو می‌شود و سپس با طرح قوانینی آنها را تبیین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مرحله با دو مرحلۀ پیشین، تفاوت‌های عمده‌ای دارد، اولاً انسان در این دوره متواضع‌تر است؛ زیرا از شناسایی ماهیات و ذوات امور صرف‌نظر کرده، در پی علل نهایی نیست؛ دوماً شناخت در این مرحله برای تسلط انسان بر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کنت، مرحلۀ اثباتی، عالی‌ترین مرحله‌ای است که پایان آرزوهای بشر بوده و هر فردی باید در نهایت به این مرحله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طبق این بیان، دوران تبیین‌های الهیاتی از پدیده‌ها به پایان رسیده است، اما ازآنجاکه کُنت برای دین، کارکرد مهمی در نظر داشت که همان انسجام و وحدت‌بخشیدن به جوامع بشری است، لذا برای حفظ این کارکرد،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انسانیت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 و معتقد بود که این دین بر اصول علمی درست، استوار است و از آن جهت که جامعه‌شناسی با فهم انسجام و وحدت اجتماعی سروکار دارد، پس دین نوین نیز باید نوعی جامعه‌شناسیِ کاربردی باشد و جامعه‌شناسی هم باید بلند پایه‌ترین کاهن این آیین نوظهور دنیوی تلقی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چنان این دین را جدی گرفت که برای آن کلیسای مخصوص، لباس، آداب و مراسم ویژه‌ای طراحی نمود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با توجه به مطالب بیان شده می‌توان نتیجه گرفت که از دیدگاه کُنت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منشأ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طفولیت، عدم بلوغ فکری و جهل آدمیان است که برای تبیین امور به آن روی می‌آوردند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تکامل اندیشۀ بشر، دینِ سنتی، ناکارآمد گردیده و باید کنار گذاشته شود و دین نوین که براساس اصول علمی صحیح است، مورد پیروی قرار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و خواص،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قائمی‌نیا،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171" w:name="pg5444_51467"/>
    </w:p>
    <w:p>
      <w:pPr>
        <w:pStyle w:val="Heading5"/>
        <w:numPr>
          <w:ilvl w:val="4"/>
          <w:numId w:val="1"/>
        </w:numPr>
        <w:rPr/>
      </w:pPr>
      <w:bookmarkStart w:id="172" w:name="__RefHeading___Toc1903057_581953129"/>
      <w:bookmarkStart w:id="173" w:name="_Toc64"/>
      <w:bookmarkEnd w:id="171"/>
      <w:bookmarkEnd w:id="172"/>
      <w:r>
        <w:rPr>
          <w:rtl w:val="true"/>
        </w:rPr>
        <w:t>نقد و بررسی</w:t>
      </w:r>
      <w:bookmarkEnd w:id="1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اگوست کُنت، هیچ دلیلی بر اینکه منشأ دین، جهل علمی بشر است، اقامه نکرده است؛ درحقیقت، پیش‌فرض باطل او این است که ادیان گذشته، دارای منشأ معقولی نیستند؛ پس باید از جهل بشر ناشی شده باشند؛ درحالی‌که این پیش‌فرض،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کُنت تعارض علم و دین را امری قطعی شمرده و براین‌اساس، دین را ناشی از جهل علمی بشر می‌داند، غافل از اینکه قلمرو دین اساساً غیر از قلمرو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دانشمندی از طریق قوانین علمی حادثه‌ای را تبیین کند و درعین‌حال، تبیین دینی هم برای این حادثه داشته باشد؛ یعنی قوانین علمی را بپذیرد و ارادۀ خدا و یا موجود مجردی را هم در این امر مؤثر بداند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طبق این نظریه باید با از بین رفتن جهل و شناخت علل طبیعی، مذهب و گرایش به آن نیز از بین برود؛ درحالی‌که تجربه، در مقابل این نظریه قرار دارد و دانشمندانی را نشان می‌دهد که معتقد به دین هم بوده‌اند؛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انیشتین، ماکس پلانک، ویلیام جیمز، برکسون، داروین و امثال اینها که دانشمندانی نامدار و مشهور به‌شمار می‌آمدند و به دین و مذهب نیز باور داشتند؛ ازطرف‌دیگر بسیاری از جاهلان و افراد نادان، بی‌دین هستند که طبق نظریۀ کُنت بایستی افراد دین‌داری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556</w:t>
      </w:r>
      <w:r>
        <w:rPr>
          <w:rFonts w:eastAsia="IRNazanin" w:cs="IRNazanin"/>
          <w:color w:val="111111"/>
          <w:sz w:val="28"/>
          <w:szCs w:val="28"/>
          <w:rtl w:val="true"/>
          <w:lang w:bidi="fa-IR"/>
        </w:rPr>
        <w:t xml:space="preserve"> - </w:t>
      </w:r>
      <w:r>
        <w:rPr>
          <w:rFonts w:eastAsia="IRNazanin" w:cs="IRNazanin"/>
          <w:color w:val="111111"/>
          <w:sz w:val="28"/>
          <w:szCs w:val="28"/>
          <w:lang w:bidi="fa-IR"/>
        </w:rPr>
        <w:t>559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کُنت سیر اندیشۀ بشری را به سه مرحلۀ متمایز، تقسیم می‌کند؛ درحالی‌که این تقسیم‌بندی بسیار انتزاعی و دور از واقع است؛ زیرا اولاً در عالَم خارج این سه مرحله به صورتی که کُنت می‌پندارد، وجود ندارد و دوماً وی هیچ دلیلی بر ترتیب این مراحل سه‌گانه بر هم و نیز دوران‌های مرحلۀ الهیاتی اقامه نکرده است، چه‌بسا این مراحل و دوران‌ها ترتیبی دیگر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رحمة الله در نقد دیدگاه کُنت چنین می‌گوید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سه دوره که اگوست کُنت بیان کرده است، از نظر عامه و تودۀ مردم ممکن است صحیح باشد، به‌این‌معنا که در یک دوره مردم علت یک حادثه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بیماری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موجوداتی نامرئی همانند دیو و جن می‌دانستند، همچنان‌که الان هم حتی در میان تحصیل‌کرده‌های اروپایی چنین افراد و طبقاتی وجود دارند و در یک دورۀ دیگر، به نظامات طبیعی پی برده بودند و علت بیماری را در عللی که بر بیمار احاطه کرده است، </w:t>
      </w:r>
      <w:bookmarkStart w:id="174" w:name="pg5444_51468"/>
    </w:p>
    <w:p>
      <w:pPr>
        <w:pStyle w:val="BookText"/>
        <w:rPr/>
      </w:pPr>
      <w:bookmarkEnd w:id="174"/>
      <w:r>
        <w:rPr>
          <w:rFonts w:ascii="IRNazanin" w:hAnsi="IRNazanin" w:eastAsia="IRNazanin"/>
          <w:color w:val="111111"/>
          <w:sz w:val="28"/>
          <w:sz w:val="28"/>
          <w:szCs w:val="28"/>
          <w:rtl w:val="true"/>
          <w:lang w:bidi="fa-IR"/>
        </w:rPr>
        <w:t>می‌دانستند و اجمالاً می‌دانستند تأثیراتی از ناحیۀ طبیعت سبب بیماری شده است؛ همچنان‌که همۀ کسانی که طب نخوانده‌اند و اطلاعات طبی ندارند، ولی به نظامات طبیعی ایمان دارند، طبعاً تصورشان به همین شکل است؛ و در دورۀ دیگر، رابطۀ خود پدیده‌ها را از راه تجربیات علمی کشف کرده‌اند؛ که این هم تازگی ندارد، هم در قدیم بوده هم در جدید و البته در دورۀ جدید، گرایش بشر به پدیده‌شناسی و تعلیل پدیده‌ها به یکدیگر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تقسیم‌بندی فکر بشر به این نحو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ادوار تفکر بشر را تقسیم‌بندی کنیم، باید افکار مفکّران بشر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توده و عامه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مقیاس دوره‌ها قرار دهیم و به‌اصطلاح، جهان‌بینی افراد برجستۀ بشر را در نظر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اینجاست که می‌بینیم تقسیم‌بندی اگوست کُنت سر تا پا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اندیشۀ بشری که مفکّران هر دوره‌ای نمایندگان آن هستند، این چنین سه دوره‌ای طی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ادوار تفکر و یا حلقه‌های تفکر، دوره و حلقۀ تفکر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متد اسلامی همۀ این تفکرات در یک شکل خاص با هم امکان اجتماع دارند؛ یعنی در یک طرز تفکر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 آن را اسلامی می‌نامیم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آن سه نوع تفکر با یکدیگر قابل جمع است؛ به‌عبارت‌دیگر، یک فرد در آن واحد می‌تواند طرز تفکری داشته باشد که هم الهی باشد، هم فلسفی و هم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یک متفکر آشنا به تفکر اسلامی، این مطلب مطرح نیست که آیا علت حادثۀ آن است که علم نشان می‌دهد یا آن است که فلسفه به‌صورت قوه نشان می‌دهد یا علت حادثۀ آن است که به نام خدا نامیده می‌شود؛ پس در اینجا به امثال آقای اگوست کُنت باید یادآور شد که طرز تفکر چهارمی در جهان بوده که شما از آن بی‌خبرید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486</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Heading4"/>
        <w:numPr>
          <w:ilvl w:val="3"/>
          <w:numId w:val="1"/>
        </w:numPr>
        <w:rPr/>
      </w:pPr>
      <w:bookmarkStart w:id="175" w:name="__RefHeading___Toc1903059_581953129"/>
      <w:bookmarkStart w:id="176" w:name="_Toc65"/>
      <w:bookmarkEnd w:id="175"/>
      <w:r>
        <w:rPr>
          <w:rtl w:val="true"/>
        </w:rPr>
        <w:t>دیدگاه هربرت اسپنسر</w:t>
      </w:r>
      <w:bookmarkEnd w:id="176"/>
    </w:p>
    <w:p>
      <w:pPr>
        <w:pStyle w:val="Heading5"/>
        <w:numPr>
          <w:ilvl w:val="4"/>
          <w:numId w:val="1"/>
        </w:numPr>
        <w:rPr/>
      </w:pPr>
      <w:bookmarkStart w:id="177" w:name="__RefHeading___Toc1903061_581953129"/>
      <w:bookmarkStart w:id="178" w:name="_Toc66"/>
      <w:bookmarkEnd w:id="177"/>
      <w:r>
        <w:rPr>
          <w:rtl w:val="true"/>
        </w:rPr>
        <w:t>اشاره</w:t>
      </w:r>
      <w:bookmarkEnd w:id="178"/>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اسپنسر، با اشاره به ریشۀ پرستش و با بهره‌گیری از باور انسان اولیه به دوگانگی روح و بدن و تعمیم‌پذیری آن نسبت به همۀ موجودات، باورهای دینی را تبیین می‌کند و بر این باور است که انسان‌های نخستین، به جانداری طوفان و باد و باران، اعتقاد داشتند و برای رفع مشکلات و گرفتاری‌های طبیعی، برای آنان هدیه، نذر، تملق و اظهار فروتنی می‌کردند؛ درنتیجه زمینه برای پرستش نیروهای طبیعی، پدید آمد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استاد شهید مطهری رحمة الله دراین‌باره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اسپنسر و دیگران به شکل دیگری مطلب را گفته‌اند و آن این است که انسان، اولین بار به دوگانگی وجود خودش به معنی دوگانگی روح و بدن پی برد از باب اینکه در خواب، مردگان یا افراد زنده را می‌دید، مخصوصاً خواب دیدن مردگان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که می‌مردند، بعد از مردن به خوابش می‌آمدند، آنگاه فکر می‌کرد که اینکه در خوابش آمده یک موجودی است که واقعاً از خارج نزد او آمده و چون می‌دانست که او جسمش در زیر خاک پوسیده، پس معتقد شد که او یک روحی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بود که معتقد شد همۀ ما انسان‌ها روحی داریم و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این را تعمیم داد به همۀ اشیاء، یعنی برای همۀ اشیاء جان قائل شد، برای دریا جان قائل شد، برای طوفان جان قائل شد، برای خورشید جان قائل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در گرفتاری و هنگامی که با این نیروهای طبیعی مصادف می‌شد، همچنان‌که وقتی با یک انسان قدرتمند مصادف می‌شد برایش هدیه و نذر می‌برد، احیاناً تملق می‌کرد و از این جور کارها، شروع کرد همین کارها را یعنی پرستش در مقابل نیروهای طبیعت انجام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اسپنسر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توجیه می‌کند که اول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اینجا پرستش نیروهای طبیعت پدید آمد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مطهری،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دراین‌باره می‌گوید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همان‌گونه که تمامی گزارش‌ها و سنت‌های قدیمی و باستانی اثبات می‌کنند، قدیمی‌ترین حاکمان، شخصیت‌های برجستۀ الوهی محسوب می‌شدند؛ اصول کلی و پندها و فرامینی که آنها در دوران زندگی شان بیان می‌کردند، پس از مرگشان مقدس شمرده می‌شد و توسط جانشینان آنها که واجد مقام الوهی پایین‌تری بودند، اجرا می‌گردید، همان جانشینانی که به‌نوبه‌خود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پرستش نسل خود را توسعه می‌دادند، حوزه‌ای که خود این جانشینان باید عبادت شوند و همراه نیاکان خود تسکین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قدیمی‌ترین نیاکان برترین خدا است و بقیه خدایان فرعی و پایین‌ترند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حسینی و خواص،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179" w:name="pg5444_51470"/>
    </w:p>
    <w:p>
      <w:pPr>
        <w:pStyle w:val="BookText"/>
        <w:rPr/>
      </w:pPr>
      <w:bookmarkEnd w:id="179"/>
      <w:r>
        <w:rPr>
          <w:rFonts w:ascii="IRNazanin" w:hAnsi="IRNazanin" w:eastAsia="IRNazanin"/>
          <w:color w:val="111111"/>
          <w:sz w:val="28"/>
          <w:sz w:val="28"/>
          <w:szCs w:val="28"/>
          <w:rtl w:val="true"/>
          <w:lang w:bidi="fa-IR"/>
        </w:rPr>
        <w:t>پس به نظر اسپنسر، علت گرایش مردمان بدوی به دین و خدایانی که درحقیقت، ارواح نیاکان و حاکمان آنان بوده‌اند، جلب توانایی و تأثیرات آنان در زندگی دنیوی خود بوده است، بدین‌معنا که با مراسم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استفاده از قدرت آنان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نظریۀ وی بعدها به نظریۀ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پرستی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 نیاکان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یافت</w:t>
      </w:r>
      <w:r>
        <w:rPr>
          <w:rFonts w:eastAsia="IRNazanin" w:cs="IRNazanin"/>
          <w:color w:val="111111"/>
          <w:sz w:val="28"/>
          <w:szCs w:val="28"/>
          <w:rtl w:val="true"/>
          <w:lang w:bidi="fa-IR"/>
        </w:rPr>
        <w:t>.</w:t>
      </w:r>
    </w:p>
    <w:p>
      <w:pPr>
        <w:pStyle w:val="Heading5"/>
        <w:numPr>
          <w:ilvl w:val="4"/>
          <w:numId w:val="1"/>
        </w:numPr>
        <w:rPr/>
      </w:pPr>
      <w:bookmarkStart w:id="180" w:name="__RefHeading___Toc1903063_581953129"/>
      <w:bookmarkStart w:id="181" w:name="_Toc67"/>
      <w:bookmarkEnd w:id="180"/>
      <w:r>
        <w:rPr>
          <w:rtl w:val="true"/>
        </w:rPr>
        <w:t>نقد و بررسی</w:t>
      </w:r>
      <w:bookmarkEnd w:id="1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همان‌طور که در نقد نظریۀ آگوست کُنت نیز گفته شد باید با از بین رفتن جهل و شناخت علل طبیعی، مذهب و گرایش به آن نیز از بین برود، درحالی‌که چنین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اسپنسر در تبیین علت گرایش بشر به سوی دین که روشی براساس تحلیل ذهنی بود، در بحث ما کارایی ندارد، ضمن‌اینکه ادعای پرستش نیاکان توسط انسان‌های بدوی نیاز به‌دلیل معتبری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توجۀ بازماندگان به پندها و فرامین گذشتگان و عمل براساس آن، نمی‌تواند دلیل بر پرستش آنان باشد؛ چه‌بسا پذیرش و عمل به پندها و فرامین به‌دلیل مرجعیتی باشد که آن بزرگان و رؤسا دارا بوده‌اند نه به‌دلیل خدا شدن آنها و پرستش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حرمت نهادن به مردگان و حضور بر مزار آنان، دلیل بر پرستش مردگان نیست؛ چراکه در عصر حاضر نیز چنین سنتی در میان پیروان ادیان مختلف، وجود دارد و تنها، وسیله‌ای برای ارضای عاطفۀ انسانی، رساندن خیرات به ایشان و طلب رحمت برای آنها براساس باور به جاودانگی روح و حیات اخروی تلقی می‌گردد</w:t>
      </w:r>
      <w:r>
        <w:rPr>
          <w:rFonts w:eastAsia="IRNazanin" w:cs="IRNazanin"/>
          <w:color w:val="111111"/>
          <w:sz w:val="28"/>
          <w:szCs w:val="28"/>
          <w:rtl w:val="true"/>
          <w:lang w:bidi="fa-IR"/>
        </w:rPr>
        <w:t>.</w:t>
      </w:r>
    </w:p>
    <w:p>
      <w:pPr>
        <w:pStyle w:val="Heading3"/>
        <w:numPr>
          <w:ilvl w:val="2"/>
          <w:numId w:val="1"/>
        </w:numPr>
        <w:rPr/>
      </w:pPr>
      <w:bookmarkStart w:id="182" w:name="__RefHeading___Toc1903065_581953129"/>
      <w:bookmarkStart w:id="183" w:name="_Toc68"/>
      <w:bookmarkEnd w:id="182"/>
      <w:r>
        <w:rPr/>
        <w:t>3</w:t>
      </w:r>
      <w:r>
        <w:rPr>
          <w:rtl w:val="true"/>
        </w:rPr>
        <w:t xml:space="preserve">. </w:t>
      </w:r>
      <w:r>
        <w:rPr>
          <w:rtl w:val="true"/>
        </w:rPr>
        <w:t>نظریۀ زایش اجتماعی</w:t>
      </w:r>
      <w:bookmarkEnd w:id="183"/>
    </w:p>
    <w:p>
      <w:pPr>
        <w:pStyle w:val="Heading4"/>
        <w:numPr>
          <w:ilvl w:val="3"/>
          <w:numId w:val="1"/>
        </w:numPr>
        <w:rPr/>
      </w:pPr>
      <w:bookmarkStart w:id="184" w:name="__RefHeading___Toc1903067_581953129"/>
      <w:bookmarkStart w:id="185" w:name="_Toc69"/>
      <w:bookmarkEnd w:id="184"/>
      <w:r>
        <w:rPr>
          <w:rtl w:val="true"/>
        </w:rPr>
        <w:t>اشاره</w:t>
      </w:r>
      <w:bookmarkEnd w:id="185"/>
    </w:p>
    <w:p>
      <w:pPr>
        <w:pStyle w:val="BookText"/>
        <w:rPr/>
      </w:pPr>
      <w:r>
        <w:rPr>
          <w:rFonts w:ascii="IRNazanin" w:hAnsi="IRNazanin" w:eastAsia="IRNazanin"/>
          <w:color w:val="111111"/>
          <w:sz w:val="28"/>
          <w:sz w:val="28"/>
          <w:szCs w:val="28"/>
          <w:rtl w:val="true"/>
          <w:lang w:bidi="fa-IR"/>
        </w:rPr>
        <w:t xml:space="preserve">امیل دورکیم </w:t>
      </w:r>
      <w:r>
        <w:rPr>
          <w:rFonts w:eastAsia="IRNazanin" w:cs="IRNazanin"/>
          <w:color w:val="111111"/>
          <w:sz w:val="28"/>
          <w:szCs w:val="28"/>
          <w:rtl w:val="true"/>
          <w:lang w:bidi="fa-IR"/>
        </w:rPr>
        <w:t>(</w:t>
      </w:r>
      <w:r>
        <w:rPr>
          <w:rFonts w:eastAsia="IRNazanin" w:cs="IRNazanin"/>
          <w:color w:val="111111"/>
          <w:sz w:val="28"/>
          <w:szCs w:val="28"/>
          <w:lang w:bidi="fa-IR"/>
        </w:rPr>
        <w:t>1917</w:t>
      </w:r>
      <w:r>
        <w:rPr>
          <w:rFonts w:eastAsia="IRNazanin" w:cs="IRNazanin"/>
          <w:color w:val="111111"/>
          <w:sz w:val="28"/>
          <w:szCs w:val="28"/>
          <w:rtl w:val="true"/>
          <w:lang w:bidi="fa-IR"/>
        </w:rPr>
        <w:t xml:space="preserve">- </w:t>
      </w:r>
      <w:r>
        <w:rPr>
          <w:rFonts w:eastAsia="IRNazanin" w:cs="IRNazanin"/>
          <w:color w:val="111111"/>
          <w:sz w:val="28"/>
          <w:szCs w:val="28"/>
          <w:lang w:bidi="fa-IR"/>
        </w:rPr>
        <w:t>1858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 معروف فرانسوی، با توجه به مبنای اصالت جامعه، نظریۀ زایش اجتماعی دین را مطرح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برای فرد، اصالتی قائل نبود و جامعه را یک ترکیب حقیقی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می‌دانست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نگاه دورکیم برای دستیابی به منشأ دین و علت گرایش انسان‌ها به آن، باید سراغ آیین‌های اقوام بدوی رفت، اما برای انجام این کار نباید همچون برخی از گذشتگان، وضعیت اقوام بدوی را در ذهن خود بازسازی نموده و با تصورات و خیالات </w:t>
      </w:r>
    </w:p>
    <w:p>
      <w:pPr>
        <w:pStyle w:val="BookText"/>
        <w:rPr/>
      </w:pPr>
      <w:r>
        <w:rPr>
          <w:rFonts w:ascii="IRNazanin" w:hAnsi="IRNazanin" w:eastAsia="IRNazanin"/>
          <w:color w:val="111111"/>
          <w:sz w:val="28"/>
          <w:sz w:val="28"/>
          <w:szCs w:val="28"/>
          <w:rtl w:val="true"/>
          <w:lang w:bidi="fa-IR"/>
        </w:rPr>
        <w:t>خویش به دنبال تحلیل و بررسی علت چنین گرایشی باشیم؛ بلکه تنها راه دستیابی آن است که جامعة ساده‌ای را در زمان فعلی جستجو کنیم، جامعه‌ای که دین مورد قبول آن جامعه، ساده‌ترین نظام اجتماعی موجود را به‌عنوان ابتدایی‌ترین دین به ما عرضه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دورکیم ساده‌ترین دین موجود در زمان فعلی را دین قبایل بومی استرالیا، توتمیسم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Totemism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پیش از دورکیم نیز برخی از متفکران مانند تایلور، رابرتسون اسمیت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توتمیسم را مورد توجه قرار داده بودند، اما آنها اهمیت توتمیسم را به‌خوبی درک نکرده و توضیح نداده بودند که توتمیسم تا چه اندازه برای بومیان استرالیایی، حیاتی است و در بقای آنان نقش دارد، همچنین آنان در تبیین مفاهیم مقدس و نامقدس براساس رویکرد توتمیسم، فعالیتی نکرده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جوامع بدوی استرالیا که طوایف، اساس آن جوامع را تشکیل می‌دهند، طایفه دارای دو ویژگی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 اعضای طایفه خود را بستگان یکدیگر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نه به اعتبار رابطه و پیوند خونی مشخص با یکدیگر؛ بلکه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آنکه این نام مشترک، نوعی شیء یا توتم است که برای همۀ اعضای طایفه اهمیت خاصی دارد؛ البته هر طایفه توتم خاص خود را دارد که با طوایف و قبایل دیگر در این توتم شریک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توتم‌های آنها اغلب ساده‌ترین اشیاء در محیط نزدیک آنهاست، همانند حیوانات یا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توتم معمولاً یک شیء خاص نیست؛ بلکه گروهی از اشیاء مانند گیاه یک حیوان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توتم فراتر از یک نامِ صرف بوده و ویژگی‌های بارز طایفه و انواع گوناگون آداب و مناسک را در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در رابطه با توتم است که به عناصر لاهوتی و ناسوتی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 و غیرمقدس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باور دورکیم، توتم نمونۀ نخستین چیزهای لاهوتی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سرشت لاهوتی توتم، به تصاویر خیالی آن نیز گسترش می‌یابد؛ لذا مناسک آیینی که برای شیء توتمی بر پا می‌شود در مورد نقوش توتم که بر روی اشیا یا بدن اشخاص رسم شده‌اند نیز رعایت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تأکید بر اینها به‌مراتب بیش از اشیای مرتبط با خود توتم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w:t>
      </w:r>
    </w:p>
    <w:p>
      <w:pPr>
        <w:pStyle w:val="BookText"/>
        <w:rPr/>
      </w:pPr>
      <w:r>
        <w:rPr>
          <w:rFonts w:ascii="IRNazanin" w:hAnsi="IRNazanin" w:eastAsia="IRNazanin"/>
          <w:color w:val="111111"/>
          <w:sz w:val="28"/>
          <w:sz w:val="28"/>
          <w:szCs w:val="28"/>
          <w:rtl w:val="true"/>
          <w:lang w:bidi="fa-IR"/>
        </w:rPr>
        <w:t>بر توتم و جلوه‌های منقوش آن، دستۀ سومی نیز از صفات لاهوتی برخوردارند و آن خود اعضای طایفه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دورکیم ابتدایی‌ترین شکل دین‌داری، توتم‌پرستی است تا آنجا که او با تحویل توتم‌پرستی به امری بنیادی‌تر مخالفت ورزیده و معتقد است پیدا کردن شکل کهنه‌تر و قدیمی‌تر از توتم‌پرستی ناممکن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او همۀ انواع دیگر پرستش دینی یعنی پرستش ارواح، ستارگان، خورشید، حیوانات و خدایان از همین جا ناشی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توتم‌پرستی در مرحلۀ اول، پرستش گیاه یا حیوان تلقی شود، ولی درواقع چنین نیست، پیروان توتم‌پرستی در حقیقت نیرویی بی‌نام و نشان و غیرشخصی را می‌پرستند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توتم</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Totemic ((rinciple The)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نیرو سبب پیوند اعضای طایفه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گمان دورکیم ما حتی پیش از آنکه خداپرست باشیم، احساسی نسبت به این نیروی نخستین غیرمتشخص، پنهان، قدرتمند و محور اساسی پرستش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توتمی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قبایل بدوی استرالیا اختصاص ندارد؛ بلکه با نام‌های دیگر در سایر جوامع قبیله‌ای نیز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این نیروی قدرتمند، غیرمتشخص و مسلط را همان جامعه و به تعبیری همان روح‌جمعی می‌داند؛ ازآنجاکه به نظر او مفهوم توتم در طول زمان، تحول یافته و به‌صورت‌های گوناگونی ازجمله مفهوم خدا تجلی نموده است، مفهوم خدا و مفهوم توتم در حقیقت به همان نیروی غیر‌متشخص اشاره دارند؛ ازطرف‌دیگر ازآنجاکه توتم به‌طور هم‌زمان نماد خدا و نماد جامعه است، پس اصل توتمی همان جامعه می‌باشد و خدا و جامعه در واقع یکی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و خواص،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دورکیم، معتقد بود که منِ اجتماعی، همان تجلی روح اجتماعی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جامعه‌شناختی دورکیم، خدا را موجودی خیالی معرفی می‌کند که جامعۀ آن را به‌صورت ابزار، اختراع کرده است؛ بدین‌معناکه مردان و زنان، وقتی احساس می‌کنند در برابر واقعیتی فراگیر و نیروی برتری ایستاده‌اند که ورای حیات فردی آنها است و ارادۀ خود را به‌صورت دستور اخلاقی، بر آنها اعمال می‌کند؛ اما این واقعیت، موجود ماورای </w:t>
      </w:r>
    </w:p>
    <w:p>
      <w:pPr>
        <w:pStyle w:val="BookText"/>
        <w:rPr/>
      </w:pPr>
      <w:r>
        <w:rPr>
          <w:rFonts w:ascii="IRNazanin" w:hAnsi="IRNazanin" w:eastAsia="IRNazanin"/>
          <w:color w:val="111111"/>
          <w:sz w:val="28"/>
          <w:sz w:val="28"/>
          <w:szCs w:val="28"/>
          <w:rtl w:val="true"/>
          <w:lang w:bidi="fa-IR"/>
        </w:rPr>
        <w:t>طبیعت نیست؛ بلکه واقعیت طبیعی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انسانی، صفات الهی را دربارۀ اعضایش اِعمال می‌کند و تصور خدا را در ذهن‌های آنها پدید می‌آورد که درنتیجه، این تصویر به نمادی برای جامعه تبدیل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وال،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 آرون،</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ویلهم وونت </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روان‌شناس و فیلسوف آلمانی، نظریۀ یادشده را این‌گونه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فقط یک نیاز اجتماعی داریم که باعث گرایش به دین شده است و آن اینکه جمع بین حب ذات و روابط سالم اجتماعی، از انسان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به وجود خود ادامه دهد، جامعه نمی‌تواند ادامه یابد و اگر جامعه بخواهد به وجود خود ادامه دهد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ازخودگذشتگی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احتیاج دارد و این ازخودگذشتگی، با حب ذات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آمده است تا بین حب ذات و ازخودگذشتگی افراد آشتی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کاپلستون،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374</w:t>
      </w:r>
      <w:r>
        <w:rPr>
          <w:rFonts w:ascii="IRNazanin" w:hAnsi="IRNazanin" w:eastAsia="IRNazanin"/>
          <w:color w:val="111111"/>
          <w:sz w:val="28"/>
          <w:sz w:val="28"/>
          <w:szCs w:val="28"/>
          <w:rtl w:val="true"/>
          <w:lang w:bidi="fa-IR"/>
        </w:rPr>
        <w:t xml:space="preserve">؛ وال،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دورکیم دراین‌باره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جامعه هنگامی که در حال غلیان خود باشد، آفریدگار مذهب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مذهب، عبارت از این خواهد بود که نوعی وابستگی متعصبانه نسبت به گروه‌های جزئی را در افراد ایجاد کند و هر فردی را به اجتماعی پیوند دهد و درنتیجه، باعث خصومت هر اجتماع نسبت به اجتماع دیگر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آرون،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سومین کتاب بزرگ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بنیانی حیات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ساختن نظریه‌ای عمومی دربارۀ دین، براساس تحلیل ساده‌ترین و بدوی‌ترین نهادهای دینی،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در جوامع فردگرا و عقل‌باور امروزی، اقتدار عالی اخلاقی و فکری در اختیار علم است؛ ازطرف‌دیگر هر جامعه‌ای به باورهای مشترک نیازمند است و دین سنتی، پاسخگوی نیاز روح علمی نیست و دیگر نمی‌تواند باورهای مشترک لازم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این اعتماد را پدید می‌آورد که جامعه می‌تواند در هر دوره، خدایان مورد نیاز خویش را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علایق دینی، چیزی جز صُوَر تمثیلی علایق اجتماعی و اخلاقی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دورکیم می‌خواهد اثبات کند که موضوع دین، چیزی جز تجسم دیگری از جامعه نبوده است؛ او گوهر دین را در اعتقاد به خدایی ماورای جهان نمی‌داند؛ بلکه ذات دین نزد او، عبارت است از تقسیم جهان به دو دسته نمودهای </w:t>
      </w:r>
      <w:bookmarkStart w:id="186" w:name="pg5444_51474"/>
    </w:p>
    <w:p>
      <w:pPr>
        <w:pStyle w:val="BookText"/>
        <w:rPr/>
      </w:pPr>
      <w:bookmarkEnd w:id="186"/>
      <w:r>
        <w:rPr>
          <w:rFonts w:ascii="IRNazanin" w:hAnsi="IRNazanin" w:eastAsia="IRNazanin"/>
          <w:color w:val="111111"/>
          <w:sz w:val="28"/>
          <w:sz w:val="28"/>
          <w:szCs w:val="28"/>
          <w:rtl w:val="true"/>
          <w:lang w:bidi="fa-IR"/>
        </w:rPr>
        <w:t>مقدس و غیرمقدس؛ بخش مقدس، مرکب از مجموعة باورها و مراسم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امور مقدس باهم روابطی از نوع هماهنگی یا تبعیت داشته باشند، به‌گونه‌ای که دستگاهی، برخوردار از نوعی وحدت درونی و مستقل از هر دستگاه دیگری را تشکیل بدهند، مجموعه باورها و مراسم مربوط به آنها، مذهبی را پدید می‌آورند؛ بنابراین مذهب، دستگاهی همبسته از باورها و اعمال مربوط به امور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دورکیم می‌خواهد ثابت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مذاهب سنتی، بر اثر گسترش عقل‌باوری علمی، محکومند؛ دوماً، تحقیق علمی نشان می‌دهد که آدمیان هیچگاه جز جامعۀ خودشان، چیز دیگری را نپرستیده‌اند؛ اما دربارۀ اینکه چرا جامعه به موضوع پرستش تبدیل می‌شود، پاسخ دورکیم این است که جامعه، خود‌به‌خود از تقدس بهره‌ای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373</w:t>
      </w:r>
      <w:r>
        <w:rPr>
          <w:rFonts w:eastAsia="IRNazanin" w:cs="IRNazanin"/>
          <w:color w:val="111111"/>
          <w:sz w:val="28"/>
          <w:szCs w:val="28"/>
          <w:rtl w:val="true"/>
          <w:lang w:bidi="fa-IR"/>
        </w:rPr>
        <w:t xml:space="preserve"> -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او، منشأ دین، درخواست‌های عملی زندگی در اجتماع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سرچشمۀ نگرش‌های نوع پرستانه‌ای است که حاصل آن، بازداشتن از خودپرستی، تمایل به فداکاری و عدم جستجو برای نفع‌جویی فردی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Heading4"/>
        <w:numPr>
          <w:ilvl w:val="3"/>
          <w:numId w:val="1"/>
        </w:numPr>
        <w:rPr/>
      </w:pPr>
      <w:bookmarkStart w:id="187" w:name="__RefHeading___Toc1903069_581953129"/>
      <w:bookmarkStart w:id="188" w:name="_Toc70"/>
      <w:bookmarkEnd w:id="187"/>
      <w:r>
        <w:rPr>
          <w:rtl w:val="true"/>
        </w:rPr>
        <w:t>نقد و بررسی</w:t>
      </w:r>
      <w:bookmarkEnd w:id="188"/>
    </w:p>
    <w:p>
      <w:pPr>
        <w:pStyle w:val="BookText"/>
        <w:rPr/>
      </w:pPr>
      <w:r>
        <w:rPr>
          <w:rFonts w:ascii="IRNazanin" w:hAnsi="IRNazanin" w:eastAsia="IRNazanin"/>
          <w:color w:val="111111"/>
          <w:sz w:val="28"/>
          <w:sz w:val="28"/>
          <w:szCs w:val="28"/>
          <w:rtl w:val="true"/>
          <w:lang w:bidi="fa-IR"/>
        </w:rPr>
        <w:t>متفکران و جامعه‌شناسان دینی، انتقادهای متعددی را بر این نظریه وارد کرده‌اند، برخی از این نقدها عبارتنداز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ریمون آرون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 من، قابل قبول نیست‌که ذات دین را همان پرستش فرد نسبت به گروه بدانیم؛ زیرا دست‌کم به نظر من، پرستشِ نظم اجتماعی، درست همان ذات ناپاک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این قضیه که موضوع احساسات دینی همان جامعه است و چهرۀ دیگری پیدا کرده، در حکم نجات تجربۀ بشری که موضوع مطالعۀ جامعه‌شناسی است، نیست؛ بلکه در حکم تباه کردن آن است؛ یعنی چنین تصویری از دین، چنان انتظاری را از دین برآورده نمی‌کند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نظریۀ دورکیم در منشأ دین، مبتنی بر پیش‌فرض‌هایی است که همۀ آنها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تعریفی که دورکیم دربارۀ دین دارد یکی از آن پیش‌فرض‌ها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دورکیم، دین و شکل‌گیری آن از آنجاست که هر جامعه میان امر مقدس و </w:t>
      </w:r>
    </w:p>
    <w:p>
      <w:pPr>
        <w:pStyle w:val="BookText"/>
        <w:rPr/>
      </w:pPr>
      <w:r>
        <w:rPr>
          <w:rFonts w:ascii="IRNazanin" w:hAnsi="IRNazanin" w:eastAsia="IRNazanin"/>
          <w:color w:val="111111"/>
          <w:sz w:val="28"/>
          <w:sz w:val="28"/>
          <w:szCs w:val="28"/>
          <w:rtl w:val="true"/>
          <w:lang w:bidi="fa-IR"/>
        </w:rPr>
        <w:t>غیرمقدس فرق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آیین‌ها و مناسک دینی به امر مقدس مربوط بوده و این امور خود با امور اجتماعی کلان، گره خورده است؛ درصورتی‌که قلمرو امور غیرمقدس، امور شخصی و فردی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طرز تلقی دربارۀ دین، اساس نظریۀ دورکیم را تشکیل می‌دهد؛ به‌عبارت‌دیگر، دورکیم از همان ابتدا، امر مقدس را امری اجتماعی و امر غیرمقدس را امری شخصی تلقی می‌کند؛ ازاین‌جهت نتیجه‌ای که دورکیم به آن می‌رسد، مبنی بر اینکه دین چیزی جز تجلی نیازهای اجتماعی نیست، بعید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درحقیقت با در نظر گرفتن این پیش‌فرض، نظریۀ دورکیم در دام دوری پنهان می‌افتد؛ یعنی همان پیش‌فرضی را که قبول کرده بود، در نهایت به‌عنوان نتیجه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پیش‌فرض دیگر دورکیم این است که دین، باور به جهان فوق طبیعی نیست؛ زیرا دین‌داران بدوی و ابتدایی چنین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فوق 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ابتدایی، تمام حوادث یکسان است، آنها تنها امور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امور شخصی و غیرمقدس جدا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پیش‌فرض نیز باطل بوده و بسیاری از دین‌پژوهان در زمان دورکیم به بطلان آن تصریح کرده، شواهدی برخلاف آن ارائه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ابتدایی، گرچه دقیقاً همان مفاهیم ما را دربارۀ جهان فوق طبیعی ندارند، اما مفاهیم غیرعادی و غیرطبیعی دارند که کاملاً مشابۀ مفاهیم ما دربارۀ جهان فوق طبیعی است؛ علاوه‌براین، آنها چنان‌که دورکیم فرض می‌کرد قلمرو امر مقدس را از غیرمقدس جدا نمی‌کردند، بلکه همه جا را قلمرو امر مقدس می‌دانستند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قائمی‌نیا،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 xml:space="preserve">؛ حسینی و خواص،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شواهدی که دورکیم از توتمیسم قبایل استرالیایی ارائه می‌دهد، اعتماد به گزارش‌های قومی‌شناسی اسپنسر و ژیلن است و او در نظریه‌اش به شواهدی استناد می‌ورزد که آنها نقل کرده‌اند؛ این در حالی است که یکی از همکاران دورکیم به نام ریچارد ژاستون به بررسی دقیق گزارش‌های نقل شده از قبایل استرالیایی، پرداخته و خلاف نظریۀ او را ثابت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ژاستون نشان داد که نظریۀ دورکیم قبل از بررسی دقیق قبایل استرالیایی تدوین شده است؛ لذا در ده سال گذشته تفسیر دورکیم از توتمیسم</w:t>
      </w:r>
    </w:p>
    <w:p>
      <w:pPr>
        <w:pStyle w:val="BookText"/>
        <w:rPr/>
      </w:pPr>
      <w:r>
        <w:rPr>
          <w:rFonts w:ascii="IRNazanin" w:hAnsi="IRNazanin" w:eastAsia="IRNazanin"/>
          <w:color w:val="111111"/>
          <w:sz w:val="28"/>
          <w:sz w:val="28"/>
          <w:szCs w:val="28"/>
          <w:rtl w:val="true"/>
          <w:lang w:bidi="fa-IR"/>
        </w:rPr>
        <w:t xml:space="preserve">به‌طورکلی 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قائمی‌نیا،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نظریۀ دورکیم دربارۀ جایگاه اخلاقی پیامبران هم توضیح قانع‌کننده‌ای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مقایسه با افراد و فضای عمومی جامعۀ خود، جلوتر بوده و همواره قواعد و اصول اخلاقی را پیش می‌کشیدند، حال اگر منشأ تکالیف اخلاقی، خود گروه و جامعه است، چگونه ممکن است که دو نوع اخلاق در جامعه وجود داشته باشد؟ اخلاقی که بر روح عمومی مردم حاکم است و اخلاقی پیشتاز که پیامبران الهی، ما را بدان ترغیب کرده‌اند؟ به‌عبارت‌دیگر، نظریۀ جامعه‌شناختی دورکیم با جامعۀ بسته و ثابت متناسب است، نه با جامعۀ پویا و متحرک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عمومی به جامعۀ ثابت مربوط می‌شود و اخلاقی که پیامبران، مردم را به سوی آن می‌خواندند، با جامعۀ پویا و متحرک تناسب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واقعیت آن است که پیامبران علیهم السلام با ظهور و حضور خود با نظام موجود جامعه مخالفت کرده و قوانین حاکم بر جامعه را از بین می‌بردند و بر اثر آن، کشمکش‌های دینی و غیردینی پدید می‌آمد؛ حال آنکه براساس دیدگاه دورکیم که خدا را همان جامعه می‌داند، پیامبران در جایگاه مبلغان دینی، باید به حاکمیت جامعه ملتزم باشند، تا دیگران را به فرمانبرداری از حکم جامعه دعوت کنند؛ اما پیامبران چون با احکام موجود جامعه مبارزه می‌کردند و داعیۀ دین و شریعت جدیدی داشته‌اند، مخالفان نظام اجتماعی و نافرمان‌بُردار به‌شمار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اینکه باور به وجود خدا، با توجه به مسئله الزام اجتماعی توجیه شود، اعتقادات دینی دیگر مانند مسئله جاودانگی نفس، هدفداری جهان آفرینش، اخلاق دینی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توجیه می‌شوند؟ پس دین‌هایی که فراتر از بحث خدا، مسائل دیگری را مطرح می‌کنند، نمی‌توانند 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چنین نیست که همۀ متدینان برای حفظ وحدت جامعه به دین گرایش یافته باشند، بلکه نیازهای دیگری در گرایش بشر به دین مؤثر است؛ حتی در بسیاری از مواقع، متدینان برای حفظ دین، برخلاف وحدت جامعه، حرکت می‌کنند و با پافشاری بر دین، باعث از هم پاشیدگی صفوف جامعه نیز می‌شوند و این در حالی است که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الزام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افراد را با جامعه هم‌ساز و همرنگ کند؛ بنابراین، این نوع دین‌داری که برخلاف جهت جامعه است، با نظریۀ دورکیم قابل توجیه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مطلب باورکردنی نیست که دستگاه‌های فکری مانند دین که در تاریخ، چنین مقام مهمی یافته و مردم در تمام دوران‌ها، نیروی لازم را برای حیات از سرچشمۀ آنها برگرفته‌اند، تنها تار و پودی از اوهام،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همگان بر این نکته توافق دارند که حقوق، اخلاق، حتی خود اندیشۀ علمی، همه در دین پدید آمده و تا مدت‌های طولانی با آن آمیخته بوده و تحت نفوذ روح دینی قرار داشته‌اند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گیدنز،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377</w:t>
      </w:r>
      <w:r>
        <w:rPr>
          <w:rFonts w:eastAsia="IRNazanin" w:cs="IRNazanin"/>
          <w:color w:val="111111"/>
          <w:sz w:val="28"/>
          <w:szCs w:val="28"/>
          <w:rtl w:val="true"/>
          <w:lang w:bidi="fa-IR"/>
        </w:rPr>
        <w:t xml:space="preserve"> - </w:t>
      </w:r>
      <w:r>
        <w:rPr>
          <w:rFonts w:eastAsia="IRNazanin" w:cs="IRNazanin"/>
          <w:color w:val="111111"/>
          <w:sz w:val="28"/>
          <w:szCs w:val="28"/>
          <w:lang w:bidi="fa-IR"/>
        </w:rPr>
        <w:t>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خطای دورکیم، این است‌که دین‌شناسی را با توتم‌پرستی، آن هم در مناطق استرالیا، خَلط کرده و احکام جامعه‌شناختی آن مناطق را به تمام جوامع سرایت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دیدگاه، زاییدۀ نوعی روش‌شناسی نادرست است که در علم منطق به تمثیل شهرت داشته و هیچ اعتبار منطقی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ویژگی‌های یک دین خاص را می‌توان به همه ادیان تعمیم داد؟ مسئله این است که نمی‌توان مطمئن بود که جوهر دین خاصِ مورد بررسی دورکیم، جوهر دینِ به معنای عام آن باشد، برای تعیین ماهیت عمومی دین، بررسی طیف گسترده‌ای از ادیان بشری ضرورت دارد که دورکیم انجامش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می‌داد؛ بعید نبود که رابطۀ نزدیک میان دین و گروه‌های اجتماعی را که در میان قبایل بومی استرالیایی یافته بود، در جاهای دیگر نیز پیدا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همیلتون،</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خطای دیگر وی این است که جامعه و خدا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صرف اینکه در پاره‌ای از وجوه اشتراک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دانسته یا خدا را نماد جامعه می‌داند؛ زیرا این نتیجه، براساس این پیش‌فرض است که اگر دو چیز در پاره‌ای از وجوه اشتراک داشتند، حتماً یک چیزند و یا یکی نماد دیگری است، پر واضح است که این پیش‌فرض باطل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دیگر این است که دورکیم، به غیرواقعی بودن عنصر ماورایی و فوق طبیعی اعتراف می‌کند و انتظاراتی دربارۀ دینِ خرافی و وهمی قائل است؛ ولی این نظریه، توان پاسخ به این پرسش را ندارد که با حذف عنصر فوق طبیعی و ماورایی از</w:t>
      </w:r>
    </w:p>
    <w:p>
      <w:pPr>
        <w:pStyle w:val="BookText"/>
        <w:rPr/>
      </w:pPr>
      <w:r>
        <w:rPr>
          <w:rFonts w:ascii="IRNazanin" w:hAnsi="IRNazanin" w:eastAsia="IRNazanin"/>
          <w:color w:val="111111"/>
          <w:sz w:val="28"/>
          <w:sz w:val="28"/>
          <w:szCs w:val="28"/>
          <w:rtl w:val="true"/>
          <w:lang w:bidi="fa-IR"/>
        </w:rPr>
        <w:t xml:space="preserve">دین، آیا می‌توان واقعیتی برای دین تصور کرد؟ آیا با نفی واقعیت دین می‌توان منافع جامعه‌شناختی دین را پذیرفت؟ و اصولاً این فریب حیرت‌انگیز چگونه توانسته است در سراسر تاریخ ادامه یابد؟ به‌هرحال، شناخت دورکیم از دین، مستلزم نفی هرگونه انتظار از دین است و وی فقط انتظارات خود از جامعه را به نام دین نسبت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خسروپناه،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 مبنایی دیگری که به دورکیم وارد است، این است که وی معتقد بود که مردم درحقیقت جامعه را می‌پرستند و آن را تقدیس می‌نمایند؛ حال آنکه اولاً سؤال این است وی تقدس جامعه را از چه راهی به‌دست آورده است؟ زیرا او ملاکی برای تقدس جامعه ارائه نمی‌دهد، دوماً جامعه امری اعتباری و غیرحقیقی است و چیزی جدای از افراد تشکیل‌دهندۀ آن نیست؛ پس چگونه می‌توان برای چنین امر اعتباری، تقدس قائل شد؟ آیا تقدس جامعه همچون خود جامعه امری اعتباری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و خواص،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bookmarkStart w:id="189" w:name="pg5444_51479"/>
    </w:p>
    <w:p>
      <w:pPr>
        <w:pStyle w:val="Heading3"/>
        <w:numPr>
          <w:ilvl w:val="2"/>
          <w:numId w:val="1"/>
        </w:numPr>
        <w:rPr/>
      </w:pPr>
      <w:bookmarkStart w:id="190" w:name="__RefHeading___Toc1903071_581953129"/>
      <w:bookmarkStart w:id="191" w:name="_Toc71"/>
      <w:bookmarkEnd w:id="189"/>
      <w:bookmarkEnd w:id="190"/>
      <w:r>
        <w:rPr>
          <w:rtl w:val="true"/>
        </w:rPr>
        <w:t>نتیجه</w:t>
      </w:r>
      <w:bookmarkEnd w:id="1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همۀ دیدگاه‌های یادشده، رویکردشان نسبت به دین و منشأ آن مادی‌گرایانه بوده؛ ازاین‌رو جزء دیدگاه‌های الحادی به‌حساب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مهم‌ترین نقد بر این دیدگاه‌ها، نقد روش‌شناختی است؛ بدین‌معنا که در مقام نظریه‌پردازی شایسته است که صاحب نظریه با استفاده از استدلال‌های محکم عقلی، نقلی و یا تجربی، نظریۀ خویش را ارائه نماید، حال آنکه در این دیدگاه‌ها از هیچ‌کدام از این روش‌ها استفاده نشده است و صرفاً با تخیل و خیال‌پردازی، اموری به‌عنوان عامل گرایش به دین معرفی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و شواهد تاریخی ارائه‌شده سند قطعی نداشته و دارای پیش‌فرض‌هایی است که قابل خدشه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دیدگاه‌های یادشده با استفاده از روش استقراءِ ناقص، درصدد ارائۀ حکم کلی بر آمده‌اند؛ درحالی‌که چنین استدلالی براساس علم منطق صحیح نمی‌باشد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 برخی از نظریه‌ها، بایستی با از بین رفتن منشأ گرایش به دین همچون امتیازات طبقاتی و جهل، مذهب و گرایش به آن از بین برود؛ درحالی‌که تجربه با این نظریات مخالفت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 دیدگاه‌های جامعه‌شناختی الحادی دربارۀ منشأ دین، از سوی اندیشمندان غربی نیز مورد خدشه واقع شده است</w:t>
      </w:r>
      <w:r>
        <w:rPr>
          <w:rFonts w:eastAsia="IRNazanin" w:cs="IRNazanin"/>
          <w:color w:val="111111"/>
          <w:sz w:val="28"/>
          <w:szCs w:val="28"/>
          <w:rtl w:val="true"/>
          <w:lang w:bidi="fa-IR"/>
        </w:rPr>
        <w:t xml:space="preserve">. </w:t>
      </w:r>
      <w:bookmarkStart w:id="192" w:name="pg5444_51480"/>
    </w:p>
    <w:p>
      <w:pPr>
        <w:pStyle w:val="Heading3"/>
        <w:numPr>
          <w:ilvl w:val="2"/>
          <w:numId w:val="1"/>
        </w:numPr>
        <w:rPr/>
      </w:pPr>
      <w:bookmarkStart w:id="193" w:name="__RefHeading___Toc1903073_581953129"/>
      <w:bookmarkStart w:id="194" w:name="_Toc72"/>
      <w:bookmarkEnd w:id="192"/>
      <w:bookmarkEnd w:id="193"/>
      <w:r>
        <w:rPr>
          <w:rtl w:val="true"/>
        </w:rPr>
        <w:t>فهرست منابع</w:t>
      </w:r>
      <w:bookmarkEnd w:id="194"/>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آرون، ریمون، مراحل اساسی اندیشه در جامعه‌شناسی، ترجمۀ باقر پرهام،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تنهایی، حسین، درآمدی بر مکاتب و نظریه‌های جامعه‌شناسی،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مرندیز،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توسلی، غلامحسین، نظریه‌های جامعه‌شناسی،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سمت،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سید‌اکبر و امیر خواص، منشأ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نقد دیدگاه‌ها،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اندیشه جوان،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خسروپناه، عبدالحسین، کلام نوین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و تربیت اسلامی،</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زیتلین، ایرونیگ، آینده بنیانگذار جامعه‌شناسی، ترجمۀ غلام‌عباس توسلی،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قومس،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صدر، سیدمحمدباقر، اقتصادنا،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1399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قائمی نیا، علیرضا، درآمدی بر منشأ دین،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معارف،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کاپلستون، فردریک چارلز، تاریخ فلسفه از بنتام تا راسل، ترجمۀ بهاءالدین خرمشاهی،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جامعه‌شناسی، ترجمۀ منوچهر صبوری،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گیدنز، آنتونی، دورکیم، ترجمۀ یوسف اباذری،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لوقا، انجیل، انجمن پخش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مجموعه آثار،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صدرا،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 ژان، مابعدالطبیعه، ترجمۀ یحیی مهدوی و همکاران،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خوارزمی،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همیلتون، ملکم، جامعه‌شناسی دین، ترجمۀ محسن ثلاثی،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انتشاراتی تبیان،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هیک، جان، فلسفۀ دین، ترجمۀ بهرام راد،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بین‌المللی الهدی،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bookmarkStart w:id="195" w:name="pg5444_51481"/>
    </w:p>
    <w:p>
      <w:pPr>
        <w:pStyle w:val="Heading2"/>
        <w:numPr>
          <w:ilvl w:val="1"/>
          <w:numId w:val="1"/>
        </w:numPr>
        <w:rPr/>
      </w:pPr>
      <w:bookmarkStart w:id="196" w:name="__RefHeading___Toc1903075_581953129"/>
      <w:bookmarkStart w:id="197" w:name="_Toc73"/>
      <w:bookmarkEnd w:id="195"/>
      <w:bookmarkEnd w:id="196"/>
      <w:r>
        <w:rPr>
          <w:rtl w:val="true"/>
        </w:rPr>
        <w:t xml:space="preserve">نگاهی انتقادی به وجوب پرداخت مکرر خمس اموال </w:t>
      </w:r>
      <w:r>
        <w:rPr>
          <w:rtl w:val="true"/>
        </w:rPr>
        <w:t xml:space="preserve">/ </w:t>
      </w:r>
      <w:r>
        <w:rPr>
          <w:rtl w:val="true"/>
        </w:rPr>
        <w:t>سیدمصطفی سجادی</w:t>
      </w:r>
      <w:bookmarkEnd w:id="197"/>
    </w:p>
    <w:p>
      <w:pPr>
        <w:pStyle w:val="Heading3"/>
        <w:numPr>
          <w:ilvl w:val="2"/>
          <w:numId w:val="1"/>
        </w:numPr>
        <w:rPr/>
      </w:pPr>
      <w:bookmarkStart w:id="198" w:name="__RefHeading___Toc1903077_581953129"/>
      <w:bookmarkStart w:id="199" w:name="_Toc74"/>
      <w:bookmarkEnd w:id="198"/>
      <w:r>
        <w:rPr>
          <w:rtl w:val="true"/>
        </w:rPr>
        <w:t>اشاره</w:t>
      </w:r>
      <w:bookmarkEnd w:id="199"/>
    </w:p>
    <w:p>
      <w:pPr>
        <w:pStyle w:val="BookText"/>
        <w:rPr/>
      </w:pPr>
      <w:r>
        <w:rPr>
          <w:rFonts w:ascii="IRNazanin" w:hAnsi="IRNazanin" w:eastAsia="IRNazanin"/>
          <w:color w:val="111111"/>
          <w:sz w:val="28"/>
          <w:sz w:val="28"/>
          <w:szCs w:val="28"/>
          <w:rtl w:val="true"/>
          <w:lang w:bidi="fa-IR"/>
        </w:rPr>
        <w:t>سیدمصطفی سجادی</w:t>
      </w:r>
      <w:r>
        <w:rPr>
          <w:rStyle w:val="FootnoteAnchor"/>
          <w:rtl w:val="true"/>
        </w:rPr>
        <w:footnoteReference w:id="45"/>
      </w:r>
    </w:p>
    <w:p>
      <w:pPr>
        <w:pStyle w:val="Heading3"/>
        <w:numPr>
          <w:ilvl w:val="2"/>
          <w:numId w:val="1"/>
        </w:numPr>
        <w:rPr/>
      </w:pPr>
      <w:bookmarkStart w:id="200" w:name="__RefHeading___Toc1903079_581953129"/>
      <w:bookmarkStart w:id="201" w:name="_Toc75"/>
      <w:bookmarkEnd w:id="200"/>
      <w:r>
        <w:rPr>
          <w:rtl w:val="true"/>
        </w:rPr>
        <w:t>چکیده</w:t>
      </w:r>
      <w:bookmarkEnd w:id="201"/>
    </w:p>
    <w:p>
      <w:pPr>
        <w:pStyle w:val="BookText"/>
        <w:rPr/>
      </w:pPr>
      <w:r>
        <w:rPr>
          <w:rFonts w:ascii="IRNazanin" w:hAnsi="IRNazanin" w:eastAsia="IRNazanin"/>
          <w:color w:val="111111"/>
          <w:sz w:val="28"/>
          <w:sz w:val="28"/>
          <w:szCs w:val="28"/>
          <w:rtl w:val="true"/>
          <w:lang w:bidi="fa-IR"/>
        </w:rPr>
        <w:t>نوشتار حاضر به بررسی دلائل فقهی عدم وجوب پرداخت مکرر خمس اموال و دارایی‌ها می‌پردازد و این نتیجه به‌دست می‌آید که از منظر فقه، پرداخت دوبارۀ خمس مالی که یکبار خمس آن پرداخت شده، واجب نیست و خمس به این مال، تعلق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گزارۀ فقهی چندین دلیل وجود دارد؛ ازجمله اینکه این فتوا طبق برخی روایات صحیح بوده و سیرۀ متشرعه نیز آن را تأیید می‌کند و نیز از مسلمات ادوار فقه می‌باشد و در کتاب‌های فقهی از شهرت زیادی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نظر مشهور فقهی، برخی بر این باورند که اسلام برای مقابله با ثروت‌اندوزی و نیز ایجاد برکت در اموال به‌وسیله گردش مالی با پرداخت خمس، قائل به لزوم پرداخت مکرر خمس اموالی است که حتی در گذشته خمس آن پرداخت شده است و بیان می‌کنند که تحریف بزرگی از سوی فقها ایجاد شده که منجر به عدم پرداخت خمس مکرر چنین اموالی از سوی مردم شده است؛ این رأی، به‌صورت علمی و مستدل مورد نقد و بررسی قرار گرفته و در نهایت، دیدگاه مشهور فقها مورد پذیرش قرار می‌گیرد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اموال، ثروت‌اندوزی، پرداخت مکرر خمس، تخمیس‌مخمس، سال خمسی، کنز</w:t>
      </w:r>
      <w:r>
        <w:rPr>
          <w:rFonts w:eastAsia="IRNazanin" w:cs="IRNazanin"/>
          <w:color w:val="111111"/>
          <w:sz w:val="28"/>
          <w:szCs w:val="28"/>
          <w:rtl w:val="true"/>
          <w:lang w:bidi="fa-IR"/>
        </w:rPr>
        <w:t xml:space="preserve">. </w:t>
      </w:r>
      <w:bookmarkStart w:id="202" w:name="pg5444_51482"/>
    </w:p>
    <w:p>
      <w:pPr>
        <w:pStyle w:val="Heading3"/>
        <w:numPr>
          <w:ilvl w:val="2"/>
          <w:numId w:val="1"/>
        </w:numPr>
        <w:rPr/>
      </w:pPr>
      <w:bookmarkStart w:id="203" w:name="__RefHeading___Toc1903081_581953129"/>
      <w:bookmarkStart w:id="204" w:name="_Toc76"/>
      <w:bookmarkEnd w:id="202"/>
      <w:bookmarkEnd w:id="203"/>
      <w:r>
        <w:rPr>
          <w:rtl w:val="true"/>
        </w:rPr>
        <w:t>مقدمه</w:t>
      </w:r>
      <w:bookmarkEnd w:id="2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فهم و نیز فهم عالمانه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اصطلاح در ابتدا برای همة علوم دینی استفاده می‌شد، اما به‌تدریج به علم به احکام شرعی اختصاص یافت و در کتاب‌های فقهی به چنین تعریفی شهرت یافت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علم به احکام شرعی فرعی با استناد به دلائل تفصیلی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سنت، اجماع، عقل</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احسایی،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کسی گفته می‌شود که از توانایی کافی و پایدار برای به‌دست آوردن احکام شرعی از منابع اصلی برخوردار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منظر لغت به یک پنجم هر چیز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فقهی، حقی مالی است که برای خدا و رسولش و ائمه علیهم السلام و بنی‌هاشم در مال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دستور مستقیم شارع مقدس و نه به‌واسطه وقف و نذر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می‌گردد</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مکارم شیرازی،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دانشی ازجمله علم فقه، علوم تخصصی وجود دارد که حتی همه افرادی که با آن دانش آشنایی و سروکار دارند، دسترسی کاملی بدان نداشته و قادر به اظهار‌نظر دقیق و محکمی دربارۀ آن نیستند؛ در‌این‌میان علم فقه، ویژگی دیگری نیز دارد که مسئله را مشکل‌تر می‌کند و آن تلاش فقه برای کشف حکم الهی و انتساب دیدگاه‌های فقیه به خداوند است که این موضوع باعث احتیاط بیشتر فقیه در اظهارنظر و دقت‌عمل بیشتر وی در مقام بیان فتوا می‌شود؛ بنابراین علم فقه، دانشی است که شناخت کامل‌تر زوایای آن باید با تلاش مضاعفی و بیش از علوم دیگر همراه باشد که عموم مردم و حتی خواص آشنا به این علم از انجام آن عاجزند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بزرگان برای بیان سختی و دشواری اجتهاد فقهی بر این باورند که اجتهاد در یک مسئلۀ فقهی مانند این است که نخ و سوزنی به نابینایی دهند تا سوزن را نخ کند؛ یعنی اظهارنظر اجتهادی حتی در یک مسئله کوچک فقهی، سخت و گاه طاقت فرساست؛ چه رسد به اجتهاد در حد مرجعیت که مجتهد باید نسبت به بسیاری از مسائل فقهی، بالفعل اظهارنظر کند و فتوا دهد تا دیگران بتوانند از او تقلید کنند؛ </w:t>
      </w:r>
      <w:bookmarkStart w:id="205" w:name="pg5444_51483"/>
    </w:p>
    <w:p>
      <w:pPr>
        <w:pStyle w:val="BookText"/>
        <w:rPr/>
      </w:pPr>
      <w:bookmarkEnd w:id="205"/>
      <w:r>
        <w:rPr>
          <w:rFonts w:ascii="IRNazanin" w:hAnsi="IRNazanin" w:eastAsia="IRNazanin"/>
          <w:color w:val="111111"/>
          <w:sz w:val="28"/>
          <w:sz w:val="28"/>
          <w:szCs w:val="28"/>
          <w:rtl w:val="true"/>
          <w:lang w:bidi="fa-IR"/>
        </w:rPr>
        <w:t>علاوه‌بر‌این، دشواری اجتهاد در باب خمس از برخی جهات بیشتر است؛ چراکه اگر کسی بدون توانایی لازم در اجتهاد باب خمس و بدون علم، اظهارنظر علمی و فتوا دهد؛ چه‌بسا ضامن افرادی شود که بر اثر این فتوای نابه‌جا، مال خود را به‌عنوان خمس پرداخته‌اند؛ درحالی‌که پرداخت آن بر آنها واجب نبوده است و یا مالی را که سهم امام یا سهم سادات بوده به مصرف رسانده‌اند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به‌هر‌حال برای اجتهاد، به علوم متعددی نیاز است که فقیه نه تنها باید از دانش عمومی و لازم در این علوم برخوردار باشد تا بتواند در عرصۀ اجتهاد گام نهد؛ بلکه باید در هر علمی که با اجتهاد مرتبط است، آشنا بوده و صاحب‌نظر باشد تا بتواند بدون هیچ‌گونه تردیدی و با اطمینان قلبی از دانشی که آموخته در استنباط احکام شرعی استفاده نماید؛ ازجمله این دانش‌ها، آشنایی با ادبیات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 و نحو و معانی بیان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عرفی زمان معصوم علیه‌السلام، منطق، اصول‌فقه،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راویان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تفسیر و علوم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مسئلة پرداخت مکرر خمس اموال طرح شده و از نظر فقهی کاملاً بررسی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درهمین‌راستا دیدگاه دیگری را مطرح می‌کنند و بر این باورند که اسلام برای مقابله با ثروت‌اندوزی و نیز ایجاد برکت در اموال به‌وسیله گردش مالی با پرداخت خمس، قائل به لزوم پرداخت مکرر خمس اموالی است که حتی در گذشته خمس آن پرداخت شده است و بیان می‌کنند که تحریف بزرگی از سوی فقها ایجاد شده که منجر به عدم پرداخت خمس مکرر چنین اموالی از سوی مردم شده است؛ این رأی، به‌صورت علمی و مستدل مورد نقد و بررسی قرار می‌گیرد و پذیرفته نمی‌شود</w:t>
      </w:r>
      <w:r>
        <w:rPr>
          <w:rFonts w:eastAsia="IRNazanin" w:cs="IRNazanin"/>
          <w:color w:val="111111"/>
          <w:sz w:val="28"/>
          <w:szCs w:val="28"/>
          <w:rtl w:val="true"/>
          <w:lang w:bidi="fa-IR"/>
        </w:rPr>
        <w:t>.</w:t>
      </w:r>
    </w:p>
    <w:p>
      <w:pPr>
        <w:pStyle w:val="Heading3"/>
        <w:numPr>
          <w:ilvl w:val="2"/>
          <w:numId w:val="1"/>
        </w:numPr>
        <w:rPr/>
      </w:pPr>
      <w:bookmarkStart w:id="206" w:name="__RefHeading___Toc1903083_581953129"/>
      <w:bookmarkStart w:id="207" w:name="_Toc77"/>
      <w:bookmarkEnd w:id="206"/>
      <w:r>
        <w:rPr>
          <w:rtl w:val="true"/>
        </w:rPr>
        <w:t>عدم وجوب پرداخت مکرر خمس</w:t>
      </w:r>
      <w:bookmarkEnd w:id="207"/>
    </w:p>
    <w:p>
      <w:pPr>
        <w:pStyle w:val="BookText"/>
        <w:rPr/>
      </w:pPr>
      <w:r>
        <w:rPr>
          <w:rFonts w:ascii="IRNazanin" w:hAnsi="IRNazanin" w:eastAsia="IRNazanin"/>
          <w:color w:val="111111"/>
          <w:sz w:val="28"/>
          <w:sz w:val="28"/>
          <w:szCs w:val="28"/>
          <w:rtl w:val="true"/>
          <w:lang w:bidi="fa-IR"/>
        </w:rPr>
        <w:t>فقها در باب خمس همانند دیگر ابواب فقهی، با استفاده از منابع استنباط حکم همچون قرآن و روایات اهل‌بیت علیهم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کوشیده‌اند تا احکام شرعی خمس را به‌دست آورده و در قالب یک نظام فقهی منسجم برای اجرای احکام خمس ارائه دهند که این نظام، در رساله‌های عملیه بیان شده است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ازجمله این احکام، حکم عدم محاسبه خمس اموالی است که یکبار خمس آن </w:t>
      </w:r>
      <w:bookmarkStart w:id="208" w:name="pg5444_51484"/>
    </w:p>
    <w:p>
      <w:pPr>
        <w:pStyle w:val="BookText"/>
        <w:rPr/>
      </w:pPr>
      <w:bookmarkEnd w:id="208"/>
      <w:r>
        <w:rPr>
          <w:rFonts w:ascii="IRNazanin" w:hAnsi="IRNazanin" w:eastAsia="IRNazanin"/>
          <w:color w:val="111111"/>
          <w:sz w:val="28"/>
          <w:sz w:val="28"/>
          <w:szCs w:val="28"/>
          <w:rtl w:val="true"/>
          <w:lang w:bidi="fa-IR"/>
        </w:rPr>
        <w:t xml:space="preserve">پرداخت شده است که با عبارت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المخمّس لا یخمّس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می‌شود و آن بدین‌معناست که اگر خمس مالی از عین همان مال یا از مال دیگری که خمسش داده شده یا به آن تعلق نگرفته، پرداخت شود، با رسیدن سال خمسی جدید، پرداخت دوبارۀ خمس آن ثابت و واجب نیست</w:t>
      </w:r>
      <w:r>
        <w:rPr>
          <w:rFonts w:eastAsia="IRNazanin" w:cs="IRNazanin"/>
          <w:color w:val="111111"/>
          <w:sz w:val="28"/>
          <w:szCs w:val="28"/>
          <w:rtl w:val="true"/>
          <w:lang w:bidi="fa-IR"/>
        </w:rPr>
        <w:t>.</w:t>
      </w:r>
      <w:r>
        <w:rPr>
          <w:rStyle w:val="FootnoteAnchor"/>
          <w:rtl w:val="true"/>
        </w:rPr>
        <w:footnoteReference w:id="4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سیستانی،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همان‌طورکه فقیه برای بیان حرمت چیزی یا عملی نیازمند دلیل است و باید دلیلی برای نهی شارع مقدس از انجام آن کار بیاورد، برای فتوا به وجوب نیز باید دلیل محکمی داشته باشد تا بتواند حکم الزامی را به‌عنوان حکم شرع به خداوند نسبت دهد و در قالب فتوا بیان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براساس ادلۀ شرعی ازجمله آیات و روایات متعددی که اصل برائت از تکلیف را ثابت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غروی نائینی،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جایی دلیل برای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حرام، چه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 اصل برائت از تکلیف جاری می‌شود و مجتهد نمی‌توانند حکمی صادر کند و یا در مقام عمل به آن استناد نماید؛ بنابراین تا دلیل برای حکمی وجود نداشته باشد، فقیه نمی‌تواند حتی حکم به ترجیح شرعی و استحباب آن بدهد چه رسد به حکم به وجوب که قطعاً از حساسیت بیشتری برخوردار است</w:t>
      </w:r>
      <w:r>
        <w:rPr>
          <w:rFonts w:eastAsia="IRNazanin" w:cs="IRNazanin"/>
          <w:color w:val="111111"/>
          <w:sz w:val="28"/>
          <w:szCs w:val="28"/>
          <w:rtl w:val="true"/>
          <w:lang w:bidi="fa-IR"/>
        </w:rPr>
        <w:t>.</w:t>
      </w:r>
    </w:p>
    <w:p>
      <w:pPr>
        <w:pStyle w:val="Heading3"/>
        <w:numPr>
          <w:ilvl w:val="2"/>
          <w:numId w:val="1"/>
        </w:numPr>
        <w:rPr/>
      </w:pPr>
      <w:bookmarkStart w:id="209" w:name="__RefHeading___Toc1903085_581953129"/>
      <w:bookmarkStart w:id="210" w:name="_Toc78"/>
      <w:bookmarkEnd w:id="209"/>
      <w:r>
        <w:rPr>
          <w:rtl w:val="true"/>
        </w:rPr>
        <w:t>دلائل اثبات حکم</w:t>
      </w:r>
      <w:bookmarkEnd w:id="210"/>
    </w:p>
    <w:p>
      <w:pPr>
        <w:pStyle w:val="BookText"/>
        <w:rPr/>
      </w:pPr>
      <w:r>
        <w:rPr>
          <w:rFonts w:ascii="IRNazanin" w:hAnsi="IRNazanin" w:eastAsia="IRNazanin"/>
          <w:color w:val="111111"/>
          <w:sz w:val="28"/>
          <w:sz w:val="28"/>
          <w:szCs w:val="28"/>
          <w:rtl w:val="true"/>
          <w:lang w:bidi="fa-IR"/>
        </w:rPr>
        <w:t>فقها به چند دلیل قائل به محاسبۀ دوبارۀ خمس مالی که خمس آن در گذشته پرداخت شده، نشده‌اند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وجود اینکه بسیاری از احکام خمس، فروعات و جزئیات آن در روایات آمده است، اما در هیچ آیه و روایتی برای محاسبۀ دوبارۀ مال مخمّس، دستور و حتی توصیه‌ای نشده است و اهل‌بیت علیهم السلام سخنی را که بتوان از آن وجوب یا استحباب این کار را فهمید، بیان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متشرعه از زمان اهل‌بیت علیهم السلام تاکنون که بعد از تشریع احکام خمس به آن عمل می‌کرده‌اند، سابقه‌ای برای این کار وجود ندارد و این نشان می‌دهد که اگر محاسبۀ دوبارۀ خمس مال مخمّس لازم بود، حتماً مسلمانان دوران گذشته خصوصاً در دوران حضور اهل‌بیت علیهم السلام به آن عمل می‌کردند و نشانه‌هایی از عمل آنان به ما نیز </w:t>
      </w:r>
    </w:p>
    <w:p>
      <w:pPr>
        <w:pStyle w:val="BookText"/>
        <w:rPr/>
      </w:pPr>
      <w:r>
        <w:rPr>
          <w:rFonts w:ascii="IRNazanin" w:hAnsi="IRNazanin" w:eastAsia="IRNazanin"/>
          <w:color w:val="111111"/>
          <w:sz w:val="28"/>
          <w:sz w:val="28"/>
          <w:szCs w:val="28"/>
          <w:rtl w:val="true"/>
          <w:lang w:bidi="fa-IR"/>
        </w:rPr>
        <w:t>می‌رسید؛ حال آنکه چنین چیزی گزارش نشده است؛ بنابراین این کار اساساً واجب نبوده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زیادی آمده است که خمس به منفعت تعلق می‌گیرد؛ به‌عنوان نمونه در حدیث صحیح آمده است که سماعه می‌گوید از امام‌کاظم علیه السلام دربارۀ خمس پرسیدم؛ حضرت فرمودند که خمس به هر منفعتی که به‌دست مردم برسد، تعلق می‌گیرد چه کوچک و چه بزرگ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ازسوی‌دیگر، در روایات صحیح دیگری نیز سررسید محاسبۀ خمس به‌صورت سالیانه بیان شده و فقها بدان فتوا داده‌اند</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طوسی،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دو دسته از روایات اگر مالی یکبار منفعت محسوب شده و یک پنجم آن سر سال به‌عنوان خمس پرداخت شود بار دیگر به چهار پنجم باقیمانده آن در سال جدید، منفعت گفته نمی‌شود تا روایات یادشده شامل آن شود و پرداخت خمس آن واجب گردد؛ چراکه عرف تنها به مال جدید به‌دست آمده، منفعت می‌گوید نه مالی که قبلا آن را منفعت خوانده و محاسبۀ خمس آن نیز شده است؛ پس محاسبۀ دوبارۀ خمس مالی که یکبار خمس آن پرداخت شده، واجب نخواهد بود</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اگر فقیهی در این مسئله تردید نماید؛ یعنی شک کند که آیا در سال جدید به همان مال سال گذشته، منفعت گفته می‌شود یا نه، اصل برائت از تکلیف جاری می‌شود و لزومِ تکلیفی پرداخت خمس، ثابت نخواهد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تعلق خمس به مال مخمّس از مسلمات فقهی باب خمس بوده و هیچ فقیهی با آن مخالفت نکرده و قائل به محاسبۀ سالیانه مال مخمّس در صورت بقای آن نشده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به‌عنوان نمونه، مرحوم شهیدثانی در کتاب مسالک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شهیدثانی،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مرحوم صاحب‌جواهر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نجفی،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لزوم پرداخت خمس اصل مالی که از سال گذشته و پس از پرداخت خمس آن باقی مانده، اشاره‌ای نکرده‌اند و تنها به استناد نظرات فقهای دیگر، به بیان خمس مقدار زیادشده از مال باقیمانده بسنده کرده‌اند</w:t>
      </w:r>
      <w:r>
        <w:rPr>
          <w:rFonts w:eastAsia="IRNazanin" w:cs="IRNazanin"/>
          <w:color w:val="111111"/>
          <w:sz w:val="28"/>
          <w:szCs w:val="28"/>
          <w:rtl w:val="true"/>
          <w:lang w:bidi="fa-IR"/>
        </w:rPr>
        <w:t xml:space="preserve">. </w:t>
      </w:r>
      <w:bookmarkStart w:id="211" w:name="pg5444_51486"/>
    </w:p>
    <w:p>
      <w:pPr>
        <w:pStyle w:val="BookText"/>
        <w:rPr/>
      </w:pPr>
      <w:bookmarkEnd w:id="211"/>
      <w:r>
        <w:rPr>
          <w:rFonts w:ascii="IRNazanin" w:hAnsi="IRNazanin" w:eastAsia="IRNazanin"/>
          <w:color w:val="111111"/>
          <w:sz w:val="28"/>
          <w:sz w:val="28"/>
          <w:szCs w:val="28"/>
          <w:rtl w:val="true"/>
          <w:lang w:bidi="fa-IR"/>
        </w:rPr>
        <w:t>علاوه‌بر‌این، تأیید فقها و حاشیه نزدن بر چنین مسئله‌ای که در کتاب‌های فقهی همچون عروة‌الوثقی که محل نقد و نظر علما و فقهاست، نشان از این اتفاق‌نظر و اجماع فقها 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بنابراین از نظر فقهی، مستندی برای چنین حکمی وجود ندارد تا فقها بتوانند براساس آن، محاسبۀ دوبارۀ خمس مال مخمّس را لازم بدانند و بدان فتوا دهند؛ در نتیجه، آنان محاسبۀ یکبارۀ خمس را در هر سال خمسی همان‌طور‌که در روایات آمده است، کافی دانسته و تنها به پرداخت یکبارۀ آن فتوا داده‌اند</w:t>
      </w:r>
      <w:r>
        <w:rPr>
          <w:rFonts w:eastAsia="IRNazanin" w:cs="IRNazanin"/>
          <w:color w:val="111111"/>
          <w:sz w:val="28"/>
          <w:szCs w:val="28"/>
          <w:rtl w:val="true"/>
          <w:lang w:bidi="fa-IR"/>
        </w:rPr>
        <w:t>.</w:t>
      </w:r>
    </w:p>
    <w:p>
      <w:pPr>
        <w:pStyle w:val="Heading3"/>
        <w:numPr>
          <w:ilvl w:val="2"/>
          <w:numId w:val="1"/>
        </w:numPr>
        <w:rPr/>
      </w:pPr>
      <w:bookmarkStart w:id="212" w:name="__RefHeading___Toc1903087_581953129"/>
      <w:bookmarkStart w:id="213" w:name="_Toc79"/>
      <w:bookmarkEnd w:id="212"/>
      <w:r>
        <w:rPr>
          <w:rtl w:val="true"/>
        </w:rPr>
        <w:t>دلائل مخالفان و رد آن</w:t>
      </w:r>
      <w:bookmarkEnd w:id="213"/>
    </w:p>
    <w:p>
      <w:pPr>
        <w:pStyle w:val="BookText"/>
        <w:rPr/>
      </w:pPr>
      <w:r>
        <w:rPr>
          <w:rFonts w:ascii="IRNazanin" w:hAnsi="IRNazanin" w:eastAsia="IRNazanin"/>
          <w:color w:val="111111"/>
          <w:sz w:val="28"/>
          <w:sz w:val="28"/>
          <w:szCs w:val="28"/>
          <w:rtl w:val="true"/>
          <w:lang w:bidi="fa-IR"/>
        </w:rPr>
        <w:t>برخی برای اثبات حکم لزوم محاسبۀ دوبارۀ مال مخمّس به دلائل زیر متوسل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فقها برای اموال فقط یکبار اعطای خمس را واجب می‌دانند از دلیل معتبر برخوردار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اهداف بارز و آشکار خمس در دین اسلام جلوگیری از ثروت‌اندوزی است؛ حال آنکه در حکم فعلی خمس، هرکس می‌تواند چهار پنجم از مالش را تا هر زمانی که بخواهد برای خود ذخیره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و بررسی</w:t>
      </w:r>
    </w:p>
    <w:p>
      <w:pPr>
        <w:pStyle w:val="BookText"/>
        <w:rPr/>
      </w:pPr>
      <w:r>
        <w:rPr>
          <w:rFonts w:ascii="IRNazanin" w:hAnsi="IRNazanin" w:eastAsia="IRNazanin"/>
          <w:color w:val="111111"/>
          <w:sz w:val="28"/>
          <w:sz w:val="28"/>
          <w:szCs w:val="28"/>
          <w:rtl w:val="true"/>
          <w:lang w:bidi="fa-IR"/>
        </w:rPr>
        <w:t>این دلائل نمی‌تواند حکم لزوم تعلق دوبارۀ خمس به مال مخمّس را ثابت کند؛ چراکه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دلائل بیان‌شده از نظر فقهی اعتباری ندارد و نمی‌تواند منبع و منشأ حکم شرعی که قرار است به‌عنوان حکم خداوند به مردم اعلام شود،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مفاهیم مورد قبول جامعه مانند قبح ثروت‌اندوزی، از نظر دینی کاربرد مستقیمی در اثبات حکم شرعی و بیان دیدگاه خداوند متعال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تعیین سال خمسی و پرداخت هر ساله خمس درآمد اضافی به جای پرداخت یکجای چند ساله آن، دارای فوائد و اهدافی است؛ ازجمله همان فایده‌ای که مدنظر مخالفان بوده؛ یعنی جلوگیری از ثروت‌اندوزی و ایجاد سریع‌تر گردش مالی مفید در جامعه و رساندن به‌موقع اموال به محل مصرفی که شارع مقدس تعیین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تأمین مالی مواردِ مصرف خمس بهتر صورت می‌گیرد، چون در مقام عمل، </w:t>
      </w:r>
    </w:p>
    <w:p>
      <w:pPr>
        <w:pStyle w:val="BookText"/>
        <w:rPr/>
      </w:pPr>
      <w:r>
        <w:rPr>
          <w:rFonts w:ascii="IRNazanin" w:hAnsi="IRNazanin" w:eastAsia="IRNazanin"/>
          <w:color w:val="111111"/>
          <w:sz w:val="28"/>
          <w:sz w:val="28"/>
          <w:szCs w:val="28"/>
          <w:rtl w:val="true"/>
          <w:lang w:bidi="fa-IR"/>
        </w:rPr>
        <w:t>درآمدی که به‌عنوان خمس به صورت سالیانه دریافت می‌شود درآمدی فعلی، مطمئن و بیشتر از درآمد چند ساله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باید توجه داشت که بنابر نظر بسیاری از فقها اگر کسی بعد از گذشت سرسال خمسی، خمس مال خود را پرداخت نکند، نمی‌تواند در آن تصرف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 آنکه در کجا آمده است که هدف بارز خمس مبارزه با ثروت‌اندوزی است تا بتوان از آن، حکم لزوم تخمیس مال مخمّس را نتیجه گرفت؛ بلکه یکی از اهداف مهم خمس علاوه بر تأمین فقرا و توزیع ثروت، تعیین درآمدی برای حاکم اسلامی برای تأمین هزینه‌های زیاد حکومت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رحمة الله دراین‌باره می‌فرمایند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مالیات‌هایی که اسلام مقرر داشته است و طرح بودجه‌ای که ریخته، نشان می‌دهد که تنها برای سد رمق فقرا و سادات فقیر نیست، بلکه برای تشکیل حکومت و تأمین مخارج ضروری یک دولت بزرگ است؛ مثلا خمس یکی از درآمدهای هنگفتی است که به بیت‌المال می‌ریزد و یکی از اقلام بودجۀ دولت اسلامی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مذهب شیعه، از تمام منابع کشاورزی، تجارت، منابع زیرزمینی و روزمینی و به‌طور‌کلی از کلیه منافع و عواید، به طرز عادلانه‌ای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درآمدی با این عظمت، برای ادارۀ کشور اسلامی و رفع همۀ احتیاجات مالی آن جعل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موسوی‌خمینی،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ناگفته نماند که حکومتی بودن قسمتی از مصارف خمس بدین‌معنا نیست که دست حاکم اسلامی برای هر نوع تغییری در دریافت خمس برای چنین مصارفی باز باشد و بتواند برفرض مثال به لزوم پرداخت خمس باقیماندۀ مال مخمّس نیز فتوا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در مواردی هم که می‌بینیم تغییر رویه‌ای در خمس در زمان اهل‌بیت علیهم السلام خصوصاَ از زمان امام‌صادق و امام‌باقر‘ ایجاد شده است را نمی‌توان ضرورتاً به‌معنای جعل حکومتی مبالغی از خمس فرض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به‌عنوان خمس ارباح مکاسب تا آن زمان دریافت نمی‌شده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جواز تصرفات و تغییرات حاکم اسلامی</w:t>
      </w:r>
      <w:r>
        <w:rPr>
          <w:rStyle w:val="FootnoteAnchor"/>
          <w:rtl w:val="true"/>
        </w:rPr>
        <w:footnoteReference w:id="52"/>
      </w:r>
      <w:r>
        <w:rPr>
          <w:rFonts w:ascii="IRNazanin" w:hAnsi="IRNazanin" w:eastAsia="IRNazanin"/>
          <w:color w:val="111111"/>
          <w:sz w:val="28"/>
          <w:sz w:val="28"/>
          <w:szCs w:val="28"/>
          <w:rtl w:val="true"/>
          <w:lang w:bidi="fa-IR"/>
        </w:rPr>
        <w:t xml:space="preserve">در شیوه دریافت خمس را بتوان از آن نتیجه گرفت، بلکه ممکن است این جعل در زمان پیامبر </w:t>
      </w:r>
    </w:p>
    <w:p>
      <w:pPr>
        <w:pStyle w:val="BookText"/>
        <w:rPr/>
      </w:pPr>
      <w:r>
        <w:rPr>
          <w:rFonts w:ascii="IRNazanin" w:hAnsi="IRNazanin" w:eastAsia="IRNazanin"/>
          <w:color w:val="111111"/>
          <w:sz w:val="28"/>
          <w:sz w:val="28"/>
          <w:szCs w:val="28"/>
          <w:rtl w:val="true"/>
          <w:lang w:bidi="fa-IR"/>
        </w:rPr>
        <w:t>گرامی اسلام صلی الله علیه و آله صورت گرفته و به‌علت وجود نداشتن مقتضی، عمل به آن به زمان اهل‌بیت علیهم السلام واگذار شده باشد</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دوم آنکه خمس نه تنها به پس‌انداز، بلکه به درآمد اضافی سالیانه فرد، تعلق می‌گیرد؛ یعنی هرکسی مُجاز است در حد شأن خود از درآمد مصرف نماید و اگر چیزی از آن اضافه آمد خمس آن را بپردازد و فرق نمی‌کند که شخص درآمد اضافی را در حساب بانکی‌اش پس‌انداز کند، یا به‌عنوان کنز ذخیره کند و یا در چرخۀ اقتصادیِ تولید قرار دهد و افزایش سرمایه نماید؛ بنابراین فرض پایۀ این مدعا؛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پرداخت خمس مال مخمّس مساوی است با ثروت‌اندوزی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مقصود از ثروت‌اندوزی، کنار گذاشتن پول از چرخۀ اقتصادی است که در حال حاضر این مقوله به‌ندرت اتفاق می‌افتد؛ زیرا مردم پول خود را به‌ناچار در سیستم بانکی نگهداری می‌کنند که از راه‌های مختلف می‌تواند در گردش بیفتد و تولید ثروت نماید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اگر مقصود، افزایش ثروت افرادی است که هزینۀ کمتری در زندگی دارند این امر الزاماً به رکود اقتصادی نمی‌انجامد؛ زیرا ممکن است ثروتمندی مستقیماً وارد عرصۀ تولید شود و با به‌کارگیری نیروی کار و سرمایه، هر روز به تولید بیافزاید و از‌سوی‌دیگر سرمایۀ خویش را افزون نماید؛ این نوع ثروت‌اندوزی علاوه بر رونق تولید، نیروی کار بیشتری را به‌کار می‌گیرد و با افزایش تولید، قیمت‌ها هم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فرض سوّمی هم وجود دارد و آن این است که منظور از ثروت‌اندوزی، خرید سکه، طلا، دلار و امثال آن باشد که باید بررسی شود که آیا این موارد از لحاظ شرعی اشکال دارد یا خیر؟ آیا کنز بر این موارد صدق می‌کند؟ در صورت صدق عنوان کنز، آیا ذخیره‌سازی سکه، طلا، دلار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p>
    <w:p>
      <w:pPr>
        <w:pStyle w:val="BookText"/>
        <w:rPr/>
      </w:pPr>
      <w:r>
        <w:rPr>
          <w:rFonts w:ascii="IRNazanin" w:hAnsi="IRNazanin" w:eastAsia="IRNazanin"/>
          <w:color w:val="111111"/>
          <w:sz w:val="28"/>
          <w:sz w:val="28"/>
          <w:szCs w:val="28"/>
          <w:rtl w:val="true"/>
          <w:lang w:bidi="fa-IR"/>
        </w:rPr>
        <w:t>در پاسخ باید گفت که خداوند دربارۀ کنز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یکنِزُونَ الذَّهَبَ وَ الْفِضَّةَ وَ لاَ ینْفِقُونَهَا فِی سَبِیلِ اللَّهِ فَبَشِّرْهُمْ بِعَذَابٍ أَلِیمٍ</w:t>
      </w:r>
      <w:r>
        <w:rPr>
          <w:rFonts w:eastAsia="Amiri" w:cs="Amiri" w:ascii="Amiri" w:hAnsi="Amiri"/>
          <w:color w:val="111111"/>
          <w:sz w:val="28"/>
          <w:szCs w:val="28"/>
          <w:rtl w:val="true"/>
          <w:lang w:bidi="ar-SA"/>
        </w:rPr>
        <w:t>)).</w:t>
      </w:r>
      <w:r>
        <w:rPr>
          <w:rStyle w:val="FootnoteAnchor"/>
          <w:rtl w:val="true"/>
        </w:rPr>
        <w:footnoteReference w:id="5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کنز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ذخیره و پنهان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کردن طلا و نقره و خودداری از انفاق آن در راه خداوند را به‌شدت نهی کرده و ارتکاب این عمل را موجب عذاب شدید اخروی دانسته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آیه، حرمت کنز کردن هر مقدار طلا و نقره، حتی اندک و لزوم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با استناد به آیات کنز گفته‌اند این آیات بیانگر یک قاعدۀ اساسی برای اصلاح انگیزه‌های حاکم بر رفتارهای اقتصادی افراد در زمینۀ کسب مال و ثروت و جریان صحیح گردش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چگونگی تخصیص درآمد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این حکم، رویکرد تکاثری به انباشت ثروت که مستلزم اسراف، اتراف و بی‌توجهی به مصالح اجتماعی و نیاز تهیدستان باشد، محکوم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درصدد قرار گرفتن ثروت و درآمد در جریان فعالیت‌های اقتصادی و در راه‌های مورد رضایت خداوند اعم از تأمین هزینه‌های شخصی و تأمین مصالح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سرمایه‌گذاری برای تأمین مصالح فردی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اقتصاددانان مسلمان، بر حرمت کنز کردن پول، به نظرات فقها و برخی آیات قرآنی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کنز در اقتصاد و فقه دارای دو مفهوم متفاوت است و در این زمینه خَلط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فرهنگ‌های اصطلاحی علوم اقتصادی،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مفاهیمی چون ذخیره کردن وجه نقد و عدم سرمایه‌گذاری آن در امور تولیدی و تجاری، جمع کردن بیش از اندازۀ مورد احتیاج اموال یا پول و حفظ آن در حالت رکود و پس‌اندازی که به سرمایه‌گذاری تبدیل نگردد، استفاده شده است؛ براین‌اساس، کنز کردن به‌مانند نشت درآمد ملی محسوب می‌شود؛ زیرا پول را از گردش خارج می‌کند و از میزان درآمد می‌کاهد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هراندازه سهم بیشتری از درآمد به شکل پول، کنز شود، به همان میزان نیز از گردش پول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که به انگیزه تأمین مالی معاملات مربوط به کالاها و خدمات تولیدشده در دورۀ جاری نگهداری شود، کنز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به انگیزۀ بورس‌بازی نگهداری شود، کنز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اسلام به‌عنوان کنز تحریم شده، درحقیقت جمع‌آوری ثروتِ اضافه بر نیاز و بدون پرداخت حقوق الهی متعلق به آن است والا صِرف خارج کردن پول از گردش، حرام نیست و نیز نگهداری پول به انگیزه بورس‌بازی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جواز بورس‌بازی در چارچوب قوانین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مورد اتفاق مفسران و اصحاب حدیث است</w:t>
      </w:r>
      <w:r>
        <w:rPr>
          <w:rFonts w:eastAsia="IRNazanin" w:cs="IRNazanin"/>
          <w:color w:val="111111"/>
          <w:sz w:val="28"/>
          <w:szCs w:val="28"/>
          <w:rtl w:val="true"/>
          <w:lang w:bidi="fa-IR"/>
        </w:rPr>
        <w:t xml:space="preserve">. </w:t>
      </w:r>
      <w:bookmarkStart w:id="214" w:name="pg5444_51490"/>
    </w:p>
    <w:p>
      <w:pPr>
        <w:pStyle w:val="BookText"/>
        <w:rPr/>
      </w:pPr>
      <w:bookmarkEnd w:id="214"/>
      <w:r>
        <w:rPr>
          <w:rFonts w:ascii="IRNazanin" w:hAnsi="IRNazanin" w:eastAsia="IRNazanin"/>
          <w:color w:val="111111"/>
          <w:sz w:val="28"/>
          <w:sz w:val="28"/>
          <w:szCs w:val="28"/>
          <w:rtl w:val="true"/>
          <w:lang w:bidi="fa-IR"/>
        </w:rPr>
        <w:t>اگرچه اسلام بر طلا و نقره زکات واجب کرده است، ولی فلسفۀ تشریع زکات، جلوگیری از خروج پول از گردش معاملات نیست، بلکه فلسفۀ آن جلوگیری از انباشت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در حقیقت بخشی از درآمد اغنیا را به فقرا منتقل می‌کند و یکی از سیاست‌های توزیع ثروت است</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میرمعزی،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از ادله بیان‌شده مخالفان نمی‌توان از نظر فقهی حکم لزوم تخمیس مال مخمّس را اثبات کرد؛ بنابراین همان دیدگاه مشهور فقها در این مسئله مورد پذیرش قرار می‌گیرد</w:t>
      </w:r>
      <w:r>
        <w:rPr>
          <w:rFonts w:eastAsia="IRNazanin" w:cs="IRNazanin"/>
          <w:color w:val="111111"/>
          <w:sz w:val="28"/>
          <w:szCs w:val="28"/>
          <w:rtl w:val="true"/>
          <w:lang w:bidi="fa-IR"/>
        </w:rPr>
        <w:t>.</w:t>
      </w:r>
    </w:p>
    <w:p>
      <w:pPr>
        <w:pStyle w:val="Heading3"/>
        <w:numPr>
          <w:ilvl w:val="2"/>
          <w:numId w:val="1"/>
        </w:numPr>
        <w:rPr/>
      </w:pPr>
      <w:bookmarkStart w:id="215" w:name="__RefHeading___Toc1903089_581953129"/>
      <w:bookmarkStart w:id="216" w:name="_Toc80"/>
      <w:bookmarkEnd w:id="215"/>
      <w:r>
        <w:rPr>
          <w:rtl w:val="true"/>
        </w:rPr>
        <w:t>چند نکته پایانی</w:t>
      </w:r>
      <w:bookmarkEnd w:id="2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نما و زیاده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ابن‌منظور،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به معنای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حسینی‌زبیدی،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آن است که چیزی بیش از حدّ معمول منشأ فایده باشد، مال با برکت، عمر با برکت، زندگی با برکت، فرزندان با برکت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از نظر لغت، واژۀ برکت، تنها به گردش مالی محدود نمی‌شود؛ بلکه این واژه در موارد مختلفی کاربرد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خصوص مسائل فقهی باید بدانیم که فقهای بزرگ پس از دقت‌نظر ویژه و صرف زمان و بحث‌های متعدد اگر در مسئله‌ای به نتیجه رسیدند، دیدگاه خود را اعلام می‌دارند و در مرحلۀ اجتهاد و استنباط حکم نباید پیش‌داوری‌های خود را مطرح نموده و حکمی را بر آیات و روایات تحمیل کنند و طبق سلیقه خود عمل نمایند؛ بلکه موظف به اعلام نتیجه‌ای هستند که از آیات و روایات آن هم با رعایت اصول پذیرفته شده به‌دست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خداوند در آیۀ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سورۀ انفال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درآمد که به‌دست آوردید یک پنجم آن برای خدا و رسول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روایات اهل‌بیت علیهم السلام تنها فرصت یکساله‌ای را تعیین نموده که لازم نیست فوراً خمس درآمد پرداخت شود؛ بلکه بعد از گذشت سال و صرف هزینه‌های ضروری و مورد نیاز، </w:t>
      </w:r>
    </w:p>
    <w:p>
      <w:pPr>
        <w:pStyle w:val="BookText"/>
        <w:rPr/>
      </w:pPr>
      <w:r>
        <w:rPr>
          <w:rFonts w:ascii="IRNazanin" w:hAnsi="IRNazanin" w:eastAsia="IRNazanin"/>
          <w:color w:val="111111"/>
          <w:sz w:val="28"/>
          <w:sz w:val="28"/>
          <w:szCs w:val="28"/>
          <w:rtl w:val="true"/>
          <w:lang w:bidi="fa-IR"/>
        </w:rPr>
        <w:t>اگر چیزی باقی ماند، خمس به آن تعلق می‌گیرد و در آیه و روایات نه صحبت از پس‌انداز اضافی است و نه کنز نمودن آن، بلکه اگر در تولید هم مورد استفاده قرار گیرد باز هم همان یک پنجم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لازم به ذکر است که این نکته در زکات مورد توجه قرار گرفته که اگر طلا و نقرۀ کسی به حد نصاب رسید باید زکات آن پرداخت شود و اگر همین طلا تا سال بعد نزد مالک باقی ماند و از حد نصاب بالاتر بود باز هم باید زکات را پرداخت کند، اما در سایر موارد چنین حکمی در زکات نیست؛ بنابراین اگر کسی زکات گندم و جو و خرما را بپردازد و یکسال نگهداری کند زکات مجدد ندارد، پس نمی‌توان بدون یاری طلبیدن از حضرات معصومین علیهم السلام طبق سلیقۀ شخصی به تبیین حکمت و علت احکام دست بزنیم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علیه السلام از کسی که با قیاس فتوا می‌داد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پلیدی 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است یا پلیدی منی؟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پلیدی 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جهت اینکه منی با یک بار آب ریختن پاک می‌شود، اما در بول دوبار تطهیر نیاز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قیاسی که کردی باید بول، غسل داشته باشد نه منی؛ درحالی‌که خداوند غسل را برای منی واجب کرده است نه برای بول</w:t>
      </w:r>
      <w:r>
        <w:rPr>
          <w:rFonts w:eastAsia="IRNazanin" w:cs="IRNazanin"/>
          <w:color w:val="111111"/>
          <w:sz w:val="28"/>
          <w:szCs w:val="28"/>
          <w:rtl w:val="true"/>
          <w:lang w:bidi="fa-IR"/>
        </w:rPr>
        <w:t xml:space="preserve">! </w:t>
      </w:r>
      <w:r>
        <w:rPr>
          <w:rStyle w:val="FootnoteAnchor"/>
          <w:rtl w:val="true"/>
        </w:rPr>
        <w:footnoteReference w:id="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17" w:name="pg5444_51494"/>
      <w:bookmarkStart w:id="218" w:name="pg5444_51494"/>
      <w:bookmarkEnd w:id="218"/>
    </w:p>
    <w:p>
      <w:pPr>
        <w:pStyle w:val="Heading3"/>
        <w:numPr>
          <w:ilvl w:val="2"/>
          <w:numId w:val="1"/>
        </w:numPr>
        <w:rPr/>
      </w:pPr>
      <w:bookmarkStart w:id="219" w:name="pg5444_51494"/>
      <w:bookmarkStart w:id="220" w:name="__RefHeading___Toc1903091_581953129"/>
      <w:bookmarkStart w:id="221" w:name="_Toc81"/>
      <w:bookmarkEnd w:id="219"/>
      <w:bookmarkEnd w:id="220"/>
      <w:r>
        <w:rPr>
          <w:rtl w:val="true"/>
        </w:rPr>
        <w:t>فهرست منابع</w:t>
      </w:r>
      <w:bookmarkEnd w:id="221"/>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جمال‌الدین، محمد‌بن‌مکرم، لسان‌العرب، چاپ‌سوم،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احسائی، ابن‌ابی‌جمهور، محمدبن‌علی، الأقطاب الفقهیة علی مذهب الإمامیة،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آیةالله مرعشی‌نجفی رحمة الله،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محمدبن‌حسن، وسائل‌الشیعة،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آل‌البیت علیهم السلام،</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حسینی‌زبیدی واسطی، سیدمحمدمرتضی، تاج العروس من جواهر القاموس،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سیستانی، سیدعلی، سایت معظم‌له به آدرس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دسترسی</w:t>
      </w:r>
      <w:r>
        <w:rPr>
          <w:rFonts w:eastAsia="IRNazanin" w:cs="IRNazanin"/>
          <w:color w:val="111111"/>
          <w:sz w:val="28"/>
          <w:szCs w:val="28"/>
          <w:rtl w:val="true"/>
          <w:lang w:bidi="fa-IR"/>
        </w:rPr>
        <w:t xml:space="preserve">: </w:t>
      </w:r>
      <w:r>
        <w:rPr>
          <w:rFonts w:eastAsia="IRNazanin" w:cs="IRNazanin"/>
          <w:color w:val="111111"/>
          <w:sz w:val="28"/>
          <w:szCs w:val="28"/>
          <w:lang w:bidi="fa-IR"/>
        </w:rPr>
        <w:t>05/05/1395</w:t>
      </w:r>
      <w:r>
        <w:rPr>
          <w:rFonts w:eastAsia="Times New Roman" w:cs="Times New Roman" w:ascii="Times New Roman" w:hAnsi="Times New Roman"/>
          <w:color w:val="111111"/>
          <w:sz w:val="28"/>
          <w:szCs w:val="28"/>
          <w:lang w:val="en-US" w:bidi="en-US"/>
        </w:rPr>
        <w:t>www.sistani.org/arabic/qa/0462/page/7</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شیخ‌طوسی، ابوجعفر، محمدبن‌حسن، الاستبصار فیما اختلف من الأخبار،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دارالکتب‌الإسلامیة،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طباطبایی‌یزدی، سیدمحمدکاظم، العروة الوثقی،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شهیدثانی، زین‌الدین‌بن‌علی، مسالک الأفهام إلی تنقیح شرائع الإسلام،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الإسلامیة،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غروی‌نائینی، میرزا محمدحسین، فوائدالأصول، چاپ‌هشتم،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موسسه‌النشرالاسلامی،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ابوجعفر، محمدبن‌یعقوب، الکافی، چاپ‌چهارم،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دارالکتب‌الإسلامیة،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مکارم‌شیرازی، ناصر، أنوار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الخمس و الأنفال،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علی بن‌أبی‌طالب علیه السلام،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موسوی‌خمینی، سیدروح‌الله، ولایت‌فقیه،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تنظیم و نشر آثار امام‌خمینی رحمة الله، </w:t>
      </w: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میرمعزی، سیدحسین، مفهوم کنز از دیدگاه علم اقتصاد و اندیشمندان اسلامی، فصلنامه نامه مفید، شمارۀ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نجفی، محمدحسن، جواهر الکلام فی شرح شرائع الإسلام، چاپ‌هفتم،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دارإحیاء التراث العربی،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2" w:name="pg5444_51497"/>
      <w:bookmarkStart w:id="223" w:name="pg5444_51497"/>
      <w:bookmarkEnd w:id="223"/>
    </w:p>
    <w:p>
      <w:pPr>
        <w:pStyle w:val="Heading2"/>
        <w:numPr>
          <w:ilvl w:val="1"/>
          <w:numId w:val="1"/>
        </w:numPr>
        <w:rPr/>
      </w:pPr>
      <w:bookmarkStart w:id="224" w:name="pg5444_51497"/>
      <w:bookmarkStart w:id="225" w:name="__RefHeading___Toc1903093_581953129"/>
      <w:bookmarkStart w:id="226" w:name="_Toc82"/>
      <w:bookmarkEnd w:id="224"/>
      <w:bookmarkEnd w:id="225"/>
      <w:r>
        <w:rPr>
          <w:rtl w:val="true"/>
        </w:rPr>
        <w:t xml:space="preserve">اثبات علوم دنیایی پیامبر صلی الله علیه و آله با تکیه بر نقد حدیث تأبیر نخل </w:t>
      </w:r>
      <w:r>
        <w:rPr>
          <w:rtl w:val="true"/>
        </w:rPr>
        <w:t>(</w:t>
      </w:r>
      <w:r>
        <w:rPr>
          <w:rtl w:val="true"/>
        </w:rPr>
        <w:t>گرده‌افشانی درختان خرما</w:t>
      </w:r>
      <w:r>
        <w:rPr>
          <w:rtl w:val="true"/>
        </w:rPr>
        <w:t xml:space="preserve">) / </w:t>
      </w:r>
      <w:r>
        <w:rPr>
          <w:rtl w:val="true"/>
        </w:rPr>
        <w:t>احمد مرادخانی، حسن‌رضا رضایی</w:t>
      </w:r>
      <w:bookmarkEnd w:id="226"/>
    </w:p>
    <w:p>
      <w:pPr>
        <w:pStyle w:val="Heading3"/>
        <w:numPr>
          <w:ilvl w:val="2"/>
          <w:numId w:val="1"/>
        </w:numPr>
        <w:rPr/>
      </w:pPr>
      <w:bookmarkStart w:id="227" w:name="__RefHeading___Toc1903095_581953129"/>
      <w:bookmarkStart w:id="228" w:name="_Toc83"/>
      <w:bookmarkEnd w:id="227"/>
      <w:r>
        <w:rPr>
          <w:rtl w:val="true"/>
        </w:rPr>
        <w:t>اشاره</w:t>
      </w:r>
      <w:bookmarkEnd w:id="228"/>
    </w:p>
    <w:p>
      <w:pPr>
        <w:pStyle w:val="BookText"/>
        <w:rPr/>
      </w:pPr>
      <w:r>
        <w:rPr>
          <w:rFonts w:ascii="IRNazanin" w:hAnsi="IRNazanin" w:eastAsia="IRNazanin"/>
          <w:color w:val="111111"/>
          <w:sz w:val="28"/>
          <w:sz w:val="28"/>
          <w:szCs w:val="28"/>
          <w:rtl w:val="true"/>
          <w:lang w:bidi="fa-IR"/>
        </w:rPr>
        <w:t>احمد مرادخانی</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حسن‌رضا رضایی</w:t>
      </w:r>
      <w:r>
        <w:rPr>
          <w:rStyle w:val="FootnoteAnchor"/>
          <w:rtl w:val="true"/>
        </w:rPr>
        <w:footnoteReference w:id="59"/>
      </w:r>
    </w:p>
    <w:p>
      <w:pPr>
        <w:pStyle w:val="Heading3"/>
        <w:numPr>
          <w:ilvl w:val="2"/>
          <w:numId w:val="1"/>
        </w:numPr>
        <w:rPr/>
      </w:pPr>
      <w:bookmarkStart w:id="229" w:name="__RefHeading___Toc1903097_581953129"/>
      <w:bookmarkStart w:id="230" w:name="_Toc84"/>
      <w:bookmarkEnd w:id="229"/>
      <w:r>
        <w:rPr>
          <w:rtl w:val="true"/>
        </w:rPr>
        <w:t>چکیده</w:t>
      </w:r>
      <w:bookmarkEnd w:id="230"/>
    </w:p>
    <w:p>
      <w:pPr>
        <w:pStyle w:val="BookText"/>
        <w:rPr/>
      </w:pPr>
      <w:r>
        <w:rPr>
          <w:rFonts w:ascii="IRNazanin" w:hAnsi="IRNazanin" w:eastAsia="IRNazanin"/>
          <w:color w:val="111111"/>
          <w:sz w:val="28"/>
          <w:sz w:val="28"/>
          <w:szCs w:val="28"/>
          <w:rtl w:val="true"/>
          <w:lang w:bidi="fa-IR"/>
        </w:rPr>
        <w:t xml:space="preserve">نوشتاری که پیش رو دارید، نویسنده، شبهه ابن‌خلدون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استناد حدیث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تأبیر نخل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علوم طبیعی و دنیایی پیامبر صلی الله علیه و آله را فراتر از عرف زمانه ندانسته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کرده و با دقت در منابع، سند، متن و دلالت حدیث مذکور، آن را جعلی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حجیت گفتار پیامبر و امامان در زمینه علوم طبیعی را با استناد به آیات و روایات اثبات کرده و با آوردن مصادیقی از کلام آنها نشان داده است که علوم ائمه فراتر از زمان خود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اشکالات مطرح شده را ناشی از عدم فهم احادیث یا وجود ضعف در سند آنها دانسته و با اشاره به حدیث تأبیر نخل، آن را مخالف قرآن و احادیث صحیح برشمرده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طبیعی، حدیث علمی، علوم دنیایی پیامبر اسلام صلی الله علیه و آله، گرده افشانی تأبیر نخل</w:t>
      </w:r>
      <w:r>
        <w:rPr>
          <w:rFonts w:eastAsia="IRNazanin" w:cs="IRNazanin"/>
          <w:color w:val="111111"/>
          <w:sz w:val="28"/>
          <w:szCs w:val="28"/>
          <w:rtl w:val="true"/>
          <w:lang w:bidi="fa-IR"/>
        </w:rPr>
        <w:t xml:space="preserve">. </w:t>
      </w:r>
      <w:bookmarkStart w:id="231" w:name="pg5444_51498"/>
    </w:p>
    <w:p>
      <w:pPr>
        <w:pStyle w:val="Heading3"/>
        <w:numPr>
          <w:ilvl w:val="2"/>
          <w:numId w:val="1"/>
        </w:numPr>
        <w:rPr/>
      </w:pPr>
      <w:bookmarkStart w:id="232" w:name="__RefHeading___Toc1903099_581953129"/>
      <w:bookmarkStart w:id="233" w:name="_Toc85"/>
      <w:bookmarkEnd w:id="231"/>
      <w:bookmarkEnd w:id="232"/>
      <w:r>
        <w:rPr>
          <w:rtl w:val="true"/>
        </w:rPr>
        <w:t>تبیین مسئله</w:t>
      </w:r>
      <w:bookmarkEnd w:id="233"/>
    </w:p>
    <w:p>
      <w:pPr>
        <w:pStyle w:val="BookText"/>
        <w:rPr/>
      </w:pPr>
      <w:r>
        <w:rPr>
          <w:rFonts w:ascii="IRNazanin" w:hAnsi="IRNazanin" w:eastAsia="IRNazanin"/>
          <w:color w:val="111111"/>
          <w:sz w:val="28"/>
          <w:sz w:val="28"/>
          <w:szCs w:val="28"/>
          <w:rtl w:val="true"/>
          <w:lang w:bidi="fa-IR"/>
        </w:rPr>
        <w:t>شبهۀ عدم آگاهی پیامبر از علوم دنیایی سابقه دیرینه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تسنن احتمال اشتباه نبی در غیر موارد تبلیغ وحی را پذیرفته‌اند؛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قاضی عبدالجبار،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rtl w:val="true"/>
          <w:lang w:bidi="fa-IR"/>
        </w:rPr>
        <w:t>(</w:t>
      </w:r>
      <w:r>
        <w:rPr>
          <w:rFonts w:eastAsia="IRNazanin" w:cs="IRNazanin"/>
          <w:color w:val="111111"/>
          <w:sz w:val="28"/>
          <w:szCs w:val="28"/>
          <w:lang w:bidi="fa-IR"/>
        </w:rPr>
        <w:t>732</w:t>
      </w:r>
      <w:r>
        <w:rPr>
          <w:rFonts w:eastAsia="IRNazanin" w:cs="IRNazanin"/>
          <w:color w:val="111111"/>
          <w:sz w:val="28"/>
          <w:szCs w:val="28"/>
          <w:rtl w:val="true"/>
          <w:lang w:bidi="fa-IR"/>
        </w:rPr>
        <w:t xml:space="preserve"> -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مقدمۀ کتابش با استناد به حدیث تأبیر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ح</w:t>
      </w:r>
      <w:r>
        <w:rPr>
          <w:rFonts w:eastAsia="IRNazanin" w:cs="IRNazanin"/>
          <w:color w:val="111111"/>
          <w:sz w:val="28"/>
          <w:szCs w:val="28"/>
          <w:lang w:bidi="fa-IR"/>
        </w:rPr>
        <w:t>4357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انبیاء مبعوث به شریعت و آخرت مردم هستند و در زمینه دنیا و علوم غیر دینی، همسطح عرف مردم می‌باشند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بعد از ابن‌خلدون به مسئله آگاهی پیامبر از علوم زمانه اشاره نموده‌اند، از نظریۀ او تأثیر پذیرفته‌اند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فروخ و دکتر سروش برای اثبات ادعای محدود بودن علم پیامبر به حدیث تأبیر نخل و نظریه ابن‌خلدون استناد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فروخ،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سروش،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ادعای آنها در گذشته قابل اعتنا بود، ولی در عصر حاضر باتوجه به رشد علمی و تطبیق نظریات پیامبر با علوم و اکتشافات جدید، جا برای طرح چنین مباحثی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علمی فراوان و مطابقت آنها با علوم، نشان از آن دارد که پیامبر اسلام و ائمه علیهم السلام متأثر از دانش مردم زمان خود نبوده‌اند و می‌توان آنها را در زمرۀ اعجاز یا شگفتی‌های علمی به‌شمار آورد</w:t>
      </w:r>
      <w:r>
        <w:rPr>
          <w:rFonts w:eastAsia="IRNazanin" w:cs="IRNazanin"/>
          <w:color w:val="111111"/>
          <w:sz w:val="28"/>
          <w:szCs w:val="28"/>
          <w:rtl w:val="true"/>
          <w:lang w:bidi="fa-IR"/>
        </w:rPr>
        <w:t>.</w:t>
      </w:r>
    </w:p>
    <w:p>
      <w:pPr>
        <w:pStyle w:val="Heading3"/>
        <w:numPr>
          <w:ilvl w:val="2"/>
          <w:numId w:val="1"/>
        </w:numPr>
        <w:rPr/>
      </w:pPr>
      <w:bookmarkStart w:id="234" w:name="__RefHeading___Toc1903101_581953129"/>
      <w:bookmarkStart w:id="235" w:name="_Toc86"/>
      <w:bookmarkEnd w:id="234"/>
      <w:r>
        <w:rPr>
          <w:rtl w:val="true"/>
        </w:rPr>
        <w:t>مفهوم شناسی</w:t>
      </w:r>
      <w:bookmarkEnd w:id="235"/>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صفت مشبهه از ریشۀ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د 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چیزی است که از ابتدا نبوده، بلکه بعداً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البحرین حدیث را مرادف کلام دانسته و وجۀ تسمیۀ کلام به این نام را تجدید و حدوث آن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طریحی،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 و کلام از آن رو حدیث می‌گویند که به‌تدریج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در قرآن هم به معنای کلام و سخن به‌کار رفته است؛ آنجاکه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فَبِأَیِّ حَدیثٍ بَعْدَهُ یُؤْمِنُون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بعد از آن به کدامین سخن ایمان می‌آورند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مرسلات</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در اصطلاح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کلامٌ یحکی قولَ المعصومِ أو فعلَه أو تقریرَه؛ حدیث، سخنی است که گفتار، کردار و تقریر معصوم علیه السلام را گزارش می‌کند</w:t>
      </w:r>
      <w:r>
        <w:rPr>
          <w:rFonts w:eastAsia="IRNazanin" w:cs="IRNazanin"/>
          <w:color w:val="111111"/>
          <w:sz w:val="28"/>
          <w:szCs w:val="28"/>
          <w:rtl w:val="true"/>
          <w:lang w:bidi="fa-IR"/>
        </w:rPr>
        <w:t xml:space="preserve">.» </w:t>
      </w:r>
      <w:bookmarkStart w:id="236" w:name="pg5444_51499"/>
    </w:p>
    <w:p>
      <w:pPr>
        <w:pStyle w:val="BookText"/>
        <w:rPr/>
      </w:pPr>
      <w:bookmarkEnd w:id="23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فضلی، </w:t>
      </w:r>
      <w:r>
        <w:rPr>
          <w:rFonts w:ascii="IRNazanin" w:hAnsi="IRNazanin" w:eastAsia="IRNazanin"/>
          <w:color w:val="111111"/>
          <w:sz w:val="28"/>
          <w:sz w:val="28"/>
          <w:szCs w:val="28"/>
          <w:lang w:bidi="fa-IR"/>
        </w:rPr>
        <w:t>١٤١٦</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تعریف، مراد از معصوم، اعم از رسول خدا صلی الله علیه و آله، حضرت زهرا</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امامان دوازده‌گانه علیهم السلام است؛ اما از منظر اهل‌سنت، حدیث به گفتار، کردار و تقریر پیامبر صلی الله علیه و آله محدود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به معنای درک حقیقت چیزی، دریافت، شناخت و دانش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معلوف،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م، ص</w:t>
      </w:r>
      <w:r>
        <w:rPr>
          <w:rFonts w:ascii="IRNazanin" w:hAnsi="IRNazanin" w:eastAsia="IRNazanin"/>
          <w:color w:val="111111"/>
          <w:sz w:val="28"/>
          <w:sz w:val="28"/>
          <w:szCs w:val="28"/>
          <w:lang w:bidi="fa-IR"/>
        </w:rPr>
        <w:t>۵۲۶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در اینجا، منظور از علم، علوم تجربی است؛ یعنی علومی که با امتحان و تجربه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 و خطا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درستی یا نادرستی نظریه‌ها و قوانین حاکم بر طبیعت را بررسی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237" w:name="__RefHeading___Toc1903103_581953129"/>
      <w:bookmarkStart w:id="238" w:name="_Toc87"/>
      <w:bookmarkEnd w:id="237"/>
      <w:r>
        <w:rPr>
          <w:rtl w:val="true"/>
        </w:rPr>
        <w:t>راه‌های شناخت احادیث صحیح</w:t>
      </w:r>
      <w:bookmarkEnd w:id="238"/>
    </w:p>
    <w:p>
      <w:pPr>
        <w:pStyle w:val="BookText"/>
        <w:rPr/>
      </w:pPr>
      <w:r>
        <w:rPr>
          <w:rFonts w:ascii="IRNazanin" w:hAnsi="IRNazanin" w:eastAsia="IRNazanin"/>
          <w:color w:val="111111"/>
          <w:sz w:val="28"/>
          <w:sz w:val="28"/>
          <w:szCs w:val="28"/>
          <w:rtl w:val="true"/>
          <w:lang w:bidi="fa-IR"/>
        </w:rPr>
        <w:t>هر حدیثی نیازمند بررسی سندی و دلالی است؛ از‌طرف‌دیگر، به‌علت وجود اسرائلیات و احادیث جعلی، واکاوی روایات، ضرورت مضاعف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علما در برخی از موضوعات، مانند فقه، اهمیت فراوانی به مستندات می‌دهند، ولی در برخی از موضوعات همچون احادیث اخلاقی، با اغماض از بررسی سند گذر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 فراوانی در حوزۀ علوم انسانی و تجربی وجود دارد که همانند احادیث فقهی نیازمند بررسی سندی و دلالی است تا بتوان به صحت آنها اطمینان پیدا کرد؛ در‌این‌راستا ضرورت دارد که راه‌های شناخت احادیث را به صورت مختصر بررسی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اطمینان نسبت به یک روایت، مقامی فروتر از یقین و فراتر از جواز عمل و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معمولاً نسبت به روایات متواتر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خبری را متواتر گویند که سلسلة راویان حدیث در هر طبقه به حدی برسد که امکان توطئه و همدستی آنها بر دروغ وجود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یقین نسبت به روایات واحدی که همراه قراین قطعی‌ساز است،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ممکن است از جهت سند یا دلالت یا قراین دیگر یا مجموع آنها به دست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ارزیابی سند یک روایت را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رجال دربارة احوال یک‌یک رجال سند از لحاظ اسلام، عدالت، بلوغ، ایمان، عقل و دیگر موارد لازم بحث میشود و براساس نتایج به دست آمده، حدیث در زمرة </w:t>
      </w:r>
    </w:p>
    <w:p>
      <w:pPr>
        <w:pStyle w:val="BookText"/>
        <w:rPr/>
      </w:pPr>
      <w:r>
        <w:rPr>
          <w:rFonts w:ascii="IRNazanin" w:hAnsi="IRNazanin" w:eastAsia="IRNazanin"/>
          <w:color w:val="111111"/>
          <w:sz w:val="28"/>
          <w:sz w:val="28"/>
          <w:szCs w:val="28"/>
          <w:rtl w:val="true"/>
          <w:lang w:bidi="fa-IR"/>
        </w:rPr>
        <w:t xml:space="preserve">یکی از دسته‌بندی‌های سندی،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تعریف شهید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صحیح به روایتی گفته میشود که راویان آن امامی و عادل باشند و از امام نقل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موثق به روایتی گفته میشود که همه راویان آن یا بعضی از آنها غیرامامی، ولی موثق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حَسن به روایتی گفته میشود که همه راویان یا برخی از آنها ممدوح باشند، ولی بر عدالت آنها تصریح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ضعیف نیز خبری است که ویژگیهای انواع دیگر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مصطلح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دربارة کیفیت نقل حدیث از جهت اتصال یا انقطاع زنجیرة حدیث و داشتن یا نداشتن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بحث میشود و روایات به گونۀ مختلفی طبقهبندی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مفهوم روایت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احادیث شیعه، واژۀ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فهم حدیث و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نقل و روایت حدیث به‌کار 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۱۶۰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بر لزوم فهم حدیث، برتری فهم بر نقل و اندک بودن فهم‌کنندگان در مقایسه با نقل‌کنندگان تأکید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۴۰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برخی پژوهشگران، اصطلاح درایة الحدیث به همان معنایی است که امروزه از اصطلاح فقه الحدیث دریافت می‌شود؛ یعنی دانشی که به بررسی متن حدیث می‌پردازد و با ارائه مبانی و سیر منطقی فهم آن، ما را به مقصود اصلی گویندۀ حدیث نزدیک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حدیث‌پژوهان، بعد از ارزیابی حدیث، وجود چهار شرط را برای پذیرش آن لازم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مطابقت یا عدم مخالفت با کتاب خدا؛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یا عدم مخالفت با سنت قطعی؛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یا عدم مخالفت با دلایل عقلی؛</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مخالفت با آنچه امامیه بر آن اجماع و اتفاق کردهاند</w:t>
      </w:r>
      <w:r>
        <w:rPr>
          <w:rFonts w:eastAsia="IRNazanin" w:cs="IRNazanin"/>
          <w:color w:val="111111"/>
          <w:sz w:val="28"/>
          <w:szCs w:val="28"/>
          <w:rtl w:val="true"/>
          <w:lang w:bidi="fa-IR"/>
        </w:rPr>
        <w:t xml:space="preserve">. </w:t>
      </w:r>
      <w:bookmarkStart w:id="239" w:name="pg5444_51501"/>
    </w:p>
    <w:p>
      <w:pPr>
        <w:pStyle w:val="BookText"/>
        <w:rPr/>
      </w:pPr>
      <w:bookmarkEnd w:id="239"/>
      <w:r>
        <w:rPr>
          <w:rFonts w:ascii="IRNazanin" w:hAnsi="IRNazanin" w:eastAsia="IRNazanin"/>
          <w:color w:val="111111"/>
          <w:sz w:val="28"/>
          <w:sz w:val="28"/>
          <w:szCs w:val="28"/>
          <w:rtl w:val="true"/>
          <w:lang w:bidi="fa-IR"/>
        </w:rPr>
        <w:t>این چهار مورد از مهمترین شرایط و شواهد صحت یک روایت است؛ ولی شواهد و قراین دیگری نیز برای این موضوع وجود دارد؛ همانند اینکه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مسلمات تاریخی مخالف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مدیر شانهچی،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هدف و مقصد شارع مخالف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برخلاف سیره و رفتار و گفتار عقلا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مبالغة در موضوعهای بیاهمیت و کوچک، اضطراب در معنا و غلطهای فاحش ادبی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تحقیق دربارة اصل صدور حدیث از معصوم و اینکه حدیث به جهت بیان حکم صادر شده، نوبت به بررسی متن و الفاظ حدیث می‌رسد؛ به‌این‌معنا که جملات حدیث بر چه مطلبی دلالت دارند و دلالت آن از چه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اطلاق، ظاهر، نصّ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طی این مراحل است که می‌توان براساس یک حدیث، حکمی از احکام الهی یا نظریه‌ای علمی را استنباط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صرف وجود یک مطلب در لابه‌لای احادیث نمی‌توان نتیجه کلی گرفت</w:t>
      </w:r>
      <w:r>
        <w:rPr>
          <w:rFonts w:eastAsia="IRNazanin" w:cs="IRNazanin"/>
          <w:color w:val="111111"/>
          <w:sz w:val="28"/>
          <w:szCs w:val="28"/>
          <w:rtl w:val="true"/>
          <w:lang w:bidi="fa-IR"/>
        </w:rPr>
        <w:t>.</w:t>
      </w:r>
    </w:p>
    <w:p>
      <w:pPr>
        <w:pStyle w:val="Heading3"/>
        <w:numPr>
          <w:ilvl w:val="2"/>
          <w:numId w:val="1"/>
        </w:numPr>
        <w:rPr/>
      </w:pPr>
      <w:bookmarkStart w:id="240" w:name="__RefHeading___Toc1903105_581953129"/>
      <w:bookmarkStart w:id="241" w:name="_Toc88"/>
      <w:bookmarkEnd w:id="240"/>
      <w:r>
        <w:rPr>
          <w:rtl w:val="true"/>
        </w:rPr>
        <w:t>الهی بودن گفتار پیامبران</w:t>
      </w:r>
      <w:bookmarkEnd w:id="241"/>
    </w:p>
    <w:p>
      <w:pPr>
        <w:pStyle w:val="BookText"/>
        <w:rPr/>
      </w:pPr>
      <w:r>
        <w:rPr>
          <w:rFonts w:ascii="IRNazanin" w:hAnsi="IRNazanin" w:eastAsia="IRNazanin"/>
          <w:color w:val="111111"/>
          <w:sz w:val="28"/>
          <w:sz w:val="28"/>
          <w:szCs w:val="28"/>
          <w:rtl w:val="true"/>
          <w:lang w:bidi="fa-IR"/>
        </w:rPr>
        <w:t>پیامبران برای هدایت مردم و از بین بردن جهل و نادانی آنها ارسال شده‌اند و برای این کار، ضرورت داشت که به سلاح علم و آگاهی مجهز باشند؛ ازهمین‌رو، خداوند اسماء را به حضرت آدم علیه السلام آموخت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وَعَلَّمَ آدَمَ الأَسْمَاء کلَّهَا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حضرت عیسی علیه السلام خطاب کرد که من کتاب، حکمت، تورات و انجیل را به تو آموختم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موارد فوق، انبیا دارای علوم دیگری هم بودند؛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زره‌سازی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آگاهی از تأویل خواب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آگاهی از زبان پرندگان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 غیب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روایتی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تبارک وتعالی أهبط آدم من الجنة وعرفه علم کل شئ، فکان مما عرفه النجوم والطب؛ خداوند آدم را از بهشت نازل کرد و به او هر علمی را آموخت، ازجمله طب و نجوم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یکی از مسئولیت‌های انبیا، داوری در میان مردم و پایان دادن به مشاجره و اختلافات آنان بوده است؛ چنان‌که قرآن به این موضوع اشاره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لِیَحْکُمَ بَیْنَ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زمانی می‌توانستند به وظایف خود جامۀ عمل بپوشانند که داوری آنها برای مردم حجت باشد و مورد پذیرش آنها قرار گیرد؛ از‌این‌رو خداوند به مردم فرمان داده است که داوری پیامبر صلی الله علیه و آله را سمعاً و طاعتاً بپذیرند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تغییر ندهند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پذیرش داوری پیامبر را یکی از نشانه‌های ایمان به شمار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مسئله، نشانۀ حجیت سنت قطعی و لزوم عمل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آیات، اطاعت از پیامبر را اطاعت از خداوند معرفی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اطاعت از او را مایۀ گمراهی و ضلالت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پیشی گرفتن بر گفتار پیامبر نهی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عشق به خدا منوط به اطاعت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گفتار سیرة آن حضرت به‌عنوان اسوۀ حسنه و الگوی دیگران معرفی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حجیت قول نبی همین بس که قرآن با صراحت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آتَاکُمُ الرَّسُولُ فَخُذُوهُ وَمَا نَهَاکُمْ عَنْهُ فَانتَهُوا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را و به شما داد بگیرید و از آنچه شما را بازداشت، باز ایستید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و اندیشمندان تمام فرقه‌های اسلامی بر اعتبار و حجیت سنت پیامبر اکرم صلی الله علیه و آله اجماع دارند و آن را دومین منبع دین پس از قرآن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سیرۀ عملی صحابه، تابعین و مسلمانان صدر اسلام نشان می‌دهد که برای آنان گفتار و رفتار پیامبر صلی الله علیه و آله حجیت مطلق و قول فصل بوده است و پیامبر در هر زمینه ازجمله علوم طبیعی سخن می‌گفتند برای مسلمانان حجت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نصیری،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45</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ادله ای که حجیت گفتار پیامبر را تأیید می‌کند،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مسئولیت سنگین پیامبران و برعهده گرفتن سکّان کشتی هدایت مردم جهان می‌طلبد که از تمامی لغزش‌های فکری، عملی و گفتاری به‌دور باشند تا بتوانند اعتماد مردم را جذب </w:t>
      </w:r>
      <w:bookmarkStart w:id="242" w:name="pg5444_51503"/>
    </w:p>
    <w:p>
      <w:pPr>
        <w:pStyle w:val="BookText"/>
        <w:rPr/>
      </w:pPr>
      <w:bookmarkEnd w:id="242"/>
      <w:r>
        <w:rPr>
          <w:rFonts w:ascii="IRNazanin" w:hAnsi="IRNazanin" w:eastAsia="IRNazanin"/>
          <w:color w:val="111111"/>
          <w:sz w:val="28"/>
          <w:sz w:val="28"/>
          <w:szCs w:val="28"/>
          <w:rtl w:val="true"/>
          <w:lang w:bidi="fa-IR"/>
        </w:rPr>
        <w:t>و آنها را هدایت کنند؛ به‌همین‌دلیل مسلمانان بر عصمت انبیا پافشاری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برخی از احادیث استفاده می‌شود که علم، نور است و اگر خداوند اراده نماید می‌تواند آن را به کسانی که شایسته هستند، عنایت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العلم بکثرة التعلم و التعلیم، بل هو نور یقذفه اللّه فی قلب من یشاء؛ علم به واسطه زیادی تعلم نیست؛ بلکه نوری است که خداوند به قلب هر کسی که بخواهد می‌افکند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بیان، پیامبری که اشرف مخلوقات است، سزاوارترین فردی است که می‌تواند میزبان تمام علوم باشد</w:t>
      </w:r>
      <w:r>
        <w:rPr>
          <w:rFonts w:eastAsia="IRNazanin" w:cs="IRNazanin"/>
          <w:color w:val="111111"/>
          <w:sz w:val="28"/>
          <w:szCs w:val="28"/>
          <w:rtl w:val="true"/>
          <w:lang w:bidi="fa-IR"/>
        </w:rPr>
        <w:t>.</w:t>
      </w:r>
    </w:p>
    <w:p>
      <w:pPr>
        <w:pStyle w:val="Heading3"/>
        <w:numPr>
          <w:ilvl w:val="2"/>
          <w:numId w:val="1"/>
        </w:numPr>
        <w:rPr/>
      </w:pPr>
      <w:bookmarkStart w:id="243" w:name="__RefHeading___Toc1903107_581953129"/>
      <w:bookmarkStart w:id="244" w:name="_Toc89"/>
      <w:bookmarkEnd w:id="243"/>
      <w:r>
        <w:rPr>
          <w:rtl w:val="true"/>
        </w:rPr>
        <w:t>حجیت سخنان ائمه اطهار علیهم السلام</w:t>
      </w:r>
      <w:bookmarkEnd w:id="244"/>
    </w:p>
    <w:p>
      <w:pPr>
        <w:pStyle w:val="BookText"/>
        <w:rPr/>
      </w:pPr>
      <w:r>
        <w:rPr>
          <w:rFonts w:ascii="IRNazanin" w:hAnsi="IRNazanin" w:eastAsia="IRNazanin"/>
          <w:color w:val="111111"/>
          <w:sz w:val="28"/>
          <w:sz w:val="28"/>
          <w:szCs w:val="28"/>
          <w:rtl w:val="true"/>
          <w:lang w:bidi="fa-IR"/>
        </w:rPr>
        <w:t>از آیات قرآن و احادیث شأن‌نزول می توان حجیت گفتار و روایات ائمه اطهار علیهم السلام را اثبات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ابلاغ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امامت آنها اشاره دارند،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وَأُوْلِی الأَمْرِ مِنکمْ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و گفتار آنها را هم‌ردیف پیامبر اسلام صلی الله علیه و آله و گفتار ایشان بر شمرده است؛ زیرا عطف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آن است که اطاعت از ائمه عین اطاعت از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طباطبایی،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تطهیر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بر عصمت و پیراستگی ائمه از لغزش و استواری آنها در کلام اشاره دارد؛ همچنین حدیث منزلت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ثقلین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سفینه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حاکم نیشابوری،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مورد قبول فریقین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ابن‌حنبل،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کنار مرجعیت علمی و دینی ائمه علیهم السلام در زمان خود، بهترین گواه بر اعتبار سنت ائمه هستند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اشخاص، پیامبر یا امام نبوده‌اند، ولی از اشراقات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بهره‌مند می‌شدند؛ برای مثال، در قرآن اشاره به همراه و همدم حضرت موسی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فَوَجَدَا عَبْداً مِنْ عِبَادِنَا آتَیْنَاهُ رَحْمَةً مِنْ عِندِنَا وَعَلَّمْنَاهُ مِن لَّدُنَّا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بنده‌ای از </w:t>
      </w:r>
    </w:p>
    <w:p>
      <w:pPr>
        <w:pStyle w:val="BookText"/>
        <w:rPr/>
      </w:pPr>
      <w:r>
        <w:rPr>
          <w:rFonts w:ascii="IRNazanin" w:hAnsi="IRNazanin" w:eastAsia="IRNazanin"/>
          <w:color w:val="111111"/>
          <w:sz w:val="28"/>
          <w:sz w:val="28"/>
          <w:szCs w:val="28"/>
          <w:rtl w:val="true"/>
          <w:lang w:bidi="fa-IR"/>
        </w:rPr>
        <w:t>بندگان ما را یافتند که رحمتی از جانب خود به او داده، و دانشی از نزد خویش به او آموخته بودیم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مورد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نبود، اما به درجه‌ای رسیده بود که استاد پیامبر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دربارۀ همنشین حضرت سلیمان علیه السلام، آصف‌بن‌برخیا نیز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الَّذِی عِندَهُ عِلْمٌ مِّنَ الْکِتَابِ أَنَا آتِیکَ بِهِ قَبْلَ أَن یَرْتَدَّ إِلَیْکَ طَرْفُکَ فَلَمَّا رَآهُ مُسْتَقِرّاً عِندَهُ قَالَ هذَا مِن فَضْلِ 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کسی که علمی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نزدش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آنکه چشمت را بر هم زنی، من آن را نزد تو خواهم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نزدش ثابت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بخشش پروردگار من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آصف‌بن‌برخیا با آنکه پیامبر نبوده، با علم الهی تخت بلقیس را در یک چشم بر هم زدن از یمن به فلسطین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پیامبر اسلام صلی الله علیه و آله نیز افرادی در بین مردم حضور داشتند که دارای علم الهی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وَیَقُولُ الَّذِینَ کَفَرُوا لَسْتَ مُرْسَلاً قُلْ کَفَی بِاللَّهِ شَهِیداً بَیْنِی وَ بَیْنَکُمْ وَ مَنْ عِندَهُ عِلْمُ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کفر ورزیدند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نیستی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خدا و کسی که علمِ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بین من و بین شما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قطعاً در زمان پیامبر بر کسی غیرایشان وحی نمی‌شد؛ پس شخص یادشده در این آیه یکی از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آن شخصی را که دارای علم تمام کتاب است، حضرت علی علیه السلام معرفی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عروسی حویزی،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ذیل آیه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جوشش حکمت درونی نیز منبع دیگر 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بی‌شماری به این مطلب اشاره کرده‌اند که قلب مؤمن شبیه معدن طلا و نقره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اخلاص مؤمن در چهل شبانه‌روز زمینه‌ساز ورود حکمت و دانش به قلب وی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249</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دلیل بر الهی بودن علم ائمه، مطالب مکتوب آنهاست؛ از نهج‌البلاغه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عقول را مدهوش خود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تا صحیفۀ سجادیه و احادیث امام محمدباقر علیه السلام و امام صادق علیه السلام که فراتر از زمان خود بوده‌اند و باید زمان‌ها بگذرد تا فهم آنها آسان شود</w:t>
      </w:r>
      <w:r>
        <w:rPr>
          <w:rFonts w:eastAsia="IRNazanin" w:cs="IRNazanin"/>
          <w:color w:val="111111"/>
          <w:sz w:val="28"/>
          <w:szCs w:val="28"/>
          <w:rtl w:val="true"/>
          <w:lang w:bidi="fa-IR"/>
        </w:rPr>
        <w:t xml:space="preserve">. </w:t>
      </w:r>
      <w:bookmarkStart w:id="245" w:name="pg5444_51505"/>
    </w:p>
    <w:p>
      <w:pPr>
        <w:pStyle w:val="BookText"/>
        <w:rPr/>
      </w:pPr>
      <w:bookmarkEnd w:id="245"/>
      <w:r>
        <w:rPr>
          <w:rFonts w:ascii="IRNazanin" w:hAnsi="IRNazanin" w:eastAsia="IRNazanin"/>
          <w:color w:val="111111"/>
          <w:sz w:val="28"/>
          <w:sz w:val="28"/>
          <w:szCs w:val="28"/>
          <w:rtl w:val="true"/>
          <w:lang w:bidi="fa-IR"/>
        </w:rPr>
        <w:t>بررسی اجمالی احادیث پیامبر و اهل‌بیت علیهم السلام نشان می‌دهد که آنها همه علوم را از طریق الهام الهی تحصیل کرده‌اند؛ به گونه‌ای که هرگاه اراده می‌کردند چیزی را بدانند، 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دراین‌باره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الامام اذا شاء ان یعلم علم؛ امام، آنگاه که بخواهد بداند، می‌داند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نیز دربارة آگاهی خود از تمام علوم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من بپرسید پیش از آنکه مرا از کف بدهید؛ چراکه در سینه من بسان دریاهای بیکران، دانش‌های فراوان نهفته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ری شهری،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خ</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246" w:name="__RefHeading___Toc1903109_581953129"/>
      <w:bookmarkStart w:id="247" w:name="_Toc90"/>
      <w:bookmarkEnd w:id="246"/>
      <w:r>
        <w:rPr>
          <w:rtl w:val="true"/>
        </w:rPr>
        <w:t>آگاهی ائمۀ معصومین علیهم السلام از علوم طبیعی</w:t>
      </w:r>
      <w:bookmarkEnd w:id="247"/>
    </w:p>
    <w:p>
      <w:pPr>
        <w:pStyle w:val="BookText"/>
        <w:rPr/>
      </w:pPr>
      <w:r>
        <w:rPr>
          <w:rFonts w:ascii="IRNazanin" w:hAnsi="IRNazanin" w:eastAsia="IRNazanin"/>
          <w:color w:val="111111"/>
          <w:sz w:val="28"/>
          <w:sz w:val="28"/>
          <w:szCs w:val="28"/>
          <w:rtl w:val="true"/>
          <w:lang w:bidi="fa-IR"/>
        </w:rPr>
        <w:t>از قرائنی همچون گفتارها، احادیث، کتاب‌ها و شاگردهای ائمه علیهم السلام می‌توان به آگاهی آنها از علوم طبیعی پی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که امام صادق علیه السلام بیش از چهار هزار شاگرد مانندِ ابان‌بن‌تغلب، محمد‌بن‌مسلم و زرارة‌بن‌اعین پرورش داده است؛ همچنین از ایشان هزاران حدیث در کتاب‌ها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از وجود کتابی که رسول‌الله صلی الله علیه و آله املاء و امیرالمؤمنین علی علیه السلام نوشته است و همۀ احکام در آن آمده، خبر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علیهم السلام تصریح کرده‌اند که قرآن را همانند کف دست خود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مربوط به شگفتی‌ها، نظم و قانون حاکم بر مجموعۀ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طبرسی،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از احاطۀ امامان بر علوم طبیعی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برخی از مناظرات ائمه با دانشمندان آمده است که سرآمد بودن آنها در همۀ علوم را اثبات می‌کند؛ برای مثال می‌توان به مناظرۀ امام صادق علیه السلام با طبیب هندی در مجلس منصور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منجر به مسلمان شدن او بعد از درک عظمت مقام علمی آن حضرت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ائمه به تمام زبان‌های دنیا آشنا بوده و با آنها تکلم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99</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شیعه برخلاف اهل تسنن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اولین کتابشان در سال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صدر اسلام نوشتن حدیث، قرآن و سایر علوم اسلامی را آغاز کرد و با تشویق اهل‌بیت علیهم السلام به این کار ادامه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عبدالله‌بن‌رافع، سلیم‌بن‌قیس، اصبغ‌بن‌نباته و دیگران، علوم امیرالمؤمنین علیه السلام را به رشتۀ تحریر درآوردند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عهدنامۀ امام به مالک‌اشتر نخعی از آثار جامع حوزۀ سیاست و مدیریت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رسالۀ حقوق امام سجاد علیه السلام در حوزۀ حقوق کارگر و کارفرما، عبد و مولا، پدر و فرزند و همسران بی‌نظیر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امام صادق علیه السلام چهارصد رساله و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توسط بسیاری از شاگردان آن حضرت نگاشته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برای برخی از اصحاب مانند 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مناظرات علمی تجویز می‌کردند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صدها رساله دربارۀ علوم شیمی برای جابر‌بن‌حیان املاء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جابر‌بن‌حیان در کتاب‌هایش از امام صادق علیه السلام با عنوان سیدی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اکثر مورخان او را شاگرد آن حضرت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عبدالحلیم،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نوشته‌های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پدر علم شیمی خوانده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برمی‌آید که علوم او برگرفته از محیط و عصر خود نبوده، بلکه از شخصی فرا طبیعی تعلیم دیده است؛ چنان‌که خود او هم به این موضوع اعتراف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حیدر،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در کنار معارف قرآنی، فقه و احکام، به برخی از مسائل همچون طب، کیهان‌شناسی، گیاه‌شناسی، شیمی، فیزیک و غیره نیز به صورت گذرا و حاشیه‌ای اشاره داشته‌اند؛ </w:t>
      </w:r>
      <w:r>
        <w:rPr>
          <w:rFonts w:eastAsia="IRNazanin" w:cs="IRNazanin"/>
          <w:color w:val="111111"/>
          <w:sz w:val="28"/>
          <w:szCs w:val="28"/>
          <w:lang w:bidi="fa-IR"/>
        </w:rPr>
        <w:t>6600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محصول مکتب امام صادق علیه السلام بوده است؛ مانند توحید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288</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 متفکر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مرکز مطالعات اسلامی استراسبورک دربارۀ آن حضرت چنین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شیعه را از نابودی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نخستین بار به نظریۀ بطلمیوس در مورد مرکزیت زمین و گردش خورشید به دور آن ایراد گرفت و مرکزیت خورشید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به عناصر چهارگانه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آتش، خاک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پایه‌گذار ده‌ها نظریه جدید علمی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bookmarkStart w:id="248" w:name="pg5444_51507"/>
    </w:p>
    <w:p>
      <w:pPr>
        <w:pStyle w:val="BookText"/>
        <w:rPr/>
      </w:pPr>
      <w:bookmarkEnd w:id="248"/>
      <w:r>
        <w:rPr>
          <w:rFonts w:ascii="IRNazanin" w:hAnsi="IRNazanin" w:eastAsia="IRNazanin"/>
          <w:color w:val="111111"/>
          <w:sz w:val="28"/>
          <w:sz w:val="28"/>
          <w:szCs w:val="28"/>
          <w:rtl w:val="true"/>
          <w:lang w:bidi="fa-IR"/>
        </w:rPr>
        <w:t>امام صادق علیه السلام در پاسخ به شخصی که از ایشان پرسیده بود آیا شما با انجیل آشنایی دارید،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این کتاب‌ها به صورت ارث برای ما باقی مانده است و حجت خدا در روی زمین به تمام علوم آگاهی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امامی در زمان احتضار، وصی و جانشین خود را دعوت می‌کرد و هزاران هزار علم را به او می‌آموخت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ص</w:t>
      </w:r>
      <w:r>
        <w:rPr>
          <w:rFonts w:ascii="IRNazanin" w:hAnsi="IRNazanin" w:eastAsia="IRNazanin"/>
          <w:color w:val="111111"/>
          <w:sz w:val="28"/>
          <w:sz w:val="28"/>
          <w:szCs w:val="28"/>
          <w:lang w:bidi="fa-IR"/>
        </w:rPr>
        <w:t>‌</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بی‌تردید اهل‌بیت علیهم السلام از دانش طبیعی برخوردار بوده‌اند و هر حدیثی مربوط به علوم طبیعی به شرط تمام بودن سند، قطعاً مطابق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ذکر است که اهل‌بیت علیهم السلام به‌عنوان یک حرفه وارد مسئله علوم تجربی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پزشکی، نجوم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نمی‌شدند؛ بلکه ورود آنها به این علوم، به صورت موردی و گاه به‌عنوان اعجاز و کرامت بود، نه به صورت دائم و همیشگی؛ به‌عبارت‌دیگر، آنها مبعوث به شریعت شدند، نه مبعوث به علوم طب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ابن‌خلدون،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Heading3"/>
        <w:numPr>
          <w:ilvl w:val="2"/>
          <w:numId w:val="1"/>
        </w:numPr>
        <w:rPr/>
      </w:pPr>
      <w:bookmarkStart w:id="249" w:name="__RefHeading___Toc1903111_581953129"/>
      <w:bookmarkStart w:id="250" w:name="_Toc91"/>
      <w:bookmarkEnd w:id="249"/>
      <w:r>
        <w:rPr>
          <w:rtl w:val="true"/>
        </w:rPr>
        <w:t>حدیث تأبیر نخل</w:t>
      </w:r>
      <w:bookmarkEnd w:id="250"/>
    </w:p>
    <w:p>
      <w:pPr>
        <w:pStyle w:val="Heading4"/>
        <w:numPr>
          <w:ilvl w:val="3"/>
          <w:numId w:val="1"/>
        </w:numPr>
        <w:rPr/>
      </w:pPr>
      <w:bookmarkStart w:id="251" w:name="__RefHeading___Toc1903113_581953129"/>
      <w:bookmarkStart w:id="252" w:name="_Toc92"/>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برخی افراد، ازجمله عبدالکریم سروش، برای اثبات مدعای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پیامبر اسلام صلی الله علیه و آله با وجود عصمت اشتباه کرده و در زمینۀ علوم طبیعی اطلاعاتی نداشته و آگاهی او فراتر از زمانه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تأبیر نخل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متمسک شده‌اند؛ ازاین‌رو ما برای بررسی بیشتر به بررسی سند و دلالت این حدیث می‌پردازیم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قَدِمَ نَبِیُّ اللَّهِ صَلَّی اللَّهم عَلَیْهِ وَسَلَّمَ الْمَدِینَةَ وَهُمْ یَأْبُرُونَ النَّخْلَ یَقُولُونَ یُلَقِّحُونَ النَّخْلَ فَقَالَ مَا تَصْنَعُونَ قَالُوا کُنَّا نَصْنَعُهُ قَالَ لَعَلَّکُمْ لَوْ لَمْ تَفْعَلُوا کَانَ خَیْرًا فَتَرَکُوهُ فَنَفَضَتْ أَوْ فَنَقَصَتْ قَالَ فَذَکَرُوا ذَلِکَ لَهُ فَقَالَ إِنَّمَا أَنَا بَشَرٌ إِذَا أَمَرْتُکُمْ بِشَیْءٍ مِنْ دِینِکُمْ فَخُذُوا بِهِ وَإِذَا أَمَرْتُکُمْ بِشَیْءٍ مِنْ رَأْیٍ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اسلام صلی الله علیه و آله وارد مدینه شدند، درحالی‌که مردم مشغول گرده‌افشانی درخت خرما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می‌کنید؟ آنها برای پیامبر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انجام ندهید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لقاح نخل‌ها را رها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سال نخل‌ها به ثمر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تذکر دادند و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فقط یک بشرم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در امور دین شما امر کردم آن را </w:t>
      </w:r>
      <w:bookmarkStart w:id="253" w:name="pg5444_51508"/>
    </w:p>
    <w:p>
      <w:pPr>
        <w:pStyle w:val="BookText"/>
        <w:rPr/>
      </w:pPr>
      <w:bookmarkEnd w:id="253"/>
      <w:r>
        <w:rPr>
          <w:rFonts w:ascii="IRNazanin" w:hAnsi="IRNazanin" w:eastAsia="IRNazanin"/>
          <w:color w:val="111111"/>
          <w:sz w:val="28"/>
          <w:sz w:val="28"/>
          <w:szCs w:val="28"/>
          <w:rtl w:val="true"/>
          <w:lang w:bidi="fa-IR"/>
        </w:rPr>
        <w:t>دریافت نمایید، اما اگر براساس نظر شخصی خودم به چیزی امر کردم، شما بهتر از من می‌دانید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مسلم،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 ح</w:t>
      </w:r>
      <w:r>
        <w:rPr>
          <w:rFonts w:eastAsia="IRNazanin" w:cs="IRNazanin"/>
          <w:color w:val="111111"/>
          <w:sz w:val="28"/>
          <w:szCs w:val="28"/>
          <w:lang w:bidi="fa-IR"/>
        </w:rPr>
        <w:t>4357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مشهور نقل شده است که همگی به پنج راوی باز می‌گردد که عبارتنداز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انس‌بن‌مالک،</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أنس‌بن‌مالک ازجمله افرادی بود که احادیث بسیاری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احادیثی را از پیامبر اکرم صلی الله علیه و آله، ابوذر، حضرت زهرا</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سلمان فارسی، ابوبکر، عمر‌بن‌خطاب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در دو کتاب صحیح بخاری و صحیح مسلم نقل شده است که نشان از روایات بسیاری است که اهل‌سنت از او نقل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احادیث آمده که امام علی علیه السلام در میان جمعیتی در کوفه 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کدام‌یک از شما قول پیامبر صلی الله علیه و آله را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 فهذا علی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دوازده نفر از میان جمعیت بلند شدند و شهادت دادند که آن را از پیامبر شنیده‌اند؛ اما أنس‌بن‌مالک که در میان جمعیت حاضر بود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انس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شده که شهادت ندهی با اینکه در آنجا حاضر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اینکه کمتر از پنجاه سال عمر داشت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من زیاد شده و فراموش 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دروغ می‌گویی خداوند تو را به سفیدی دچار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میان اهل‌سنت معتبر دانسته شده است؛ اما محدّثان شیعه روایات محدودی را از او نقل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علاوه‌بر‌این روایت‌هایی نیز در مذمّت او وجود دارد که اطمینان به اخبار او را سخت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صدوق،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أنس‌بن‌مالک در صحاح به چهار طریق نقل شده که متن آنها عین متن روایات عایشه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طلحه‌بن‌عبیدالله،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رافع‌بن‌خدیج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جابر که روایات دو راوی اخیر غیرمشهور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علاوه بر اینکه با الفاظ متفاوت و مضطرب نقل شده است، در تضاد کامل با قرآن و عقل و تاریخ است؛ اما متأسفانه بزرگان اهل‌سنت با استناد به نقل صحاح، آن را صحیح شمرده‌اند، درحالی که بزرگان شیعه با ادلۀ مختلف، آن را رد کرده‌اند</w:t>
      </w:r>
      <w:r>
        <w:rPr>
          <w:rFonts w:eastAsia="IRNazanin" w:cs="IRNazanin"/>
          <w:color w:val="111111"/>
          <w:sz w:val="28"/>
          <w:szCs w:val="28"/>
          <w:rtl w:val="true"/>
          <w:lang w:bidi="fa-IR"/>
        </w:rPr>
        <w:t>.</w:t>
      </w:r>
    </w:p>
    <w:p>
      <w:pPr>
        <w:pStyle w:val="Heading4"/>
        <w:numPr>
          <w:ilvl w:val="3"/>
          <w:numId w:val="1"/>
        </w:numPr>
        <w:rPr/>
      </w:pPr>
      <w:bookmarkStart w:id="254" w:name="__RefHeading___Toc1903115_581953129"/>
      <w:bookmarkStart w:id="255" w:name="_Toc93"/>
      <w:bookmarkEnd w:id="254"/>
      <w:r>
        <w:rPr>
          <w:rtl w:val="true"/>
        </w:rPr>
        <w:t>نقد و بررسی حدیث</w:t>
      </w:r>
      <w:bookmarkEnd w:id="255"/>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منابع معتبر حدیثی شیعه نقل نشده و تنها در چند کتاب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بزرگ شیعه در کتاب‌های خود به نقد و بررسی این حدیث پرداخته‌اند؛ ازجمله علامۀ عسکری در احادیث ام‌المؤمنین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معالم المدرستین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آیت‌الله سبحانی در البدعه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ظلال التوحید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کورانی در الف سؤال و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سیدمرتضی عاملی در الصحیح من سیرة النبی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توسط برخی علمای اهل‌سنت، مثل محمد ابوریه در اضواء علی السنة المحمدیة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المضیره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ascii="IRNazanin" w:hAnsi="IRNazanin" w:eastAsia="IRNazanin"/>
          <w:color w:val="111111"/>
          <w:sz w:val="28"/>
          <w:sz w:val="28"/>
          <w:szCs w:val="28"/>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مورد نقد قرار گرفته؛ ولی در عصر حاضر، بار دیگر، برخی افراد برای رسیدن به اهداف خاصی به این حدیث استناد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در منابع حدیثی قرن اول و دوم هجری اهل‌سنت، مانند موطأ ابن مالک، نقل نشده است؛ بلکه از قرن سوم هجری و در کتبی مثل صحیح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۴۳۵۶</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۴۳۵۸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سیدة عائشة، ح</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شده است؛ یعنی در سالیانی که حکومت بنی‌العباس به اوج قدرت رسیده و در صدد حذف اهل‌بیت علیهم السلام از صحنه سیاسی و اجتماعی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تلاش می‌کردند امور حکومتی را از دین مردم </w:t>
      </w:r>
    </w:p>
    <w:p>
      <w:pPr>
        <w:pStyle w:val="BookText"/>
        <w:rPr/>
      </w:pPr>
      <w:r>
        <w:rPr>
          <w:rFonts w:ascii="IRNazanin" w:hAnsi="IRNazanin" w:eastAsia="IRNazanin"/>
          <w:color w:val="111111"/>
          <w:sz w:val="28"/>
          <w:sz w:val="28"/>
          <w:szCs w:val="28"/>
          <w:rtl w:val="true"/>
          <w:lang w:bidi="fa-IR"/>
        </w:rPr>
        <w:t>جدا سازند و حکومت را امری دنیایی و در اختیار پادشاهان جلوه دهند تا عالمان دینی و در رأس آنها، اهل‌بیت علیهم السلام را منزوی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تأبیر نخل، مخالف صریح آیات قرآن است؛ چراکه در یکی از نقل های این حدیث، آمده است که 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اری اللقاح بشیءٍ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با ظاهر آیاتی که لقاح گیاهان و ابرها را مطرح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دلالت التزامی آیاتی که بر زوجیت گیاهان و همه اشیاء تصریح کرده‌اند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یس</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ذاریات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چون لازمۀ زوجیت، لقاح است و با توجه به اینکه سوره‌های حجر، یس و ذاریات مکی است، پیامبر صلی الله علیه و آله قبل از ورود به مدینه از زوجیت موجودات و لقاح گیاهان اطلاع داشته است؛ بنابراین براساس روایاتی که دستور می‌دهند احادیث مخالف قرآن را رد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فما وافق کتاب الله فخذوه و ما خالف کتاب الله فردوه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تأبیر نخل را باید مردود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از نظر متن مضطرب‌اند؛ چون نقل‌های یکسانی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آنها پیامبر صلی الله علیه و آله با قاطعیت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لقاح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دیگر براساس حدس و گمان خود سخن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وارد شده در مورد امور دنیوی و دینی نیز با همدیگر ناسازگارند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اعلم بامر دنیاکم، فاذا امرتکم شیء من دنیاکم فانّما انا بشر، ما انا بزارع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برخی احادیث پیامبر دستور داده‌اند که در صورت نفع داشتن لقاح برای باروری نخل‌ها، آن را انجام دهند، اما در برخی تصریح شده است که نفع و خیری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اضطراب در متن حدیث، اعتماد به صدور آن را سلب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با عصمت پیامبر صلی الله علیه و آله که براساس اعتقادات شیعه، همه امور دینی و دنیوی را شامل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 ص</w:t>
      </w:r>
      <w:r>
        <w:rPr>
          <w:rFonts w:ascii="IRNazanin" w:hAnsi="IRNazanin" w:eastAsia="IRNazanin"/>
          <w:color w:val="111111"/>
          <w:sz w:val="28"/>
          <w:sz w:val="28"/>
          <w:szCs w:val="28"/>
          <w:lang w:bidi="fa-IR"/>
        </w:rPr>
        <w:t>‌</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است؛ چون صریحاً از خطای پیامبر صلی الله علیه و آله سخن گفته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احادیث از بُعد دیگری هم با قرآن و سنت ناسازگار است و آن، اینکه براساس آیات و روایات، پیامبر صلی الله علیه و آله در مسائل دنیوی نیز مرجع مردم بوده و اطاعت از </w:t>
      </w:r>
    </w:p>
    <w:p>
      <w:pPr>
        <w:pStyle w:val="BookText"/>
        <w:rPr/>
      </w:pPr>
      <w:r>
        <w:rPr>
          <w:rFonts w:ascii="IRNazanin" w:hAnsi="IRNazanin" w:eastAsia="IRNazanin"/>
          <w:color w:val="111111"/>
          <w:sz w:val="28"/>
          <w:sz w:val="28"/>
          <w:szCs w:val="28"/>
          <w:rtl w:val="true"/>
          <w:lang w:bidi="fa-IR"/>
        </w:rPr>
        <w:t>او در امور حکومت، سیاست، قضاوت، جنگ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مسلمانان واجب بوده است؛ همچنین آیات قرآن دربارۀ مسائل اقتصادی، سیاسی و حقوقی مطالب و تکالیفی را بیان کرده که به معنای دخالت پیامبر در امور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ازطرف‌دیگر، اطاعت از پیامبر صلی الله علیه و آله براساس آیاتی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أَطِیعُواْ اللّهَ وَأَطِیعُواْ الرَّسُولَ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آتَاکمُ الرَّسُولُ فَخُذُوهُ وَمَا نَهَاکمْ عَنْهُ فَانتَهُوا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شامل همه ابعاد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هدایت الهی در بستر امور دنیوی و اخروی امکان می‌یابد و در اسلام این دو حوزه جدا‌ناپذیرند؛ درحالی‌که احادیث تأبیر نخل امور دینی و دنیوی مردم را تفکیک کرده و پیامبر صلی الله علیه و آله را تنها در امور دینی مرجع خوانده و امور دنیوی را شأن مردم دانسته است؛ حال آنکه بسیاری از امور دنیوی مثل امور قضایی، امور اقتصادی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از احکام دینی و حکومت اسلامی جدا باشد و به صورت کلی به مردم واگذار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احادیث با شأن و شخصیت پیامبر صلی الله علیه و آله نیز سازگار نیست؛ چراکه حتی یک شخصیت عادی نیز حاضر نمی‌شود بدون آگاهی و صرفاً با گمانه‌زنی و حدس و گمان در امور کشاورزی مردم دخالت کند و آنها را گرفتار زیان مالی نماید؛ چه رسد به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و سایر معصومین هرگاه در این امور دخالت کرده‌اند، از روی جهل و خطا نبوده و اگر اظهار نظری کرده‌اند، مطلب حق و صحیح و مطابق با واقع بوده است؛ وگرنه اعتبار آنها مخدوش می‌شد و اعتماد به گفتار آنها از بین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سخنان پیامبر صلی الله علیه و آله به دو دسته ظنی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الهی مشکلات جدی را در باب حجیت و اعتبار سنت ایشان به وجود می‌آورد؛ یعنی نمی‌توان به احادیث صادره از پیامبر صلی الله علیه و آله اعتماد کرد؛ مگر آنکه آن حضرت مطلبی را مستقیم از خدا نقل کند؛ درحالیکه اکثر احادیث پیامبر صلی الله علیه و آله و سنت عملی ایشان این چنین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پیامبر صلی الله علیه و آله و اهل‌بیت علیهم السلام گویای آن است که آنها از همه علوم و مسائل دنیوی، از احوال گذشته و آینده، آسمان‌ها و زمین اطلاع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مجلسی، </w:t>
      </w:r>
    </w:p>
    <w:p>
      <w:pPr>
        <w:pStyle w:val="BookText"/>
        <w:rPr/>
      </w:pP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ش، ج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ص</w:t>
      </w:r>
      <w:r>
        <w:rPr>
          <w:rFonts w:ascii="IRNazanin" w:hAnsi="IRNazanin" w:eastAsia="IRNazanin"/>
          <w:color w:val="111111"/>
          <w:sz w:val="28"/>
          <w:sz w:val="28"/>
          <w:szCs w:val="28"/>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براساس احادیث تأبیر نخل، پیامبر صلی الله علیه و آله از مسئله ساده‌ای مثل گرده‌افشانی گیاهان اطلاع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حدیث تأبیر نخل از نظر سند و متن مخدوش است و احتمال جعل آن توسط حاکمان ستمگر برای جداسازی دین و دنیای مردم وجود دارد؛ بنابراین نمی‌تواند مدعای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خطای علمی پیامبر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اثبات برساند؛ علاوه بر آنکه پیامبر صلی الله علیه و آله از طریق آیات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مکه نازل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لقاح و زوجیت گیاهان اطلاع داشت؛ همان‌طور که به طور طبیعی می‌توانست از طریق مردم آن زمان مطلع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می‌توان پذیرفت که پیامبر به‌رغم زندگی در میان اعراب، از شیوه رایج در میان آنان برای تلقیح درخت خرما اطلاع نداشته و برای اولین بار با آن برخورد کرده و با توصیه به ترک این شیوه باعث خسارت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مثلاً می‌توان پذیرفت کسی که سال‌ها در کنار دریا زندگی می‌کند نداند که برای صید ماهیان از تور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bookmarkStart w:id="256" w:name="pg5444_51512"/>
    </w:p>
    <w:p>
      <w:pPr>
        <w:pStyle w:val="Heading3"/>
        <w:numPr>
          <w:ilvl w:val="2"/>
          <w:numId w:val="1"/>
        </w:numPr>
        <w:rPr/>
      </w:pPr>
      <w:bookmarkStart w:id="257" w:name="__RefHeading___Toc1903117_581953129"/>
      <w:bookmarkStart w:id="258" w:name="_Toc94"/>
      <w:bookmarkEnd w:id="256"/>
      <w:bookmarkEnd w:id="257"/>
      <w:r>
        <w:rPr>
          <w:rtl w:val="true"/>
        </w:rPr>
        <w:t>نتیجه</w:t>
      </w:r>
      <w:bookmarkEnd w:id="258"/>
    </w:p>
    <w:p>
      <w:pPr>
        <w:pStyle w:val="BookText"/>
        <w:rPr/>
      </w:pPr>
      <w:r>
        <w:rPr>
          <w:rFonts w:ascii="IRNazanin" w:hAnsi="IRNazanin" w:eastAsia="IRNazanin"/>
          <w:color w:val="111111"/>
          <w:sz w:val="28"/>
          <w:sz w:val="28"/>
          <w:szCs w:val="28"/>
          <w:rtl w:val="true"/>
          <w:lang w:bidi="fa-IR"/>
        </w:rPr>
        <w:t>حاصل سخن اینکه نباید به هر حدیثی بدون توجه به سند و دلالت آن اعتنا کرد و لازم است برای تشخیص صحت آن به اهل فن مراجعه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ادلۀ فراوانی وجود دارد که ثابت می‌کند علوم معصومین علیهم السلام، الهی و فراتر از زمان بوده است و نمی‌توان آنها را با معلومات عادی مردم مقایسه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 احادیث معصومین دلیل بر این مدعاست؛ تا جایی که برخی این احادیث را نوعی اعجاز دانسته‌اند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بیضون،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رضایی، </w:t>
      </w:r>
      <w:r>
        <w:rPr>
          <w:rFonts w:eastAsia="IRNazanin" w:cs="IRNazanin"/>
          <w:color w:val="111111"/>
          <w:sz w:val="28"/>
          <w:szCs w:val="28"/>
          <w:lang w:bidi="fa-IR"/>
        </w:rPr>
        <w:t>1389</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مشاهده برخی احادیث که ظاهراً مخالف علوم و عقول هستند نیز نمی‌توان به این نتیجه رسید که آنها با علوم سازگاری ندارند؛ زیرا لازم است در مواجهۀ با هر حدیث، به بررسی صحت و سقم سند و متن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معصومین مفسر قرآن هستند و کلام آنها موافق قرآن است و هر کلامی که با قرآن سازگاری نداشته باشد، برای ما مردود به‌شمار می‌آید</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59" w:name="pg5444_51515"/>
      <w:bookmarkStart w:id="260" w:name="pg5444_51515"/>
      <w:bookmarkEnd w:id="260"/>
    </w:p>
    <w:p>
      <w:pPr>
        <w:pStyle w:val="Heading3"/>
        <w:numPr>
          <w:ilvl w:val="2"/>
          <w:numId w:val="1"/>
        </w:numPr>
        <w:rPr/>
      </w:pPr>
      <w:bookmarkStart w:id="261" w:name="pg5444_51515"/>
      <w:bookmarkStart w:id="262" w:name="__RefHeading___Toc1903119_581953129"/>
      <w:bookmarkStart w:id="263" w:name="_Toc95"/>
      <w:bookmarkEnd w:id="261"/>
      <w:bookmarkEnd w:id="262"/>
      <w:r>
        <w:rPr>
          <w:rtl w:val="true"/>
        </w:rPr>
        <w:t>فهرست منابع</w:t>
      </w:r>
      <w:bookmarkEnd w:id="263"/>
    </w:p>
    <w:p>
      <w:pPr>
        <w:pStyle w:val="BookText"/>
        <w:rPr/>
      </w:pPr>
      <w:r>
        <w:rPr>
          <w:rFonts w:ascii="IRNazanin" w:hAnsi="IRNazanin" w:eastAsia="IRNazanin"/>
          <w:color w:val="111111"/>
          <w:sz w:val="28"/>
          <w:sz w:val="28"/>
          <w:szCs w:val="28"/>
          <w:rtl w:val="true"/>
          <w:lang w:bidi="fa-IR"/>
        </w:rPr>
        <w:t>قرآن کریم</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ابوحامد، عبد‌الحمید‌بن‌هبة‌الله، شرح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علی‌بن محمد، أسد الغابة فی معرفة الصحابة،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موسوعة طبقات الفقهاء،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مؤسسه امام صادق علیه السلام،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ابن‌حجاج نیشابوری، مسلم، صحیح مسلم،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سالم هاشم،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احمد‌بن‌علی، الإصابة فی تمییز الصحابة،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عبدالموجود،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ابن‌حنبل، احمد، مسند الامام احمد بن حنبل،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معالم المدرستین،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نعمان،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ابن‌خلدون، عبدالرحمن بن محمد، مقدمه ابن‌خلدون،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ابن‌ماجه قزوینی، محمدبن‌یزید، سنن ابن ماجه،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المضیره ابوهریرة،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دارالمعارف،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ابن‌منظور، محمدبن‌مکرم،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دارالبیروت، </w:t>
      </w:r>
      <w:r>
        <w:rPr>
          <w:rFonts w:ascii="IRNazanin" w:hAnsi="IRNazanin" w:eastAsia="IRNazanin"/>
          <w:color w:val="111111"/>
          <w:sz w:val="28"/>
          <w:sz w:val="28"/>
          <w:szCs w:val="28"/>
          <w:lang w:bidi="fa-IR"/>
        </w:rPr>
        <w:t>١٩٥٥</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اضواء علی السنة المحمدیه،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بطحاء،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محمدعلی، پژوهشی در اعجاز علمی قرآن، رشت، مبین،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آقابزرگ طهرانی، محمدحسن، الذریعة إلی تصانیف الشیعة،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 بن جعفر مرتضی العاملی،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بیضون، لبیب، اعجاز علمی در سخنان امام علی علیه السلام،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حسن‌رضا</w:t>
      </w:r>
    </w:p>
    <w:p>
      <w:pPr>
        <w:pStyle w:val="BookText"/>
        <w:rPr/>
      </w:pPr>
      <w:r>
        <w:rPr>
          <w:rFonts w:ascii="IRNazanin" w:hAnsi="IRNazanin" w:eastAsia="IRNazanin"/>
          <w:color w:val="111111"/>
          <w:sz w:val="28"/>
          <w:sz w:val="28"/>
          <w:szCs w:val="28"/>
          <w:rtl w:val="true"/>
          <w:lang w:bidi="fa-IR"/>
        </w:rPr>
        <w:t>رضایی،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 ابوالقاسم، نهج‌الفصاحه،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دنیای دانش،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جندی، عبدالحلیم، الامام جعفر الصادق علیه السلام،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تقریب بین مذاهب اسلامی،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دانشنامه امیرالمؤمنین، چاپ‌چهارم،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 نیشابوری، محمدبن عبدالله، المستدرک علی الصحیحین،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بن محمد بن عمر علّوش،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محمدبن‌حسن، وسائل الشیعه الی تحصیل مسائل الشریعة،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شیخ اسدالله، الامام الصادق و المذاهب الاربعه،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الصادق،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بررسی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النخل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ادعای خطای علمی پیامبر صلی الله علیه و آله در لقاح و زوجیت گیاهان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مجلۀ علوم حدیث، شمارۀ</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پژوهشی در اعجاز علمی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حسن‌رضا، شگفتی‌های پزشکی در نهج‌البلاغه،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زمزم هدایت،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سبحانی تبریزی، جعفر، اصول الحدیث و احکامه،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 السلام،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موسوعه طبقات الفقها،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الامام الصادق علیه السلام،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سروش، عبدالکریم، نامه بشر و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اول به آیة‌الله 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کارگزاران،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20/12/1387</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سیدمرتضی، علی‌بن‌حسین‌بن‌موسی، الانتصار شریف،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 محمدبن‌علی، الخصال،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انتشارات اسلامی وابسته به جامعۀ</w:t>
      </w:r>
    </w:p>
    <w:p>
      <w:pPr>
        <w:pStyle w:val="BookText"/>
        <w:rPr/>
      </w:pPr>
      <w:r>
        <w:rPr>
          <w:rFonts w:ascii="IRNazanin" w:hAnsi="IRNazanin" w:eastAsia="IRNazanin"/>
          <w:color w:val="111111"/>
          <w:sz w:val="28"/>
          <w:sz w:val="28"/>
          <w:szCs w:val="28"/>
          <w:rtl w:val="true"/>
          <w:lang w:bidi="fa-IR"/>
        </w:rPr>
        <w:t xml:space="preserve">مدرسین حوزۀ علمیۀ قم،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صفار، محمدبن‌حسن‌بن‌فروخ، بصائر الدرجات الکبری فی فضائل آل محمد صلی الله علیه و آله، چاپ‌دوم،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سیدمحمدحسین، المیزان،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سیدمحمدباقر موسوی همدانی، چاپ‌سوم،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رجاء،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طبرانی، ابوالقاسم سلیمان‌بن‌احمد، المعجم الاوسط،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الحسینی،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دارالحرمین،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المعجم الکبیر،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حمدی عبدالمجید السلفی،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احمدبن‌علی، احتجاج،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فضل‌بن‌حسن، مجمع البیان،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الاعلمی،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طریحی، فخرالدین، مجمع 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مرتضوی،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خواجه نصیرالدین، کشف المراد فی شرح تجرید الاعتقاد،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محمدبن‌حسن، رجال الطوسی، محقق و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عاملی، سیدمرتضی، الصحیح من سیرة النبی الاعظم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سحرگاهان،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عروسی حویزی، عبدعلی‌بن‌جمعه، نور الثقلین،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دارالتفسیر،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عسگری، علامه سیدمرتضی، احادیث ام‌المؤمنین عایشه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 من حیاتها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حلی، حسن‌بن‌یوسف، کشف المراد فی شرح تجرید الاعتقاد،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نشر اسلامی،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عمرفروخ، ابن‌عبدالله بن عبدالرحمن، تاریخ علوم عند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دارالعلم للملایین،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علی‌بن بلبان، صحیح ابن حبان بترتیب ابن بلبان،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الارنؤوط،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الرسالة،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فضلی، عبدالهادی، اصول الحدیث،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بی‌جا، مؤسسة امّ القری ،</w:t>
      </w:r>
      <w:r>
        <w:rPr>
          <w:rFonts w:ascii="IRNazanin" w:hAnsi="IRNazanin" w:eastAsia="IRNazanin"/>
          <w:color w:val="111111"/>
          <w:sz w:val="28"/>
          <w:sz w:val="28"/>
          <w:szCs w:val="28"/>
          <w:lang w:bidi="fa-IR"/>
        </w:rPr>
        <w:t>١٤١٦</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کاشانی، ملامحمدمحسن، وافی،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الامام امیرالمؤمنین علی علیه السلام العامة،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قاضی عبدالجبار، احمد‌بن‌خلیل، شرح الاصول الخمسه،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دارالاحیاء التراث العربی،</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محمد‌بن‌یعقوب، اصول کافی،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کمره‌ای، چاپ‌سوم،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کشی، محمد‌بن‌عمر، رجال الکشی اختیار معرفة الرجال،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رجایی،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کورانی، علی، الف سوال و اشکال علی المخالفین لاهل البیت الطاهرین،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الابحاث العقائدیه،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محمدباقر‌بن‌محمدتقی، بحارالأنوار،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محمدی ری‌شهری، محمد، اهل بیت در کتاب و سنت، چاپ‌دوم،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شانه‌چی، کاظم، علم الحدیث، چاپ‌دوازدهم،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وابسته به جامعۀ مدرسین حوزۀ علمیۀ قم،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معلوف، لویس، المنجد فی اللغه و الاعلام،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المکتبه الشرقیه، </w:t>
      </w:r>
      <w:r>
        <w:rPr>
          <w:rFonts w:ascii="IRNazanin" w:hAnsi="IRNazanin" w:eastAsia="IRNazanin"/>
          <w:color w:val="111111"/>
          <w:sz w:val="28"/>
          <w:sz w:val="28"/>
          <w:szCs w:val="28"/>
          <w:lang w:bidi="fa-IR"/>
        </w:rPr>
        <w:t>۱۹۹۸</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مفید، محمدبن‌محمد، ارشاد،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بهبودی، تهران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منصوری، ذبیح‌الله، مغز متفکر جهان 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نجفی، محمدصادق، اضواء علی الصحیحین،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کمالی بحرانی،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سیدحسن، تأسیس الشیعه للعلوم الاسلام،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1392</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مغز متفکر شیعه،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جاویدان،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علی، حدیث شناسی،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سنابل،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هاشمی، محمدیحیی، الامام الصادق ملهم الکیمیا،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الشهر،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البدعه،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شعر، </w:t>
      </w:r>
      <w:r>
        <w:rPr>
          <w:rFonts w:ascii="IRNazanin" w:hAnsi="IRNazanin" w:eastAsia="IRNazanin"/>
          <w:color w:val="111111"/>
          <w:sz w:val="28"/>
          <w:sz w:val="28"/>
          <w:szCs w:val="28"/>
          <w:lang w:bidi="fa-IR"/>
        </w:rPr>
        <w:t>۱۴۱۶</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هیثمی، نورالدین علی بن ابی بکر، مجمع الزوائد و منبع الفوائد،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4" w:name="pg5444_51521"/>
      <w:bookmarkStart w:id="265" w:name="pg5444_51521"/>
      <w:bookmarkEnd w:id="265"/>
    </w:p>
    <w:p>
      <w:pPr>
        <w:pStyle w:val="Heading2"/>
        <w:numPr>
          <w:ilvl w:val="1"/>
          <w:numId w:val="1"/>
        </w:numPr>
        <w:rPr/>
      </w:pPr>
      <w:bookmarkStart w:id="266" w:name="pg5444_51521"/>
      <w:bookmarkStart w:id="267" w:name="__RefHeading___Toc1903121_581953129"/>
      <w:bookmarkStart w:id="268" w:name="_Toc96"/>
      <w:bookmarkEnd w:id="266"/>
      <w:bookmarkEnd w:id="267"/>
      <w:r>
        <w:rPr>
          <w:rtl w:val="true"/>
        </w:rPr>
        <w:t xml:space="preserve">خشونت‌های تکفیری و بررسی انطباق آن با سیرۀ نبوی و علوی </w:t>
      </w:r>
      <w:r>
        <w:rPr>
          <w:rtl w:val="true"/>
        </w:rPr>
        <w:t xml:space="preserve">/ </w:t>
      </w:r>
      <w:r>
        <w:rPr>
          <w:rtl w:val="true"/>
        </w:rPr>
        <w:t>یدالله حاجی‌زاده، امیر‌علی حسنلو</w:t>
      </w:r>
      <w:bookmarkEnd w:id="268"/>
    </w:p>
    <w:p>
      <w:pPr>
        <w:pStyle w:val="Heading3"/>
        <w:numPr>
          <w:ilvl w:val="2"/>
          <w:numId w:val="1"/>
        </w:numPr>
        <w:rPr/>
      </w:pPr>
      <w:bookmarkStart w:id="269" w:name="__RefHeading___Toc1903123_581953129"/>
      <w:bookmarkStart w:id="270" w:name="_Toc97"/>
      <w:bookmarkEnd w:id="269"/>
      <w:r>
        <w:rPr>
          <w:rtl w:val="true"/>
        </w:rPr>
        <w:t>اشاره</w:t>
      </w:r>
      <w:bookmarkEnd w:id="270"/>
    </w:p>
    <w:p>
      <w:pPr>
        <w:pStyle w:val="BookText"/>
        <w:rPr/>
      </w:pPr>
      <w:r>
        <w:rPr>
          <w:rFonts w:ascii="IRNazanin" w:hAnsi="IRNazanin" w:eastAsia="IRNazanin"/>
          <w:color w:val="111111"/>
          <w:sz w:val="28"/>
          <w:sz w:val="28"/>
          <w:szCs w:val="28"/>
          <w:rtl w:val="true"/>
          <w:lang w:bidi="fa-IR"/>
        </w:rPr>
        <w:t>یدالله حاجی‌زاده</w:t>
      </w:r>
    </w:p>
    <w:p>
      <w:pPr>
        <w:pStyle w:val="BookText"/>
        <w:rPr/>
      </w:pPr>
      <w:r>
        <w:rPr>
          <w:rFonts w:ascii="IRNazanin" w:hAnsi="IRNazanin" w:eastAsia="IRNazanin"/>
          <w:color w:val="111111"/>
          <w:sz w:val="28"/>
          <w:sz w:val="28"/>
          <w:szCs w:val="28"/>
          <w:rtl w:val="true"/>
          <w:lang w:bidi="fa-IR"/>
        </w:rPr>
        <w:t>یدالله حاجی‌زاده</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امیر‌علی حسنلو</w:t>
      </w:r>
      <w:r>
        <w:rPr>
          <w:rStyle w:val="FootnoteAnchor"/>
          <w:rtl w:val="true"/>
        </w:rPr>
        <w:footnoteReference w:id="62"/>
      </w:r>
    </w:p>
    <w:p>
      <w:pPr>
        <w:pStyle w:val="Heading3"/>
        <w:numPr>
          <w:ilvl w:val="2"/>
          <w:numId w:val="1"/>
        </w:numPr>
        <w:rPr/>
      </w:pPr>
      <w:bookmarkStart w:id="271" w:name="__RefHeading___Toc1903125_581953129"/>
      <w:bookmarkStart w:id="272" w:name="_Toc98"/>
      <w:bookmarkEnd w:id="271"/>
      <w:r>
        <w:rPr>
          <w:rtl w:val="true"/>
        </w:rPr>
        <w:t>چکیده</w:t>
      </w:r>
      <w:bookmarkEnd w:id="272"/>
    </w:p>
    <w:p>
      <w:pPr>
        <w:pStyle w:val="BookText"/>
        <w:rPr/>
      </w:pPr>
      <w:r>
        <w:rPr>
          <w:rFonts w:ascii="IRNazanin" w:hAnsi="IRNazanin" w:eastAsia="IRNazanin"/>
          <w:color w:val="111111"/>
          <w:sz w:val="28"/>
          <w:sz w:val="28"/>
          <w:szCs w:val="28"/>
          <w:rtl w:val="true"/>
          <w:lang w:bidi="fa-IR"/>
        </w:rPr>
        <w:t>این مقاله با بررسی گزاره‌های تاریخی دربارۀ رفتارهای خشونت‌آمیزی که با اسیران در صدر اسلام صورت گرفته به این نتیجه دست‌یافت که دسته‌ای از این گزارش‌ها به‌جهت ضعف سند، بی‌اعتبار بوده و برخی دیگر بدون ذکر سند و دلایل تاریخی، رویداد‌های تحریف شده‌ای ارائه نموده‌اند که دستاویز گروه‌های تکفیری همچون داعش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مستشرقان و دشمنان پیامبراکرم صلی الله علیه و آله با هدف اسلام‌هراسی، رویداد‌ها را وارونه جلوه می‌دهند و زمینۀ انتساب خشونت به اسلام را فراهم می‌آورند تا سیمای خشنی از اسلام ارائه دهند و مانع گرایش دیگران به اسلام و مکتب اهل‌بیت علیهم السلام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در‌حال‌حاضر این رویکرد دین‌ستیزانه با ظهور داعش خیزش دوباره یافته است؛ استعمار نو رفتارهای جاهلانه، خشونت‌بار و غیرانسانی آنان را با استناد به گزاره‌های تاریخی نادرست، دستاویز تبلیغی خود برای اسلام‌ستیزی و نیز علیه پیامبر صلی الله علیه و آله و امیرمؤمنان علیه السلام قرار داده‌اند؛ این مقاله به بررسی دقیق این گزاره‌ها و علل وقوع آنها پرداخته و به این نتیجه رسید که انتساب رفتارهای خشن و کشتار اسیران به پیامبر گرامی اسلام صلی الله علیه و آله و امیرمؤمنان علیه السلام با هدف اسلام‌هراسی و انگیزه‌های کینه‌توزانه صورت گرفته است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 واژگان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سیرۀ پیامبر صلی الله علیه و آله، سیرۀ امام‌علی علیه السلام، کشتار اسیران، داعش، خشونت</w:t>
      </w:r>
      <w:r>
        <w:rPr>
          <w:rFonts w:eastAsia="IRNazanin" w:cs="IRNazanin"/>
          <w:color w:val="111111"/>
          <w:sz w:val="28"/>
          <w:szCs w:val="28"/>
          <w:rtl w:val="true"/>
          <w:lang w:bidi="fa-IR"/>
        </w:rPr>
        <w:t xml:space="preserve">. </w:t>
      </w:r>
      <w:bookmarkStart w:id="273" w:name="pg5444_51522"/>
    </w:p>
    <w:p>
      <w:pPr>
        <w:pStyle w:val="Heading3"/>
        <w:numPr>
          <w:ilvl w:val="2"/>
          <w:numId w:val="1"/>
        </w:numPr>
        <w:rPr/>
      </w:pPr>
      <w:bookmarkStart w:id="274" w:name="__RefHeading___Toc1903127_581953129"/>
      <w:bookmarkStart w:id="275" w:name="_Toc99"/>
      <w:bookmarkEnd w:id="273"/>
      <w:bookmarkEnd w:id="274"/>
      <w:r>
        <w:rPr>
          <w:rtl w:val="true"/>
        </w:rPr>
        <w:t>مقدمه</w:t>
      </w:r>
      <w:bookmarkEnd w:id="275"/>
    </w:p>
    <w:p>
      <w:pPr>
        <w:pStyle w:val="BookText"/>
        <w:rPr/>
      </w:pPr>
      <w:r>
        <w:rPr>
          <w:rFonts w:ascii="IRNazanin" w:hAnsi="IRNazanin" w:eastAsia="IRNazanin"/>
          <w:color w:val="111111"/>
          <w:sz w:val="28"/>
          <w:sz w:val="28"/>
          <w:szCs w:val="28"/>
          <w:rtl w:val="true"/>
          <w:lang w:bidi="fa-IR"/>
        </w:rPr>
        <w:t>از دیرباز، گسترش دامنۀ دین اسلام در جهان، دشمنان اسلام را به وحشت انداخته بود؛ ازاین‌رو آنان برای مقابله با اسلام تدابیری اندیشیدند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تدابیر آنان مقابلۀ راهبردی با گسترش جغرافیایی و قلمرویی دین اسلام بود؛ جنگ‌افروزی اولین راهبرد غرب در برابر نفوذ اسلام در دل‌های مردم جهان به‌ویژه اروپا بود که پیدایش جنگ‌های صلیبی نمونۀ بارز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دیگر آنان برای مقابله با اسلام، تجزیۀ قلمرو اسلامی بود که طی جنگ‌های تحمیلی جهانی علیه اسلام این توطئه را اجرا نموده و قلمرو اسلامی را به کشورهای کوچک تقسیم نمودند؛ به‌گونه‌ای که امپراطوری بزرگ عثمانی که میراث‌دار خلافت اسلامی بود به کشورهایی کوچک با مرزهای ساختگی تقسیم گردید که زبان، نژاد و قومیت در آن یکی از عناصر مرزبندی به‌شمار می‌آمد تا بحران مرزی و نزاع‌های قومی و نژادی همیشگی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دیگری که آنان برای مقابله با گسترش فرهنگ و عقاید اسلامی در پیش گرفتند، تخریب هویتی از درون بود؛ بدین‌گونه که عقاید جوانان مسلمان را با ترویج ابتذال اخلاقی و عقیدتی، اشاعۀ فحشا، منکرات و مسکرات هدف تیرهای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برای ارائۀ چهرۀ خشن از اسلام با برنامه‌ریزی دقیق و هدف‌گذاری خاص و ریشه‌ای شروع به تخریب شخصیت پیامبر گرامی اسلام صلی الله علیه و آله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علاوه‌براین، برای نهادینه کردن فعالیت‌های ضد اسلامی خود، مرکز و رشته‌ای به‌نام استشراق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شرق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دانشگاه‌های غرب تأسیس کردند که دارای زیرشاخه‌هایی همچون ایران‌شناسی، اسلام‌شناسی، زبان‌شناسی، شیعه‌شناسی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برای هر یک از کشورهای اسلامی به تناسب زمان، مکان، زبان و ملیت شاخه‌های تخصصی تعریف کرده و به مطالعۀ موردی و جزئی در آنها پرداختند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مستشرقان درهمین‌راستا با مطالعه در متون اسلامی و تصحیح نسخه های خطی منابع اسلامی به نشر آن پرداختند و ضمن آن با آشنایی با گزاره‌های ضعیف، نقطه‌ضعف‌هایی را در منابع اسلامی یافتند که برای برجسته نمودن و استفادۀ مغرضانۀ از آنها به تخریب چهرۀ شخصیت‌های بزرگ اسلامی ازجمله پیامبراکرم صلی الله علیه و آله و </w:t>
      </w:r>
      <w:bookmarkStart w:id="276" w:name="pg5444_51523"/>
    </w:p>
    <w:p>
      <w:pPr>
        <w:pStyle w:val="BookText"/>
        <w:rPr/>
      </w:pPr>
      <w:bookmarkEnd w:id="276"/>
      <w:r>
        <w:rPr>
          <w:rFonts w:ascii="IRNazanin" w:hAnsi="IRNazanin" w:eastAsia="IRNazanin"/>
          <w:color w:val="111111"/>
          <w:sz w:val="28"/>
          <w:sz w:val="28"/>
          <w:szCs w:val="28"/>
          <w:rtl w:val="true"/>
          <w:lang w:bidi="fa-IR"/>
        </w:rPr>
        <w:t>امیرمومنان علیه السلام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این شیوه را برای مقابلۀ با روند گسترش اسلام مناسب دیدند و مقاله‌های توهین‌آمیزی در مجلات مختلف و دائرةالمعارف‌های خود منتشر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تا به امروز ادامه یافته و مستشرقان با نوشتن چنین مقالاتی دربارۀ پیامبر صلی الله علیه و آله به سیاه‌نمایی علیه اسلام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پیدایش فرقه‌های منحرفی همچون القاعده، طالبان و داعش که رفتارهای خشن و غیرانسانی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سربریدن انسان‌های بی‌گناه و جگر به دندان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داده و رفتار‌های وحشیانۀ خود را به سیرۀ پیامبر گرامی اسلام صلی الله علیه و آله و اسلام منتسب می‌نمایند، این گونه حمله‌های فرهنگی شدت یافته و ریشه‌های دین اسلام مورد هجوم تند مستشرقان قرار گرفته است؛ این مقاله با بررسی گزاره‌های تاریخی به این‌گونه اتهامات که در سایت‌ها و فضای مجازی منتشر شده است، پاسخ می‌دهد</w:t>
      </w:r>
      <w:r>
        <w:rPr>
          <w:rFonts w:eastAsia="IRNazanin" w:cs="IRNazanin"/>
          <w:color w:val="111111"/>
          <w:sz w:val="28"/>
          <w:szCs w:val="28"/>
          <w:rtl w:val="true"/>
          <w:lang w:bidi="fa-IR"/>
        </w:rPr>
        <w:t>.</w:t>
      </w:r>
    </w:p>
    <w:p>
      <w:pPr>
        <w:pStyle w:val="Heading3"/>
        <w:numPr>
          <w:ilvl w:val="2"/>
          <w:numId w:val="1"/>
        </w:numPr>
        <w:rPr/>
      </w:pPr>
      <w:bookmarkStart w:id="277" w:name="__RefHeading___Toc1903129_581953129"/>
      <w:bookmarkStart w:id="278" w:name="_Toc100"/>
      <w:bookmarkEnd w:id="277"/>
      <w:r>
        <w:rPr>
          <w:rtl w:val="true"/>
        </w:rPr>
        <w:t>الف</w:t>
      </w:r>
      <w:r>
        <w:rPr>
          <w:rtl w:val="true"/>
        </w:rPr>
        <w:t xml:space="preserve">) </w:t>
      </w:r>
      <w:r>
        <w:rPr>
          <w:rtl w:val="true"/>
        </w:rPr>
        <w:t>علل و مبانی پیدایش خشونت در جوامع اسلامی</w:t>
      </w:r>
      <w:bookmarkEnd w:id="278"/>
    </w:p>
    <w:p>
      <w:pPr>
        <w:pStyle w:val="Heading4"/>
        <w:numPr>
          <w:ilvl w:val="3"/>
          <w:numId w:val="1"/>
        </w:numPr>
        <w:rPr/>
      </w:pPr>
      <w:bookmarkStart w:id="279" w:name="__RefHeading___Toc1903131_581953129"/>
      <w:bookmarkStart w:id="280" w:name="_Toc101"/>
      <w:bookmarkEnd w:id="279"/>
      <w:r>
        <w:rPr>
          <w:rtl w:val="true"/>
        </w:rPr>
        <w:t>اشاره</w:t>
      </w:r>
      <w:bookmarkEnd w:id="280"/>
    </w:p>
    <w:p>
      <w:pPr>
        <w:pStyle w:val="BookText"/>
        <w:rPr/>
      </w:pPr>
      <w:r>
        <w:rPr>
          <w:rFonts w:ascii="IRNazanin" w:hAnsi="IRNazanin" w:eastAsia="IRNazanin"/>
          <w:color w:val="111111"/>
          <w:sz w:val="28"/>
          <w:sz w:val="28"/>
          <w:szCs w:val="28"/>
          <w:rtl w:val="true"/>
          <w:lang w:bidi="fa-IR"/>
        </w:rPr>
        <w:t>خشونت و رفتارهای تندی که از سوی گروه‌های مختلف در طول تاریخ صادر شده است؛ گاهی به نام اصل دین، پیشوایان راستین و پیامبر عظیم‌الشأن صلی الله علیه و آله منتشر می‌شود؛ درحالی‌که در اسلام چیزی به‌نام خشونت وجود ندارد؛ این واژه پیش‌تر از سوی مستشرقان دربارۀ قوانین و حدود اسلامی به‌کار گرفته شد و به ادبیات جهانی افزوده گردید تا اسلام‌هراسی را در جوامع غربی نهادینه کنند و از اسلام، دینی خشن و چهره‌ای خشونت‌گرا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در کشورهای اسلامی نا‌آگاهانه به آن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دستاویز مستشرقان در این ادبیات‌سازی، گفتارها و رفتارهای تند گروه‌های مختلف بوده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زمینه‌های خشونت در میان مسلمانان را می‌توان در عوامل ذیل جستجو کرد</w:t>
      </w:r>
      <w:r>
        <w:rPr>
          <w:rFonts w:eastAsia="IRNazanin" w:cs="IRNazanin"/>
          <w:color w:val="111111"/>
          <w:sz w:val="28"/>
          <w:szCs w:val="28"/>
          <w:rtl w:val="true"/>
          <w:lang w:bidi="fa-IR"/>
        </w:rPr>
        <w:t xml:space="preserve">: </w:t>
      </w:r>
      <w:bookmarkStart w:id="281" w:name="pg5444_51524"/>
    </w:p>
    <w:p>
      <w:pPr>
        <w:pStyle w:val="Heading4"/>
        <w:numPr>
          <w:ilvl w:val="3"/>
          <w:numId w:val="1"/>
        </w:numPr>
        <w:rPr/>
      </w:pPr>
      <w:bookmarkStart w:id="282" w:name="__RefHeading___Toc1903133_581953129"/>
      <w:bookmarkStart w:id="283" w:name="_Toc102"/>
      <w:bookmarkEnd w:id="281"/>
      <w:bookmarkEnd w:id="282"/>
      <w:r>
        <w:rPr/>
        <w:t>1</w:t>
      </w:r>
      <w:r>
        <w:rPr>
          <w:rtl w:val="true"/>
        </w:rPr>
        <w:t xml:space="preserve">. </w:t>
      </w:r>
      <w:r>
        <w:rPr>
          <w:rtl w:val="true"/>
        </w:rPr>
        <w:t>فقدان عدالت</w:t>
      </w:r>
      <w:bookmarkEnd w:id="283"/>
    </w:p>
    <w:p>
      <w:pPr>
        <w:pStyle w:val="BookText"/>
        <w:rPr/>
      </w:pPr>
      <w:r>
        <w:rPr>
          <w:rFonts w:ascii="IRNazanin" w:hAnsi="IRNazanin" w:eastAsia="IRNazanin"/>
          <w:color w:val="111111"/>
          <w:sz w:val="28"/>
          <w:sz w:val="28"/>
          <w:szCs w:val="28"/>
          <w:rtl w:val="true"/>
          <w:lang w:bidi="fa-IR"/>
        </w:rPr>
        <w:t>عدالت یکی از اصول پذیرفتۀ تمام عقلای انسانی است که در تعدیل، قوام و ترقی حکومت‌ها، جوامع و تمدن‌ها نقش اساسی داشته است؛ یکی از اساسی‌ترین عوامل شکل‌گیری خشونت در جهان اسلام و کشورهای اسلامی فقدان عدالت اجتماعی و محرومیت‌هایی اقتصادی، فرهنگی و تربیتی است؛ وقتی ثروت و امکانات جامعه در طبقۀ خاص حاکمیت و پیرامون آن تقسیم شود و امکانات فرهنگی در جامعه با عدالت به همگان توزیع نیابد، نتیجۀ این مدیریت غلط سیاسی این خواهد شد که بخشی از اقشار و لایه‌های اجتماعی از امکانات فرهنگی و آموزشی محروم بمانند؛ این اولین گام برای شکل‌گیری لایه‌های نا‌آگاه و بستری برای رویش و تولید خشونت و دیگر آسیب‌های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محرومیت از دریافت آموزش درست و اصولی، بخشی از جامعه را در ناآگاهی سترگی نگه خواهد داشت؛ درحالی‌که هیچ دینی همچون اسلام با جهل و نا‌آگاهی مبارزه نکرد و از آن برحذر نداشت به‌طوری‌که در راه زدودن جهالت بهترین نفس‌ها و خون‌ها ریخته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شیخ‌طوسی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پیامبراکرم صلی الله علیه و آله، اساس دین خود را به علم و آگاهی بنیان نهاد؛ امیرمؤمنان علیه السلام بزرگترین دشمن انسان را ناآگاهی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بنیان خشونت در جامعه بر اثر رفتارهای غیراسلامی، سیاست‌های نادرست، تقسیم نا‌عادلانه ثروت و جهل و نا‌آگاهی اقشار جامعه شکل می‌گیرد؛ از علل مهم شکل‌گیری گستردۀ خشونت کشورهای فقیری هستند که نا‌عدالتی‌های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 طولانی‌مدت قدرت و مدیریت در فرد یا طبقه، گروه و طایفۀ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ناعدالتی‌های فرهنگی و اقتصادی در آنها موج می‌زند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برخی از کشورهای اسلامی این آسیب بزرگ به‌وضوح دیده می‌شود؛ استیلای طولانی حکومت‌ها و حاکمان خودکامه در برخی از کشورها ازجمله عربستان سعودی که مهمترین نقطۀ خیزش گروه‌های خشونت‌گرا می‌باشد، بهترین نمونۀ محسوس از نتیجۀ بی‌عدالتی‌های سیاسی و اقتصادی است؛ چراکه در این کشورها ثروت، قدرت و بهره‌مندی‌های مادی در طبقۀ خاص منحصر شده است و فقر فراگیر فرهنگی در این </w:t>
      </w:r>
      <w:bookmarkStart w:id="284" w:name="pg5444_51525"/>
    </w:p>
    <w:p>
      <w:pPr>
        <w:pStyle w:val="BookText"/>
        <w:rPr/>
      </w:pPr>
      <w:bookmarkEnd w:id="284"/>
      <w:r>
        <w:rPr>
          <w:rFonts w:ascii="IRNazanin" w:hAnsi="IRNazanin" w:eastAsia="IRNazanin"/>
          <w:color w:val="111111"/>
          <w:sz w:val="28"/>
          <w:sz w:val="28"/>
          <w:szCs w:val="28"/>
          <w:rtl w:val="true"/>
          <w:lang w:bidi="fa-IR"/>
        </w:rPr>
        <w:t>کشورها به‌جهت توسعه‌نیافتگی فرهنگ و آگاهی‌های علمی، مدنی، اجتماعی، حقوقی و عدم دسترسی کامل به ابزارهای آموزشی مناسب و متوازن به‌تدریج طبقۀ بزرگی را در لایه‌های جامعه شکل می‌دهد که بستری برای رویش بذر خشونت خواهد بود؛ ازاین‌رو بخشی از لایه‌های خشونت و شکل‌گیری آن به این نوع حاکمیت نا‌عادلانه مرتبط است که در جای خود نیازمند بحث و بررسی می‌باشد</w:t>
      </w:r>
      <w:r>
        <w:rPr>
          <w:rFonts w:eastAsia="IRNazanin" w:cs="IRNazanin"/>
          <w:color w:val="111111"/>
          <w:sz w:val="28"/>
          <w:szCs w:val="28"/>
          <w:rtl w:val="true"/>
          <w:lang w:bidi="fa-IR"/>
        </w:rPr>
        <w:t>.</w:t>
      </w:r>
    </w:p>
    <w:p>
      <w:pPr>
        <w:pStyle w:val="Heading4"/>
        <w:numPr>
          <w:ilvl w:val="3"/>
          <w:numId w:val="1"/>
        </w:numPr>
        <w:rPr/>
      </w:pPr>
      <w:bookmarkStart w:id="285" w:name="__RefHeading___Toc1903135_581953129"/>
      <w:bookmarkStart w:id="286" w:name="_Toc103"/>
      <w:bookmarkEnd w:id="285"/>
      <w:r>
        <w:rPr/>
        <w:t>2</w:t>
      </w:r>
      <w:r>
        <w:rPr>
          <w:rtl w:val="true"/>
        </w:rPr>
        <w:t xml:space="preserve">. </w:t>
      </w:r>
      <w:r>
        <w:rPr>
          <w:rtl w:val="true"/>
        </w:rPr>
        <w:t>برداشت‌های ناصواب از آموزه‌های دینی</w:t>
      </w:r>
      <w:bookmarkEnd w:id="286"/>
    </w:p>
    <w:p>
      <w:pPr>
        <w:pStyle w:val="BookText"/>
        <w:rPr/>
      </w:pPr>
      <w:r>
        <w:rPr>
          <w:rFonts w:ascii="IRNazanin" w:hAnsi="IRNazanin" w:eastAsia="IRNazanin"/>
          <w:color w:val="111111"/>
          <w:sz w:val="28"/>
          <w:sz w:val="28"/>
          <w:szCs w:val="28"/>
          <w:rtl w:val="true"/>
          <w:lang w:bidi="fa-IR"/>
        </w:rPr>
        <w:t>ازجمله عوامل زیربنایی شکل‌گیری خشونت و خشونت‌های خارج از اصول دین و قانون که از عامل نخست سرچشمه می‌گیرد، عدم دسترسی به ابزارهای درست فرهنگی و آموزشی است که سبب شکل‌گیری مراکزی خارج از ساختارهای قانونی و منضبط برای تعلیم و آموزش آموزه‌های دینی می‌گردد؛ شکافی که در سایۀ این بی‌عدالتی در جامعه به‌وجود می‌آید، باعث شکل‌گیری مراکزی برای پُر کردن خلأ‌های فرهنگی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نواحی مراکزی برای تعلیم کودکان و بزرگسالان شکل می‌گیرد؛ گسترش این مراکز در لایه‌های فقیر اجتماعی در کشورهایی نظیر پاکستان و عربستان و برخی از کشورهای آفریقایی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شدت فقر به این مراکز روی می‌آورند روز افزون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 و گسترش این مراکز با حمایت‌های مالی ویژه‌ای از سوی نهادهای نفوذی بیگانگان، برای نهادینه و هدف‌مند کردن خشونت‌ها انجام می‌پذیرد و این گونه مراکز از سوی نهادهای نفوذی بیگانگان به صورت آشکار و پنهان حمایت می‌شوند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جذب کودکان و جوانان به‌ظاهر برای آموزش آموزه‌های دینی است؛ اما درواقع برنامه‌های خاص و منابع ویژه‌ای برای آموزش و نهادینۀ کردن خشونت مد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مراکز پس از حفظ قرآن و برخی از متون روایی، فضای فکری و ذهنی افراد تحت تعلیم، به‌کلی در فضای سخت و خشن قرار گرفته و شخصیت اولیه در این شرایط شکل می‌گیرد؛ پس از این مرحلۀ، مراحل آموزش خشونت با تفسیرهای تند از برخی از آیات قرآن، برداشت‌های نا‌صواب و منحرف خشونت‌محور از روایات </w:t>
      </w:r>
      <w:bookmarkStart w:id="287" w:name="pg5444_51526"/>
    </w:p>
    <w:p>
      <w:pPr>
        <w:pStyle w:val="BookText"/>
        <w:rPr/>
      </w:pPr>
      <w:bookmarkEnd w:id="287"/>
      <w:r>
        <w:rPr>
          <w:rFonts w:ascii="IRNazanin" w:hAnsi="IRNazanin" w:eastAsia="IRNazanin"/>
          <w:color w:val="111111"/>
          <w:sz w:val="28"/>
          <w:sz w:val="28"/>
          <w:szCs w:val="28"/>
          <w:rtl w:val="true"/>
          <w:lang w:bidi="fa-IR"/>
        </w:rPr>
        <w:t>نبوی صلی الله علیه و آله بخشی از پروسۀ خشونت‌سازی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منابع دیگری که در این فضاهای تعلیمی مورد استفاده قرار می‌گیرد، منابع فرقه‌ای است که گزاره‌های روایی ساختگی خشونت‌محور در آنها موج می‌زند؛ فتواهای فرقه‌گرایانه،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ابن‌تیمیه،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تفسیرهای تند فرقه‌ای و برداشت‌های انحراف‌آمیز به نیروی تحت آموزش منتقل شده و چهره‌ای خشن و نمادی از خشونت آمیخته با دین در شخصیت آنان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افراد برای اجرای آموخته‌های خود در گروه‌های مختلف جذب شده و جنایاتی هولناکی به‌نام دین و پیشوای بزرگ اسلام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تاریخ نیز نمونه‌هایی از این گروه‌ها و رفتارها وجود داشته است؛ گروه‌هایی که معاویه برای ایجاد نا‌امنی در قلمرو اسلامی و برای رویارویی با حکومت علوی و نا‌امن جلوه دادن آن شکل داد؛ نمونۀ آشکاری از شکل‌دهی خشونت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Heading4"/>
        <w:numPr>
          <w:ilvl w:val="3"/>
          <w:numId w:val="1"/>
        </w:numPr>
        <w:rPr/>
      </w:pPr>
      <w:bookmarkStart w:id="288" w:name="__RefHeading___Toc1903137_581953129"/>
      <w:bookmarkStart w:id="289" w:name="_Toc104"/>
      <w:bookmarkEnd w:id="288"/>
      <w:r>
        <w:rPr/>
        <w:t>3</w:t>
      </w:r>
      <w:r>
        <w:rPr>
          <w:rtl w:val="true"/>
        </w:rPr>
        <w:t xml:space="preserve">. </w:t>
      </w:r>
      <w:r>
        <w:rPr>
          <w:rtl w:val="true"/>
        </w:rPr>
        <w:t>رفتار حاکمان</w:t>
      </w:r>
      <w:bookmarkEnd w:id="28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تاریخ اسلام، پس از رحلت پیامبر گرامی اسلام صلی الله علیه و آله انحراف سیاسی بزرگی در جامعه به‌وجود آمد که پیامدهای زیادی در پی داشت؛ یکی از پیامدهای آن پیدایش شکاف و فاصله در لایه‌های اجتماعی جامعه اسلامی بود؛ حاکمیتی که بدون مبنای درست بر جایگاه پیامبر صلی الله علیه و آله تکیه زد و شأنی ساختگی برای خود ایجاد کرد، باعث شد که رفتارهای صادره از این منصب منتسب به پیامبر صلی الله علیه و آله و به نام اسلام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قرن‌ها این روند استمرار یافت و تشکیلاتی به‌نام خلافت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 عباسی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به‌وجود آمد که همۀ رفتارهای صادره از این نهاد، مقبولیت و حجیت عمومی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کژروی‌های صاحب‌منصبان این حکومت‌ها در گسترۀ تاریخ اسلام تأثیر عمیق نهاد و باعث شکل‌گیری گروه‌های تند و متعصبی همچون خوارج شد که تکفیر دیگران، قتل و غارت، آتش زدن خانه و نفوس ازجمله رفتارهای خشن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درهمین‌راستا اندیشه‌هایی تولید گردید و کتاب‌هایی نگاشته شد که توجیه‌گر رفتارهای خشن آنها بود و سبب تشدید رفتارهای خشن آنها گردید</w:t>
      </w:r>
      <w:r>
        <w:rPr>
          <w:rFonts w:eastAsia="IRNazanin" w:cs="IRNazanin"/>
          <w:color w:val="111111"/>
          <w:sz w:val="28"/>
          <w:szCs w:val="28"/>
          <w:rtl w:val="true"/>
          <w:lang w:bidi="fa-IR"/>
        </w:rPr>
        <w:t xml:space="preserve">. </w:t>
      </w:r>
      <w:bookmarkStart w:id="290" w:name="pg5444_51527"/>
    </w:p>
    <w:p>
      <w:pPr>
        <w:pStyle w:val="BookText"/>
        <w:rPr/>
      </w:pPr>
      <w:bookmarkEnd w:id="290"/>
      <w:r>
        <w:rPr>
          <w:rFonts w:ascii="IRNazanin" w:hAnsi="IRNazanin" w:eastAsia="IRNazanin"/>
          <w:color w:val="111111"/>
          <w:sz w:val="28"/>
          <w:sz w:val="28"/>
          <w:szCs w:val="28"/>
          <w:rtl w:val="true"/>
          <w:lang w:bidi="fa-IR"/>
        </w:rPr>
        <w:t>این عوامل ازجمله علل مبنایی به‌وجود آورنده خشونت در جهان اسلام گردید؛ براساس همین دیدگاه‌ها و روش‌ها گروه‌های مختلف سر برآورده در جهان اسلام رفتارهای خشن از خود بروز داده و آن را به حاکمان و سیرۀ و سنت آنان نسبت می‌دهند؛ گروه‌هایی چون القاعده و طالبان از این رفتارهای دهشتناک به‌وفور نشان داده‌اند؛ گروه موسوم به داعش رفتارهای خشن خود مانندِ آتش زدن انسان‌ها، دریدن و تکه‌تکه کردن بدن انسان‌های زنده را به رفتار خلفا و فتوای فقهای فرقه‌های خاص مستند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توجیه و مشروعیت دادن در به آتش زدن انسان‌ها و منازل مردم به رفتارهای افرادی چون خالد در واقعۀ رده تمسک می‌کنند که در عصر خلفا روی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در طول تاریخ اسلام و در مقاطعی از حاکمیت‌ها و نظامیان و امرای حاکمان در صدر اسلام سرزده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ابن‌واضح،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رفتارها در طول تاریخ اسلام گاهی تکرار شده و برای این‌گونه گروه‌ها الگو به‌شمار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بینش گروهی از فرقه‌های اسلامی، معیار مشروعیت رفتارهای شرعی و سیاسی از منابعی چون سیرۀ صحابه و رفتار آنان فارغ از درست و نادرست بودن آن اخذ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w:t>
      </w:r>
    </w:p>
    <w:p>
      <w:pPr>
        <w:pStyle w:val="Heading4"/>
        <w:numPr>
          <w:ilvl w:val="3"/>
          <w:numId w:val="1"/>
        </w:numPr>
        <w:rPr/>
      </w:pPr>
      <w:bookmarkStart w:id="291" w:name="__RefHeading___Toc1903139_581953129"/>
      <w:bookmarkStart w:id="292" w:name="_Toc105"/>
      <w:bookmarkEnd w:id="291"/>
      <w:r>
        <w:rPr/>
        <w:t>4</w:t>
      </w:r>
      <w:r>
        <w:rPr>
          <w:rtl w:val="true"/>
        </w:rPr>
        <w:t xml:space="preserve">. </w:t>
      </w:r>
      <w:r>
        <w:rPr>
          <w:rtl w:val="true"/>
        </w:rPr>
        <w:t>دخالت‌های بیگانگان</w:t>
      </w:r>
      <w:bookmarkEnd w:id="292"/>
    </w:p>
    <w:p>
      <w:pPr>
        <w:pStyle w:val="BookText"/>
        <w:rPr/>
      </w:pPr>
      <w:r>
        <w:rPr>
          <w:rFonts w:ascii="IRNazanin" w:hAnsi="IRNazanin" w:eastAsia="IRNazanin"/>
          <w:color w:val="111111"/>
          <w:sz w:val="28"/>
          <w:sz w:val="28"/>
          <w:szCs w:val="28"/>
          <w:rtl w:val="true"/>
          <w:lang w:bidi="fa-IR"/>
        </w:rPr>
        <w:t>استعمارگران به شیوه‌های مختلفی در ایجاد خشونت در کشورهای اسلامی دست دارند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شیوۀ اول؛ همان‌گونه که پیش‌تر گفته شد در جوامع فاقد عدالت همگانی، لایه‌های اجتماعی فقیر شکل می‌گیرد و همین لایه‌ها به‌عنوان شکاف‌های اجتماعی، محل رسوب کینه و عقده‌هایی همچون محرومیت، فقر و کاستی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لایه‌های اجتماعی مستعد نا‌هنجاری‌ها و جرایم اجتماعی است که استعمارگران آن را به‌خوبی شناسایی کرده و پس از مطالعه بر روی این لایه‌ها برای گسترش سلطه و تأمین منافع خود روی این شکاف‌ها سرمایه‌گذاری می‌کنند تا از میان آن، گروه‌های همسو با تأمین اهداف خود را تجهیز فکری و تسلیحاتی نمایند؛ چنان‌که در اعترافات مسئولان این کشورها این گونه دست داشتن‌ها در شکل‌گیری گروه‌های خشونت محور وجود دارد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www.ghatreh.com</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گاهی برای این منظور در تأسیس مدارس دینی سرمایه‌گذاری می‌نمایند که منجر به آموزش‌های انحرافی و تشدید تعصبات فرقه‌ای و دامن زدن به اختلافات فرقه‌ای می‌شود؛ برجسته نمودن این عوامل و تبدیل نمودن گفتمان‌های فرقه‌ای به نزاع، اختلافات و درگیری‌های قومی و مطرح نمودن اختلافات نژادی و زبانی علل دیگری از زایش خشونت است که استعمارگران در قرون اخیر با این راهبردها به اختلاف‌افکنی در میان امت اسلامی پرداخته‌اند؛ بنابراین بخشی از خشونت‌ها و تشدید آنها نیز با دخالت بیگانگان شکل گرفته و توسعه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امروزه دنیای غرب برای جلوگیری از تعطیلی مراکز تولید سلاح که عمدتاً سهامداران و متصدیان آنها صهیونیست‌ها هستند؛ در جهان اسلام و کشورهای عقب‌مانده جنگ‌ها و درگیری‌های قومی و مذهبی به راه انداخته‌اند تا در سایۀ این آشوب‌ها ضمن جلوگیری از گسترش اندیشه‌های اسلامی، درآمدزایی کنند و در نهایت سلطه و دخالت‌های نظامی و سیاسی خود را در هر نقطه از جهان که لازم بدانند، گسترش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دکمیجان،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شیوۀ دوم، این شیوه به تهاجم نظامی بیگانگان در کشورهای اسلامی و کشتار مسلمانان مرتبط است؛ استعمارگران برای سلطۀ سیاسی و جغرافیایی در کشورهای اسلامی با حضور و حملۀ نظامی به این کشورها خشونت را از غرب به میان مسلمانان آوردند؛ جنگ‌های صلیبی نمونه‌ای از این تهاجم‌های خشونت‌بار بود که قرون متمادی استمرار 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رنسیمان،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دوران، پروژۀ تهاجم گستردۀ استعمارگران پرتقال، اسپانیا، ایتالیا، انگلیس و فرانسه به کشورهای اسلامی و اشغال برخی کشورها و به مستعمرۀ خود درآوردن آنها کلید خورد؛ کشورهایی همچون مصر، لیبی، تونس، مراکش و دیگر کشورهای آفریقایی و در خاورمیانه عراق، شامات و بخش‌هایی از ایران و در شبه قارۀ هندوستان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 شدند؛ غارت منابع مادی و معنوی، کشتار مسلمانان و سلطۀ سیاسی و اقتصادی از اهداف مهم این جریان استعماری بود؛ این گونه رفتارهای خشونت‌آمیز استعمارگران منجر به جوانه زدن نهضت مقاومت در میان ملت‌های مسلمان شد و اندیشۀ مقاومت و ایستادگی در مقابل این خشونت‌ها را در اذهان زنده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برخی از این کشورها گروه‌هایی به تشکیل مبارزان و گروه‌های ضد استعماری پرداختند، چنان‌که در لیبی گروهی به رهبری عمرمختار و در مصر اخوانی‌ها و در عراق و شامات نیز این گونه گروه‌های مذهبی مردمی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نیز نهضت‌هایی چون مشروطه‌خواهی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ملک‌زاده،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تشکّل‌های مسلحی در جنوب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جنگل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 با هدایت علمای اسلام شکل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eastAsia="IRNazanin" w:cs="IRNazanin"/>
          <w:color w:val="111111"/>
          <w:sz w:val="28"/>
          <w:szCs w:val="28"/>
          <w:rtl w:val="true"/>
          <w:lang w:bidi="fa-IR"/>
        </w:rPr>
        <w:t>-</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اشغال افغانستان توسط استعمار شرق، مبارزات مسلحانه‌ای نیز در این کشور برای آزادی افغانستان شکل گرفت و سال‌ها جنگ‌های خونین با استعمارگران و اعمال خشونت بار به‌وقوع پیوست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مستشرقان در این شرایط، برای رویارویی و مقابلۀ با این مبارزان و سرکوب آنها از دفاع مسلمانان به خشونت تعبیر کردند و با گزینش بخش‌هایی از صحنه‌های دفاعی و با استناد به آیات و روایات ظلم‌ستیزانه و دارای مفهوم جهاد و دفاع این ادبیات خود را ترویج دادند و از گروه‌های مقاومت به گروه‌هایی بنیاد‌گرا و خشن یاد نمودند و اساس اسلام و محتوای آن را خشونت‌زا معرفی کردند؛ دراین‌راستا تا جایی پیش رفتند که با استفاده از منابع غیرمعتبر فیلم‌ها و کارهای هنری خشونت‌محور به‌نام دین اسلام و سیرۀ پیامبر صلی الله علیه و آله تولید کردند تا مانع رشد و توسعۀ فرهنگ اسلام در میان ملت‌های مختلف شوند؛ با توجه به ریشه‌یابی رفتارهای خشونت‌آمیز در طول تاریخ، صفحات تاریخ جهان حاکی از این حقیقت است که رفتارهای خشن از اندیشۀ امپریالیستی برآمده و با حمایت بلوک سرمایه‌داری غرب در کشورهای جهان سوم ازجمله کشورهای اسلامی نهادینه شده است؛ فقر و عقب‌ماندگی ازجمله علل و ریشه‌های اصلی زایش خشونت است؛ استعمارگران با غارت و یغمای ذخایر مادی، معادن، آثار باستانی و نسخه‌های خطی از کتابخانه‌های کشورهای اسلامی برای خود موزه‌ها و گنجینه‌های ثروت‌زا فراهم نمودند؛ ازسوی‌دیگر با خاموش کردن چرخ تولید صنایع دستی، سنتی و کشاورزی این کشورها را تبدیل به بازار فروش صنایع و محصولات مخرب خود نمودند؛ در بُعد سیاسی نیز حاکمان مستبد و خاندان‌های سلطنتی را به‌عنوان نماینده و مجری سیاست‌های خود بر سرنوشت کشورهای اسلامی مسلط نمودند؛ نتیجۀ این پروسه‌های استعماری گسترش فقر و بیکاری و ایجاد شکاف </w:t>
      </w:r>
      <w:bookmarkStart w:id="293" w:name="pg5444_51530"/>
    </w:p>
    <w:p>
      <w:pPr>
        <w:pStyle w:val="BookText"/>
        <w:rPr/>
      </w:pPr>
      <w:bookmarkEnd w:id="293"/>
      <w:r>
        <w:rPr>
          <w:rFonts w:ascii="IRNazanin" w:hAnsi="IRNazanin" w:eastAsia="IRNazanin"/>
          <w:color w:val="111111"/>
          <w:sz w:val="28"/>
          <w:sz w:val="28"/>
          <w:szCs w:val="28"/>
          <w:rtl w:val="true"/>
          <w:lang w:bidi="fa-IR"/>
        </w:rPr>
        <w:t>طبقاتی در کشورهای جهان سوم و اسلامی شد که علت اساسی همۀ خشونت‌ها، جنگ‌ها و درگیری‌ها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دیگر از عوامل درگیری‌ها و خشونت‌گرایی‌ها که استعمار‌گران به اسلام نسبت می‌دهند درگیرهایی است که منشأ پیدایش آنها سیاست‌های استعماری بوده است؛ در دوره‌ای که آنها برای تجزیۀ امپراطوری اسلامی توطئه‌چینی نمودند؛ قلمرو اسلامی را به کشورهایی بر محور قومیت، نژاد، زبان و مذهب تقسیم نموده و با سیطره و تصاحب خود، مرزهای ساختگی بین ملت‌های اسلامی ایجاد نمودند و امت واحد اسلامی را تجزیه و تکه‌تکه کردند و زخم‌های آن را به جای مرهم، نمک پاشیدند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استعمار‌گران برای استمرار سلطۀ خود به اختلافات فرقه‌ای، نژادی و قومی دامن زدند که همۀ اینها بستر و محل رویش خشونت بوده است</w:t>
      </w:r>
      <w:r>
        <w:rPr>
          <w:rFonts w:eastAsia="IRNazanin" w:cs="IRNazanin"/>
          <w:color w:val="111111"/>
          <w:sz w:val="28"/>
          <w:szCs w:val="28"/>
          <w:rtl w:val="true"/>
          <w:lang w:bidi="fa-IR"/>
        </w:rPr>
        <w:t>.</w:t>
      </w:r>
    </w:p>
    <w:p>
      <w:pPr>
        <w:pStyle w:val="Heading3"/>
        <w:numPr>
          <w:ilvl w:val="2"/>
          <w:numId w:val="1"/>
        </w:numPr>
        <w:rPr/>
      </w:pPr>
      <w:bookmarkStart w:id="294" w:name="__RefHeading___Toc1903141_581953129"/>
      <w:bookmarkStart w:id="295" w:name="_Toc106"/>
      <w:bookmarkEnd w:id="294"/>
      <w:r>
        <w:rPr>
          <w:rtl w:val="true"/>
        </w:rPr>
        <w:t>ب</w:t>
      </w:r>
      <w:r>
        <w:rPr>
          <w:rtl w:val="true"/>
        </w:rPr>
        <w:t xml:space="preserve">) </w:t>
      </w:r>
      <w:r>
        <w:rPr>
          <w:rtl w:val="true"/>
        </w:rPr>
        <w:t>قوانین امنیتی اسلام در سایۀ اصول بازدارنده</w:t>
      </w:r>
      <w:bookmarkEnd w:id="295"/>
    </w:p>
    <w:p>
      <w:pPr>
        <w:pStyle w:val="Heading4"/>
        <w:numPr>
          <w:ilvl w:val="3"/>
          <w:numId w:val="1"/>
        </w:numPr>
        <w:rPr/>
      </w:pPr>
      <w:bookmarkStart w:id="296" w:name="__RefHeading___Toc1903143_581953129"/>
      <w:bookmarkStart w:id="297" w:name="_Toc107"/>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در اسلام، اصلی به‌نام خشونت وجود ندارد؛ در قرآن‌کریم چنین واژه‌ای به‌کار نرفته است؛ در سخن بزرگان دین به چنین چیزی اشاره نشده است؛ آنچه در دین اسلام برای برقراری کامل امنیت فردی، خانوادگی و اجتماعی وجود دارد قوانین و کیفرهای بازدارنده است؛ لذا برای مجرمان جرایم، حدود و مقرراتی در نظر گرفته شده تا جامعه به‌وسیله این مقررات و حدود در آسایش و امنیت کامل به رشد و تعالی خود ادامه دهد؛ این مقررات بازدارنده منحصر به دین اسلام نیست؛ بلکه احکام مشابه و به‌مراتب سخت‌تر از اسلام در تمام ادیان، ملل و نحله‌ها وضع شده است؛ ضمن اینکه در اسلام برای اثبات جرم و اجرای حدود و احکام اسلامی نیز مقررات سخت و دشواری در نظر گرفته شده است که خود این احکام و شرایط جنبۀ بازدارندگی دارد؛ براساس حدیثی از رسول‌خدا صلی الله علیه و آله خداوند اهل مداراست و مدارا کردن را دوست دارد و برای مدارا پاداشی قرار می‌دهد که برای دیگر کنش‌ها نمی‌دهد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118</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قوانین اسلام و اصول آنها بر محور مدارا، برائت، رفتارهای کریمانه، ملایم و نیکو بنیان‌گذاری شده است و مدارا کردن بخش از ایمان به‌شمار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bookmarkStart w:id="298" w:name="pg5444_51531"/>
    </w:p>
    <w:p>
      <w:pPr>
        <w:pStyle w:val="BookText"/>
        <w:rPr/>
      </w:pPr>
      <w:bookmarkEnd w:id="298"/>
      <w:r>
        <w:rPr>
          <w:rFonts w:ascii="IRNazanin" w:hAnsi="IRNazanin" w:eastAsia="IRNazanin"/>
          <w:color w:val="111111"/>
          <w:sz w:val="28"/>
          <w:sz w:val="28"/>
          <w:szCs w:val="28"/>
          <w:rtl w:val="true"/>
          <w:lang w:bidi="fa-IR"/>
        </w:rPr>
        <w:t xml:space="preserve">آنچه در اسلام به‌عنوان خشونت مطرح می‌گردد درحقیقت عنوان نامناسبی است که برخی آن را طراحی و برخی نیز به آن دامن زده‌اند؛ درحالی‌که در قرآن‌کریم واژه‌ای به‌نام خشونت کاربرد نداشته است؛ از قوانین بازدارنده اسلام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که حکمت وضع آنها امنیت عمومی است؛ برای نمونه قصاص را خداوند این‌گونه معرفی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لَکُمْ فِی الْقِصاصِ حَیاةٌ یا أُولِی الْأَلْبابِ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117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شما در قصاص، حیات و زندگی است، ای صاحبان خِرد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قانون بازدارنده وضع نمی‌شد امنیت همۀ جامعه توسط طغیانگران به خطر می‌افتاد؛ قوانین دیگر نیز این‌گونه هستند؛ هیچ‌کدام از اینها دستور ابتدایی نیستند، بلکه همه برای مرحلة پس از صدور جرایم وضع و مقرر شده‌اند؛ در ادامه به نمونه‌هایی از این احکام اشاره می‌شود</w:t>
      </w:r>
      <w:r>
        <w:rPr>
          <w:rFonts w:eastAsia="IRNazanin" w:cs="IRNazanin"/>
          <w:color w:val="111111"/>
          <w:sz w:val="28"/>
          <w:szCs w:val="28"/>
          <w:rtl w:val="true"/>
          <w:lang w:bidi="fa-IR"/>
        </w:rPr>
        <w:t>:</w:t>
      </w:r>
    </w:p>
    <w:p>
      <w:pPr>
        <w:pStyle w:val="Heading4"/>
        <w:numPr>
          <w:ilvl w:val="3"/>
          <w:numId w:val="1"/>
        </w:numPr>
        <w:rPr/>
      </w:pPr>
      <w:bookmarkStart w:id="299" w:name="__RefHeading___Toc1903145_581953129"/>
      <w:bookmarkStart w:id="300" w:name="_Toc108"/>
      <w:bookmarkEnd w:id="299"/>
      <w:r>
        <w:rPr/>
        <w:t>1</w:t>
      </w:r>
      <w:r>
        <w:rPr>
          <w:rtl w:val="true"/>
        </w:rPr>
        <w:t xml:space="preserve">. </w:t>
      </w:r>
      <w:r>
        <w:rPr>
          <w:rtl w:val="true"/>
        </w:rPr>
        <w:t>دفاع در مقابل تجاوز و اِشغال</w:t>
      </w:r>
      <w:bookmarkEnd w:id="300"/>
    </w:p>
    <w:p>
      <w:pPr>
        <w:pStyle w:val="BookText"/>
        <w:rPr/>
      </w:pPr>
      <w:r>
        <w:rPr>
          <w:rFonts w:ascii="IRNazanin" w:hAnsi="IRNazanin" w:eastAsia="IRNazanin"/>
          <w:color w:val="111111"/>
          <w:sz w:val="28"/>
          <w:sz w:val="28"/>
          <w:szCs w:val="28"/>
          <w:rtl w:val="true"/>
          <w:lang w:bidi="fa-IR"/>
        </w:rPr>
        <w:t>دفاع در برابر دشمن و آسیب‌های وی امری ذاتی و در وجود تمام موجودات نهاده شده است؛ انسان که یکی از مصادیق بارز موجودات است برای دفاع از جان و حقوق خود می‌تواند اقدام کند؛ نام این عمل هرگز خشونت نیست؛ بلکه دفاعی مقدس است؛ هر دولت و حکومتی نیز برای دفاع از تمامیت ارضی خود و مقابله با دشمنان تدابیر دفاعی دارد؛ ازاین‌رو هنگام دفاع از جان و هنگام جهاد در راه آزادی انسان‌ها از ظلم و ستم و تجاوز، وضعیت متفاوت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قرآن‌کریم در این مورد، سختگیری بر ستمگران و متجاوزان به حقوق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4"/>
        <w:numPr>
          <w:ilvl w:val="3"/>
          <w:numId w:val="1"/>
        </w:numPr>
        <w:rPr/>
      </w:pPr>
      <w:bookmarkStart w:id="301" w:name="__RefHeading___Toc1903147_581953129"/>
      <w:bookmarkStart w:id="302" w:name="_Toc109"/>
      <w:bookmarkEnd w:id="301"/>
      <w:r>
        <w:rPr/>
        <w:t>2</w:t>
      </w:r>
      <w:r>
        <w:rPr>
          <w:rtl w:val="true"/>
        </w:rPr>
        <w:t xml:space="preserve">. </w:t>
      </w:r>
      <w:r>
        <w:rPr>
          <w:rtl w:val="true"/>
        </w:rPr>
        <w:t>بازدارندگی از جرایم جمعی</w:t>
      </w:r>
      <w:bookmarkEnd w:id="302"/>
    </w:p>
    <w:p>
      <w:pPr>
        <w:pStyle w:val="BookText"/>
        <w:rPr/>
      </w:pPr>
      <w:r>
        <w:rPr>
          <w:rFonts w:ascii="IRNazanin" w:hAnsi="IRNazanin" w:eastAsia="IRNazanin"/>
          <w:color w:val="111111"/>
          <w:sz w:val="28"/>
          <w:sz w:val="28"/>
          <w:szCs w:val="28"/>
          <w:rtl w:val="true"/>
          <w:lang w:bidi="fa-IR"/>
        </w:rPr>
        <w:t xml:space="preserve">گاهی جرایم جمعی و فردی به حدی می‌رسد که امنیت همۀ جامعه به مخاطره می‌افتد و در معرض نابودی قرار می‌گیرد؛ گروهی توطئه می‌کنند تا جامعه، حکومت و شخصیت‌های بزرگ دینی و سیاسی را از هستی ساقط کنند؛ در اینجا همیشه نباید موضع عفو و گذشت را در پیش گرفت؛ زیرا گذشت در برخی از موارد زیانبار و جرئت بخشیدن به ظالم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روایتی امام‌سجاد علیه 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حَقُّ مَنْ سَاءَک أَنْ تَعْفُوَ عَنْهُ و إِنْ عَلِمْتَ أَنَّ الْعَفْوَ یضُرُّ انْتَصَرْتَ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شیخ‌صدوق،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ق، ص</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مجلسی، </w:t>
      </w:r>
      <w:r>
        <w:rPr>
          <w:rFonts w:eastAsia="Amiri" w:cs="Amiri" w:ascii="Amiri" w:hAnsi="Amiri"/>
          <w:color w:val="111111"/>
          <w:sz w:val="28"/>
          <w:szCs w:val="28"/>
          <w:lang w:bidi="ar-SA"/>
        </w:rPr>
        <w:t>1365</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ص</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303" w:name="pg5444_51532"/>
    </w:p>
    <w:p>
      <w:pPr>
        <w:pStyle w:val="BookText"/>
        <w:rPr/>
      </w:pPr>
      <w:bookmarkEnd w:id="303"/>
      <w:r>
        <w:rPr>
          <w:rFonts w:ascii="IRNazanin" w:hAnsi="IRNazanin" w:eastAsia="IRNazanin"/>
          <w:color w:val="111111"/>
          <w:sz w:val="28"/>
          <w:sz w:val="28"/>
          <w:szCs w:val="28"/>
          <w:rtl w:val="true"/>
          <w:lang w:bidi="fa-IR"/>
        </w:rPr>
        <w:t>حق کسی که به تو بدی کند این است که از او بگذری و اگر بدانی گذشت زیان دارد، از او انتقام 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اسلام به این قاعده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بر گونه راست تو سیلی زد، گونه چپ خود را هم برگردان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ندارد مگر در حقوق شخصی و حق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حسین‌احمد خشن در کتاب اسلام و خشونت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و مسیح هر دو در سطح حقوق شخصی به گذشت فرا می‌خوانند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تَعْفُوا أَقْرَبُ لِلتَّقْوی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گذشت کنید، به تقوا نزدیک‌تر است، اما در سطح حقوق اجتماعی و حق همگانی، نه از نگاه محمد صلی الله علیه و آله و نه از نگاه مسیح علیه السلام، روا نیست که قاعده، همان چشم‌پوشی و گذشت باشد؛ زیرا معنایش بی‌ارزش شدن قانون از اساس، حاکمیت قانون جنگل و گسترش هرج و مرج در جامعه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خشن،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304" w:name="__RefHeading___Toc1903149_581953129"/>
      <w:bookmarkStart w:id="305" w:name="_Toc110"/>
      <w:bookmarkEnd w:id="304"/>
      <w:r>
        <w:rPr>
          <w:rtl w:val="true"/>
        </w:rPr>
        <w:t>ج</w:t>
      </w:r>
      <w:r>
        <w:rPr>
          <w:rtl w:val="true"/>
        </w:rPr>
        <w:t xml:space="preserve">) </w:t>
      </w:r>
      <w:r>
        <w:rPr>
          <w:rtl w:val="true"/>
        </w:rPr>
        <w:t>سیرۀ پیامبراعظم صلی الله علیه و آله با اسیران</w:t>
      </w:r>
      <w:bookmarkEnd w:id="305"/>
    </w:p>
    <w:p>
      <w:pPr>
        <w:pStyle w:val="Heading4"/>
        <w:numPr>
          <w:ilvl w:val="3"/>
          <w:numId w:val="1"/>
        </w:numPr>
        <w:rPr/>
      </w:pPr>
      <w:bookmarkStart w:id="306" w:name="__RefHeading___Toc1903151_581953129"/>
      <w:bookmarkStart w:id="307" w:name="_Toc111"/>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پیامبر گرامی اسلام صلی الله علیه و آلهبا الهام از وحی هرگز با اسیران رفتار خشونت‌آمیزی نداشته است؛ بلکه دورۀ اسارت را برای آنان فرصتی برای بازیابی خود، تفکر، خودشناسی و پذیرش آزادانه دین قرار می‌داد؛ گزاره‌های تاریخی فراوانی دربارۀ مهربانی آن حضرت با اسیران و آزاد کردن آنان بدون قید‌و‌شرط یا به شرط تعلیم مسلمانان و نیز دادن غذای خود را به اسیران در سیرۀ آن حضرت وجود دارد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براساس گزارش‌های معتبر تاریخی، پیامبر صلی الله علیه و آله دربارۀ اسیران این اصل را وضع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اسْتَوْصُوا بِالأَسْرَی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رفتار نیکو با اسیران سفارش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یکی از یاران حضرت نسبت به اسیران بدگویی و بدرفتاری می‌کرد حضرت او را منع و سرزنش می‌نمود و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برادرش زیر دست اوست، باید آنچه خود می‌خورد، به او بخوراند و آنچه خود می‌پوشد، به او بپوشاند و بیش از توانش، او را به کار نگیرد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بخاری،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گرامی اسلام صلی الله علیه و آله به‌عنوان مظهر رحمت و عفو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 و خوش‌رفتاری با اسیران را به‌عنوان یکی از اصول مسلم به اصحاب خود می‌آموخت</w:t>
      </w:r>
      <w:r>
        <w:rPr>
          <w:rFonts w:eastAsia="IRNazanin" w:cs="IRNazanin"/>
          <w:color w:val="111111"/>
          <w:sz w:val="28"/>
          <w:szCs w:val="28"/>
          <w:rtl w:val="true"/>
          <w:lang w:bidi="fa-IR"/>
        </w:rPr>
        <w:t xml:space="preserve">. </w:t>
      </w:r>
      <w:bookmarkStart w:id="308" w:name="pg5444_51533"/>
    </w:p>
    <w:p>
      <w:pPr>
        <w:pStyle w:val="BookText"/>
        <w:rPr/>
      </w:pPr>
      <w:bookmarkEnd w:id="308"/>
      <w:r>
        <w:rPr>
          <w:rFonts w:ascii="IRNazanin" w:hAnsi="IRNazanin" w:eastAsia="IRNazanin"/>
          <w:color w:val="111111"/>
          <w:sz w:val="28"/>
          <w:sz w:val="28"/>
          <w:szCs w:val="28"/>
          <w:rtl w:val="true"/>
          <w:lang w:bidi="fa-IR"/>
        </w:rPr>
        <w:t>قرآن‌کریم ضمن بیان واقعه‌ای از تاریخ اسلام که اهل‌بیت علیهم السلام در آن با اسیران خوش‌رفتاری کرده‌اند؛ عمل آنان را شایستۀ تقدیر دانسته و از کسانی که به اسیران اکرام کردند، تجلیل کرده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ویطْعِمُونَ الطَّعامَ عَلی حُبِّهِ مِسْکیناً و یتیماً و أَسیراً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غذای خود را با اینکه به آن نیاز دارند،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می‌دهند، این آیه در شأن اهل‌بیت پیامبر صلی الله علیه و آله که با اسیران این‌گونه رفتاری داشتند و غذای خود را به آنان می‌دادند، نازل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شیخ‌طوسی،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4"/>
        <w:numPr>
          <w:ilvl w:val="3"/>
          <w:numId w:val="1"/>
        </w:numPr>
        <w:rPr/>
      </w:pPr>
      <w:bookmarkStart w:id="309" w:name="__RefHeading___Toc1903153_581953129"/>
      <w:bookmarkStart w:id="310" w:name="_Toc112"/>
      <w:bookmarkEnd w:id="309"/>
      <w:r>
        <w:rPr/>
        <w:t>1</w:t>
      </w:r>
      <w:r>
        <w:rPr>
          <w:rtl w:val="true"/>
        </w:rPr>
        <w:t xml:space="preserve">. </w:t>
      </w:r>
      <w:r>
        <w:rPr>
          <w:rtl w:val="true"/>
        </w:rPr>
        <w:t>رعایت حقوق اسیران</w:t>
      </w:r>
      <w:bookmarkEnd w:id="310"/>
    </w:p>
    <w:p>
      <w:pPr>
        <w:pStyle w:val="BookText"/>
        <w:rPr/>
      </w:pPr>
      <w:r>
        <w:rPr>
          <w:rFonts w:ascii="IRNazanin" w:hAnsi="IRNazanin" w:eastAsia="IRNazanin"/>
          <w:color w:val="111111"/>
          <w:sz w:val="28"/>
          <w:sz w:val="28"/>
          <w:szCs w:val="28"/>
          <w:rtl w:val="true"/>
          <w:lang w:bidi="fa-IR"/>
        </w:rPr>
        <w:t>ابن‌عباس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نسبت به رعایت حقوق اسیران و رسیدگی به آنان توصیه و از آنان حفاظت می‌کرد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فخر رازی،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ازاین‌رو وقتی مسلمانان در جنگ‌ها فردی از مشرکان را اسیر می‌کردند، بنابر سفارش و رفتار پیامبر به بهترین شیوه با او رفتار می‌کردند و حقوقی برای او در نظر گرفته و در این حقوق او را بر خود مقدم می‌داشتند؛ اگر مرکب نداشت او را بر مرکب خود سوار می‌کردند و غذای خود را به او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امام‌سجاد علیه السلام دربارۀ رعایت حقوق اسیر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اسیری بگیرد و مرکبی نداشت تا او را سوار کند حق کشتن او را ندارد باید او آزاد کند و در صورتی که دسترسی به امام عادل ندارد تکلیفش را روشن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امام‌صادق علیه السلام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اسیری چه کافر و چه غیرکافر بگیرد باید به او آب و غذا بدهد و او را در سایه و پناهگاه مناسبی جای دهد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رفتار و سیرۀ رحیمانۀ پیامبر صلی الله علیه و آله با اسیران، مسلمانان را وا می‌داشت که اسیران را در غذا و مرکب بر خود ترجیح دهند و مهربانی با اسیران را به اندازه‌ای رسانند که سرسخت‌ترین دشمنان پیامبر صلی الله علیه و آله، همچون ابوالعاص‌بن‌ربیع و ولید‌بن‌مغیره از رفتار با آنان در اسارت احساس رضایت کنند و در حق انصار دعا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اسیران مسلمان شده دیگر نیز بارها اظهار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خوش‌رفتاری بر اثر توصیۀ پیامبر خدا صلی الله علیه و آله بود که دربارۀ ما به آنها امر کرده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ابن‌جوزی،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bookmarkStart w:id="311" w:name="pg5444_51534"/>
    </w:p>
    <w:p>
      <w:pPr>
        <w:pStyle w:val="Heading4"/>
        <w:numPr>
          <w:ilvl w:val="3"/>
          <w:numId w:val="1"/>
        </w:numPr>
        <w:rPr/>
      </w:pPr>
      <w:bookmarkStart w:id="312" w:name="__RefHeading___Toc1903155_581953129"/>
      <w:bookmarkStart w:id="313" w:name="_Toc113"/>
      <w:bookmarkEnd w:id="311"/>
      <w:bookmarkEnd w:id="312"/>
      <w:r>
        <w:rPr/>
        <w:t>2</w:t>
      </w:r>
      <w:r>
        <w:rPr>
          <w:rtl w:val="true"/>
        </w:rPr>
        <w:t xml:space="preserve">. </w:t>
      </w:r>
      <w:r>
        <w:rPr>
          <w:rtl w:val="true"/>
        </w:rPr>
        <w:t>آزاد کردن اسیران</w:t>
      </w:r>
      <w:bookmarkEnd w:id="313"/>
    </w:p>
    <w:p>
      <w:pPr>
        <w:pStyle w:val="BookText"/>
        <w:rPr/>
      </w:pPr>
      <w:r>
        <w:rPr>
          <w:rFonts w:ascii="IRNazanin" w:hAnsi="IRNazanin" w:eastAsia="IRNazanin"/>
          <w:color w:val="111111"/>
          <w:sz w:val="28"/>
          <w:sz w:val="28"/>
          <w:szCs w:val="28"/>
          <w:rtl w:val="true"/>
          <w:lang w:bidi="fa-IR"/>
        </w:rPr>
        <w:t>اصل دیگری که در سیرۀ پیامبر صلی الله علیه و آله با اسیران وجود داشت، آزاد کردن اسیران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گزارش‌های زیادی دربارۀ آزاد کردن اسیران به شرط تعلیم مسلمانان یا بدون هیچ شرطی و یا با اظهار اسلام یا بدون اظهار اسلام در سیرۀ پیامبر صلی الله علیه و آله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صلی الله علیه و آله در جنگ بدر برخی از اسیران را با گرفتن فدیه آزاد کرد، برخی را که باسواد بودند مأمور کرد به ده نفر از فرزندان مسلمانان خواندن و نوشتن بیاموزند و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دیگر را که نه مالی داشتند و نه سوادی در راه خدا آزاد کرد و از برخی از آنان تعهد گرفت که دیگر در جنگ با رسول‌خدا صلی الله علیه و آله شرکت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ازجمله کسانی که با دادن فدیه آزاد شدند، عباس عموی پیامبر صلی الله علیه و آله، نوفل‌بن‌حارث و عقیل‌بن‌ابی‌طالب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تاریخی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عموی پیامبر از اسلام خویش خبر داد، رسول‌خدا صلی الله علیه و آله ضمن اشاره به آگاهی خداوند از اسلام یا کفر وی، او را به‌خاطر شرکت در نبرد علیه خویش، سرزنش کرد و از وی خواست فدیۀ خود و دو برادرزاده‌اش، نوفل‌بن‌حارث‌بن‌عبدالمطلب و عقیل‌بن‌ابی‌طالب‌بن‌عبدالمطلب و هم پیمانش، عتبه‌بن‌عمرو را پرداخت کند تا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عباس اظهار داشت چنین پولی در اختیار ندارد، رسول‌خدا صلی الله علیه و آله در خبری غیبی از مالی که وی و همسرش ام‌الفضل در زیر زمین پنهان کرده بودند،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با شنیدن این خبر غیبی از یقین خویش به پیامبری رسول‌خدا صلی الله علیه و آله خبر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طبق دستور رسول‌خدا صلی الله علیه و آله برای آزادی خود و افراد مورد نظر، فدیه پرداخت کرد و آزاد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نقلی، بعضی از انصار از رسول‌خدا صلی الله علیه و آله اجازه خواستند تا فدیة عباس را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پیامبر‌اکرم صلی الله علیه و 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شما نمی‌توانید حتی یک درهم از فدیة عباس را کم کنید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گزارش نشان می‌دهد رسول‌خدا صلی الله علیه و آله حتی در مورد عمویش نیز مسامحه نکرد و تبعیض و تفاوتی میان او و دیگران قائل نشد</w:t>
      </w:r>
      <w:r>
        <w:rPr>
          <w:rFonts w:eastAsia="IRNazanin" w:cs="IRNazanin"/>
          <w:color w:val="111111"/>
          <w:sz w:val="28"/>
          <w:szCs w:val="28"/>
          <w:rtl w:val="true"/>
          <w:lang w:bidi="fa-IR"/>
        </w:rPr>
        <w:t xml:space="preserve">. </w:t>
      </w:r>
      <w:bookmarkStart w:id="314" w:name="pg5444_51535"/>
    </w:p>
    <w:p>
      <w:pPr>
        <w:pStyle w:val="BookText"/>
        <w:rPr/>
      </w:pPr>
      <w:bookmarkEnd w:id="314"/>
      <w:r>
        <w:rPr>
          <w:rFonts w:ascii="IRNazanin" w:hAnsi="IRNazanin" w:eastAsia="IRNazanin"/>
          <w:color w:val="111111"/>
          <w:sz w:val="28"/>
          <w:sz w:val="28"/>
          <w:szCs w:val="28"/>
          <w:rtl w:val="true"/>
          <w:lang w:bidi="fa-IR"/>
        </w:rPr>
        <w:t>از دیگر مواردی که رسول‌خدا صلی الله علیه و آله نسبت به اسیران و دشمنان خویش رأفت و مهربانی نشان داد، آزاد‌سازی قبایل خطاکار یهودی بنی‌نضیر و بنی‌قینقاع، یهودیان خیبر، اهالی مکه، اسرای هوازن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این موارد نشان می‌دهد که اصل اولی رسول‌خدا صلی الله علیه و آله دربارۀ اسیران مدارا، مهربانی و آزاد‌سازی آنان بوده است</w:t>
      </w:r>
      <w:r>
        <w:rPr>
          <w:rFonts w:eastAsia="IRNazanin" w:cs="IRNazanin"/>
          <w:color w:val="111111"/>
          <w:sz w:val="28"/>
          <w:szCs w:val="28"/>
          <w:rtl w:val="true"/>
          <w:lang w:bidi="fa-IR"/>
        </w:rPr>
        <w:t>.</w:t>
      </w:r>
    </w:p>
    <w:p>
      <w:pPr>
        <w:pStyle w:val="Heading4"/>
        <w:numPr>
          <w:ilvl w:val="3"/>
          <w:numId w:val="1"/>
        </w:numPr>
        <w:rPr/>
      </w:pPr>
      <w:bookmarkStart w:id="315" w:name="__RefHeading___Toc1903157_581953129"/>
      <w:bookmarkStart w:id="316" w:name="_Toc114"/>
      <w:bookmarkEnd w:id="315"/>
      <w:r>
        <w:rPr/>
        <w:t>3</w:t>
      </w:r>
      <w:r>
        <w:rPr>
          <w:rtl w:val="true"/>
        </w:rPr>
        <w:t xml:space="preserve">. </w:t>
      </w:r>
      <w:r>
        <w:rPr>
          <w:rtl w:val="true"/>
        </w:rPr>
        <w:t>منع کشتن اسیران</w:t>
      </w:r>
      <w:bookmarkEnd w:id="316"/>
    </w:p>
    <w:p>
      <w:pPr>
        <w:pStyle w:val="BookText"/>
        <w:rPr/>
      </w:pPr>
      <w:r>
        <w:rPr>
          <w:rFonts w:ascii="IRNazanin" w:hAnsi="IRNazanin" w:eastAsia="IRNazanin"/>
          <w:color w:val="111111"/>
          <w:sz w:val="28"/>
          <w:sz w:val="28"/>
          <w:szCs w:val="28"/>
          <w:rtl w:val="true"/>
          <w:lang w:bidi="fa-IR"/>
        </w:rPr>
        <w:t>پیامبر گرامی اسلام صلی الله علیه و آله ضمن اینکه خود از کشتن اسیران خودداری می‌کرد؛ یاران و جنگجویان خود را نیز از کشتن آنها باز می‌داشت و آنان را به خیر و سعادت دعوت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سیرۀ پیامبر صلی الله علیه و آله گزارش شده که فردی از مشرکان به قصد کشتن پیامبر صلی الله علیه و آله به آن حضرت در حال استراحت دست یافت و شمشیر کشید تا حضرت را به قتل برساند، اما حضرت بر او غلبه کرد و پس از به اسارت گرفتن او، وی را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مقداد‌بن‌عمر، حکم‌بن‌کیسان را اسیر نمود، فرمانده قصد کشتن او را نمود و عمر‌بن‌الخطاب نیز به کشتن او حکم داد، مقداد اسیر را به حضور پیامبر صلی الله علیه و آله برد، پیامبر صلی الله علیه و آله توجهی به نظر عمر نفرمود و حضرت ضمن دعوت حکم‌بن‌کیسان به اسلام و گفتگوی طولانی با او، وی را آزاد نمود و وی در سایۀ مهربانی پیامبر صلی الله علیه و آله مسلمان شد؛ عمر‌بن‌الخطاب بعد از اسلام آوردن حکم‌بن‌کیسان گزارش می‌کند که وی در راه خدا جهاد کرد و در بئر معونه به شهادت رسید و باعث خشنودی پیامبر صلی الله علیه و آله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Heading4"/>
        <w:numPr>
          <w:ilvl w:val="3"/>
          <w:numId w:val="1"/>
        </w:numPr>
        <w:rPr/>
      </w:pPr>
      <w:bookmarkStart w:id="317" w:name="__RefHeading___Toc1903159_581953129"/>
      <w:bookmarkStart w:id="318" w:name="_Toc115"/>
      <w:bookmarkEnd w:id="317"/>
      <w:r>
        <w:rPr/>
        <w:t>4</w:t>
      </w:r>
      <w:r>
        <w:rPr>
          <w:rtl w:val="true"/>
        </w:rPr>
        <w:t xml:space="preserve">. </w:t>
      </w:r>
      <w:r>
        <w:rPr>
          <w:rtl w:val="true"/>
        </w:rPr>
        <w:t>آزادی اسیران جنگ بدر</w:t>
      </w:r>
      <w:bookmarkEnd w:id="318"/>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بخشی از سخنان کسانی که به رسول‌خدا صلی الله علیه و آله ایراد گرفته‌اند و یا با استناد مغرضانه به مواردی بدون بررسی علل اصلی اعدام برخی از معاندان و مجرمان با نادیده گرفتن آزادی اسیران مشرکان در جنگ بدر با بزرگ‌نمایی اعدام دو فرد مجرم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پیامبر صلی الله علیه و آله از بدر بر می‌گشت به علی علیه السلام دستور کشتن اسیران را </w:t>
      </w:r>
    </w:p>
    <w:p>
      <w:pPr>
        <w:pStyle w:val="BookText"/>
        <w:rPr/>
      </w:pP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همان‌گونه که در منابع تاریخی آمده است، در نبرد بدر هفتاد نفر از مشرکان به اسارت مسلمانان درآمدند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جمع هفتاد نفری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عقبه‌بن‌ابی‌معیط و نضر‌بن‌حارث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مرتکب جرایم سنگینی شده بودند نه در بدر، بلکه بعد از گفتگو و محاکمه اعدام شدند؛ بنابراین اینکه به‌طور‌کلی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 بعد از بازگشت از بدر به علی علیه السلام دستور اعدام اسیران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بزرگ‌نمایی و گمراه کردن 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تاریخ و حوادت تاریخی بی‌اطلاع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عقبه‌بن‌ابی‌معیط ضمن آزار و اسائۀ ادب به ساحت پیامبراکرم صلی الله علیه و آله از مسخره‌کنندگان پیامبر صلی الله علیه و آله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ابن‌سیدالناس،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تشویق‌کنندگان و از جنگ‌افروزان جنگ بدر به‌شمار می‌رفت؛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ازجمله کسانی بود که در مکه، به‌منظور جلوگیری از انتشار اسلام با سایر دشمنان رسول‌خدا صلی الله علیه و آله همکاری و آنان را ترغیب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ابن‌شهرآشوب،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بلاذری در انساب‌الاشراف، او را به همراه ابوجهل و ابولهب سرچشمۀ دشمنی با پیامبر دانسته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بلاذری،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عقبه‌بن‌ابی‌معیط و نضر‌بن‌حارث در همسایگی آن حضرت در مکه بودند؛ جرایمی که این دو مرتکب شدند بیش از یکبار اعدام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نضربن‌حارث فردی بود که آیاتی از قرآن نیز در مذمت رفتارهای وی با رسول‌خدا صلی الله علیه و آله و دعوت آن حضرت نازل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یهودیان نیز در توطئه و کشتن پیامبر صلی الله علیه و آله همفکری می‌کرد و مشورت می‌گرفت؛ لذا می‌توان گفت جرم دیگر وی جاسوسی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طبرسی در مجمع‌البیان از ابن‌عباس روایت کرده که 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 خداوند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یعَضُّ الظَّالِمُ عَلی یدَیهِ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ستمکار از حسرت دست به دندان می‌گزد؛ در مورد عقبه‌بن‌أبی‌معیط و ابیّ‌بن‌خلف جمحی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براساس این گزارش، عقبه‌بن‌أبی‌معیط که بر اثر اصرار پیامبر خدا صلی الله علیه و آله شهادتین را بر زبان جاری کرده بود، </w:t>
      </w:r>
      <w:bookmarkStart w:id="319" w:name="pg5444_51537"/>
    </w:p>
    <w:p>
      <w:pPr>
        <w:pStyle w:val="BookText"/>
        <w:rPr/>
      </w:pPr>
      <w:bookmarkEnd w:id="319"/>
      <w:r>
        <w:rPr>
          <w:rFonts w:ascii="IRNazanin" w:hAnsi="IRNazanin" w:eastAsia="IRNazanin"/>
          <w:color w:val="111111"/>
          <w:sz w:val="28"/>
          <w:sz w:val="28"/>
          <w:szCs w:val="28"/>
          <w:rtl w:val="true"/>
          <w:lang w:bidi="fa-IR"/>
        </w:rPr>
        <w:t>تحت تأثیر دوستش ابیّ‌بن‌خلف که به وی گفته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هرگز از تو راضی نمی‌شوم مگر اینکه در صورتش آب دهان بیندازی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این عمل ناپسند گردید و مرتد شد و نیز شکمبۀ چهارپایی را و بر پشت آن حضرت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انواع توهین‌ها و جسارت‌ها را به آن حضرت کردند و بزرگ‌ترین مانع دعوت در مکه بودند و نیز در شکل‌گیری جنگ بدر نقش اساسی داشتند و مردم را به جنگ با مسلمانان کشانده بودند؛ لذا پیامبر صلی الله علیه و آله با الهام از وحی خبر مرگ و کشتن آنان را در مکه داده بود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سیوطی،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 علیه السلام در اجرای حد الهی بر آنان به دستور پیامبر صلی الله علیه و آله عمل کرد و اسیران دیگر که جرم سنگینی نداشتند و نقش دشمنی آنان کمتر بود آزاد گردیدند؛ متأسفانه در ماجرای اعدام دو مجرم بزرگ که حکم آنها براساس همۀ قوانین جرایم، جزایی جز اعدام نداشت مورد توجۀ مغرضانۀ برخی قرار گرفته و بزرگ‌نمایی می‌شود، اما آزاد کردن حدود هفتاد اسیر دیگر نادیده گرفته می‌شود و سخنی از آن به میان نمی‌آید</w:t>
      </w:r>
      <w:r>
        <w:rPr>
          <w:rFonts w:eastAsia="IRNazanin" w:cs="IRNazanin"/>
          <w:color w:val="111111"/>
          <w:sz w:val="28"/>
          <w:szCs w:val="28"/>
          <w:rtl w:val="true"/>
          <w:lang w:bidi="fa-IR"/>
        </w:rPr>
        <w:t>.</w:t>
      </w:r>
    </w:p>
    <w:p>
      <w:pPr>
        <w:pStyle w:val="Heading3"/>
        <w:numPr>
          <w:ilvl w:val="2"/>
          <w:numId w:val="1"/>
        </w:numPr>
        <w:rPr/>
      </w:pPr>
      <w:bookmarkStart w:id="320" w:name="__RefHeading___Toc1903161_581953129"/>
      <w:bookmarkStart w:id="321" w:name="_Toc116"/>
      <w:bookmarkEnd w:id="320"/>
      <w:r>
        <w:rPr>
          <w:rtl w:val="true"/>
        </w:rPr>
        <w:t>د</w:t>
      </w:r>
      <w:r>
        <w:rPr>
          <w:rtl w:val="true"/>
        </w:rPr>
        <w:t xml:space="preserve">) </w:t>
      </w:r>
      <w:r>
        <w:rPr>
          <w:rtl w:val="true"/>
        </w:rPr>
        <w:t>سیرۀ امام‌علی علیه السلام با اسیران</w:t>
      </w:r>
      <w:bookmarkEnd w:id="321"/>
    </w:p>
    <w:p>
      <w:pPr>
        <w:pStyle w:val="Heading4"/>
        <w:numPr>
          <w:ilvl w:val="3"/>
          <w:numId w:val="1"/>
        </w:numPr>
        <w:rPr/>
      </w:pPr>
      <w:bookmarkStart w:id="322" w:name="__RefHeading___Toc1903163_581953129"/>
      <w:bookmarkStart w:id="323" w:name="_Toc117"/>
      <w:bookmarkEnd w:id="322"/>
      <w:r>
        <w:rPr>
          <w:rtl w:val="true"/>
        </w:rPr>
        <w:t>اشاره</w:t>
      </w:r>
      <w:bookmarkEnd w:id="323"/>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سیرۀ عملی و رفتاری امیرمؤمنان علیه السلام با مردم چه در دوران حکومت و چه در جنگ‌های تحمیلی علیه ایشان را نمی‌توان با استناد به گزارش‌های نادرست تبیین کرد؛ بیشتر این گزارش‌ها خبرهای واحدی‌اند که ساختگی بودن آنها آشکار بوده و مخالفت با موازین، سخنان و روش عادلانه آن حضرت است؛ ازاین‌رو باید همۀ گزارش‌ها را با معیارهای جامع و اصول مسلّم دین و قرآن بررسی کرد و سپس با سخنان و نامه‌های حضرت مقایسه نمود تا حقیقت امر روشن گردد؛ بنابراین نسبت‌هایی که به آن حضرت از کشتار و قتل داده می‌شود با هدف بزرگ‌نمایی و ارائۀ چهرۀ‌ای خشن از آن حضرت بوده است که دشمنان اسلام از‌جمله معاویه چنین دروغ‌هایی را در تاریخ به آن حضرت و فرزندانش نسبت داده‌اند تا آن بزرگواران را بدنام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احمدی میانجی،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bookmarkStart w:id="324" w:name="pg5444_51538"/>
    </w:p>
    <w:p>
      <w:pPr>
        <w:pStyle w:val="Heading4"/>
        <w:numPr>
          <w:ilvl w:val="3"/>
          <w:numId w:val="1"/>
        </w:numPr>
        <w:rPr/>
      </w:pPr>
      <w:bookmarkStart w:id="325" w:name="__RefHeading___Toc1903165_581953129"/>
      <w:bookmarkStart w:id="326" w:name="_Toc118"/>
      <w:bookmarkEnd w:id="324"/>
      <w:bookmarkEnd w:id="325"/>
      <w:r>
        <w:rPr/>
        <w:t>1</w:t>
      </w:r>
      <w:r>
        <w:rPr>
          <w:rtl w:val="true"/>
        </w:rPr>
        <w:t xml:space="preserve">. </w:t>
      </w:r>
      <w:r>
        <w:rPr>
          <w:rtl w:val="true"/>
        </w:rPr>
        <w:t>منع مطلق از خون‌ریزی</w:t>
      </w:r>
      <w:bookmarkEnd w:id="326"/>
    </w:p>
    <w:p>
      <w:pPr>
        <w:pStyle w:val="BookText"/>
        <w:rPr/>
      </w:pPr>
      <w:r>
        <w:rPr>
          <w:rFonts w:ascii="IRNazanin" w:hAnsi="IRNazanin" w:eastAsia="IRNazanin"/>
          <w:color w:val="111111"/>
          <w:sz w:val="28"/>
          <w:sz w:val="28"/>
          <w:szCs w:val="28"/>
          <w:rtl w:val="true"/>
          <w:lang w:bidi="fa-IR"/>
        </w:rPr>
        <w:t>امیرمؤمنان علی علیه السلام همواره هدایت و آگاه کردن انسان‌ها را مقدم به کیفر دادن آنان می‌داشت؛ چنان‌که آن حضرت در نامۀ به مالک‌اشتر که به‌عنوان حاکم مصر اعزام شده بود، با بیانی رسا و قاطع بزرگ‌ترین گناه را خون‌ریزی به ناحق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نامه به پیامدهای منفی خون‌ریزی در ابعاد سیاسی، اجتماعی و اعتقادی اشاره می‌کند و به مالک هشدار می‌دهد که مبادا بخواهی پایه‌های قدرت و حکومت خود را با ریختن خون محکم کنی که ریختن خون به ناحق، خود موجب تضعیف و تزلزل قدرت و حکومت می‌شود؛ سپس به مالک گوشزد نموده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را به ناحق کشتی، پیش من و خدا عذری نداری و باید قصاص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این نامه که بیانگر موضع واقعی آن حضرت است اهل‌کتاب را نیز در امنیت حاکم اسلامی و مسلمانان بر می‌شمارد که هیچ‌کس حق تعرض به آنان را ندارد؛ حتی افراد بی‌دین را نیز انسانی می‌داند که در انسانیت با حاکم اسلامی مشترک و حقوقشان محترم شمره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427</w:t>
      </w:r>
      <w:r>
        <w:rPr>
          <w:rFonts w:ascii="IRNazanin" w:hAnsi="IRNazanin" w:eastAsia="IRNazanin"/>
          <w:color w:val="111111"/>
          <w:sz w:val="28"/>
          <w:sz w:val="28"/>
          <w:szCs w:val="28"/>
          <w:rtl w:val="true"/>
          <w:lang w:bidi="fa-IR"/>
        </w:rPr>
        <w:t>، نامه</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4"/>
        <w:numPr>
          <w:ilvl w:val="3"/>
          <w:numId w:val="1"/>
        </w:numPr>
        <w:rPr/>
      </w:pPr>
      <w:bookmarkStart w:id="327" w:name="__RefHeading___Toc1903167_581953129"/>
      <w:bookmarkStart w:id="328" w:name="_Toc119"/>
      <w:bookmarkEnd w:id="327"/>
      <w:r>
        <w:rPr/>
        <w:t>2</w:t>
      </w:r>
      <w:r>
        <w:rPr>
          <w:rtl w:val="true"/>
        </w:rPr>
        <w:t xml:space="preserve">. </w:t>
      </w:r>
      <w:r>
        <w:rPr>
          <w:rtl w:val="true"/>
        </w:rPr>
        <w:t>آزادی اسیران جنگ جمل</w:t>
      </w:r>
      <w:bookmarkEnd w:id="328"/>
    </w:p>
    <w:p>
      <w:pPr>
        <w:pStyle w:val="BookText"/>
        <w:rPr/>
      </w:pPr>
      <w:r>
        <w:rPr>
          <w:rFonts w:ascii="IRNazanin" w:hAnsi="IRNazanin" w:eastAsia="IRNazanin"/>
          <w:color w:val="111111"/>
          <w:sz w:val="28"/>
          <w:sz w:val="28"/>
          <w:szCs w:val="28"/>
          <w:rtl w:val="true"/>
          <w:lang w:bidi="fa-IR"/>
        </w:rPr>
        <w:t xml:space="preserve">شکی در این نیست که اصحاب جمل، صفین و نهروان مصداق بارز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دستور قرآن‌کریم در خصوص اهل بغی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با ایشان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فَقاتِلُوا الَّتی تَبْغی حَتَّی تَفی‌ءَ إِلی أَمْرِ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جنگ با آنها دستور قرآنی است که حضرت‌علی علیه السلام به آن دستور عمل کرده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امام‌علی علیه السلام در واقعۀ جنگ جمل به‌هیچ‌وجه جنگ را مناسب نمی‌دید؛ بلکه با فرستادن نماینده و بیان هزاران دلیل، حجت و برهان درصدد آگاه کردن آنان برآمد تا کار به جنگ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ناامنی‌هایی که آنان در قلمرو حکومتش ایجاد کرده بودند و بی‌گناهانی را به قتل رساندند و شکم‌ها دریدند؛ با این همه وقتی جنگ از سوی آنان شروع گردید، حضرت چاره‌ای جز دفاع و مقابله با این فتنه را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بااین‌حال امام‌علی علیه السلام براساس اصلی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جز اموالی که در </w:t>
      </w:r>
    </w:p>
    <w:p>
      <w:pPr>
        <w:pStyle w:val="BookText"/>
        <w:rPr/>
      </w:pPr>
      <w:r>
        <w:rPr>
          <w:rFonts w:ascii="IRNazanin" w:hAnsi="IRNazanin" w:eastAsia="IRNazanin"/>
          <w:color w:val="111111"/>
          <w:sz w:val="28"/>
          <w:sz w:val="28"/>
          <w:szCs w:val="28"/>
          <w:rtl w:val="true"/>
          <w:lang w:bidi="fa-IR"/>
        </w:rPr>
        <w:t>جنگ از آنها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رفتاری حضرت نشان می‌دهد که آن حضرت به‌شدّت مدافع احکام اسلام بودند و هرگز حاضر نبودند که کوچک‌ترین ظلم‌و‌ستمی به دیگران، هرچند دشمنان روا داشته شود؛ براین‌اساس همۀ اسرای جنگ جمل آزاد شدند و مجروحان و فراریان آنها کشته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 علیه السلام در پاسخ یکی از یارانش در خصوص نحوۀ رفتار با اسیران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مَنَّ عَلَیْهِمْ کَمَا مَنَّ رَسُولُ اللَّهِ صلی الله علیه و آله عَلَی أَهْلِ مَکَّة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منت نهادن، آزاد شوند، همان‌گونه که رسول‌خدا صلی الله علیه و آله در مورد اهل مکه این کار را انجام داد و همۀ اسیران را آزاد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 علیه السلام با اسیرانی که در جنگ کسی را نکشته بودند، برخورد کریمانه‌ای داشت؛ براساس برخی از روایات آن حضرت با منت گذاشتن بر اهل بصره از کشتن آنها خودداری کرد</w:t>
      </w:r>
      <w:r>
        <w:rPr>
          <w:rFonts w:eastAsia="IRNazanin" w:cs="IRNazanin"/>
          <w:color w:val="111111"/>
          <w:sz w:val="28"/>
          <w:szCs w:val="28"/>
          <w:rtl w:val="true"/>
          <w:lang w:bidi="fa-IR"/>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 xml:space="preserve">حضرت معتقد بود که اسیر گرفتن زن و فرزندان حاضران در جمل و تصرف اموال آنان صحیح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ابن‌اعثم کوفی،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ابن‌مسکویه،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آنها مسلمانند و در سرزمین مسلمانان زندگی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جمل عمار به حضرت‌علی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عقیدۀ شما در مورد اسیر گرفتن زن و فرزندان اینان چیست؟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راهی بر آن نیست، ما فقط با کسانی که با ما جنگ کرده‌اند، جنگ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یارانش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زنان و فرزندان ایشان و اموال آنها هم میان ما تقسیم کنی وگرنه به چه دلیل ریختن خون ایشان حلال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بعد از جنگ جمل دستور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تَتْبَعُوا مُولیاً وَ لَا تُجْهِزُوا عَلی جَرِیحٍ و لا تَنتهبوا مالاً وَ مَنْ أَلْقی سِلَاحَهُ فَهُوَ آمِنٌ وَ مَنْ أَغْلَقَ بَابَهُ فَهُوَ آمِنٌ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را نکشید و مجروحی را به قتل نرسانید، مالی را غارت نکنید، هرکس اسلحه‌اش را بیندازد، در امان است، هرکس در خانه‌اش را بر خود </w:t>
      </w:r>
      <w:bookmarkStart w:id="329" w:name="pg5444_51540"/>
    </w:p>
    <w:p>
      <w:pPr>
        <w:pStyle w:val="BookText"/>
        <w:rPr/>
      </w:pPr>
      <w:bookmarkEnd w:id="329"/>
      <w:r>
        <w:rPr>
          <w:rFonts w:ascii="IRNazanin" w:hAnsi="IRNazanin" w:eastAsia="IRNazanin"/>
          <w:color w:val="111111"/>
          <w:sz w:val="28"/>
          <w:sz w:val="28"/>
          <w:szCs w:val="28"/>
          <w:rtl w:val="true"/>
          <w:lang w:bidi="fa-IR"/>
        </w:rPr>
        <w:t>ببند، در امان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زنان و فرزندان هیچ راهی نیست، چراکه آنان مسلمانند و در سرزمین مسلمانانند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کسانی را که با ما جنگ کرده‌اند و کسانی که بر ما ستم کرده‌اند کشته‌ایم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شیخ‌مفید،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حضرت‌علی علیه السلام اموال مردم را در بصره به آنها باز می‌گرداند؛ شخصی به آن حضرت اعتراض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أَمِیرَالْمُؤْمِنِینَ اقْسِمِ الْفَیْ‌ءَ بَیْنَنَا وَ السَّبْی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غنایم و اسیران را بین ما قسمت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اعتراض‌ها دراین‌باره زیاد شد،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أَیُّکُمْ یَأْخُذُ أُمَّ الْمُؤْمِنِینَ فِی سَهْمِهِ؟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عایشه را به‌عنوان سهم غنیمتش می‌گیرد؟ پس ساکت شدند و پذیرفتند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حرعاملی،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دینوری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یاران علی علیه السلام در اردوگاه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سیم و زر و کالاهای دیگر می‌گذشتند و بر نمی‌داشتند و فقط سلاح و مرکبی را که در جنگ به‌کار برده بودند، تصرف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علی علیه السلام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چگونه کشتن ایشان برای ما جایز است، ولی اموال و اسیر گرفتن آنان بر ما ناروا و حرام است؟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یکتاپرستان را نمی‌توان به اسارت گرفت و اموال ایشان را نمی‌توان به غنیمت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آنچه در جنگ به‌کار برده‌اند می‌توان تصرف کرد، آنچه را که نمی‌دانید رها کنید و به آنچه فرمان داده می‌شوید، عمل 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4"/>
        <w:numPr>
          <w:ilvl w:val="3"/>
          <w:numId w:val="1"/>
        </w:numPr>
        <w:rPr/>
      </w:pPr>
      <w:bookmarkStart w:id="330" w:name="__RefHeading___Toc1903169_581953129"/>
      <w:bookmarkStart w:id="331" w:name="_Toc120"/>
      <w:bookmarkEnd w:id="330"/>
      <w:r>
        <w:rPr/>
        <w:t>3</w:t>
      </w:r>
      <w:r>
        <w:rPr>
          <w:rtl w:val="true"/>
        </w:rPr>
        <w:t xml:space="preserve">. </w:t>
      </w:r>
      <w:r>
        <w:rPr>
          <w:rtl w:val="true"/>
        </w:rPr>
        <w:t>آزادی اسیران جنگ صفین</w:t>
      </w:r>
      <w:bookmarkEnd w:id="331"/>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جنگ صفین، همراهان و سپاهیان معاویه برای جنگ با امیرمؤمنان علیه السلام در برابر آن حضرت صف‌آرایی کردند؛ هیچ تردید در اهل بغی بودن آنان نبود، اما با این همه، حضرت در حق آنان که خود را مسلمان می‌دانستند و برخی نیز از سر جهالت در این جنگ حضور یافته بودند کریمانه‌ترین رفتارها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آن حضرت چنین گزارش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همراه علی علیه السلام در صفین حضور داشتم وقتی اسیری را نزد او می‌آوردند،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زجر نمی‌کشم به‌درستی از که خداوند جهانیان می‌ترسم؛ </w:t>
      </w:r>
    </w:p>
    <w:p>
      <w:pPr>
        <w:pStyle w:val="BookText"/>
        <w:rPr/>
      </w:pPr>
      <w:r>
        <w:rPr>
          <w:rFonts w:ascii="IRNazanin" w:hAnsi="IRNazanin" w:eastAsia="IRNazanin"/>
          <w:color w:val="111111"/>
          <w:sz w:val="28"/>
          <w:sz w:val="28"/>
          <w:szCs w:val="28"/>
          <w:rtl w:val="true"/>
          <w:lang w:bidi="fa-IR"/>
        </w:rPr>
        <w:t>سپس سلاح وی را می‌گرفت و او را سوگند می‌داد که دیگر پیکار نکند و او را آزاد می‌ساخت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نوری،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متقی هندی،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علیه السلام در جنگ صفین اسیرانی را گرفتار کرد، ولی همگی آنها را آزاد فرمودند که نزد معاویه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پیش‌تر از این، دربارۀ اسیرانی که به اسارت معاویه درآمده بودند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بکش، ولی وقتی معلوم شد که علی علیه السلام با اسیران ایشان چه رفتاری نمود، معاویه به 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دربارۀ این اسیران گوش به تو دهم، به کار زشت و ناشایستی دست زده باشم، آیا نمی‌بینی که او اسیران ما را آزاد کرده است؟ از این رو معاویه نیز دستور آزادی تمام کسانی را که از سپاه علی علیه السلام به اسارت گرفته بود، صادر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ابن‌اثیر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حضرت‌علی علیه السلام در جنگ صفین دست به ابتکاراتی زد که دوست و دشمن را شیفتۀ خود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آزاد کردن اسیران شامی بود که معاویه نیز ناچار شد، اسرای کوفی را باز گرداند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ابن‌اثیر،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مورخان دربارۀ رفتار علی علیه السلام با اسیران شامی در جنگ صفین چنین گزارش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چون از سپاه شام اسیری می‌گرفت او را آزاد می‌کرد، مگر اینکه آن اسیر یکی از یاران وی را کشته بود که در این صورت وی را به قصاص می‌کشت، اما اگر اسیری را که آزاد کرده بود و او بار دیگر به معاویه پیوسته بود و مجدداً به میدان آمده بود و گرفتار شده بود، آزاد نمی‌کرد و می‌کشت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ابن‌مزاحم،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719</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مطلب اخیر به نظر می‌رسد اختلافی که در مورد اسرای جنگ صفین وجود دارد، این گونه قابل حل باشد که اگر اسیر، برای اولین بار اسیر می‌شد و کسی را هم نکشته بود، آزاد می‌شد و از او تعهدی مبنی بر عدم شرکت مجددش در جنگ گرفته می‌شد، ولی اگر برای بار دوم اسیر می‌شد و یا کسی را به قتل رسانده بود، به قتل 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دقیقاً همان چیزی است که رسول‌خدا صلی الله علیه و آله نیز آن را اجرا می‌کرد</w:t>
      </w:r>
      <w:r>
        <w:rPr>
          <w:rFonts w:eastAsia="IRNazanin" w:cs="IRNazanin"/>
          <w:color w:val="111111"/>
          <w:sz w:val="28"/>
          <w:szCs w:val="28"/>
          <w:rtl w:val="true"/>
          <w:lang w:bidi="fa-IR"/>
        </w:rPr>
        <w:t xml:space="preserve">. </w:t>
      </w:r>
      <w:bookmarkStart w:id="332" w:name="pg5444_51542"/>
    </w:p>
    <w:p>
      <w:pPr>
        <w:pStyle w:val="BookText"/>
        <w:rPr/>
      </w:pPr>
      <w:bookmarkEnd w:id="332"/>
      <w:r>
        <w:rPr>
          <w:rFonts w:ascii="IRNazanin" w:hAnsi="IRNazanin" w:eastAsia="IRNazanin"/>
          <w:color w:val="111111"/>
          <w:sz w:val="28"/>
          <w:sz w:val="28"/>
          <w:szCs w:val="28"/>
          <w:rtl w:val="true"/>
          <w:lang w:bidi="fa-IR"/>
        </w:rPr>
        <w:t>با تبیین سیرۀ پیامبر صلی الله علیه و آله و امیرمؤمنان علیه السلام روشن می‌شود آنچه از رفتارهای خشن امروزی که از گروه‌های تکفیری همانند داعش سر می‌زند به هیچ سندی از سیره و روش پیامبر و اصول اسلام مستند نبوده و خارج از اسلام است</w:t>
      </w:r>
      <w:r>
        <w:rPr>
          <w:rFonts w:eastAsia="IRNazanin" w:cs="IRNazanin"/>
          <w:color w:val="111111"/>
          <w:sz w:val="28"/>
          <w:szCs w:val="28"/>
          <w:rtl w:val="true"/>
          <w:lang w:bidi="fa-IR"/>
        </w:rPr>
        <w:t>.</w:t>
      </w:r>
    </w:p>
    <w:p>
      <w:pPr>
        <w:pStyle w:val="Heading4"/>
        <w:numPr>
          <w:ilvl w:val="3"/>
          <w:numId w:val="1"/>
        </w:numPr>
        <w:rPr/>
      </w:pPr>
      <w:bookmarkStart w:id="333" w:name="__RefHeading___Toc1903171_581953129"/>
      <w:bookmarkStart w:id="334" w:name="_Toc121"/>
      <w:bookmarkEnd w:id="333"/>
      <w:r>
        <w:rPr/>
        <w:t>4</w:t>
      </w:r>
      <w:r>
        <w:rPr>
          <w:rtl w:val="true"/>
        </w:rPr>
        <w:t xml:space="preserve">. </w:t>
      </w:r>
      <w:r>
        <w:rPr>
          <w:rtl w:val="true"/>
        </w:rPr>
        <w:t>جنگ جمل و کشته‌های آن</w:t>
      </w:r>
      <w:bookmarkEnd w:id="334"/>
    </w:p>
    <w:p>
      <w:pPr>
        <w:pStyle w:val="BookText"/>
        <w:rPr/>
      </w:pPr>
      <w:r>
        <w:rPr>
          <w:rFonts w:ascii="IRNazanin" w:hAnsi="IRNazanin" w:eastAsia="IRNazanin"/>
          <w:color w:val="111111"/>
          <w:sz w:val="28"/>
          <w:sz w:val="28"/>
          <w:szCs w:val="28"/>
          <w:rtl w:val="true"/>
          <w:lang w:bidi="fa-IR"/>
        </w:rPr>
        <w:t>گاهی به‌منظور انتساب رفتارهای خشن و غیرانسانی داعش به اسلام به نقل گزیده‌ای از جنگ‌های دفاعی حضرت امیر علیه السلام در مقابل توطئه‌های مختلف پرداخته‌اند و با ادبیات مغرضانه‌ای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 علیه السلام در یک روز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خاندان ازد را سر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مطلبی که به آن استناد شده گزیده و بریده‌ای از یک گزارش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ابی‌لبید جهضمی که از قوم ازد بود،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را دوست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کسی را که در یک روز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قوم مرا کشته است دوست داشته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371</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سوالی که در اینجا مطرح است، این است که این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چرا و در چه زمانی کشته شده‌اند؟ و سوال دیگر اینکه ابی‌لبید جهضمی کیست و آیا سخن او قابل پذیرش است؟</w:t>
      </w:r>
    </w:p>
    <w:p>
      <w:pPr>
        <w:pStyle w:val="BookText"/>
        <w:rPr/>
      </w:pPr>
      <w:r>
        <w:rPr>
          <w:rFonts w:ascii="IRNazanin" w:hAnsi="IRNazanin" w:eastAsia="IRNazanin"/>
          <w:color w:val="111111"/>
          <w:sz w:val="28"/>
          <w:sz w:val="28"/>
          <w:szCs w:val="28"/>
          <w:rtl w:val="true"/>
          <w:lang w:bidi="fa-IR"/>
        </w:rPr>
        <w:t>آنچه از منابع تاریخی گزیده، نقل شده مربوط به جنگ جمل است؛ چراکه این مطلب ذیل وقایع جنگ جمل بیان شده که ادامه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علیه السلام حکومت بصره را به عبدالله‌بن‌عباس داد و سوی کوفه 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کشته‌های یک جنگ به‌نام یک فرد زدن و ارائۀ چهرۀ خشن از او از تحریفات مغرضانه‌ای است که درحقیقت به‌منظور تخریب شخصیت کم‌نظیر امام‌علی علیه السلام و خشن جلوه دادن آن حضرت و یا به‌منظور توجیه رفتارهای خشونت‌آمیز گروه داعش و سایر گروه‌های افراطی بیان می‌شود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درحالی‌که برپا کنندگان و عاملان اصلی وقوع جنگ جمل طلحه،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اصحاب جمل یا همان ناکثین درحقیقت مصداق افراد باغی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 xml:space="preserve">ق، خطبۀ </w:t>
      </w: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قرآن‌کریم دستور برخورد با آنان را صادر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حجرات</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طلحه و زبیر علی‌رغم بیعتی که با امام‌علی علیه السلام داشتند بیعت خود را شکسته و به مکه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طبرسی،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عایشه همسر پیامبراکرم صلی الله علیه و آله را فریب داده با خویش همراه ساختند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برخی از اهالی مکه و در رأس آنان بنی‌امیه به‌منظور خون‌خواهی از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شیخ‌مفید،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درحقیقت به‌منظور دستیابی به‌قدرت روانه بصره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در بصره تعدادی از شیعیان حضرت را به قتل رساندند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485</w:t>
      </w:r>
      <w:r>
        <w:rPr>
          <w:rFonts w:ascii="IRNazanin" w:hAnsi="IRNazanin" w:eastAsia="IRNazanin"/>
          <w:color w:val="111111"/>
          <w:sz w:val="28"/>
          <w:sz w:val="28"/>
          <w:szCs w:val="28"/>
          <w:rtl w:val="true"/>
          <w:lang w:bidi="fa-IR"/>
        </w:rPr>
        <w:t xml:space="preserve">؛ ابن‌ابی‌الحدید،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بصره را تصرف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امام‌علی علیه السلام به ورود آنان به بصره، کشتار مسلمانان و انجام کارهای ناشایست توسط ایشان اشاره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ابن‌ابی‌الحدید،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امام‌علی علیه السلام به‌منظور پایان دادن به این غائله، از مدینه به بصره آمد؛ قبل از آغاز جنگ، تلاش بسیار زیادی برای بازگرداندن طلحه و زبیر و عایشه از مسیری که در پیش گرفته بودند،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دینوری،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طلحه و زبیر و عایشه صحبت کرد و این اقدام آنان را نادرست و ظالمانه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گفتگو با زبیر حدیثی از رسول‌خدا صلی الله علیه و آله به یاد او آورد که سبب کناره‌گیری زبیر از جنگ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ابن‌حجر،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جنگ میان سپاهیان امام‌علی علیه السلام و اصحاب جمل درگرفت، در این نبرد افراد زیادی از دوطرف کشته شدند و امام‌علی علیه السلام به‌منظور خاتمه دادن جنگ دستور داد شتر عایشه پی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سقوط هودج عایشه این جنگ به پایان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519</w:t>
      </w:r>
      <w:r>
        <w:rPr>
          <w:rFonts w:ascii="IRNazanin" w:hAnsi="IRNazanin" w:eastAsia="IRNazanin"/>
          <w:color w:val="111111"/>
          <w:sz w:val="28"/>
          <w:sz w:val="28"/>
          <w:szCs w:val="28"/>
          <w:rtl w:val="true"/>
          <w:lang w:bidi="fa-IR"/>
        </w:rPr>
        <w:t xml:space="preserve">؛ بلاذری،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ابن‌أبی‌الحدید،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253</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شواهدی که می‌تواند مؤید مجرم بودن اصحاب جمل باشد، این است که عایشه بعدها به‌خاطر شرکت در این جنگ خود را سرزنش می‌کرد و از اینکه برخلاف دستور الهی از خانه‌اش خارج شده و در راه‌اندازی این جنگ نقش داشته، به‌شدت پشیمان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ابن‌اعثم کوفی،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35" w:name="pg5444_51544"/>
    </w:p>
    <w:p>
      <w:pPr>
        <w:pStyle w:val="BookText"/>
        <w:rPr/>
      </w:pPr>
      <w:bookmarkEnd w:id="335"/>
      <w:r>
        <w:rPr>
          <w:rFonts w:ascii="IRNazanin" w:hAnsi="IRNazanin" w:eastAsia="IRNazanin"/>
          <w:color w:val="111111"/>
          <w:sz w:val="28"/>
          <w:sz w:val="28"/>
          <w:szCs w:val="28"/>
          <w:rtl w:val="true"/>
          <w:lang w:bidi="fa-IR"/>
        </w:rPr>
        <w:t xml:space="preserve">هرگاه آیۀ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قَرْنَ فِی بُیُوتِکُنَّ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أحزاب</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می‌شنید به‌شدت گریه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مطالبی که بیان شد، کاملاً مشخص می‌شود که مسبب اصلی کشته‌شدن کسانی که در جنگ جمل کشته شدند، امام‌علی علیه السلام نبوده است؛ بلکه کسانی بودند که این جنگ را راه انداختند و با قتل و غارت، موجبات ناامنی و هرج‌و‌مرج را در جامعه اسلامی پدید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ابوبرده‌بن‌عوف ازدی از علت کشته‌شدن اطرافیان طلحه و زبیر و عایشه پرسید، امام‌علی علیه السلام به کشته شدن ظالمانۀ یاران خویش ازجمله ربیعه عبدی و برخی دیگر که حاضر به شکستن بیعت خویش نبودند توسط آنان و نیز خودداری از تحویل قاتلان، عدم پذیرش قرآن به‌عنوان حاکم و جنگ با حضرت درحالی‌که قبلاً بیعت کرده بودند، اشاره و استناد نمود تا ابوبرده کاملاً متقاعد شد که آنان مجرم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ابن‌أبی‌الحدید،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سندیت و صحت آمار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کشته شدگان قبیلۀ ازد نیز باید توجه داشت که این ادعا به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لمازه‌بن‌زبّار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ابولبید جهمی است که دارای ایراد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ذهبی،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اینکه وی در جنگ جمل در نبرد با امام‌علی علیه السلام حضور داشته و با آن حضرت جنگیده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برآن سخن او از روی تعصب، قبیله‌گرایی و دشمنی با حضرت بیان شده است و اعتباری ندارد تا مستندی برای گروه داعش و سایر گروه‌های افراطی قرار گیرد؛ علاوه‌بر‌این در صورت اثبات چنین ادعایی ایرادی بر امام‌علی علیه السلام نیست؛ چراکه این افراد در جنگ جمل که دو سپاه باهم درگیر بودند، کشته شده‌اند، همان‌گونه که از یاران امام‌علی علیه السلام نیز افراد زیادی در این جنگ کشته شدند</w:t>
      </w:r>
      <w:r>
        <w:rPr>
          <w:rFonts w:eastAsia="IRNazanin" w:cs="IRNazanin"/>
          <w:color w:val="111111"/>
          <w:sz w:val="28"/>
          <w:szCs w:val="28"/>
          <w:rtl w:val="true"/>
          <w:lang w:bidi="fa-IR"/>
        </w:rPr>
        <w:t>.</w:t>
      </w:r>
    </w:p>
    <w:p>
      <w:pPr>
        <w:pStyle w:val="Heading4"/>
        <w:numPr>
          <w:ilvl w:val="3"/>
          <w:numId w:val="1"/>
        </w:numPr>
        <w:rPr/>
      </w:pPr>
      <w:bookmarkStart w:id="336" w:name="__RefHeading___Toc1903173_581953129"/>
      <w:bookmarkStart w:id="337" w:name="_Toc122"/>
      <w:bookmarkEnd w:id="336"/>
      <w:r>
        <w:rPr/>
        <w:t>5</w:t>
      </w:r>
      <w:r>
        <w:rPr>
          <w:rtl w:val="true"/>
        </w:rPr>
        <w:t xml:space="preserve">. </w:t>
      </w:r>
      <w:r>
        <w:rPr>
          <w:rtl w:val="true"/>
        </w:rPr>
        <w:t>واقعۀ لیلةالهریر و کشته‌های آن</w:t>
      </w:r>
      <w:bookmarkEnd w:id="33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بخشی از سخنان شبهه‌سازان گفته شده که امام‌علی علیه السلام در لیلةالهریر پانصد تا نهصد نفر را کُشت؛ درحالی‌که لیلةالهریر یکی از شب‌های پایانی جنگ صفین بود؛ </w:t>
      </w:r>
      <w:bookmarkStart w:id="338" w:name="pg5444_51545"/>
    </w:p>
    <w:p>
      <w:pPr>
        <w:pStyle w:val="BookText"/>
        <w:rPr/>
      </w:pPr>
      <w:bookmarkEnd w:id="338"/>
      <w:r>
        <w:rPr>
          <w:rFonts w:ascii="IRNazanin" w:hAnsi="IRNazanin" w:eastAsia="IRNazanin"/>
          <w:color w:val="111111"/>
          <w:sz w:val="28"/>
          <w:sz w:val="28"/>
          <w:szCs w:val="28"/>
          <w:rtl w:val="true"/>
          <w:lang w:bidi="fa-IR"/>
        </w:rPr>
        <w:t xml:space="preserve">طبیعتاً کشته‌شدگان این جنگ به دست سپاه آن حضرت نه فقط به دست امام علیه السلام کشته شدند؛ طبیعی است که در این حملۀ سخت، افرادی از لشکر دشمن به قتل برسند؛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مسعودی،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یاران امام‌علی علیه السلام نیز در این شب و در سایر درگیری‌ها در جنگ صفین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پیکار شجاعانه امام‌علی علیه السلام و یارانش بود که معاویه شکست را در یک قدمی خویش دید و به‌همین‌جهت دست به دامن عمروعاص شد و قرآن به نیزه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 کشته‌های یک جنگ به یک نفر و گزارش گزیده از یک واقعه، تحریف و سیاه‌نمایی است که در فضای مجازی برای تخریب چهرۀ تابناک امیرمؤمنان علیه السلام صورت گرفته است که با مراجعه به اصل واقعه توطئه‌های دشمنان دین آشکار می‌گردد</w:t>
      </w:r>
      <w:r>
        <w:rPr>
          <w:rFonts w:eastAsia="IRNazanin" w:cs="IRNazanin"/>
          <w:color w:val="111111"/>
          <w:sz w:val="28"/>
          <w:szCs w:val="28"/>
          <w:rtl w:val="true"/>
          <w:lang w:bidi="fa-IR"/>
        </w:rPr>
        <w:t>.</w:t>
      </w:r>
    </w:p>
    <w:p>
      <w:pPr>
        <w:pStyle w:val="Heading4"/>
        <w:numPr>
          <w:ilvl w:val="3"/>
          <w:numId w:val="1"/>
        </w:numPr>
        <w:rPr/>
      </w:pPr>
      <w:bookmarkStart w:id="339" w:name="__RefHeading___Toc1903175_581953129"/>
      <w:bookmarkStart w:id="340" w:name="_Toc123"/>
      <w:bookmarkEnd w:id="339"/>
      <w:r>
        <w:rPr/>
        <w:t>6</w:t>
      </w:r>
      <w:r>
        <w:rPr>
          <w:rtl w:val="true"/>
        </w:rPr>
        <w:t xml:space="preserve">. </w:t>
      </w:r>
      <w:r>
        <w:rPr>
          <w:rtl w:val="true"/>
        </w:rPr>
        <w:t>جنگ نهروان و کشته‌های آن</w:t>
      </w:r>
      <w:bookmarkEnd w:id="340"/>
    </w:p>
    <w:p>
      <w:pPr>
        <w:pStyle w:val="BookText"/>
        <w:rPr/>
      </w:pPr>
      <w:r>
        <w:rPr>
          <w:rFonts w:ascii="IRNazanin" w:hAnsi="IRNazanin" w:eastAsia="IRNazanin"/>
          <w:color w:val="111111"/>
          <w:sz w:val="28"/>
          <w:sz w:val="28"/>
          <w:szCs w:val="28"/>
          <w:rtl w:val="true"/>
          <w:lang w:bidi="fa-IR"/>
        </w:rPr>
        <w:t>در بخشی از ادعاهای کسانی که تلاش دارند خشونت‌های داعش را به‌نام پیامبر صلی الله علیه و آله و امیرمؤمنان علیه السلام و با استناد به رفتار آنان مشروع جلوه دهند یا چهرۀ آنها و دین اسلام را خشن جلوه دهند؛ چنین ادعا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امام‌علی علیه السلام خوارج را که به استبداد وی معترض بودند،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دربارۀ نسبت استبداد به امام‌علی علیه السلام باید به نحوۀ انتخاب و حاکمیت ایشان در تاریخ دقت شود که چگونه مردم و ازجمله آنها نهروانیان پس از عثمان برای بیعت با او جمع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ابن‌سعد،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مدعی بودند که امام‌علی علیه السلام و همۀ کسانی که به حکمیت راضی شده‌اند، کافرند و باید از این گناه خویش توبه کنند</w:t>
      </w:r>
      <w:r>
        <w:rPr>
          <w:rFonts w:eastAsia="IRNazanin" w:cs="IRNazanin"/>
          <w:color w:val="111111"/>
          <w:sz w:val="28"/>
          <w:szCs w:val="28"/>
          <w:rtl w:val="true"/>
          <w:lang w:bidi="fa-IR"/>
        </w:rPr>
        <w:t>.</w:t>
      </w:r>
      <w:r>
        <w:rPr>
          <w:rStyle w:val="FootnoteAnchor"/>
          <w:rtl w:val="true"/>
        </w:rPr>
        <w:footnoteReference w:id="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اکبر،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آنان تا پایان بر همین عقیدۀ خویش ماندند و کشته شدند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امام‌علی علیه السلام به جرم نپذیرفتن نیرنگ و مکر معاویه و عمروعاص متهم به کفر شد؛ گروه خوارج گفتند تا علی توبه نکند سزاوار مرگ است که باید با او 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ابن‌مزاحم،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 ص</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اینان همسو با اهداف معاویه برای </w:t>
      </w:r>
    </w:p>
    <w:p>
      <w:pPr>
        <w:pStyle w:val="BookText"/>
        <w:rPr/>
      </w:pPr>
      <w:r>
        <w:rPr>
          <w:rFonts w:ascii="IRNazanin" w:hAnsi="IRNazanin" w:eastAsia="IRNazanin"/>
          <w:color w:val="111111"/>
          <w:sz w:val="28"/>
          <w:sz w:val="28"/>
          <w:szCs w:val="28"/>
          <w:rtl w:val="true"/>
          <w:lang w:bidi="fa-IR"/>
        </w:rPr>
        <w:t xml:space="preserve">زمینه‌سازی سلطنت او بود؛ پس از جنگ صفین و واقعۀ تلخ حکمیت، معاویه برخی را تحریک کرد تا در قلمرو حاکمیت امیرمؤمنان علیه السلام آشوب و کشتار و نا‌امنی به راه بیندازند؛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ازسوی‌دیگر گروه خوارج نیز با همین روش به نا‌امنی در نزدیک مرکز حکومت امام علیه السلام پرداختند و اعلام جنگ با حضرت کردند و با همان موضعی که معاویه داشت با او هم‌داستان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ناشی اکبر،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پس از واقعۀ نهروان از آن به بلای بزرگی در تاریخ اسلام یاد کرد که تنها او قدرت مقابله با آن را داشت تا آن را خنثی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ثقفی،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 ج</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علیه السلام برای دفع شرارت و مقابله با نا‌امنی که از وظایف مهم حاکم اسلامی است، اقدام نمود؛ ابتدا تلاش زیادی کرد تا آنان را به اشتباه خویش آگاه کند، اما خوارج بر روش نادرست خویش اصرار ورزیدند و با جهالت و نابخردی خویش جنگ جمل را راه انداختند که در این جنگ گروهی از دوطرف کشته شدند؛ گروهی از آنان مسلحانه و طی نبردی با سپاه دفاعی امام علیه السلام کشته شدند؛ همان‌طورکه یارانی از امام نیز مظلومانه به دست آنان کشته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شیخ‌مفید،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نسبت دادن کشته‌شدگان این جنگ به امیرمومنان علیه السلام درست نیست</w:t>
      </w:r>
      <w:r>
        <w:rPr>
          <w:rFonts w:eastAsia="IRNazanin" w:cs="IRNazanin"/>
          <w:color w:val="111111"/>
          <w:sz w:val="28"/>
          <w:szCs w:val="28"/>
          <w:rtl w:val="true"/>
          <w:lang w:bidi="fa-IR"/>
        </w:rPr>
        <w:t xml:space="preserve">. </w:t>
      </w:r>
      <w:bookmarkStart w:id="341" w:name="pg5444_51547"/>
    </w:p>
    <w:p>
      <w:pPr>
        <w:pStyle w:val="Heading3"/>
        <w:numPr>
          <w:ilvl w:val="2"/>
          <w:numId w:val="1"/>
        </w:numPr>
        <w:rPr/>
      </w:pPr>
      <w:bookmarkStart w:id="342" w:name="__RefHeading___Toc1903177_581953129"/>
      <w:bookmarkStart w:id="343" w:name="_Toc124"/>
      <w:bookmarkEnd w:id="341"/>
      <w:bookmarkEnd w:id="342"/>
      <w:r>
        <w:rPr>
          <w:rtl w:val="true"/>
        </w:rPr>
        <w:t>نتیجه</w:t>
      </w:r>
      <w:bookmarkEnd w:id="343"/>
    </w:p>
    <w:p>
      <w:pPr>
        <w:pStyle w:val="BookText"/>
        <w:rPr/>
      </w:pPr>
      <w:r>
        <w:rPr>
          <w:rFonts w:ascii="IRNazanin" w:hAnsi="IRNazanin" w:eastAsia="IRNazanin"/>
          <w:color w:val="111111"/>
          <w:sz w:val="28"/>
          <w:sz w:val="28"/>
          <w:szCs w:val="28"/>
          <w:rtl w:val="true"/>
          <w:lang w:bidi="fa-IR"/>
        </w:rPr>
        <w:t>به نظر می‌رسد رفتار‌های خشونت‌آمیز گروه‌های افراطی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القاعده، طالبان، داعش، بوکوحرام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به‌هیچ‌وجه مطابق با منش و رفتارهای رسول‌خدا صلی الله علیه و آله نیست، ازآن جهت که رسول‌خدا صلی الله علیه و آله در برخورد با اسیران ضمن اینکه رعایت حال آنها را بر خود و یارانش واجب کرده بود، مهربانی، عفو و گذشت را اصل معرفی می‌کرد؛ آن حضرت از برخورد خشونت‌آمیز با اسیران خودداری می‌کرد و عموماً آنان را می‌بخشید و آزاد می‌کرد، گاهی برخی از افراد که جرایم بزرگی مرتکب شده بودند و از اسلام آوردن خودداری می‌کردند، اعدام می‌شدند؛ این افراد عموماً کسانی بودند که مرتکب قتل شده بودند و یا متعهد شده بودند در توطئه و جنگ علیه مسلمانان شرکت نکنند، ولی آنان به این تعهد خویش عمل نکرده بودند و مجدداً در جنگ شرکت نموده و اسیر می‌شدند یا کسانی بودند که رسول‌خدا صلی الله علیه و آله را هجو و سب کرده و در کشتار و اذیت مسلمانان با مشرکان همدست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علاوه‌براین، مسلمانان در اعدام کسانی که مستحق اعدام بودند، هیچگاه به‌مانند داعش افراد مجرم را با خشونت و سنگدلی سر نبریدند و یا زنده‌زنده در آتش نمی‌سوزاندند؛ الگوی داعش در این رفتارهای غیرانسانی استناد به رفتار خالد‌بن‌ولید و امثال او بود که پیامبر صلی الله علیه و آله از رفتار آنان اعلام بیزاری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داعش متأثر از هنجارهای حاکمان نا‌مشروع و فتواهای افراط‌گرایانۀ افرادی چون ابن‌تیمیه و محمد‌بن‌عبدالوهاب است که آنها تنها خودشان را مصداق مسلمان واقعی دانسته و فتوا به تکفیر دیگران می‌دادند و به قتل آنان حکم می‌کردند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به‌هرحال، برداشت‌های نادرست از آیات قرآن‌کریم و سیرۀ پیامبر‌اکرم صلی الله علیه و آله و فتواهای نا‌متعادل و خشن برخی از منتسبان به اسلام سبب پدید آمدن چنین افکار و رفتارهای خشن انحرافی در میان آنان شده است که همان‌طور که بررسی شد ارتباطی با سیرۀ عملی نبوی و علوی ندارد</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44" w:name="pg5444_51549"/>
      <w:bookmarkStart w:id="345" w:name="pg5444_51549"/>
      <w:bookmarkEnd w:id="345"/>
    </w:p>
    <w:p>
      <w:pPr>
        <w:pStyle w:val="Heading3"/>
        <w:numPr>
          <w:ilvl w:val="2"/>
          <w:numId w:val="1"/>
        </w:numPr>
        <w:rPr/>
      </w:pPr>
      <w:bookmarkStart w:id="346" w:name="pg5444_51549"/>
      <w:bookmarkStart w:id="347" w:name="__RefHeading___Toc1903179_581953129"/>
      <w:bookmarkStart w:id="348" w:name="_Toc125"/>
      <w:bookmarkEnd w:id="346"/>
      <w:bookmarkEnd w:id="347"/>
      <w:r>
        <w:rPr>
          <w:rtl w:val="true"/>
        </w:rPr>
        <w:t>فهرست منابع</w:t>
      </w:r>
      <w:bookmarkEnd w:id="348"/>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ابن‌ابی‌الحدید، ابوحامد، عبد‌الحمید‌بن‌هبة‌الله،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العربیه،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ابن‌اثیر جزری، عزالدین علی،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ابن‌اعثم کوفی، محمد‌بن‌علی، الفتوح،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ابن‌تیمیه، احمد‌بن‌عبدالحلیم، مجمع الفتاوی،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نجدی،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ابن‌تیمیة،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ابن‌جوزی، عبدالرحمن‌بن‌علی‌بن‌محمد، المنتظم فی تاریخ الملوک و الأمم،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ابن‌حجر عسقلانی، احمد‌بن‌علی، الإصابة فی تمییز الصحابة،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 احمد عبدالموجود و علی‌محمد معوض،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ابن‌سعد، محمد‌بن‌سعد‌بن‌منیع هاشمی، الطبقات الکبری،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العلمیة،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ابن‌سیدالناس یعمری، محمد‌بن‌محمد، عیون الأثر فی فنون المغازی و الشمائل و السیر،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دارالقلم،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ابن‌شهر آشوب مازندرانی، محمد‌بن‌علی،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ابن‌قتیبة دینوری، أبومحمد عبدالله‌بن‌مسلم، الإمامة و السیاسة المعروف بتاریخ الخلفاء،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شیری،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دارالأضواء،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ابن‌مزاحم، نصر‌بن‌مزاحم منقری، پیکار صفین، ترجمۀ پرویز اتابکی،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آموزش انقلاب اسلامی،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ابن‌مزاحم، نصر‌بن‌مزاحم منقری، وقعة صفین،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محمد هارون، قاهرة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العربیة الحدیثة،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ابن‌مسکویه، احمد‌بن‌محمد، تجارب الامم و تعاقب الهمم،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ابن‌هشام حمیری معافری، عبدالملک‌بن‌هشام، السیرة النبویة،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سقا و ابراهیم أبیاری،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ابن‌واضح، احمد‌بن‌أبی‌یعقوب،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احمدی میانجی، علی، مکاتیب الرسول صلی الله علیه و آله،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دارالحدیث،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بخاری، محمد‌بن‌اسماعیل، صحیح بخاری،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بلاذری، احمد‌بن‌یحیی، انساب الاشراف،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ثقفی، ابراهیم‌بن‌محمد، الغارات،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حرعاملی، محمد‌بن‌حسن، وسائل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 سلیم، عالمان شیعه، رویاروی استعمار، ترجمۀ محمدهادی باستخواه،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به‌نشر،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خشن، حسین احمد، اسلام و خشونت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نگاهی نو به پدیدۀ تکفیر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موسی دانش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دکمجیان،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هرایر، اسلام در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جنبش‌های اسلامی در جهان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پدیدۀ بنیادگرایی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ترجمۀ حمید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کیهان،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دینوری، احمدبن‌داود، الاخبارالطوال،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عبدالمنعم عامر،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الرضی،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 شمس‌الدین محمد‌بن‌احمد، تاریخ الاسلام،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دارالکتاب العربی،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رنسیمان، استیون، تاریخ جنگ‌های صلیبی، ترجمۀ زهرا مهشاد محیط‌طباطبایی،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حسینیۀ ارشاد، </w:t>
      </w:r>
      <w:r>
        <w:rPr>
          <w:rFonts w:eastAsia="IRNazanin" w:cs="IRNazanin"/>
          <w:color w:val="111111"/>
          <w:sz w:val="28"/>
          <w:szCs w:val="28"/>
          <w:lang w:bidi="fa-IR"/>
        </w:rPr>
        <w:t>1357</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سیدرضی، محمد‌بن‌حسین، نهج البلاغة،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صبحی،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 عبدالرحمن‌بن‌ابی‌بکر، در المنثور فی تفسیر الماثور،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کتابخانۀ آیت‌الله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شیخ‌صدوق، ابن‌بابویه، محمد‌بن‌علی، أمالی،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شیخ‌طوسی، محمد‌بن‌حسن، التبیان فی تفسیر القرآن،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قصیرعاملی،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تهذیب‌الاحکام فی شرح المقنعه،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داراکتب‌الاسلامیه،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شیخ‌مفید، محمد‌بن‌محمد‌بن‌نعمان، الجمل و النصرة لسید فی حرب،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کنگرۀ شیخ‌مفید،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طبرسی، فضل‌بن‌حسن، مجمع البیان فی تفسیر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خسرو،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 محمدبن‌جریر، تاریخ الطبری یا تاریخ الامم و الملوک،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محمد ابوالفضل، بیروت، دارالتراث،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عسکری، سیدمرتضی، معالم المدرستین،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اهل‌بیت علیهم السلام،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رازی، فخرالدین محمدبن‌عمر، التفسیر الکبیر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کسروی، سیداحمد، تاریخ مشروطۀ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کلینی رازی، ابی‌جعفر محمدبن یعقوب‌بن‌اسحاق، الکافی،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متقی هندی، علی، کنزالعمال فی سنن الاقوال و الافعال،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مجلسی، محمدباقر‌بن‌محمدتقی، بحارالأنوار،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ﻣﺪنی، ﺟﻼﻝﺍﻟﺪین، ﺗﺎﺭﯾﺦ ﺳﯿﺎﺳﯽ ﻣﻌﺎﺻﺮ ﺍﯾﺮﺍﻥ،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ﺟﺎمعۀ ﻣﺪﺭﺳﯿﻦ ﺣﻮﺯۀ علمیۀ ﻗﻢ،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مسعودی، علی‌بن‌حسین، مروج الذهب و معادن الجوهر،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یوسف‌اسعد داغر،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دارالهجرة،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ملک‌زاده، مهدی، تاریخ انقلاب مشروطۀ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w:t>
      </w:r>
      <w:r>
        <w:rPr>
          <w:rFonts w:eastAsia="IRNazanin" w:cs="IRNazanin"/>
          <w:color w:val="111111"/>
          <w:sz w:val="28"/>
          <w:szCs w:val="28"/>
          <w:lang w:bidi="fa-IR"/>
        </w:rPr>
        <w:t>1372</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ناشی اکبر، عبدالله‌بن‌محمد، مسائل الامامة، ترجمۀ علیرضا ایمانی،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ادیان و مذاهب،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ناظم‌الاسلام کرمانی، محمد‌بن‌علی، تاریخ بیداری ایرانیان،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نوری، حسین‌بن‌محمدتقی، مستدرک الوسائل و مستنبط المسائل،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آل‌البیت علیهم السلام،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نیشابوری، مسلم‌بن‌حجاج، صحیح مسلم،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دارالفکر،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واقدی، محمد‌بن‌عمر، المغازی،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مارسدن جونس،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www.andisheqom.com</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شهرری در جوار مرقد حضرت عبدالعظیم علیه السلام، </w:t>
      </w:r>
      <w:r>
        <w:rPr>
          <w:rFonts w:eastAsia="IRNazanin" w:cs="IRNazanin"/>
          <w:b w:val="false"/>
          <w:bCs w:val="false"/>
          <w:i w:val="false"/>
          <w:iCs w:val="false"/>
          <w:color w:val="333333"/>
          <w:sz w:val="20"/>
          <w:szCs w:val="20"/>
        </w:rPr>
        <w:t>5/8/1373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شورای عالی حوزه‌های علمیه، </w:t>
      </w:r>
      <w:r>
        <w:rPr>
          <w:rFonts w:eastAsia="IRNazanin" w:cs="IRNazanin"/>
          <w:b w:val="false"/>
          <w:bCs w:val="false"/>
          <w:i w:val="false"/>
          <w:iCs w:val="false"/>
          <w:color w:val="333333"/>
          <w:sz w:val="20"/>
          <w:szCs w:val="20"/>
        </w:rPr>
        <w:t>10/3/1383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مجمع نمایندگان طلاب و فضلای حوزة علمیة قم، </w:t>
      </w:r>
      <w:r>
        <w:rPr>
          <w:rFonts w:eastAsia="IRNazanin" w:cs="IRNazanin"/>
          <w:b w:val="false"/>
          <w:bCs w:val="false"/>
          <w:i w:val="false"/>
          <w:iCs w:val="false"/>
          <w:color w:val="333333"/>
          <w:sz w:val="20"/>
          <w:szCs w:val="20"/>
        </w:rPr>
        <w:t>07/09/1368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اساتید، مسئولان، فضلا و طلاب بنیاد فرهنگی باقرالعلوم علیه السلام، </w:t>
      </w:r>
      <w:r>
        <w:rPr>
          <w:rFonts w:eastAsia="IRNazanin" w:cs="IRNazanin"/>
          <w:b w:val="false"/>
          <w:bCs w:val="false"/>
          <w:i w:val="false"/>
          <w:iCs w:val="false"/>
          <w:color w:val="333333"/>
          <w:sz w:val="20"/>
          <w:szCs w:val="20"/>
        </w:rPr>
        <w:t>01/11/1368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آغاز درس خارج فقه، </w:t>
      </w:r>
      <w:r>
        <w:rPr>
          <w:rFonts w:eastAsia="IRNazanin" w:cs="IRNazanin"/>
          <w:b w:val="false"/>
          <w:bCs w:val="false"/>
          <w:i w:val="false"/>
          <w:iCs w:val="false"/>
          <w:color w:val="333333"/>
          <w:sz w:val="20"/>
          <w:szCs w:val="20"/>
        </w:rPr>
        <w:t>20/6/1379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همایش جهانی حکمت مطهر، </w:t>
      </w:r>
      <w:r>
        <w:rPr>
          <w:rFonts w:eastAsia="IRNazanin" w:cs="IRNazanin"/>
          <w:b w:val="false"/>
          <w:bCs w:val="false"/>
          <w:i w:val="false"/>
          <w:iCs w:val="false"/>
          <w:color w:val="333333"/>
          <w:sz w:val="20"/>
          <w:szCs w:val="20"/>
        </w:rPr>
        <w:t>06/02/1383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کنگرة حکمت مطهر، </w:t>
      </w:r>
      <w:r>
        <w:rPr>
          <w:rFonts w:eastAsia="IRNazanin" w:cs="IRNazanin"/>
          <w:b w:val="false"/>
          <w:bCs w:val="false"/>
          <w:i w:val="false"/>
          <w:iCs w:val="false"/>
          <w:color w:val="333333"/>
          <w:sz w:val="20"/>
          <w:szCs w:val="20"/>
        </w:rPr>
        <w:t>18/12/1382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طلاب و فضلای حوزة علمیة قم، </w:t>
      </w:r>
      <w:r>
        <w:rPr>
          <w:rFonts w:eastAsia="IRNazanin" w:cs="IRNazanin"/>
          <w:b w:val="false"/>
          <w:bCs w:val="false"/>
          <w:i w:val="false"/>
          <w:iCs w:val="false"/>
          <w:color w:val="333333"/>
          <w:sz w:val="20"/>
          <w:szCs w:val="20"/>
        </w:rPr>
        <w:t>29/7/1389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علما و روحانیون استان همدان، </w:t>
      </w:r>
      <w:r>
        <w:rPr>
          <w:rFonts w:eastAsia="IRNazanin" w:cs="IRNazanin"/>
          <w:b w:val="false"/>
          <w:bCs w:val="false"/>
          <w:i w:val="false"/>
          <w:iCs w:val="false"/>
          <w:color w:val="333333"/>
          <w:sz w:val="20"/>
          <w:szCs w:val="20"/>
        </w:rPr>
        <w:t>15/04/1383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علما و طلاب قزوین، </w:t>
      </w:r>
      <w:r>
        <w:rPr>
          <w:rFonts w:eastAsia="IRNazanin" w:cs="IRNazanin"/>
          <w:b w:val="false"/>
          <w:bCs w:val="false"/>
          <w:i w:val="false"/>
          <w:iCs w:val="false"/>
          <w:color w:val="333333"/>
          <w:sz w:val="20"/>
          <w:szCs w:val="20"/>
        </w:rPr>
        <w:t>25/9/1382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فضلا و نخبگان حوزه علمیة قم، </w:t>
      </w:r>
      <w:r>
        <w:rPr>
          <w:rFonts w:eastAsia="IRNazanin" w:cs="IRNazanin"/>
          <w:b w:val="false"/>
          <w:bCs w:val="false"/>
          <w:i w:val="false"/>
          <w:iCs w:val="false"/>
          <w:color w:val="333333"/>
          <w:sz w:val="20"/>
          <w:szCs w:val="20"/>
        </w:rPr>
        <w:t>14/9/1374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مجمع نمایندگان طلاب و فضلای حوزة علمیة قم، </w:t>
      </w:r>
      <w:r>
        <w:rPr>
          <w:rFonts w:eastAsia="IRNazanin" w:cs="IRNazanin"/>
          <w:b w:val="false"/>
          <w:bCs w:val="false"/>
          <w:i w:val="false"/>
          <w:iCs w:val="false"/>
          <w:color w:val="333333"/>
          <w:sz w:val="20"/>
          <w:szCs w:val="20"/>
        </w:rPr>
        <w:t>04/11/1369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طلاب و روحانیون اصفهان، </w:t>
      </w:r>
      <w:r>
        <w:rPr>
          <w:rFonts w:eastAsia="IRNazanin" w:cs="IRNazanin"/>
          <w:b w:val="false"/>
          <w:bCs w:val="false"/>
          <w:i w:val="false"/>
          <w:iCs w:val="false"/>
          <w:color w:val="333333"/>
          <w:sz w:val="20"/>
          <w:szCs w:val="20"/>
        </w:rPr>
        <w:t>8/8/1380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آغاز درس خارج فقه، </w:t>
      </w:r>
      <w:r>
        <w:rPr>
          <w:rFonts w:eastAsia="IRNazanin" w:cs="IRNazanin"/>
          <w:b w:val="false"/>
          <w:bCs w:val="false"/>
          <w:i w:val="false"/>
          <w:iCs w:val="false"/>
          <w:color w:val="333333"/>
          <w:sz w:val="20"/>
          <w:szCs w:val="20"/>
        </w:rPr>
        <w:t>14/06/1374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روحانیان، </w:t>
      </w:r>
      <w:r>
        <w:rPr>
          <w:rFonts w:eastAsia="IRNazanin" w:cs="IRNazanin"/>
          <w:b w:val="false"/>
          <w:bCs w:val="false"/>
          <w:i w:val="false"/>
          <w:iCs w:val="false"/>
          <w:color w:val="333333"/>
          <w:sz w:val="20"/>
          <w:szCs w:val="20"/>
        </w:rPr>
        <w:t>7/5/1371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روحانیون و مبلّغان، در آستانة ماه محرّم، </w:t>
      </w:r>
      <w:r>
        <w:rPr>
          <w:rFonts w:eastAsia="IRNazanin" w:cs="IRNazanin"/>
          <w:b w:val="false"/>
          <w:bCs w:val="false"/>
          <w:i w:val="false"/>
          <w:iCs w:val="false"/>
          <w:color w:val="333333"/>
          <w:sz w:val="20"/>
          <w:szCs w:val="20"/>
        </w:rPr>
        <w:t>26/2/1375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عمامه‌گذاری گروهی از طلاب، </w:t>
      </w:r>
      <w:r>
        <w:rPr>
          <w:rFonts w:eastAsia="IRNazanin" w:cs="IRNazanin"/>
          <w:b w:val="false"/>
          <w:bCs w:val="false"/>
          <w:i w:val="false"/>
          <w:iCs w:val="false"/>
          <w:color w:val="333333"/>
          <w:sz w:val="20"/>
          <w:szCs w:val="20"/>
        </w:rPr>
        <w:t>26/10/1368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علما و روحانیون کرمان، </w:t>
      </w:r>
      <w:r>
        <w:rPr>
          <w:rFonts w:eastAsia="IRNazanin" w:cs="IRNazanin"/>
          <w:b w:val="false"/>
          <w:bCs w:val="false"/>
          <w:i w:val="false"/>
          <w:iCs w:val="false"/>
          <w:color w:val="333333"/>
          <w:sz w:val="20"/>
          <w:szCs w:val="20"/>
        </w:rPr>
        <w:t>11/02/1384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هیئت علمی کنگرة امام خمینی رحمة الله، </w:t>
      </w:r>
      <w:r>
        <w:rPr>
          <w:rFonts w:eastAsia="IRNazanin" w:cs="IRNazanin"/>
          <w:b w:val="false"/>
          <w:bCs w:val="false"/>
          <w:i w:val="false"/>
          <w:iCs w:val="false"/>
          <w:color w:val="333333"/>
          <w:sz w:val="20"/>
          <w:szCs w:val="20"/>
        </w:rPr>
        <w:t>04/11/1378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مراسم عمامه‌گذاری گروهی از طلاب، </w:t>
      </w:r>
      <w:r>
        <w:rPr>
          <w:rFonts w:eastAsia="IRNazanin" w:cs="IRNazanin"/>
          <w:b w:val="false"/>
          <w:bCs w:val="false"/>
          <w:i w:val="false"/>
          <w:iCs w:val="false"/>
          <w:color w:val="333333"/>
          <w:sz w:val="20"/>
          <w:szCs w:val="20"/>
        </w:rPr>
        <w:t>26/10/1368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مجمع نمایندگان طلاب قم، </w:t>
      </w:r>
      <w:r>
        <w:rPr>
          <w:rFonts w:eastAsia="IRNazanin" w:cs="IRNazanin"/>
          <w:b w:val="false"/>
          <w:bCs w:val="false"/>
          <w:i w:val="false"/>
          <w:iCs w:val="false"/>
          <w:color w:val="333333"/>
          <w:sz w:val="20"/>
          <w:szCs w:val="20"/>
        </w:rPr>
        <w:t>7/9/1368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جامعة مدرسین حوزة علمیة قم، </w:t>
      </w:r>
      <w:r>
        <w:rPr>
          <w:rFonts w:eastAsia="IRNazanin" w:cs="IRNazanin"/>
          <w:b w:val="false"/>
          <w:bCs w:val="false"/>
          <w:i w:val="false"/>
          <w:iCs w:val="false"/>
          <w:color w:val="333333"/>
          <w:sz w:val="20"/>
          <w:szCs w:val="20"/>
        </w:rPr>
        <w:t>22/2/1379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مجمع نمایندگان طلاّب قم، </w:t>
      </w:r>
      <w:r>
        <w:rPr>
          <w:rFonts w:eastAsia="IRNazanin" w:cs="IRNazanin"/>
          <w:b w:val="false"/>
          <w:bCs w:val="false"/>
          <w:i w:val="false"/>
          <w:iCs w:val="false"/>
          <w:color w:val="333333"/>
          <w:sz w:val="20"/>
          <w:szCs w:val="20"/>
        </w:rPr>
        <w:t>7/9/1368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آغاز درس خارج فقه، </w:t>
      </w:r>
      <w:r>
        <w:rPr>
          <w:rFonts w:eastAsia="IRNazanin" w:cs="IRNazanin"/>
          <w:b w:val="false"/>
          <w:bCs w:val="false"/>
          <w:i w:val="false"/>
          <w:iCs w:val="false"/>
          <w:color w:val="333333"/>
          <w:sz w:val="20"/>
          <w:szCs w:val="20"/>
        </w:rPr>
        <w:t>31/6/1370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بزرگ اساتید، فضلا و طلاب حوزة علمیة قم، در مدرسة فیضیة قم، </w:t>
      </w:r>
      <w:r>
        <w:rPr>
          <w:rFonts w:eastAsia="IRNazanin" w:cs="IRNazanin"/>
          <w:b w:val="false"/>
          <w:bCs w:val="false"/>
          <w:i w:val="false"/>
          <w:iCs w:val="false"/>
          <w:color w:val="333333"/>
          <w:sz w:val="20"/>
          <w:szCs w:val="20"/>
        </w:rPr>
        <w:t>14/7/1379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اجتماع محققان و پژوهشگران حوزوی مراکز علمی پژوهشی حوزة علمیة قم، </w:t>
      </w:r>
      <w:r>
        <w:rPr>
          <w:rFonts w:eastAsia="IRNazanin" w:cs="IRNazanin"/>
          <w:b w:val="false"/>
          <w:bCs w:val="false"/>
          <w:i w:val="false"/>
          <w:iCs w:val="false"/>
          <w:color w:val="333333"/>
          <w:sz w:val="20"/>
          <w:szCs w:val="20"/>
        </w:rPr>
        <w:t>15/7/1379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عضو هئیت علمی و رئیس دانشکده مذاهب اسلامی دانشگاه ادیان قم، </w:t>
      </w:r>
      <w:r>
        <w:rPr>
          <w:rFonts w:eastAsia="IRNazanin" w:cs="IRNazanin"/>
          <w:b w:val="false"/>
          <w:bCs w:val="false"/>
          <w:i w:val="false"/>
          <w:iCs w:val="false"/>
          <w:color w:val="333333"/>
          <w:sz w:val="20"/>
          <w:szCs w:val="20"/>
        </w:rPr>
        <w:t>Farmanian@urd.ac.ir</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خلف، اشاعره، ماتریدیه، عرفا، فلاسفه و متکلمین می‌باشد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دانشگاه علم و صنعت ایران، </w:t>
      </w:r>
      <w:r>
        <w:rPr>
          <w:rFonts w:eastAsia="IRNazanin" w:cs="IRNazanin"/>
          <w:b w:val="false"/>
          <w:bCs w:val="false"/>
          <w:i w:val="false"/>
          <w:iCs w:val="false"/>
          <w:color w:val="333333"/>
          <w:sz w:val="20"/>
          <w:szCs w:val="20"/>
        </w:rPr>
        <w:t>karymi@iust.ac.ir</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هاله یک حوزه انرژی الکترومغناطیسی است که بدن را احاطه کرده و از آن محافظت می</w:t>
      </w:r>
      <w:r>
        <w:rPr>
          <w:rFonts w:eastAsia="IRNazanin" w:cs="IRNazanin"/>
          <w:b w:val="false"/>
          <w:bCs w:val="false"/>
          <w:i w:val="false"/>
          <w:iCs w:val="false"/>
          <w:color w:val="333333"/>
          <w:sz w:val="20"/>
          <w:szCs w:val="20"/>
          <w:rtl w:val="true"/>
        </w:rPr>
        <w:softHyphen/>
      </w:r>
      <w:r>
        <w:rPr>
          <w:rFonts w:ascii="IRNazanin" w:hAnsi="IRNazanin" w:eastAsia="IRNazanin"/>
          <w:b w:val="false"/>
          <w:b w:val="false"/>
          <w:bCs w:val="false"/>
          <w:i w:val="false"/>
          <w:i w:val="false"/>
          <w:iCs w:val="false"/>
          <w:color w:val="333333"/>
          <w:sz w:val="20"/>
          <w:sz w:val="20"/>
          <w:szCs w:val="20"/>
          <w:rtl w:val="true"/>
        </w:rPr>
        <w:t>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سیگار، مشروبات الکلی و مواد مخدر هاله را بسیار آسیب پذیر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هاله‌های بشری عبارتند از یک سری شعاع‌های نورانی که از جسم انسان بیرون می‌آید و از هر طرف انسان را احاطه می‌کند این هاله‌ها را فقط مدیوم‌هایی می‌بینند که دارای جلاء بصری می‌باشند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هاله یکی از موضوعات مهم برای کسانی است که در موضوع ارواح، معالجه روحی می‌کنند</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سیمیا، علمی است که از آمیختن قوایِ ارادی با قوای مادی خاص برای دست‌یابی به تصرّفات خاصّی در امور طبیعی، مانند تصرّف و خیال که آن را جادوی چشم می‌گویند، بحث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علم و فن، از بارزترین مصداق‌های جادوگری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نمونه بارز سیمیاگران در طول تاریخ جادوگران اجیر‌شده توسط فرعون بودند که در مقابل موسی علیه السلام قرار گرفتند و در نهایت به او ایمان آوردند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لِلَّهِ الْعِزَّةُ وَ لِرَسُولِهِ وَ لِلْمُؤْمِنین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إِنِّی جاعِلُکَ لِلنَّاسِ إِماماً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وَجَعَلَنِی نَبِیّاً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اصْطَفَی آدَمَ وَنُوحًا وَآلَ إِبْرَاهِیمَ وَآلَ عِمْرَانَ عَلَی الْعَالَمِینَ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 ما خلق الله نوری، بحار الانوار، مجلسی، ج</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انا سید ولد آدم، امالی، صدوق،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لَوْلاکَ لَما خَلَقْتُ الْأَفْلاکَ، المناقب، ابن‌شهرآشوب،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وجوب ذکر صلوات و درود بر آل محمد در نماز،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وَابْتَغُواْ إِلَیهِ الْوَسِیلَةَ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 مَلائِکَتَهُ یُصَلُّونَ عَلَی النَّبِیِّ یا أَیُّهَا الَّذِینَ آمَنُوا صَلُّوا عَلَیْهِ وَ سَلِّمُوا تَسْلِیما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تنتره، از نحله‌های متأثر از فرهنگ هندویی است که قدمت تاریخی بلندی دارد و در کشور هند، دارای پیروان بسیاری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تنتره از شاخه‌های مکاتب عرفانی و رازآلود هندی است که آدمی را به بهره‌گیری از همۀ جنبه‌های وجودی خویش فرامی‌خواند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مکتب، انسان می‌تواند از تمام توان مادی و معنوی، به ویژه امکانات جسمی و مادی، برای کمال و تعالی استفاده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روش متکی بر تجربیات شخصی است و به شدت از انزوا و گوشه‌گیری پرهیز دارد و معتقد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از تمام لذات مادی هم بهره جست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آموزه‌های تنتره، از نفی دنیا و لذایذ آن خبری نیست، بلکه انسان باید از آن‌ها برای خصوصیات عالی انسانی بهره 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مقدس تنتره کامه سوتره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پژوهشگاه فرهنگ و اندیشۀ اسلامی، </w:t>
      </w:r>
      <w:r>
        <w:rPr>
          <w:rFonts w:eastAsia="IRNazanin" w:cs="IRNazanin"/>
          <w:b w:val="false"/>
          <w:bCs w:val="false"/>
          <w:i w:val="false"/>
          <w:iCs w:val="false"/>
          <w:color w:val="333333"/>
          <w:sz w:val="20"/>
          <w:szCs w:val="20"/>
        </w:rPr>
        <w:t>khosropanahdezfuli@gmail.com</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فارغ‌التحصیل سطح چهار تخصصی کلام اسلامی مؤسسۀ امام‌صادق علیه السلام، </w:t>
      </w:r>
      <w:r>
        <w:rPr>
          <w:rFonts w:eastAsia="IRNazanin" w:cs="IRNazanin"/>
          <w:b w:val="false"/>
          <w:bCs w:val="false"/>
          <w:i w:val="false"/>
          <w:iCs w:val="false"/>
          <w:color w:val="333333"/>
          <w:sz w:val="20"/>
          <w:szCs w:val="20"/>
        </w:rPr>
        <w:t>mafkalam@gmail.com</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دکتری فقه و اصول حوزة علمیة قم، </w:t>
      </w:r>
      <w:r>
        <w:rPr>
          <w:rFonts w:eastAsia="IRNazanin" w:cs="IRNazanin"/>
          <w:b w:val="false"/>
          <w:bCs w:val="false"/>
          <w:i w:val="false"/>
          <w:iCs w:val="false"/>
          <w:color w:val="333333"/>
          <w:sz w:val="20"/>
          <w:szCs w:val="20"/>
        </w:rPr>
        <w:t>sms_554@yahoo.com</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الْعِلْمُ بِالاَْحْکامِ الشَّرعِیَّةِ الفَرْعِیَّةِ عَنْ اَدِلَّتِهَا التَّفْصِیلِیَّةِ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تعریف‌های مشابه دیگر که در کتاب‌های بسیاری از فقهای قدیم و جدید آمده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حق مالی یثبّت لله و لرسوله و الائمة الهادین من اهل‌بیته و بنی هاشم فی مال مخصوص بالاصالة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ان المخمس لا یخمّس؟؛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ان المال الذی اخرج خمسه من عینه او من مال آخر مخمّس او غیر خاضع للتخمیس اذا بقی حولاً آخر لم یثبت فیه الخمس مرة اخری</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فَأَمَّا الْغَنَائِمُ وَ الْفَوَائِدُ فَهِیَ وَاجِبَةٌ عَلَیْهِمْ فِی کُلِّ عَامٍ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می‌گویند که اصولاً صدق عرفی فایده و منفعت بعد از گذشت سال محقق می‌شود؛ چراکه عموم بازاریان و کاسبان حتی کسانی که خمس نمی‌پردازند، حساب سالیانه دارند تا سود و زیان کسب‌وکارشان مشخص گردد؛ بنابراین حتی بدون وجود روایات دستۀ دوم هم این حکم قابل اثبات است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اینکه فقها برای اظهارنظر در مسائل شرعی، گاهی متن مستقلی به نگارش در می‌آوردند و گاهی هم بر متن دیگران، حاشیه می‌زنند، نظر خود را می‌نویسند و به اصطلاح حاشیه‌نویسی می‌کنند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حالت دوم تنها زمانی فقیه اقدام به حاشیه‌نویسی می‌کند که دیدگاه مخالفی با نظر نویسندۀ اصلی متن داشته باشد</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صرف‌نظر از تفاوتی که بعضاً در فقه بین قلمرو ولایت اهل‌بیت علیهم السلام و حکام شرع و فقها بیان شده است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منافاتی با تحلیل برخی از اقسام خمس توسط اهل‌بیت علیهم السلام به جهت عدم توانایی شیعیان نداشته و این امر نیز در راستای مطلب بیان‌شده، می‌باشد و نیز در زکات اقلام جدید توسط اهل‌بیت علیهم السلام نیز می‌توان همین دیدگاه را مدنظر داشت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صرف‌نظر از اشکالاتی که به سیستم بانکی به لحاظ بالا بودن نرخ بهره و توزیع ناصحیح اعتبارات داریم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کسانی که زر و سیم را گنجینه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ذخیره و پنهان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می‌کنند و آن را در راه خدا هزینه نمی‌کنند، ایشان را از عذابی دردناک خبر ده</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بخش از نوشتار،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 کنز از دیدگاه علم اقتصاد و اندیشمندان اسلامی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 سیدحسین میرمعزی استفاده شده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لَهُ الْبَوْلُ أَقْذَرُ أَمِ الْمَنِیُّ فَقَالَ الْبَوْلُ أَقْذَرُ فَقَالَ یَجِبُ عَلَی قِیَاسِکَ أَنْ یَجِبَ الْغُسْلُ مِنَ الْبَوْلِ دُونَ الْمَنِیِّ وَ قَدْ أَوْجَبَ اللَّهُ تَعَالَی الْغُسْلَ مِنَ الْمَنِیِّ دُونَ الْبَوْلِ</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گروه فقه و مبانی حقوق اسلامی، دانشگاه آزاد اسلامی قم، </w:t>
      </w:r>
      <w:r>
        <w:rPr>
          <w:rFonts w:eastAsia="IRNazanin" w:cs="IRNazanin"/>
          <w:b w:val="false"/>
          <w:bCs w:val="false"/>
          <w:i w:val="false"/>
          <w:iCs w:val="false"/>
          <w:color w:val="333333"/>
          <w:sz w:val="20"/>
          <w:szCs w:val="20"/>
        </w:rPr>
        <w:t>Ahmoradkhani@yahoo.com</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علوم قرآن و حدیث، </w:t>
      </w:r>
      <w:r>
        <w:rPr>
          <w:rFonts w:eastAsia="IRNazanin" w:cs="IRNazanin"/>
          <w:b w:val="false"/>
          <w:bCs w:val="false"/>
          <w:i w:val="false"/>
          <w:iCs w:val="false"/>
          <w:color w:val="333333"/>
          <w:sz w:val="20"/>
          <w:szCs w:val="20"/>
        </w:rPr>
        <w:t>Hasanrezaee@gamil.com</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أنس‌بن‌مالک بن‌النضر‌بن‌ضمضم، ملقّب به ابوحمزه، در مدینه به دنیا آمد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که جزو انصار و صحابه پیامبر اکرم صلی الله علیه و آله حساب می‌شود، در سنین کودکی به آن حضرت پیوست و او را در جنگ‌های بسیاری ازجمله جنگ بدر همراهی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عسقلانی،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ق،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ده سال قبل از هجرت به دنیا آمد، در ده سالگی خادم رسول‌الله صلی الله علیه و آله شد و خود را همیشه خادم پیامبر می‌نامید و به این امر افتخار می‌کرد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ابن‌اثیر،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استادیار پژوهشگاه علوم و فرهنگ اسلامی، </w:t>
      </w:r>
      <w:r>
        <w:rPr>
          <w:rFonts w:eastAsia="IRNazanin" w:cs="IRNazanin"/>
          <w:b w:val="false"/>
          <w:bCs w:val="false"/>
          <w:i w:val="false"/>
          <w:iCs w:val="false"/>
          <w:color w:val="333333"/>
          <w:sz w:val="20"/>
          <w:szCs w:val="20"/>
        </w:rPr>
        <w:t>hajizadeh30@yahoo.com</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دانشجوی دکتری دانشگاه تربیت مدرس، </w:t>
      </w:r>
      <w:r>
        <w:rPr>
          <w:rFonts w:eastAsia="IRNazanin" w:cs="IRNazanin"/>
          <w:b w:val="false"/>
          <w:bCs w:val="false"/>
          <w:i w:val="false"/>
          <w:iCs w:val="false"/>
          <w:color w:val="333333"/>
          <w:sz w:val="20"/>
          <w:szCs w:val="20"/>
        </w:rPr>
        <w:t>hasanloo1349@yahoo.com</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عَلِیّاً علیه السلام إِنَّمَا مَنَّ عَلَیْهِمْ کَمَا مَنَّ رَسُولُ اللَّهِ صلی الله علیه و آله عَلَی أَهْلِ مَکَّةَ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حرعاملی، وسائل‌الشیعه،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داراحیاءالتراث العربی، </w:t>
      </w:r>
      <w:r>
        <w:rPr>
          <w:rFonts w:eastAsia="IRNazanin" w:cs="IRNazanin"/>
          <w:b w:val="false"/>
          <w:bCs w:val="false"/>
          <w:i w:val="false"/>
          <w:iCs w:val="false"/>
          <w:color w:val="333333"/>
          <w:sz w:val="20"/>
          <w:szCs w:val="20"/>
        </w:rPr>
        <w:t>1403</w:t>
      </w:r>
      <w:r>
        <w:rPr>
          <w:rFonts w:ascii="IRNazanin" w:hAnsi="IRNazanin" w:eastAsia="IRNazanin"/>
          <w:b w:val="false"/>
          <w:b w:val="false"/>
          <w:bCs w:val="false"/>
          <w:i w:val="false"/>
          <w:i w:val="false"/>
          <w:iCs w:val="false"/>
          <w:color w:val="333333"/>
          <w:sz w:val="20"/>
          <w:sz w:val="20"/>
          <w:szCs w:val="20"/>
          <w:rtl w:val="true"/>
        </w:rPr>
        <w:t>ق، ج</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خوارج با استناد به آیۀ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یحْکمْ بِما أَنْزَلَ اللَّهُ فَأُولئِک هُمُ الْکافِرُون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تمامی کسانی که حکمیت را پذیرفتند و به دنبال آن هرکس که امام‌علی علیه السلام را کافر نمی‌دانست کافر تلقی می‌کردند و از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 لا تَذَرْ عَلَی الْأَرْضِ مِنَ الْکافِرِینَ دَیاراً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دعای حضرت‌نوح علیه السلام بود، به کشتن زنان و فرزندان مخالفان خود حکم می‌کردند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قتلوا النساء و الأطفال و فقروا بطون الحوامل و تأوّلوا فی ذلک قول اللّه عزوجلّ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لا تَذَرْ عَلَی الْأَرْضِ مِنَ الْکافِرِینَ دَیاراً إِنَّک إِنْ تَذَرْهُمْ یضِلُّوا عِبادَک و لا یلِدُوا إِلَّا فاجِراً کفَّاراً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لَمْ یحْکمْ بِما أَنْزَلَ اللَّهُ فَأُولئِک هُمُ الْکافِرُون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166</Pages>
  <Words>43260</Words>
  <Characters>183468</Characters>
  <CharactersWithSpaces>225561</CharactersWithSpaces>
  <Paragraphs>1479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2026-08-19T02:05:33Z</dcterms:created>
  <dc:creator>ghaemiyeh.com</dc:creator>
  <dc:description/>
  <dc:language>en-US</dc:language>
  <cp:lastModifiedBy/>
  <dcterms:modified xsi:type="dcterms:W3CDTF">2026-08-19T05:35:38Z</dcterms:modified>
  <cp:revision>1</cp:revision>
  <dc:subject/>
  <dc:title>فصلنامه علمی تخصصی پاسخ به شبهات - سال اول - شماره چهارم زمستان 1395</dc:title>
</cp:coreProperties>
</file>

<file path=docProps/custom.xml><?xml version="1.0" encoding="utf-8"?>
<Properties xmlns="http://schemas.openxmlformats.org/officeDocument/2006/custom-properties" xmlns:vt="http://schemas.openxmlformats.org/officeDocument/2006/docPropsVTypes"/>
</file>