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شفاعت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724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5725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57252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757254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757256_581953129">
            <w:r>
              <w:rPr>
                <w:webHidden/>
                <w:rStyle w:val="IndexLink"/>
                <w:rtl w:val="true"/>
              </w:rPr>
              <w:t>مباحثی پیرامون شفاعت</w:t>
            </w:r>
            <w:r>
              <w:rPr>
                <w:rStyle w:val="IndexLink"/>
                <w:rtl w:val="true"/>
              </w:rPr>
              <w:tab/>
            </w:r>
            <w:r>
              <w:rPr>
                <w:rStyle w:val="IndexLink"/>
              </w:rPr>
              <w:t>18</w:t>
            </w:r>
          </w:hyperlink>
        </w:p>
        <w:p>
          <w:pPr>
            <w:pStyle w:val="Contents3"/>
            <w:tabs>
              <w:tab w:val="clear" w:pos="8459"/>
              <w:tab w:val="right" w:pos="9026" w:leader="dot"/>
            </w:tabs>
            <w:rPr/>
          </w:pPr>
          <w:hyperlink w:anchor="__RefHeading___Toc1757258_581953129">
            <w:r>
              <w:rPr>
                <w:webHidden/>
                <w:rStyle w:val="IndexLink"/>
                <w:rtl w:val="true"/>
              </w:rPr>
              <w:t>معنای شفاعت</w:t>
            </w:r>
            <w:r>
              <w:rPr>
                <w:rStyle w:val="IndexLink"/>
                <w:rtl w:val="true"/>
              </w:rPr>
              <w:tab/>
            </w:r>
            <w:r>
              <w:rPr>
                <w:rStyle w:val="IndexLink"/>
              </w:rPr>
              <w:t>18</w:t>
            </w:r>
          </w:hyperlink>
        </w:p>
        <w:p>
          <w:pPr>
            <w:pStyle w:val="Contents3"/>
            <w:tabs>
              <w:tab w:val="clear" w:pos="8459"/>
              <w:tab w:val="right" w:pos="9026" w:leader="dot"/>
            </w:tabs>
            <w:rPr/>
          </w:pPr>
          <w:hyperlink w:anchor="__RefHeading___Toc1757260_581953129">
            <w:r>
              <w:rPr>
                <w:webHidden/>
                <w:rStyle w:val="IndexLink"/>
                <w:rtl w:val="true"/>
              </w:rPr>
              <w:t>اقسام شفاعت</w:t>
            </w:r>
            <w:r>
              <w:rPr>
                <w:rStyle w:val="IndexLink"/>
                <w:rtl w:val="true"/>
              </w:rPr>
              <w:tab/>
            </w:r>
            <w:r>
              <w:rPr>
                <w:rStyle w:val="IndexLink"/>
              </w:rPr>
              <w:t>18</w:t>
            </w:r>
          </w:hyperlink>
        </w:p>
        <w:p>
          <w:pPr>
            <w:pStyle w:val="Contents4"/>
            <w:tabs>
              <w:tab w:val="clear" w:pos="8176"/>
              <w:tab w:val="right" w:pos="9026" w:leader="dot"/>
            </w:tabs>
            <w:rPr/>
          </w:pPr>
          <w:hyperlink w:anchor="__RefHeading___Toc1757262_581953129">
            <w:r>
              <w:rPr>
                <w:webHidden/>
                <w:rStyle w:val="IndexLink"/>
              </w:rPr>
              <w:t>1</w:t>
            </w:r>
            <w:r>
              <w:rPr>
                <w:rStyle w:val="IndexLink"/>
                <w:rtl w:val="true"/>
              </w:rPr>
              <w:t xml:space="preserve">- </w:t>
            </w:r>
            <w:r>
              <w:rPr>
                <w:rStyle w:val="IndexLink"/>
                <w:rtl w:val="true"/>
              </w:rPr>
              <w:t>شفاعت باطل</w:t>
            </w:r>
            <w:r>
              <w:rPr>
                <w:rStyle w:val="IndexLink"/>
                <w:rtl w:val="true"/>
              </w:rPr>
              <w:t>:</w:t>
              <w:tab/>
            </w:r>
            <w:r>
              <w:rPr>
                <w:rStyle w:val="IndexLink"/>
              </w:rPr>
              <w:t>18</w:t>
            </w:r>
          </w:hyperlink>
        </w:p>
        <w:p>
          <w:pPr>
            <w:pStyle w:val="Contents4"/>
            <w:tabs>
              <w:tab w:val="clear" w:pos="8176"/>
              <w:tab w:val="right" w:pos="9026" w:leader="dot"/>
            </w:tabs>
            <w:rPr/>
          </w:pPr>
          <w:hyperlink w:anchor="__RefHeading___Toc1757264_581953129">
            <w:r>
              <w:rPr>
                <w:webHidden/>
                <w:rStyle w:val="IndexLink"/>
              </w:rPr>
              <w:t>2</w:t>
            </w:r>
            <w:r>
              <w:rPr>
                <w:rStyle w:val="IndexLink"/>
                <w:rtl w:val="true"/>
              </w:rPr>
              <w:t xml:space="preserve">- </w:t>
            </w:r>
            <w:r>
              <w:rPr>
                <w:rStyle w:val="IndexLink"/>
                <w:rtl w:val="true"/>
              </w:rPr>
              <w:t>شفاعت شرعی و صحیح</w:t>
            </w:r>
            <w:r>
              <w:rPr>
                <w:rStyle w:val="IndexLink"/>
                <w:rtl w:val="true"/>
              </w:rPr>
              <w:t>:</w:t>
              <w:tab/>
            </w:r>
            <w:r>
              <w:rPr>
                <w:rStyle w:val="IndexLink"/>
              </w:rPr>
              <w:t>20</w:t>
            </w:r>
          </w:hyperlink>
        </w:p>
        <w:p>
          <w:pPr>
            <w:pStyle w:val="Contents3"/>
            <w:tabs>
              <w:tab w:val="clear" w:pos="8459"/>
              <w:tab w:val="right" w:pos="9026" w:leader="dot"/>
            </w:tabs>
            <w:rPr/>
          </w:pPr>
          <w:hyperlink w:anchor="__RefHeading___Toc1757266_581953129">
            <w:r>
              <w:rPr>
                <w:webHidden/>
                <w:rStyle w:val="IndexLink"/>
                <w:rtl w:val="true"/>
              </w:rPr>
              <w:t>شفیع کیست؟</w:t>
            </w:r>
            <w:r>
              <w:rPr>
                <w:rStyle w:val="IndexLink"/>
                <w:rtl w:val="true"/>
              </w:rPr>
              <w:tab/>
            </w:r>
            <w:r>
              <w:rPr>
                <w:rStyle w:val="IndexLink"/>
              </w:rPr>
              <w:t>26</w:t>
            </w:r>
          </w:hyperlink>
        </w:p>
        <w:p>
          <w:pPr>
            <w:pStyle w:val="Contents3"/>
            <w:tabs>
              <w:tab w:val="clear" w:pos="8459"/>
              <w:tab w:val="right" w:pos="9026" w:leader="dot"/>
            </w:tabs>
            <w:rPr/>
          </w:pPr>
          <w:hyperlink w:anchor="__RefHeading___Toc1757268_581953129">
            <w:r>
              <w:rPr>
                <w:webHidden/>
                <w:rStyle w:val="IndexLink"/>
                <w:rtl w:val="true"/>
              </w:rPr>
              <w:t>شفاعت کنندگان</w:t>
            </w:r>
            <w:r>
              <w:rPr>
                <w:rStyle w:val="IndexLink"/>
                <w:rtl w:val="true"/>
              </w:rPr>
              <w:t>:</w:t>
              <w:tab/>
            </w:r>
            <w:r>
              <w:rPr>
                <w:rStyle w:val="IndexLink"/>
              </w:rPr>
              <w:t>27</w:t>
            </w:r>
          </w:hyperlink>
        </w:p>
        <w:p>
          <w:pPr>
            <w:pStyle w:val="Contents4"/>
            <w:tabs>
              <w:tab w:val="clear" w:pos="8176"/>
              <w:tab w:val="right" w:pos="9026" w:leader="dot"/>
            </w:tabs>
            <w:rPr/>
          </w:pPr>
          <w:hyperlink w:anchor="__RefHeading___Toc1757270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757272_581953129">
            <w:r>
              <w:rPr>
                <w:webHidden/>
                <w:rStyle w:val="IndexLink"/>
              </w:rPr>
              <w:t>1</w:t>
            </w:r>
            <w:r>
              <w:rPr>
                <w:rStyle w:val="IndexLink"/>
                <w:rtl w:val="true"/>
              </w:rPr>
              <w:t xml:space="preserve">- </w:t>
            </w:r>
            <w:r>
              <w:rPr>
                <w:rStyle w:val="IndexLink"/>
                <w:rtl w:val="true"/>
              </w:rPr>
              <w:t>ملائکه</w:t>
            </w:r>
            <w:r>
              <w:rPr>
                <w:rStyle w:val="IndexLink"/>
                <w:rtl w:val="true"/>
              </w:rPr>
              <w:t>:</w:t>
              <w:tab/>
            </w:r>
            <w:r>
              <w:rPr>
                <w:rStyle w:val="IndexLink"/>
              </w:rPr>
              <w:t>28</w:t>
            </w:r>
          </w:hyperlink>
        </w:p>
        <w:p>
          <w:pPr>
            <w:pStyle w:val="Contents4"/>
            <w:tabs>
              <w:tab w:val="clear" w:pos="8176"/>
              <w:tab w:val="right" w:pos="9026" w:leader="dot"/>
            </w:tabs>
            <w:rPr/>
          </w:pPr>
          <w:hyperlink w:anchor="__RefHeading___Toc1757274_581953129">
            <w:r>
              <w:rPr>
                <w:webHidden/>
                <w:rStyle w:val="IndexLink"/>
              </w:rPr>
              <w:t>2</w:t>
            </w:r>
            <w:r>
              <w:rPr>
                <w:rStyle w:val="IndexLink"/>
                <w:rtl w:val="true"/>
              </w:rPr>
              <w:t xml:space="preserve">- </w:t>
            </w:r>
            <w:r>
              <w:rPr>
                <w:rStyle w:val="IndexLink"/>
                <w:rtl w:val="true"/>
              </w:rPr>
              <w:t>گواهان حقّ</w:t>
            </w:r>
            <w:r>
              <w:rPr>
                <w:rStyle w:val="IndexLink"/>
                <w:rtl w:val="true"/>
              </w:rPr>
              <w:t>:</w:t>
              <w:tab/>
            </w:r>
            <w:r>
              <w:rPr>
                <w:rStyle w:val="IndexLink"/>
              </w:rPr>
              <w:t>28</w:t>
            </w:r>
          </w:hyperlink>
        </w:p>
        <w:p>
          <w:pPr>
            <w:pStyle w:val="Contents3"/>
            <w:tabs>
              <w:tab w:val="clear" w:pos="8459"/>
              <w:tab w:val="right" w:pos="9026" w:leader="dot"/>
            </w:tabs>
            <w:rPr/>
          </w:pPr>
          <w:hyperlink w:anchor="__RefHeading___Toc1757276_581953129">
            <w:r>
              <w:rPr>
                <w:webHidden/>
                <w:rStyle w:val="IndexLink"/>
                <w:rtl w:val="true"/>
              </w:rPr>
              <w:t>شفاعت شوندگان</w:t>
            </w:r>
            <w:r>
              <w:rPr>
                <w:rStyle w:val="IndexLink"/>
                <w:rtl w:val="true"/>
              </w:rPr>
              <w:tab/>
            </w:r>
            <w:r>
              <w:rPr>
                <w:rStyle w:val="IndexLink"/>
              </w:rPr>
              <w:t>30</w:t>
            </w:r>
          </w:hyperlink>
        </w:p>
        <w:p>
          <w:pPr>
            <w:pStyle w:val="Contents3"/>
            <w:tabs>
              <w:tab w:val="clear" w:pos="8459"/>
              <w:tab w:val="right" w:pos="9026" w:leader="dot"/>
            </w:tabs>
            <w:rPr/>
          </w:pPr>
          <w:hyperlink w:anchor="__RefHeading___Toc1757278_581953129">
            <w:r>
              <w:rPr>
                <w:webHidden/>
                <w:rStyle w:val="IndexLink"/>
                <w:rtl w:val="true"/>
              </w:rPr>
              <w:t>پاسخ به برخی شبهات</w:t>
            </w:r>
            <w:r>
              <w:rPr>
                <w:rStyle w:val="IndexLink"/>
                <w:rtl w:val="true"/>
              </w:rPr>
              <w:tab/>
            </w:r>
            <w:r>
              <w:rPr>
                <w:rStyle w:val="IndexLink"/>
              </w:rPr>
              <w:t>33</w:t>
            </w:r>
          </w:hyperlink>
        </w:p>
        <w:p>
          <w:pPr>
            <w:pStyle w:val="Contents4"/>
            <w:tabs>
              <w:tab w:val="clear" w:pos="8176"/>
              <w:tab w:val="right" w:pos="9026" w:leader="dot"/>
            </w:tabs>
            <w:rPr/>
          </w:pPr>
          <w:hyperlink w:anchor="__RefHeading___Toc1757280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757282_581953129">
            <w:r>
              <w:rPr>
                <w:webHidden/>
                <w:rStyle w:val="IndexLink"/>
                <w:rtl w:val="true"/>
              </w:rPr>
              <w:t>شبهۀ اوّل</w:t>
            </w:r>
            <w:r>
              <w:rPr>
                <w:rStyle w:val="IndexLink"/>
                <w:rtl w:val="true"/>
              </w:rPr>
              <w:t>:</w:t>
              <w:tab/>
            </w:r>
            <w:r>
              <w:rPr>
                <w:rStyle w:val="IndexLink"/>
              </w:rPr>
              <w:t>34</w:t>
            </w:r>
          </w:hyperlink>
        </w:p>
        <w:p>
          <w:pPr>
            <w:pStyle w:val="Contents4"/>
            <w:tabs>
              <w:tab w:val="clear" w:pos="8176"/>
              <w:tab w:val="right" w:pos="9026" w:leader="dot"/>
            </w:tabs>
            <w:rPr/>
          </w:pPr>
          <w:hyperlink w:anchor="__RefHeading___Toc1757284_581953129">
            <w:r>
              <w:rPr>
                <w:webHidden/>
                <w:rStyle w:val="IndexLink"/>
                <w:rtl w:val="true"/>
              </w:rPr>
              <w:t xml:space="preserve">شبهۀ دوّم </w:t>
            </w:r>
            <w:r>
              <w:rPr>
                <w:rStyle w:val="IndexLink"/>
                <w:rtl w:val="true"/>
              </w:rPr>
              <w:t>:</w:t>
              <w:tab/>
            </w:r>
            <w:r>
              <w:rPr>
                <w:rStyle w:val="IndexLink"/>
              </w:rPr>
              <w:t>34</w:t>
            </w:r>
          </w:hyperlink>
        </w:p>
        <w:p>
          <w:pPr>
            <w:pStyle w:val="Contents4"/>
            <w:tabs>
              <w:tab w:val="clear" w:pos="8176"/>
              <w:tab w:val="right" w:pos="9026" w:leader="dot"/>
            </w:tabs>
            <w:rPr/>
          </w:pPr>
          <w:hyperlink w:anchor="__RefHeading___Toc1757286_581953129">
            <w:r>
              <w:rPr>
                <w:webHidden/>
                <w:rStyle w:val="IndexLink"/>
                <w:rtl w:val="true"/>
              </w:rPr>
              <w:t>شبهۀ سوّم</w:t>
            </w:r>
            <w:r>
              <w:rPr>
                <w:rStyle w:val="IndexLink"/>
                <w:rtl w:val="true"/>
              </w:rPr>
              <w:t>:</w:t>
              <w:tab/>
            </w:r>
            <w:r>
              <w:rPr>
                <w:rStyle w:val="IndexLink"/>
              </w:rPr>
              <w:t>35</w:t>
            </w:r>
          </w:hyperlink>
        </w:p>
        <w:p>
          <w:pPr>
            <w:pStyle w:val="Contents4"/>
            <w:tabs>
              <w:tab w:val="clear" w:pos="8176"/>
              <w:tab w:val="right" w:pos="9026" w:leader="dot"/>
            </w:tabs>
            <w:rPr/>
          </w:pPr>
          <w:hyperlink w:anchor="__RefHeading___Toc1757288_581953129">
            <w:r>
              <w:rPr>
                <w:webHidden/>
                <w:rStyle w:val="IndexLink"/>
                <w:rtl w:val="true"/>
              </w:rPr>
              <w:t>شبهۀ چهارم</w:t>
            </w:r>
            <w:r>
              <w:rPr>
                <w:rStyle w:val="IndexLink"/>
                <w:rtl w:val="true"/>
              </w:rPr>
              <w:t>:</w:t>
              <w:tab/>
            </w:r>
            <w:r>
              <w:rPr>
                <w:rStyle w:val="IndexLink"/>
              </w:rPr>
              <w:t>36</w:t>
            </w:r>
          </w:hyperlink>
        </w:p>
        <w:p>
          <w:pPr>
            <w:pStyle w:val="Contents4"/>
            <w:tabs>
              <w:tab w:val="clear" w:pos="8176"/>
              <w:tab w:val="right" w:pos="9026" w:leader="dot"/>
            </w:tabs>
            <w:rPr/>
          </w:pPr>
          <w:hyperlink w:anchor="__RefHeading___Toc1757290_581953129">
            <w:r>
              <w:rPr>
                <w:webHidden/>
                <w:rStyle w:val="IndexLink"/>
                <w:rtl w:val="true"/>
              </w:rPr>
              <w:t>شبهۀ پنجم</w:t>
            </w:r>
            <w:r>
              <w:rPr>
                <w:rStyle w:val="IndexLink"/>
                <w:rtl w:val="true"/>
              </w:rPr>
              <w:t>:</w:t>
              <w:tab/>
            </w:r>
            <w:r>
              <w:rPr>
                <w:rStyle w:val="IndexLink"/>
              </w:rPr>
              <w:t>36</w:t>
            </w:r>
          </w:hyperlink>
        </w:p>
        <w:p>
          <w:pPr>
            <w:pStyle w:val="Contents2"/>
            <w:tabs>
              <w:tab w:val="clear" w:pos="8743"/>
              <w:tab w:val="right" w:pos="9026" w:leader="dot"/>
            </w:tabs>
            <w:rPr/>
          </w:pPr>
          <w:hyperlink w:anchor="__RefHeading___Toc1757292_581953129">
            <w:r>
              <w:rPr>
                <w:webHidden/>
                <w:rStyle w:val="IndexLink"/>
                <w:rtl w:val="true"/>
              </w:rPr>
              <w:t>چکیدۀ بحث</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6_68130"/>
      <w:bookmarkStart w:id="1" w:name="pg5426_68130"/>
      <w:bookmarkEnd w:id="1"/>
    </w:p>
    <w:p>
      <w:pPr>
        <w:pStyle w:val="Heading2"/>
        <w:numPr>
          <w:ilvl w:val="1"/>
          <w:numId w:val="1"/>
        </w:numPr>
        <w:rPr/>
      </w:pPr>
      <w:bookmarkStart w:id="2" w:name="pg5426_68130"/>
      <w:bookmarkStart w:id="3" w:name="__RefHeading___Toc175724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ترجمه محمد امینی؛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محمد،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۳۸۲۷۹۰۰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725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pStyle w:val="BookText"/>
        <w:rPr/>
      </w:pPr>
      <w:r>
        <w:rPr>
          <w:rFonts w:ascii="IRNazanin" w:hAnsi="IRNazanin" w:eastAsia="IRNazanin"/>
          <w:color w:val="111111"/>
          <w:sz w:val="28"/>
          <w:sz w:val="28"/>
          <w:szCs w:val="28"/>
          <w:rtl w:val="true"/>
          <w:lang w:bidi="fa-IR"/>
        </w:rPr>
        <w:t>ترجمه محمد امینی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426_68138"/>
    </w:p>
    <w:p>
      <w:pPr>
        <w:pStyle w:val="Heading2"/>
        <w:numPr>
          <w:ilvl w:val="1"/>
          <w:numId w:val="1"/>
        </w:numPr>
        <w:rPr/>
      </w:pPr>
      <w:bookmarkStart w:id="8" w:name="__RefHeading___Toc1757252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426_68142"/>
    </w:p>
    <w:p>
      <w:pPr>
        <w:pStyle w:val="Heading2"/>
        <w:numPr>
          <w:ilvl w:val="1"/>
          <w:numId w:val="1"/>
        </w:numPr>
        <w:rPr/>
      </w:pPr>
      <w:bookmarkStart w:id="11" w:name="__RefHeading___Toc1757254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426_68150"/>
    </w:p>
    <w:p>
      <w:pPr>
        <w:pStyle w:val="Heading2"/>
        <w:numPr>
          <w:ilvl w:val="1"/>
          <w:numId w:val="1"/>
        </w:numPr>
        <w:rPr/>
      </w:pPr>
      <w:bookmarkStart w:id="14" w:name="__RefHeading___Toc1757256_581953129"/>
      <w:bookmarkStart w:id="15" w:name="_Toc5"/>
      <w:bookmarkEnd w:id="13"/>
      <w:bookmarkEnd w:id="14"/>
      <w:r>
        <w:rPr>
          <w:rtl w:val="true"/>
        </w:rPr>
        <w:t>مباحثی پیرامون شفاعت</w:t>
      </w:r>
      <w:bookmarkEnd w:id="15"/>
    </w:p>
    <w:p>
      <w:pPr>
        <w:pStyle w:val="Heading3"/>
        <w:numPr>
          <w:ilvl w:val="2"/>
          <w:numId w:val="1"/>
        </w:numPr>
        <w:rPr/>
      </w:pPr>
      <w:bookmarkStart w:id="16" w:name="__RefHeading___Toc1757258_581953129"/>
      <w:bookmarkStart w:id="17" w:name="_Toc6"/>
      <w:bookmarkEnd w:id="16"/>
      <w:r>
        <w:rPr>
          <w:rtl w:val="true"/>
        </w:rPr>
        <w:t>معنای شفاعت</w:t>
      </w:r>
      <w:bookmarkEnd w:id="17"/>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جای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این موارد ، می‌توانیم با روشن بینی بهتری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کریم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در محاورات عامیانه وعرفی ،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کسی دیگر برود؛ برای آنکه او در مورد حقّی، یا حکمی که برای شخص سوّمی ثابت شده است ، گذشت نماید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 دو قسم است</w:t>
      </w:r>
      <w:r>
        <w:rPr>
          <w:rFonts w:eastAsia="IRNazanin" w:cs="IRNazanin"/>
          <w:color w:val="111111"/>
          <w:sz w:val="28"/>
          <w:szCs w:val="28"/>
          <w:rtl w:val="true"/>
          <w:lang w:bidi="fa-IR"/>
        </w:rPr>
        <w:t>.</w:t>
      </w:r>
    </w:p>
    <w:p>
      <w:pPr>
        <w:pStyle w:val="Heading3"/>
        <w:numPr>
          <w:ilvl w:val="2"/>
          <w:numId w:val="1"/>
        </w:numPr>
        <w:rPr/>
      </w:pPr>
      <w:bookmarkStart w:id="18" w:name="__RefHeading___Toc1757260_581953129"/>
      <w:bookmarkStart w:id="19" w:name="_Toc7"/>
      <w:bookmarkEnd w:id="18"/>
      <w:r>
        <w:rPr>
          <w:rtl w:val="true"/>
        </w:rPr>
        <w:t>اقسام شفاعت</w:t>
      </w:r>
      <w:bookmarkEnd w:id="19"/>
    </w:p>
    <w:p>
      <w:pPr>
        <w:pStyle w:val="Heading4"/>
        <w:numPr>
          <w:ilvl w:val="3"/>
          <w:numId w:val="1"/>
        </w:numPr>
        <w:rPr/>
      </w:pPr>
      <w:bookmarkStart w:id="20" w:name="__RefHeading___Toc1757262_581953129"/>
      <w:bookmarkStart w:id="21" w:name="_Toc8"/>
      <w:bookmarkEnd w:id="20"/>
      <w:r>
        <w:rPr/>
        <w:t>1</w:t>
      </w:r>
      <w:r>
        <w:rPr>
          <w:rtl w:val="true"/>
        </w:rPr>
        <w:t xml:space="preserve">- </w:t>
      </w:r>
      <w:r>
        <w:rPr>
          <w:rtl w:val="true"/>
        </w:rPr>
        <w:t>شفاعت باطل</w:t>
      </w:r>
      <w:r>
        <w:rPr>
          <w:rtl w:val="true"/>
        </w:rPr>
        <w:t>:</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است که حاوی شرک است؛ مثلاً مشرکان در مورد بت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xml:space="preserve">... .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شفیعان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بودن این شفاعت ، روشن‌تر از آن است که احتیاج به توضیح داشته باشد؛ چرا که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حقّ شفاعت را برای خودشان قایل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بتها دارای فکر واثر گذاری در خدای سبحان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وگفتنی است که این دو دیدگاه، هر دو باطل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خودش اقتضای این را دارد که شفیع، مورد قبول پذیرندۀ شفاعت باشد، پس چگونه بتها می‌توانند پیش خدا شفیع باشند؟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 هیچ قدرتی مستقل از قدرت خدای سبحان ندارد؛ بنابراین، فرض این که شفیع مؤثّر در خدای متعال باشد، محال است؛ بنابراین، امور یاد شده اصلاً شفاعت نیست و تنها انبوهی از خیالات و وهمیّات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پاسخ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 روزی بترسید که کسی مجازات دیگری را نمی‌پذیرد ونه از او شفاعت پذیرفته می‌شود و نه غرامت از او قبول خواهد شد ونه یاری می‌شوند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 از این آیه، آیۀ دیگری است که می‌فرماید</w:t>
      </w:r>
      <w:r>
        <w:rPr>
          <w:rFonts w:eastAsia="IRNazanin" w:cs="IRNazanin"/>
          <w:color w:val="111111"/>
          <w:sz w:val="28"/>
          <w:szCs w:val="28"/>
          <w:rtl w:val="true"/>
          <w:lang w:bidi="fa-IR"/>
        </w:rPr>
        <w:t>:</w:t>
      </w:r>
      <w:bookmarkStart w:id="22" w:name="pg5426_68152"/>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مِّن دُونِهِ وَلِیٌّ وَلاَ شَفِیعٌ</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وسرپرست وشفاعت کننده‌ای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آیۀ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لِّلَّهِ الشَّفَاعَةُ جَمِیعًا لَّهُ مُلْکُ السَّمَاوَاتِ وَالأَرْضِ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شفاعت از آن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آسمانها وزمین،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مشرکان در مورد شفاعت و شفاعت‌کنندگان، بی پایه وبدون سند است؛ چرا که شفاعت، رحمتی است که خداوند از طریق واسطه‌هایی که خودش بر می‌گزیند وتعیین می‌کند، بر بندگانش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مشرکان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وشفاعت کنندگان، واسطه‌هایی هستند که خداوند آنان را تعیین فرموده است، نه آن‌که مشرکان آنان را برگزیده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کننده، واسطۀ رحمت رسانی است، نه سبب آن، به خاطر همین دلایل، شفاعتی که منجر به شرک شود ، باطل است</w:t>
      </w:r>
      <w:r>
        <w:rPr>
          <w:rFonts w:eastAsia="IRNazanin" w:cs="IRNazanin"/>
          <w:color w:val="111111"/>
          <w:sz w:val="28"/>
          <w:szCs w:val="28"/>
          <w:rtl w:val="true"/>
          <w:lang w:bidi="fa-IR"/>
        </w:rPr>
        <w:t>.</w:t>
      </w:r>
    </w:p>
    <w:p>
      <w:pPr>
        <w:pStyle w:val="Heading4"/>
        <w:numPr>
          <w:ilvl w:val="3"/>
          <w:numId w:val="1"/>
        </w:numPr>
        <w:rPr/>
      </w:pPr>
      <w:bookmarkStart w:id="23" w:name="__RefHeading___Toc1757264_581953129"/>
      <w:bookmarkStart w:id="24" w:name="_Toc9"/>
      <w:bookmarkEnd w:id="23"/>
      <w:r>
        <w:rPr/>
        <w:t>2</w:t>
      </w:r>
      <w:r>
        <w:rPr>
          <w:rtl w:val="true"/>
        </w:rPr>
        <w:t xml:space="preserve">- </w:t>
      </w:r>
      <w:r>
        <w:rPr>
          <w:rtl w:val="true"/>
        </w:rPr>
        <w:t>شفاعت شرعی و صحیح</w:t>
      </w:r>
      <w:r>
        <w:rPr>
          <w:rtl w:val="true"/>
        </w:rPr>
        <w:t>:</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شرعی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خداوند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افرادی باشد که خداوند از آنان راضی است وآنان را برای شفاعت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افرادی شفاعت کنند که خداوند به شفاعت برای آنان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به شرط اوّل اشاره شده که از آن جمله است‌آیۀ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با اجازۀ او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خود بر شرط دوّم هم دلالت دارد، زیرا اگر اجازه از طرف خدای سبحان صادر شود ، اجازه برای شفاعت وشفاعت‌کننده نیز خواهد بود و این مطلب، به معنای رضایت خدای تعالی از شفاعت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شرط سوّم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وآنان جز برای کسی‌که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قسم اوّل از شفاعت ، دارای این شرایط نیست؛ از این رو، مشرکان، خود را در روز قیامت بدون شفیع خواهند یافت و بطلان آن شفاعتی را که بدان معتقدند ، درک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زبان خودشان خواهند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لَنَا مِن شَافِعِینَ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کنندگانی برای ما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در قرآن کریم دقّت کنیم، یک روشی شایع به هنگام تعبیر از جلوه‌های قدرت وکمال می‌بینیم که ابتدا به نفی، سپس اثبات وپس از آن، به فیض رسانی‌می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این جلوه‌ها را از غیر خدا مردود می‌دانند وبعضی دیگر، آن را برای خداوند سبحان، اثبات می کنند و دسته ای دیگر از آیات، به اعطای این قابلیّت از طرف خداوند، به برخی از مخلوقاتش،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این روش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روزی، آفرینش، حاکمیّت، مالکیّت و جان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جاری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شفاعت را از غیر خداوند مردود می‌دانند، مقصودشان منحصر دانستن کمال قدرت در خدا ونفی آن از غیر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آیاتی که شفاعت را برای خدا ثابت می‌دانند، مقصودشان این است که خدای متعال ذاتاً به این جلوه از جلوه‌های قدرت ورحمت، متّصف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آیاتی که شفاعت را برای غیر از خدای متعال ثابت می‌دانند، هدفشان تأکید بر قدرت خداوند است، به این بیان که این قدرت در بالاترین مرحله‌اش وجود دارد به طوری که گاهی خدای متعال خود متولّی شفاعت است وگاهی آن را به عدّه‌ای از بندگان ودوستانش که از آنان راضی است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دخالت می‌کند وآن را از خودش به یکی از افرادی که خلقش کرده منتقل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یکی از اهداف این روش قرآنی ، این باشد که بنده را براساس وابستگی به قدرت الهی ورحمت مطلقۀ ربّانی وغیر متّکی به عمل شایستۀ تنها، تربیت نماید؛ زیرا عمل در دادگاه عدل الهی، تنها در صورتی می‌تواند نجات دهنده باشد که مقتضی نجات باشد، حال آیا کسی می‌تواند ادّعا کند که با تکیه بر عملش ، از رحمت خدای سبحان، بی نیاز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ما می فهماند که کارها از سلطنت و قدرت خداوند خارج نیست و بر تغییر ناپذیری حکم خود، سخن می گوید؛ مثلاً در آیاتی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سُعِدُواْ فَفِی الْجَنَّةِ خَالِدِینَ فِیهَا مَا دَامَتِ السَّمَاوَاتُ وَالأَرْضُ إِلاَّ مَا شَاء رَبُّکَ عَطَاء غَیْرَ مَجْذُوذٍ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که بدبخت شدند، در آتش‌اند؛ وبرای آنان در آن جا، زفیر وشهیق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ناله‌های طولانی دم وباز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تا آسمان وزمین بر پاست،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هر چه را بخواهد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خوشبخت وسعادتمند شدند، جاودانه در بهشت خواهند ماند تا آسمانها وزمین بر پاست؛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قطع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که خداوند متعال بر ماندگاری اشقیا در آتش و جاودانگی سعادتمندان در بهشت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را همانند ماندگاری آسمان وزمین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وضعیّت، آن را به مشیّت خویش منوط دانسته تا متوجّه سازد که کارها از اختیار او خارج نیست، حتّی آن کارهایی که حکم قطعی الهی در مورد آن صادر شده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حتّی حکم قطعی خداوند ، قدرت را از او بر نمی‌دارد واو را مجبور به چیزی نمی‌کند وچیزی را بر او واجب نمی‌گرداند، آیا</w:t>
      </w:r>
    </w:p>
    <w:p>
      <w:pPr>
        <w:pStyle w:val="BookText"/>
        <w:rPr/>
      </w:pPr>
      <w:r>
        <w:rPr>
          <w:rFonts w:ascii="IRNazanin" w:hAnsi="IRNazanin" w:eastAsia="IRNazanin"/>
          <w:color w:val="111111"/>
          <w:sz w:val="28"/>
          <w:sz w:val="28"/>
          <w:szCs w:val="28"/>
          <w:rtl w:val="true"/>
          <w:lang w:bidi="fa-IR"/>
        </w:rPr>
        <w:t>کارهای ما می‌تواند قدرت را از خداوند سلب کند و نجاتمان از آتش دوزخ ، بر او واجب گرداند و او را به چیزی مجبور نماید؟</w:t>
      </w:r>
    </w:p>
    <w:p>
      <w:pPr>
        <w:pStyle w:val="BookText"/>
        <w:rPr/>
      </w:pPr>
      <w:r>
        <w:rPr>
          <w:rFonts w:ascii="IRNazanin" w:hAnsi="IRNazanin" w:eastAsia="IRNazanin"/>
          <w:color w:val="111111"/>
          <w:sz w:val="28"/>
          <w:sz w:val="28"/>
          <w:szCs w:val="28"/>
          <w:rtl w:val="true"/>
          <w:lang w:bidi="fa-IR"/>
        </w:rPr>
        <w:t xml:space="preserve">هنگامی که خدای سبحان ، بر قدرت مطلقۀ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موضوعاتی مثل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 توجّه ما را به آن قدرتی متوجّه می‌سازد که هیچ چیزی آن را محدود و مقیّد نمی‌کند، هر چند دستور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اشاره کنیم که عمل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عمل شایسته‌ای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رحمت خداوند بی نیاز نمی‌سازد وقدرت او را محدود نمی‌کند واگر مشیّت و خواست الهی ، برای جاودانگی وماندگاری کسی که خدا به جاودانگی‌اش در بهشت، یا دوزخ حکم نموده شرط است، پس برای کسی که حکم الهی برای جاودانگی‌اش صادر نشده شرط بودن مشیّت الهی، سزاواتر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جلوه‌ای از جلوه‌های ارادۀ الهی ورحمت مطلقه‌اش،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 سخن گزافی نیست بلکه بر اساس یک قانون مشخصّی است؛ مثلاً کسی که می‌خواهد به مقام والای علمی برسد ، ناگزیر برخی مقدّمات آن را باید فراهم کند وبه مراتب نزدیک آن برسد، در این صورت، شفاعت، دارای معنای عاقلانه کمکی برای رسیدن به هدف خواهد بود، ولی کسی که هیچ مرتبه‌ای از مراتب آن را درک نکرده ، معنا ندارد که بخواهد از طریق شفاعت، بدان برسد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کسی که اصلاً رابطه‌ای با شفاعت‌پذیر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بر ارباب خود سرکشی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اربابش نمی‌رسد؛ چرا که</w:t>
      </w:r>
      <w:bookmarkStart w:id="25" w:name="pg5426_68158"/>
    </w:p>
    <w:p>
      <w:pPr>
        <w:pStyle w:val="BookText"/>
        <w:rPr/>
      </w:pPr>
      <w:bookmarkEnd w:id="25"/>
      <w:r>
        <w:rPr>
          <w:rFonts w:ascii="IRNazanin" w:hAnsi="IRNazanin" w:eastAsia="IRNazanin"/>
          <w:color w:val="111111"/>
          <w:sz w:val="28"/>
          <w:sz w:val="28"/>
          <w:szCs w:val="28"/>
          <w:rtl w:val="true"/>
          <w:lang w:bidi="fa-IR"/>
        </w:rPr>
        <w:t xml:space="preserve">شفاعت تمام کننده وتکمیل کننده سبب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ایجاد سبب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اثر گذاری شفیع نزد مولای خودش بیهوده نیست، او نیز این حق را ندارد که خواستار باطل شدن قوانین پاداش وکیفر، یا مولویّت مولا درحقّ بندگانش باشد، همچنین نمی‌تواند از او بخواهد که از دستورات و تکالیفش دست بردارد بلکه شفیع باید از باب مولویّت مولایش بر بندگان ، تسلیم او وتسلیم قوانین ودستورات وپاداش وکیفر وثواب او در حقّ بندگانش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 ، تنها می‌تواند به آن صفات مولا که موجب بخشش وگذشت اوست، متوسّل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تواند به آن صفات بنده که نیاز او را به مهربانی و عطوفت می رساند مثل حسن سابقه و بدی حال و عذر خواهی اش استناد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شفیع، خارج کردن عبد، از محدودۀ مولویّت مولا ودایرۀ دستورات و کیفرهای او نیست بلکه وظیفۀ او این است که کوشش کند، بنده را از تحت یک فرمان مولوی ، به یک فرمان مولوی دیگر، منتقل نماید</w:t>
      </w:r>
      <w:r>
        <w:rPr>
          <w:rFonts w:eastAsia="IRNazanin" w:cs="IRNazanin"/>
          <w:color w:val="111111"/>
          <w:sz w:val="28"/>
          <w:szCs w:val="28"/>
          <w:rtl w:val="true"/>
          <w:lang w:bidi="fa-IR"/>
        </w:rPr>
        <w:t>.</w:t>
      </w:r>
    </w:p>
    <w:p>
      <w:pPr>
        <w:pStyle w:val="Heading3"/>
        <w:numPr>
          <w:ilvl w:val="2"/>
          <w:numId w:val="1"/>
        </w:numPr>
        <w:rPr/>
      </w:pPr>
      <w:bookmarkStart w:id="26" w:name="__RefHeading___Toc1757266_581953129"/>
      <w:bookmarkStart w:id="27" w:name="_Toc10"/>
      <w:bookmarkEnd w:id="26"/>
      <w:r>
        <w:rPr>
          <w:rtl w:val="true"/>
        </w:rPr>
        <w:t>شفیع کیست؟</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توضیحات گذشته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مولویّت است و شخصی که دارای این ویژگی است ، می‌تواند در محدودۀ اجرای مولویّتش شفاعت را به هر کسی که بخواهد، اعطا کند تا جلوه‌ای از رحمت وقدرت او باشد</w:t>
      </w:r>
      <w:r>
        <w:rPr>
          <w:rFonts w:eastAsia="IRNazanin" w:cs="IRNazanin"/>
          <w:color w:val="111111"/>
          <w:sz w:val="28"/>
          <w:szCs w:val="28"/>
          <w:rtl w:val="true"/>
          <w:lang w:bidi="fa-IR"/>
        </w:rPr>
        <w:t>.</w:t>
      </w:r>
      <w:bookmarkStart w:id="28" w:name="pg5426_68159"/>
    </w:p>
    <w:p>
      <w:pPr>
        <w:pStyle w:val="BookText"/>
        <w:rPr/>
      </w:pPr>
      <w:bookmarkEnd w:id="28"/>
      <w:r>
        <w:rPr>
          <w:rFonts w:ascii="IRNazanin" w:hAnsi="IRNazanin" w:eastAsia="IRNazanin"/>
          <w:color w:val="111111"/>
          <w:sz w:val="28"/>
          <w:sz w:val="28"/>
          <w:szCs w:val="28"/>
          <w:rtl w:val="true"/>
          <w:lang w:bidi="fa-IR"/>
        </w:rPr>
        <w:t>از آن جا که مولویّت حقیقی در عالم وجود، تنها مولویّت خدای سبحان است و مولویّتهای دیگر، اعتباری هستند؛ از این رو، شفاعت از حقایق ویژۀ حضرت حقّ جلّ و علاست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شفاعت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این شفاعت، شفاعتهای دیگر، شفاعت دروغ هستند؛ مثل سخن مشرکان که در این آیۀ شریفه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هَؤُلاء شُفَعَاؤُنَا عِندَ اللّهِ</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شفیعان ما نزد خدا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شفاعتی که خداوند آن را اجازه فرموده است، در واقع از خود خدا ناشی می‌شود وبه سوی او باز می‌گردد؛ مثل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مالک شفاعت نیستند، مگر کسی که نزد خداوند رحمان، عهد و پیمانی دارد</w:t>
      </w:r>
      <w:r>
        <w:rPr>
          <w:rFonts w:eastAsia="IRNazanin" w:cs="IRNazanin"/>
          <w:color w:val="111111"/>
          <w:sz w:val="28"/>
          <w:szCs w:val="28"/>
          <w:rtl w:val="true"/>
          <w:lang w:bidi="fa-IR"/>
        </w:rPr>
        <w:t>».</w:t>
      </w:r>
    </w:p>
    <w:p>
      <w:pPr>
        <w:pStyle w:val="Heading3"/>
        <w:numPr>
          <w:ilvl w:val="2"/>
          <w:numId w:val="1"/>
        </w:numPr>
        <w:rPr/>
      </w:pPr>
      <w:bookmarkStart w:id="29" w:name="__RefHeading___Toc1757268_581953129"/>
      <w:bookmarkStart w:id="30" w:name="_Toc11"/>
      <w:bookmarkEnd w:id="29"/>
      <w:r>
        <w:rPr>
          <w:rtl w:val="true"/>
        </w:rPr>
        <w:t>شفاعت کنندگان</w:t>
      </w:r>
      <w:r>
        <w:rPr>
          <w:rtl w:val="true"/>
        </w:rPr>
        <w:t>:</w:t>
      </w:r>
      <w:bookmarkEnd w:id="30"/>
    </w:p>
    <w:p>
      <w:pPr>
        <w:pStyle w:val="Heading4"/>
        <w:numPr>
          <w:ilvl w:val="3"/>
          <w:numId w:val="1"/>
        </w:numPr>
        <w:rPr/>
      </w:pPr>
      <w:bookmarkStart w:id="31" w:name="__RefHeading___Toc1757270_581953129"/>
      <w:bookmarkStart w:id="32" w:name="_Toc12"/>
      <w:bookmarkEnd w:id="31"/>
      <w:r>
        <w:rPr>
          <w:rtl w:val="true"/>
        </w:rPr>
        <w:t>اشاره</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صراحت می فرماید که اجازه شفاعت تنها به چند گروه داده شده است؛ از آن جمله</w:t>
      </w:r>
      <w:r>
        <w:rPr>
          <w:rFonts w:eastAsia="IRNazanin" w:cs="IRNazanin"/>
          <w:color w:val="111111"/>
          <w:sz w:val="28"/>
          <w:szCs w:val="28"/>
          <w:rtl w:val="true"/>
          <w:lang w:bidi="fa-IR"/>
        </w:rPr>
        <w:t>:</w:t>
      </w:r>
      <w:bookmarkStart w:id="33" w:name="pg5426_68160"/>
    </w:p>
    <w:p>
      <w:pPr>
        <w:pStyle w:val="Heading4"/>
        <w:numPr>
          <w:ilvl w:val="3"/>
          <w:numId w:val="1"/>
        </w:numPr>
        <w:rPr/>
      </w:pPr>
      <w:bookmarkStart w:id="34" w:name="__RefHeading___Toc1757272_581953129"/>
      <w:bookmarkStart w:id="35" w:name="_Toc13"/>
      <w:bookmarkEnd w:id="33"/>
      <w:bookmarkEnd w:id="34"/>
      <w:r>
        <w:rPr/>
        <w:t>1</w:t>
      </w:r>
      <w:r>
        <w:rPr>
          <w:rtl w:val="true"/>
        </w:rPr>
        <w:t xml:space="preserve">- </w:t>
      </w:r>
      <w:r>
        <w:rPr>
          <w:rtl w:val="true"/>
        </w:rPr>
        <w:t>ملائکه</w:t>
      </w:r>
      <w:r>
        <w:rPr>
          <w:rtl w:val="true"/>
        </w:rPr>
        <w:t>:</w:t>
      </w:r>
      <w:bookmarkEnd w:id="35"/>
    </w:p>
    <w:p>
      <w:pPr>
        <w:pStyle w:val="BookText"/>
        <w:rPr/>
      </w:pPr>
      <w:r>
        <w:rPr>
          <w:rFonts w:ascii="Amiri" w:hAnsi="Amiri" w:eastAsia="Amiri" w:cs="Amiri"/>
          <w:color w:val="111111"/>
          <w:sz w:val="28"/>
          <w:sz w:val="28"/>
          <w:szCs w:val="28"/>
          <w:rtl w:val="true"/>
          <w:lang w:bidi="ar-SA"/>
        </w:rPr>
        <w:t xml:space="preserve">وَکَم مِّن مَّلَکٍ فِی السَّمَاوَاتِ لا تُغْنِی شَفَاعَتُهُمْ شَیْئًا إِلّا مِن بَعْدِ أَن یَأْذَنَ اللَّهُ لِمَن یَشَاء وَیَرْضَی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فرشتگان آسمان که شفاعت آنان سودی نمی‌بخشد، مگر پس ازآن که خدا برای هر کس بخواهد وراضی باشد ،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4"/>
        <w:numPr>
          <w:ilvl w:val="3"/>
          <w:numId w:val="1"/>
        </w:numPr>
        <w:rPr/>
      </w:pPr>
      <w:bookmarkStart w:id="36" w:name="__RefHeading___Toc1757274_581953129"/>
      <w:bookmarkStart w:id="37" w:name="_Toc14"/>
      <w:bookmarkEnd w:id="36"/>
      <w:r>
        <w:rPr/>
        <w:t>2</w:t>
      </w:r>
      <w:r>
        <w:rPr>
          <w:rtl w:val="true"/>
        </w:rPr>
        <w:t xml:space="preserve">- </w:t>
      </w:r>
      <w:r>
        <w:rPr>
          <w:rtl w:val="true"/>
        </w:rPr>
        <w:t>گواهان حقّ</w:t>
      </w:r>
      <w:r>
        <w:rPr>
          <w:rtl w:val="true"/>
        </w:rPr>
        <w:t>:</w:t>
      </w:r>
      <w:bookmarkEnd w:id="37"/>
    </w:p>
    <w:p>
      <w:pPr>
        <w:pStyle w:val="BookText"/>
        <w:rPr/>
      </w:pPr>
      <w:r>
        <w:rPr>
          <w:rFonts w:ascii="Amiri" w:hAnsi="Amiri" w:eastAsia="Amiri" w:cs="Amiri"/>
          <w:color w:val="111111"/>
          <w:sz w:val="28"/>
          <w:sz w:val="28"/>
          <w:szCs w:val="28"/>
          <w:rtl w:val="true"/>
          <w:lang w:bidi="ar-SA"/>
        </w:rPr>
        <w:t xml:space="preserve">وَلا یَمْلِکُ الَّذِینَ یَدْعُونَ مِن دُونِهِ الشَّفَاعَةَ إِلّا مَن شَهِدَ بِالْحَقِّ وَهُمْ یَعْلَمُونَ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از او می‌خوانند، قادر بر شفاعت نیستند، مگر آنان که شهادت به حق داده‌اند وبه خوبی آگاهند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طایفه‌ای از مؤمنان هستند که باید در مرتبه‌ای پایین‌تر از انبیا و بالاتر از دیگر افراد امّت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این گروه وبارزترین مصداق آنان هستند که به حق گواهی داده وبدان عمل کرده‌اند وبه خاطر آن، جهاد نموده‌اند تا چه رسد به این که از کسانی باشند که قرآن کریم بر عصمت آنان تأکید نموده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مطالعۀ احادیث شریف نبوی، می‌بینیم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انبیا، سپس علماء سپس شهیدان، شفاعت می‌کنند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کنندگان، پنج گروه‌اند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رَحِمْ و امانت و پیغمبر شما واهل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خود محمد بن عبدالوهّاب در کتابِ کشف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احادیثی که بخاری و مسلم در صحیحشان واحمد در مسند </w:t>
      </w:r>
      <w:r>
        <w:rPr>
          <w:rStyle w:val="FootnoteAnchor"/>
          <w:rtl w:val="true"/>
        </w:rPr>
        <w:footnoteReference w:id="28"/>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شفاعت به غیر نیز داده شده است؛ بنابراین، صحیح است که ملائکه شفاعت کنند و هم پیشگامان و اولیا هم شفاعت کنند</w:t>
      </w:r>
      <w:r>
        <w:rPr>
          <w:rFonts w:eastAsia="IRNazanin" w:cs="IRNazanin"/>
          <w:color w:val="111111"/>
          <w:sz w:val="28"/>
          <w:szCs w:val="28"/>
          <w:rtl w:val="true"/>
          <w:lang w:bidi="fa-IR"/>
        </w:rPr>
        <w:t xml:space="preserve">». </w:t>
      </w:r>
      <w:r>
        <w:rPr>
          <w:rStyle w:val="FootnoteAnchor"/>
          <w:rtl w:val="true"/>
        </w:rPr>
        <w:footnoteReference w:id="29"/>
      </w:r>
      <w:bookmarkStart w:id="38" w:name="pg5426_68162"/>
    </w:p>
    <w:p>
      <w:pPr>
        <w:pStyle w:val="Heading3"/>
        <w:numPr>
          <w:ilvl w:val="2"/>
          <w:numId w:val="1"/>
        </w:numPr>
        <w:rPr/>
      </w:pPr>
      <w:bookmarkStart w:id="39" w:name="__RefHeading___Toc1757276_581953129"/>
      <w:bookmarkStart w:id="40" w:name="_Toc15"/>
      <w:bookmarkEnd w:id="38"/>
      <w:bookmarkEnd w:id="39"/>
      <w:r>
        <w:rPr>
          <w:rtl w:val="true"/>
        </w:rPr>
        <w:t>شفاعت شوندگان</w:t>
      </w:r>
      <w:bookmarkEnd w:id="40"/>
    </w:p>
    <w:p>
      <w:pPr>
        <w:pStyle w:val="BookText"/>
        <w:rPr/>
      </w:pPr>
      <w:r>
        <w:rPr>
          <w:rFonts w:ascii="IRNazanin" w:hAnsi="IRNazanin" w:eastAsia="IRNazanin"/>
          <w:color w:val="111111"/>
          <w:sz w:val="28"/>
          <w:sz w:val="28"/>
          <w:szCs w:val="28"/>
          <w:rtl w:val="true"/>
          <w:lang w:bidi="fa-IR"/>
        </w:rPr>
        <w:t xml:space="preserve">بین دانشمندان مسلمان بحث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چه کسی خواهد شد؟</w:t>
      </w:r>
    </w:p>
    <w:p>
      <w:pPr>
        <w:pStyle w:val="BookText"/>
        <w:rPr/>
      </w:pPr>
      <w:r>
        <w:rPr>
          <w:rFonts w:ascii="IRNazanin" w:hAnsi="IRNazanin" w:eastAsia="IRNazanin"/>
          <w:color w:val="111111"/>
          <w:sz w:val="28"/>
          <w:sz w:val="28"/>
          <w:szCs w:val="28"/>
          <w:rtl w:val="true"/>
          <w:lang w:bidi="fa-IR"/>
        </w:rPr>
        <w:t xml:space="preserve">معتزله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اطاعت کنندگان خواهد بود، تا این ، پاداش وزیادی رتبه‌ای برای آنان باشد و ممکن نیست که شامل حال گنهکاران شود؛ به دلیل آیاتی که دلالت دارند بر این که انسان ، مرهون عمل خودش هست و به دلیل این که شفاعت، گناهان را محو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الحسن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او در بحث با قایلان به شفاعت، به این آیه استناد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حَقَّ عَلَیْهِ کَلِمَةُ الْعَذَابِ أَفَأَنتَ تُنقِذُ مَن فِی النَّارِ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کسی را که فرمان عذاب دربارۀ او قطعی شده رهایی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آن ، گفته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قایلان به شفاعت، ادّعا نمی‌کنند پیامبر کسی است که مستحقّین آتش را از آن نجات می‌دهد بلکه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خداست که آنان را به خاطر احترام به پیامبرش و پاکان از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عقیدۀ بیشتر مسلمانان این است که شفاعت برای کنهگار مسلمین است، نه کافران ومشرکان؛ 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را برای مرتکبان گناه کبیره از امّتم ذخیره کرده‌ام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در قرآن کریم، به آیات ذیل استناد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نَخُوضُ مَعَ الْخَائِضِینَ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گرو اعمال خویش است، مگر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نامۀ اعمالشان را به نشانۀ ایمان وتقوایشان به دست راستشان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باغهای بهشت‌اند وسؤال می‌کنند از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 و اطعام مستمند نمی‌کردیم و پیوسته با اهل باطل همنشین وهمصدا بودیم و همواره روز جزا را انکار می‌کردیم تا زمانی که مرگ ما فرا رسید، از این رو، شفاعت شفاعت‌کنندگان به حال آنان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طباطبایی با استناد به این آیات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فرق بین اصحاب یمین وگنهکار را تبیین فرموده وصفاتی را که گنهکار را به آتش می‌کشاند و منجر به عدم برخورداری آنها از شفاعت می‌گردد،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این توضیح واز باب مفهوم تقابل وتقارن و مقایسه ، این است که اصحاب یمین، کسانی هستند که به صفات یاد شده متّصف نشده‌اند به شفاعت شفیعان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سرنوشت برای گنهکاران به دو سبب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زدن به مخالفت اساسی در قالب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 بودن شفاعت برای کسانی که دست به این گونه مخالفت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مفهوم تقابل می‌فهمیم که سرنوشت اصحاب یمین ، نتیجۀ بر طرف شدن این دو سبب است؛ آنها از جهتی به مخالفت اساسی، دست نزدند، تا از جهتی دیگر این که به همین دلیل آنها از جمله مشمولان شفاعت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آنها دست به مخالفتهای غیر اساسی زده باشند که در این صورت، معنای شفاعت مطابق آیۀ شریفه‌ای خواهد بود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کَبَآئِرَ مَا تُنْهَوْنَ عَنْهُ نُکَفِّرْ عَنکُمْ سَیِّئَاتِکُمْ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ازگناهان بزرگی‌که از آن نهی می‌شوید، پرهیزکنید، گناهان کوچک شما را می‌پوشانیم</w:t>
      </w:r>
      <w:r>
        <w:rPr>
          <w:rFonts w:eastAsia="IRNazanin" w:cs="IRNazanin"/>
          <w:color w:val="111111"/>
          <w:sz w:val="28"/>
          <w:szCs w:val="28"/>
          <w:rtl w:val="true"/>
          <w:lang w:bidi="fa-IR"/>
        </w:rPr>
        <w:t>».</w:t>
      </w:r>
      <w:bookmarkStart w:id="41" w:name="pg5426_68165"/>
    </w:p>
    <w:p>
      <w:pPr>
        <w:pStyle w:val="BookText"/>
        <w:rPr/>
      </w:pPr>
      <w:bookmarkEnd w:id="41"/>
      <w:r>
        <w:rPr>
          <w:rFonts w:ascii="IRNazanin" w:hAnsi="IRNazanin" w:eastAsia="IRNazanin"/>
          <w:color w:val="111111"/>
          <w:sz w:val="28"/>
          <w:sz w:val="28"/>
          <w:szCs w:val="28"/>
          <w:rtl w:val="true"/>
          <w:lang w:bidi="fa-IR"/>
        </w:rPr>
        <w:t>البتّه گناهان کوچک ، با تکرار مداوم، تبدیل به گناهان کبیره می‌شوند ، با این بیان، شفاعت برای اصحاب یمینی که مرتکب گناهان کبیره شده‌اند ، ثابت می شود؛ از این رو،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من برای بجا آورندگان کبیره از امّتم می‌باشد، امّا بر نیکوکاران، راهی نیست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با تطبیق این موضوع با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w:t>
      </w:r>
      <w:r>
        <w:rPr>
          <w:rStyle w:val="FootnoteAnchor"/>
          <w:rtl w:val="true"/>
        </w:rPr>
        <w:footnoteReference w:id="36"/>
      </w:r>
      <w:r>
        <w:rPr>
          <w:rFonts w:ascii="IRNazanin" w:hAnsi="IRNazanin" w:eastAsia="IRNazanin"/>
          <w:color w:val="111111"/>
          <w:sz w:val="28"/>
          <w:sz w:val="28"/>
          <w:szCs w:val="28"/>
          <w:rtl w:val="true"/>
          <w:lang w:bidi="fa-IR"/>
        </w:rPr>
        <w:t>ثابت می شود که به نظر علاّمۀ طباطبائی، اصحاب یمین کسانی هستند که خدای سبحان، راضی به شفاعت آنان شده است ولی مراد از رضایتی که در آیه بیان شده رضایت از عمل نیست؛ چرا که برخی از اعمال شفاعت‌شوندگان ، مورد قبول نیست، پس معنای آن باید رضایت از دین باشد؛ یعنی دین شفاعت شونده تمام شرایط اساسی و پسندیده را دارست</w:t>
      </w:r>
      <w:r>
        <w:rPr>
          <w:rFonts w:eastAsia="IRNazanin" w:cs="IRNazanin"/>
          <w:color w:val="111111"/>
          <w:sz w:val="28"/>
          <w:szCs w:val="28"/>
          <w:rtl w:val="true"/>
          <w:lang w:bidi="fa-IR"/>
        </w:rPr>
        <w:t>.</w:t>
      </w:r>
    </w:p>
    <w:p>
      <w:pPr>
        <w:pStyle w:val="Heading3"/>
        <w:numPr>
          <w:ilvl w:val="2"/>
          <w:numId w:val="1"/>
        </w:numPr>
        <w:rPr/>
      </w:pPr>
      <w:bookmarkStart w:id="42" w:name="__RefHeading___Toc1757278_581953129"/>
      <w:bookmarkStart w:id="43" w:name="_Toc16"/>
      <w:bookmarkEnd w:id="42"/>
      <w:r>
        <w:rPr>
          <w:rtl w:val="true"/>
        </w:rPr>
        <w:t>پاسخ به برخی شبهات</w:t>
      </w:r>
      <w:bookmarkEnd w:id="43"/>
    </w:p>
    <w:p>
      <w:pPr>
        <w:pStyle w:val="Heading4"/>
        <w:numPr>
          <w:ilvl w:val="3"/>
          <w:numId w:val="1"/>
        </w:numPr>
        <w:rPr/>
      </w:pPr>
      <w:bookmarkStart w:id="44" w:name="__RefHeading___Toc1757280_581953129"/>
      <w:bookmarkStart w:id="45" w:name="_Toc17"/>
      <w:bookmarkEnd w:id="44"/>
      <w:r>
        <w:rPr>
          <w:rtl w:val="true"/>
        </w:rPr>
        <w:t>اشاره</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حال می‌توانیم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تعدادی از شبهات مطرح شده پاسخ گوییم</w:t>
      </w:r>
      <w:r>
        <w:rPr>
          <w:rFonts w:eastAsia="IRNazanin" w:cs="IRNazanin"/>
          <w:color w:val="111111"/>
          <w:sz w:val="28"/>
          <w:szCs w:val="28"/>
          <w:rtl w:val="true"/>
          <w:lang w:bidi="fa-IR"/>
        </w:rPr>
        <w:t>:</w:t>
      </w:r>
      <w:bookmarkStart w:id="46" w:name="pg5426_68166"/>
    </w:p>
    <w:p>
      <w:pPr>
        <w:pStyle w:val="Heading4"/>
        <w:numPr>
          <w:ilvl w:val="3"/>
          <w:numId w:val="1"/>
        </w:numPr>
        <w:rPr/>
      </w:pPr>
      <w:bookmarkStart w:id="47" w:name="__RefHeading___Toc1757282_581953129"/>
      <w:bookmarkStart w:id="48" w:name="_Toc18"/>
      <w:bookmarkEnd w:id="46"/>
      <w:bookmarkEnd w:id="47"/>
      <w:r>
        <w:rPr>
          <w:rtl w:val="true"/>
        </w:rPr>
        <w:t>شبهۀ اوّل</w:t>
      </w:r>
      <w:r>
        <w:rPr>
          <w:rtl w:val="true"/>
        </w:rPr>
        <w:t>:</w:t>
      </w:r>
      <w:bookmarkEnd w:id="48"/>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کرنش خدای سبحان ، در برابر آفریده‌ای از آفریدگان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چند سبب دارد،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توبه وشفاعت است، پس همان طور که قبولی دعا وتوبه و تحقّق آمرزش به سبب آن دو، به معنای کرنش خالق در برابر مخلوقات نیست بلکه معنای آن، رساندن رحمت الهی بر بندگان است، شفاعت نیز چنین است؛ یعنی خالق، رساندن رحمت بر بندگانش را وابسته به شفاعت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وابستگی ، اثر تربیتی است که رابطۀ بین مردم، انبیا و اولیا را مستحکم کرده و بر جایگاه آنان به عنوان الگو و رهبر جامعه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خدای سبحان، خودش باب شفاعت را گشوده و شفاعت گنندگان را معیّن کرده وویژگی و حال شفاعت شوندگان را تعریف نموده است؛ دیگر هیچ پایه واساسی برای این اشکال وشبهه باقی نمی‌ماند</w:t>
      </w:r>
      <w:r>
        <w:rPr>
          <w:rFonts w:eastAsia="IRNazanin" w:cs="IRNazanin"/>
          <w:color w:val="111111"/>
          <w:sz w:val="28"/>
          <w:szCs w:val="28"/>
          <w:rtl w:val="true"/>
          <w:lang w:bidi="fa-IR"/>
        </w:rPr>
        <w:t>.</w:t>
      </w:r>
    </w:p>
    <w:p>
      <w:pPr>
        <w:pStyle w:val="Heading4"/>
        <w:numPr>
          <w:ilvl w:val="3"/>
          <w:numId w:val="1"/>
        </w:numPr>
        <w:rPr/>
      </w:pPr>
      <w:bookmarkStart w:id="49" w:name="__RefHeading___Toc1757284_581953129"/>
      <w:bookmarkStart w:id="50" w:name="_Toc19"/>
      <w:bookmarkEnd w:id="49"/>
      <w:r>
        <w:rPr>
          <w:rtl w:val="true"/>
        </w:rPr>
        <w:t xml:space="preserve">شبهۀ دوّم </w:t>
      </w:r>
      <w:r>
        <w:rPr>
          <w:rtl w:val="true"/>
        </w:rPr>
        <w:t>:</w:t>
      </w:r>
      <w:bookmarkEnd w:id="50"/>
    </w:p>
    <w:p>
      <w:pPr>
        <w:pStyle w:val="BookText"/>
        <w:rPr/>
      </w:pPr>
      <w:r>
        <w:rPr>
          <w:rFonts w:ascii="IRNazanin" w:hAnsi="IRNazanin" w:eastAsia="IRNazanin"/>
          <w:color w:val="111111"/>
          <w:sz w:val="28"/>
          <w:sz w:val="28"/>
          <w:szCs w:val="28"/>
          <w:rtl w:val="true"/>
          <w:lang w:bidi="fa-IR"/>
        </w:rPr>
        <w:t xml:space="preserve">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شفیع، بیش از خداوند، نسبت به بندگان، رحمت و دلسوزی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گذشته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نیست که شفیع، بدون ارادۀ الهی بدان اقدام نموده باشد بلکه تنها دری است</w:t>
      </w:r>
      <w:bookmarkStart w:id="51" w:name="pg5426_68167"/>
    </w:p>
    <w:p>
      <w:pPr>
        <w:pStyle w:val="BookText"/>
        <w:rPr/>
      </w:pPr>
      <w:bookmarkEnd w:id="51"/>
      <w:r>
        <w:rPr>
          <w:rFonts w:ascii="IRNazanin" w:hAnsi="IRNazanin" w:eastAsia="IRNazanin"/>
          <w:color w:val="111111"/>
          <w:sz w:val="28"/>
          <w:sz w:val="28"/>
          <w:szCs w:val="28"/>
          <w:rtl w:val="true"/>
          <w:lang w:bidi="fa-IR"/>
        </w:rPr>
        <w:t>که خداوند ، آن را گشوده و شرایط وافرادش را تعریف نموده است تا از گذرگاه شفیعان، رحمتش را بر بندگانش برساند، پس دلسوزی شفیعان، پرتوی از اشعۀ به عاریت گرفته شدۀ آن خورشید نامتناهی است</w:t>
      </w:r>
      <w:r>
        <w:rPr>
          <w:rFonts w:eastAsia="IRNazanin" w:cs="IRNazanin"/>
          <w:color w:val="111111"/>
          <w:sz w:val="28"/>
          <w:szCs w:val="28"/>
          <w:rtl w:val="true"/>
          <w:lang w:bidi="fa-IR"/>
        </w:rPr>
        <w:t>.</w:t>
      </w:r>
    </w:p>
    <w:p>
      <w:pPr>
        <w:pStyle w:val="Heading4"/>
        <w:numPr>
          <w:ilvl w:val="3"/>
          <w:numId w:val="1"/>
        </w:numPr>
        <w:rPr/>
      </w:pPr>
      <w:bookmarkStart w:id="52" w:name="__RefHeading___Toc1757286_581953129"/>
      <w:bookmarkStart w:id="53" w:name="_Toc20"/>
      <w:bookmarkEnd w:id="52"/>
      <w:r>
        <w:rPr>
          <w:rtl w:val="true"/>
        </w:rPr>
        <w:t>شبهۀ سوّم</w:t>
      </w:r>
      <w:r>
        <w:rPr>
          <w:rtl w:val="true"/>
        </w:rPr>
        <w:t>:</w:t>
      </w:r>
      <w:bookmarkEnd w:id="53"/>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وجود دو حکم مختلف در حقّ بنده است؛ یک حکم قبل از شفاعت که همان کیفر و عذاب می‌باشد و حکم بعد از شفاعت که آن رهایی از عذاب ورسیدن به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اوّلی با عدالت وحکمت سازگار باشد، در این صورت، شفاعت، مخالف با عدالت خواهد بود و اگر حکم دوّمی با عدالت وحکمت سازگار باشد، در این صورت، حکم اوّلی ظلم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حالت، نمونه‌هایی وجود دارد؛ یکی از نمونه‌هایش فرود آمدن بلا قبل از دعا ، صدقه دادن و یا صلۀ رحم‌است و بر طرف شدن بلا بعد از بجا آوردن دعا ، پرداخت صدقه ویا انجام صلۀ رحم‌است، همان طور که در فرودآمدن بلا، حکمتی هست، در برطرف شدن بلا نیز به وسیلۀ اسباب فوق، حکمتی است</w:t>
      </w:r>
      <w:r>
        <w:rPr>
          <w:rFonts w:eastAsia="IRNazanin" w:cs="IRNazanin"/>
          <w:color w:val="111111"/>
          <w:sz w:val="28"/>
          <w:szCs w:val="28"/>
          <w:rtl w:val="true"/>
          <w:lang w:bidi="fa-IR"/>
        </w:rPr>
        <w:t>.</w:t>
      </w:r>
      <w:bookmarkStart w:id="54" w:name="pg5426_68168"/>
    </w:p>
    <w:p>
      <w:pPr>
        <w:pStyle w:val="BookText"/>
        <w:rPr/>
      </w:pPr>
      <w:bookmarkEnd w:id="54"/>
      <w:r>
        <w:rPr>
          <w:rFonts w:ascii="IRNazanin" w:hAnsi="IRNazanin" w:eastAsia="IRNazanin"/>
          <w:color w:val="111111"/>
          <w:sz w:val="28"/>
          <w:sz w:val="28"/>
          <w:szCs w:val="28"/>
          <w:rtl w:val="true"/>
          <w:lang w:bidi="fa-IR"/>
        </w:rPr>
        <w:t>در شفاعت هم مسأله این است؛ یعنی فرمان به کیفر، قبل از شفاعت ، سازگار باعدل الهی وعمل بنده واستحقاق اوست و فرمان به رهایی از کیفر، بعد از شفاعت هم ، با رحمت، ودلسوزی ومهربانی خداوند سازگار است</w:t>
      </w:r>
      <w:r>
        <w:rPr>
          <w:rFonts w:eastAsia="IRNazanin" w:cs="IRNazanin"/>
          <w:color w:val="111111"/>
          <w:sz w:val="28"/>
          <w:szCs w:val="28"/>
          <w:rtl w:val="true"/>
          <w:lang w:bidi="fa-IR"/>
        </w:rPr>
        <w:t>.</w:t>
      </w:r>
    </w:p>
    <w:p>
      <w:pPr>
        <w:pStyle w:val="Heading4"/>
        <w:numPr>
          <w:ilvl w:val="3"/>
          <w:numId w:val="1"/>
        </w:numPr>
        <w:rPr/>
      </w:pPr>
      <w:bookmarkStart w:id="55" w:name="__RefHeading___Toc1757288_581953129"/>
      <w:bookmarkStart w:id="56" w:name="_Toc21"/>
      <w:bookmarkEnd w:id="55"/>
      <w:r>
        <w:rPr>
          <w:rtl w:val="true"/>
        </w:rPr>
        <w:t>شبهۀ چهارم</w:t>
      </w:r>
      <w:r>
        <w:rPr>
          <w:rtl w:val="true"/>
        </w:rPr>
        <w:t>:</w:t>
      </w:r>
      <w:bookmarkEnd w:id="56"/>
    </w:p>
    <w:p>
      <w:pPr>
        <w:pStyle w:val="BookText"/>
        <w:rPr/>
      </w:pPr>
      <w:r>
        <w:rPr>
          <w:rFonts w:ascii="IRNazanin" w:hAnsi="IRNazanin" w:eastAsia="IRNazanin"/>
          <w:color w:val="111111"/>
          <w:sz w:val="28"/>
          <w:sz w:val="28"/>
          <w:szCs w:val="28"/>
          <w:rtl w:val="true"/>
          <w:lang w:bidi="fa-IR"/>
        </w:rPr>
        <w:t>وعده دادن به شفاعت باعث می‌شود که مردم در ارتکاب گناهان، بی باک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صحیح باشد، پس باید درِ توبه ورحمت الهی را بست و حال آن که حکمت الهی ، می‌خواهد که درهای امید به روی بندگان گنهکار باز باشد تا آنان یک ارتباطی با او داشته باشند وقربانی یأس و نومیدی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که‌آنان را به سردرگمی وسقوط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نشوند، ضمن آن که با تعریفی که از شفاعت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مبهم و کلّی و نیز به صورت تعلیق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به گناه ترغیب نمی کند</w:t>
      </w:r>
      <w:r>
        <w:rPr>
          <w:rFonts w:eastAsia="IRNazanin" w:cs="IRNazanin"/>
          <w:color w:val="111111"/>
          <w:sz w:val="28"/>
          <w:szCs w:val="28"/>
          <w:rtl w:val="true"/>
          <w:lang w:bidi="fa-IR"/>
        </w:rPr>
        <w:t>.</w:t>
      </w:r>
    </w:p>
    <w:p>
      <w:pPr>
        <w:pStyle w:val="Heading4"/>
        <w:numPr>
          <w:ilvl w:val="3"/>
          <w:numId w:val="1"/>
        </w:numPr>
        <w:rPr/>
      </w:pPr>
      <w:bookmarkStart w:id="57" w:name="__RefHeading___Toc1757290_581953129"/>
      <w:bookmarkStart w:id="58" w:name="_Toc22"/>
      <w:bookmarkEnd w:id="57"/>
      <w:r>
        <w:rPr>
          <w:rtl w:val="true"/>
        </w:rPr>
        <w:t>شبهۀ پنجم</w:t>
      </w:r>
      <w:r>
        <w:rPr>
          <w:rtl w:val="true"/>
        </w:rPr>
        <w:t>:</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شفاعتی جایز است که مؤمن دعا کند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در روز قیامت شفیع گردان، ولی جایز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روز قیامت،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ومحمد بن عبدالوهّاب، این اشکال را خاطر نشان ساخته واستدلال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دوّم از شرک در عبادت است، چرا که کاری شبیه کار بت پرستان انجام داده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 xml:space="preserve">... .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شفیعان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با خدا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از قبیل شفاعت از غیر صاحبش می‌باشد؛ ونیز طلب شفاعت از مرده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پایه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تدبیر وآفرینش در مورد کسی که به عنوان معبود برگزیده شده است و یا اعتقاد به این که کارهای آفرینش وتکوین به او واگذار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عنوان معبود برگزیده شده است ، خضوع وتسلیمی درکار باشد که گویای پرستش آن معبود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شفاعت، نه اعتقادی به قدرت ذاتی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وآفرینش هست و نه اعتقادی به این که کارها</w:t>
      </w:r>
    </w:p>
    <w:p>
      <w:pPr>
        <w:pStyle w:val="BookText"/>
        <w:rPr/>
      </w:pPr>
      <w:r>
        <w:rPr>
          <w:rFonts w:ascii="IRNazanin" w:hAnsi="IRNazanin" w:eastAsia="IRNazanin"/>
          <w:color w:val="111111"/>
          <w:sz w:val="28"/>
          <w:sz w:val="28"/>
          <w:szCs w:val="28"/>
          <w:rtl w:val="true"/>
          <w:lang w:bidi="fa-IR"/>
        </w:rPr>
        <w:t xml:space="preserve">به آن حضرت واگذار شده است و برای آن حضرت، خضوع وتسلیم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وتنها چیزی که هست این که مقام ومنزلتی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است تا این‌که شفیع امّتش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شریفه‌ای هم که در مورد این اشکال بدان استدلال کرده‌اند چنین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وَیَعْبُدُونَ مِن دُونِ اللّهِ مَا لاَ یَضُرُّهُمْ وَلاَ یَنفَعُهُمْ وَیَقُولُونَ هَؤُلاء شُفَعَاؤُنَا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 آن شفاعتی که شرک و باطل است، همراه با پرستش بت و شاخه‌ای از آن است، به همین دلیل بطلان آن اعلام شده است، ولی طلب شفاعت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عبادت نیست تا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قانون صحت وبطلان بر اساس مشابهت صوری نیست؛ زیرا اگر چنین بود ، پس باید سعی وطواف وامثال آنها نیز از جمله جلوه‌های شرک شمرده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هم این اعمال را انجام می‌دادند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دربارۀ آیۀ شریفۀ وَلا تَدْعُ مَعَ اللَّهِ إِلَهًا آخَرَ </w:t>
      </w:r>
      <w:r>
        <w:rPr>
          <w:rStyle w:val="FootnoteAnchor"/>
          <w:rtl w:val="true"/>
        </w:rPr>
        <w:footnoteReference w:id="40"/>
      </w:r>
      <w:r>
        <w:rPr>
          <w:rFonts w:ascii="IRNazanin" w:hAnsi="IRNazanin" w:eastAsia="IRNazanin"/>
          <w:color w:val="111111"/>
          <w:sz w:val="28"/>
          <w:sz w:val="28"/>
          <w:szCs w:val="28"/>
          <w:rtl w:val="true"/>
          <w:lang w:bidi="fa-IR"/>
        </w:rPr>
        <w:t>گفتنی است که پاسخ ، همان جوابی است که برای آیۀ گذشته داده شد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موردی را شامل است که دعا به شکل عبادت باشد و دعا کننده پروردگار، یا معبودی را مخاطب قرار دهد؛ از این</w:t>
      </w:r>
    </w:p>
    <w:p>
      <w:pPr>
        <w:pStyle w:val="BookText"/>
        <w:rPr/>
      </w:pPr>
      <w:r>
        <w:rPr>
          <w:rFonts w:ascii="IRNazanin" w:hAnsi="IRNazanin" w:eastAsia="IRNazanin"/>
          <w:color w:val="111111"/>
          <w:sz w:val="28"/>
          <w:sz w:val="28"/>
          <w:szCs w:val="28"/>
          <w:rtl w:val="true"/>
          <w:lang w:bidi="fa-IR"/>
        </w:rPr>
        <w:t xml:space="preserve">رو، آیۀ شریفه از عبادت غیر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و شامل هر درخواستی از هر درخواست شونده‌ای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آیه به این معنا باشد، در این صورت، آیه از هر چیزی که موجب پایداری زندگی اجتماعی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تعاون که بدون آن نمی‌توان ثبات زندگی اجتماعی را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عاقلانه است که شرع مقدّس، درخواست مسلمانی از مسلمان دیگر را ممنوع سازد؟ وآیا این نوع از درخواست ، درخواست از غیر خدا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این قبیل نیست بلکه کیفیّت اشکال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درخواست، طلب چیزی است که از ویژگیهای معبود است و آیۀ شریفه بازدارنده از هر نوع درخواستی نیست بلکه تنها باز دارنده از درخواستی است که از ویژگیهای معبود است و این نوع از درخواست ، از نمونه‌های درخواست از غیر خداوند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یاد آور می شویم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منطبق ساختن ویژگی الهی، بر آن حضرت نیست؛ تا از قبیل خواندن غیر خدای سبحان باشد بلکه در جای خود ثابت شد که خدای سبحان ،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شفاعت داده است که برای ما نیز جایز است آن را از آن حضرت بخواهیم، همان گونه که نیازمندی خود را از هر کسی که توانایی بر آن کار داشته باشد، درخواست می‌کنیم و این طلب، درخواستی است که بر توحید ویگانه پرستی تأکید دارد وبوی شرک از آن به مشام نمی‌رسد؛ چرا</w:t>
      </w:r>
    </w:p>
    <w:p>
      <w:pPr>
        <w:pStyle w:val="BookText"/>
        <w:rPr/>
      </w:pPr>
      <w:r>
        <w:rPr>
          <w:rFonts w:ascii="IRNazanin" w:hAnsi="IRNazanin" w:eastAsia="IRNazanin"/>
          <w:color w:val="111111"/>
          <w:sz w:val="28"/>
          <w:sz w:val="28"/>
          <w:szCs w:val="28"/>
          <w:rtl w:val="true"/>
          <w:lang w:bidi="fa-IR"/>
        </w:rPr>
        <w:t>که در نهایت، به اجازه وفرمان الهی منتهی می‌گردد و خداوند تنها آن شفاعتی را باطل کرده که همراه با شرک باشد؛ مثلاً شفاعت مورد بحث در آیۀ شریفه وَیَقُولُونَ هَؤُلاء شُفَعَاؤُنَا عِندَ اللّهِ به اجازه وفرمان الهی منتهی نمی‌گردد، وخداوند برای شفاعت آنها اجازه نداده است و برای انسان نیز جایز نیست که شفیعانش را خود برگزیند و تنها این اجازه به او داده شده که شفاعت را از کسی درخواست کند که از طرف خداوند اجازۀ شفاعت داشته باشد و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شفاعت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از کسی است که صاحب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پاسخش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اصلی وجود، خود خدای سبحان است و هر صاحب دیگری جز او به واسطۀ ملکیّت اعتباری ظاهری، صاحب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اشکال، جایز نبودن درخواست چیزی از غیر مالک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لازمۀ آن، تباه شدن زندگی اجتماعی است که بر پایۀ همکاری وداد و ستد و درخواست از کسی که به مالکیّت‌اعتباری، آن‌را صاحب شده پایه‌گذاری گشته‌است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درخواست شفاعت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 که ثابت شد آن حضرت از طرف خدای سبحان برای شفاعت امّتش اجازه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درخواست از مالک اعتباری‌اش می‌باشد، واگر درخواست از مالکان اعتباری، باطل و شرک باشد، زندگی اجتماعی</w:t>
      </w:r>
    </w:p>
    <w:p>
      <w:pPr>
        <w:pStyle w:val="BookText"/>
        <w:rPr/>
      </w:pPr>
      <w:r>
        <w:rPr>
          <w:rFonts w:ascii="IRNazanin" w:hAnsi="IRNazanin" w:eastAsia="IRNazanin"/>
          <w:color w:val="111111"/>
          <w:sz w:val="28"/>
          <w:sz w:val="28"/>
          <w:szCs w:val="28"/>
          <w:rtl w:val="true"/>
          <w:lang w:bidi="fa-IR"/>
        </w:rPr>
        <w:t xml:space="preserve">از حرکت می‌ایستد؛ زیرا زندگی، جز به واسطۀ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وباطل است ، پا برجا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 سخنشان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شفاعت از میّت باطل است و درخواست شفاعت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بسیار سست است و این با عقیدۀ کسی که به غیب ایمان دارد، تناسبی ندارد و تنها متناسب با کسی‌است که مادّه را خلاصۀ وجود و آخرین تعریف آن می داند، در حالی که ما اعتقاد نداریم وقتی که کسی مرد ودر قبر گذاشته شد وسنگ لَحد را چیدند، همه چیز تمام شده باشد بلکه اعتقاد داریم که حقیقت انسان، وابسته به روح او است و جسم، نمادِّ مادّی این حقیقت است ومرگ، تنها جسم را در برمی‌گیرد وبه این حقیقت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امری است که مربوط به همۀ انسانهاست، ولی روح انبیا و اولیای مقرّب الهی ، دارای مقام و جایگاه ویژه‌ای است که از حوصلۀ فهم ما خارج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ما از جسم ، درخواست شفاعت نمی‌کنیم بلکه آن را از روحی می‌خواهیم که نمی‌میرد؛ از روح شخصیّتی می‌خواهیم که اشرف انبیا و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رابطۀ ما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با جسم میّت باشد، پس سلام دادن ما در نمازهای پنجگانه بر آن حضرت و شهادت وگواهی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واعمال ما، چه معنا خواهد داشت؟ در حالی که قرآن کریم به این حقایق تصریح نموده است</w:t>
      </w:r>
      <w:r>
        <w:rPr>
          <w:rFonts w:eastAsia="IRNazanin" w:cs="IRNazanin"/>
          <w:color w:val="111111"/>
          <w:sz w:val="28"/>
          <w:szCs w:val="28"/>
          <w:rtl w:val="true"/>
          <w:lang w:bidi="fa-IR"/>
        </w:rPr>
        <w:t>.</w:t>
      </w:r>
      <w:bookmarkStart w:id="59" w:name="pg5426_68174"/>
    </w:p>
    <w:p>
      <w:pPr>
        <w:pStyle w:val="Heading2"/>
        <w:numPr>
          <w:ilvl w:val="1"/>
          <w:numId w:val="1"/>
        </w:numPr>
        <w:rPr/>
      </w:pPr>
      <w:bookmarkStart w:id="60" w:name="__RefHeading___Toc1757292_581953129"/>
      <w:bookmarkStart w:id="61" w:name="_Toc23"/>
      <w:bookmarkEnd w:id="59"/>
      <w:bookmarkEnd w:id="60"/>
      <w:r>
        <w:rPr>
          <w:rtl w:val="true"/>
        </w:rPr>
        <w:t>چکیدۀ بحث</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رحمتی است که خداوند ، از مسیر واسطه‌هایی که خود، آنان را برگزیده وتعیین کرده است، به یکتاپرستان می‌رساند، همان گونه که قرآن کریم ونصوص سنّت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هیج‌گونه شرکی در شفاعت وجود ندارد بلکه دلیل دیگری بر ارادۀ مطلقه، قدرت بی انتها، رحمت فراگیر ولطف همگانی خداوند است وآن را برای افرادی که قابلیّت آن را داشته باشند، مقرّر فرموده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مشمول عنایت خاصّۀ شفیعان حقیقی درگاه الهی واقع گردیم و آخر دعوانا ان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 أحمد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التوحید باب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یَوْمَئِذٍ نَّاضِرَة ، ح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من مات له ولد فاحتسب ح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و صحیح مسلم، کتاب البر والصله والآداب ح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چاپ دار المفید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7270</Words>
  <Characters>28744</Characters>
  <CharactersWithSpaces>35715</CharactersWithSpaces>
  <Paragraphs>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2026-08-19T01:59:28Z</dcterms:created>
  <dc:creator>ghaemiyeh.com</dc:creator>
  <dc:description/>
  <dc:language>en-US</dc:language>
  <cp:lastModifiedBy/>
  <dcterms:modified xsi:type="dcterms:W3CDTF">2026-08-19T05:29:30Z</dcterms:modified>
  <cp:revision>1</cp:revision>
  <dc:subject/>
  <dc:title>شفاعت</dc:title>
</cp:coreProperties>
</file>

<file path=docProps/custom.xml><?xml version="1.0" encoding="utf-8"?>
<Properties xmlns="http://schemas.openxmlformats.org/officeDocument/2006/custom-properties" xmlns:vt="http://schemas.openxmlformats.org/officeDocument/2006/docPropsVTypes"/>
</file>