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قراءه النص الدینی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953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2955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2957_581953129">
            <w:r>
              <w:rPr>
                <w:webHidden/>
                <w:rStyle w:val="IndexLink"/>
                <w:rtl w:val="true"/>
              </w:rPr>
              <w:t>کلمة الأستاذ</w:t>
            </w:r>
            <w:r>
              <w:rPr>
                <w:rStyle w:val="IndexLink"/>
                <w:rtl w:val="true"/>
              </w:rPr>
              <w:tab/>
            </w:r>
            <w:r>
              <w:rPr>
                <w:rStyle w:val="IndexLink"/>
              </w:rPr>
              <w:t>6</w:t>
            </w:r>
          </w:hyperlink>
        </w:p>
        <w:p>
          <w:pPr>
            <w:pStyle w:val="Contents2"/>
            <w:tabs>
              <w:tab w:val="clear" w:pos="8743"/>
              <w:tab w:val="right" w:pos="9026" w:leader="dot"/>
            </w:tabs>
            <w:rPr/>
          </w:pPr>
          <w:hyperlink w:anchor="__RefHeading___Toc422959_581953129">
            <w:r>
              <w:rPr>
                <w:webHidden/>
                <w:rStyle w:val="IndexLink"/>
                <w:rtl w:val="true"/>
              </w:rPr>
              <w:t xml:space="preserve">القسم الأوّل </w:t>
            </w:r>
            <w:r>
              <w:rPr>
                <w:rStyle w:val="IndexLink"/>
                <w:rtl w:val="true"/>
              </w:rPr>
              <w:t xml:space="preserve">: </w:t>
            </w:r>
            <w:r>
              <w:rPr>
                <w:rStyle w:val="IndexLink"/>
                <w:rtl w:val="true"/>
              </w:rPr>
              <w:t>میزان الأدلّة فی المعارف الاعتقادیّة</w:t>
            </w:r>
            <w:r>
              <w:rPr>
                <w:rStyle w:val="IndexLink"/>
                <w:rtl w:val="true"/>
              </w:rPr>
              <w:tab/>
            </w:r>
            <w:r>
              <w:rPr>
                <w:rStyle w:val="IndexLink"/>
              </w:rPr>
              <w:t>8</w:t>
            </w:r>
          </w:hyperlink>
        </w:p>
        <w:p>
          <w:pPr>
            <w:pStyle w:val="Contents3"/>
            <w:tabs>
              <w:tab w:val="clear" w:pos="8459"/>
              <w:tab w:val="right" w:pos="9026" w:leader="dot"/>
            </w:tabs>
            <w:rPr/>
          </w:pPr>
          <w:hyperlink w:anchor="__RefHeading___Toc422961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22963_581953129">
            <w:r>
              <w:rPr>
                <w:webHidden/>
                <w:rStyle w:val="IndexLink"/>
                <w:rtl w:val="true"/>
              </w:rPr>
              <w:t>تمهید</w:t>
            </w:r>
            <w:r>
              <w:rPr>
                <w:rStyle w:val="IndexLink"/>
                <w:rtl w:val="true"/>
              </w:rPr>
              <w:tab/>
            </w:r>
            <w:r>
              <w:rPr>
                <w:rStyle w:val="IndexLink"/>
              </w:rPr>
              <w:t>10</w:t>
            </w:r>
          </w:hyperlink>
        </w:p>
        <w:p>
          <w:pPr>
            <w:pStyle w:val="Contents4"/>
            <w:tabs>
              <w:tab w:val="clear" w:pos="8176"/>
              <w:tab w:val="right" w:pos="9026" w:leader="dot"/>
            </w:tabs>
            <w:rPr/>
          </w:pPr>
          <w:hyperlink w:anchor="__RefHeading___Toc422965_58195312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422967_581953129">
            <w:r>
              <w:rPr>
                <w:webHidden/>
                <w:rStyle w:val="IndexLink"/>
                <w:rtl w:val="true"/>
              </w:rPr>
              <w:t xml:space="preserve">النقطة الاُولی </w:t>
            </w:r>
            <w:r>
              <w:rPr>
                <w:rStyle w:val="IndexLink"/>
                <w:rtl w:val="true"/>
              </w:rPr>
              <w:t xml:space="preserve">: </w:t>
            </w:r>
            <w:r>
              <w:rPr>
                <w:rStyle w:val="IndexLink"/>
                <w:rtl w:val="true"/>
              </w:rPr>
              <w:t>تأثیر الجانب المادّی علی الباحث</w:t>
            </w:r>
            <w:r>
              <w:rPr>
                <w:rStyle w:val="IndexLink"/>
                <w:rtl w:val="true"/>
              </w:rPr>
              <w:tab/>
            </w:r>
            <w:r>
              <w:rPr>
                <w:rStyle w:val="IndexLink"/>
              </w:rPr>
              <w:t>10</w:t>
            </w:r>
          </w:hyperlink>
        </w:p>
        <w:p>
          <w:pPr>
            <w:pStyle w:val="Contents4"/>
            <w:tabs>
              <w:tab w:val="clear" w:pos="8176"/>
              <w:tab w:val="right" w:pos="9026" w:leader="dot"/>
            </w:tabs>
            <w:rPr/>
          </w:pPr>
          <w:hyperlink w:anchor="__RefHeading___Toc422969_581953129">
            <w:r>
              <w:rPr>
                <w:webHidden/>
                <w:rStyle w:val="IndexLink"/>
                <w:rtl w:val="true"/>
              </w:rPr>
              <w:t xml:space="preserve">النقطة الثانیة </w:t>
            </w:r>
            <w:r>
              <w:rPr>
                <w:rStyle w:val="IndexLink"/>
                <w:rtl w:val="true"/>
              </w:rPr>
              <w:t xml:space="preserve">: </w:t>
            </w:r>
            <w:r>
              <w:rPr>
                <w:rStyle w:val="IndexLink"/>
                <w:rtl w:val="true"/>
              </w:rPr>
              <w:t>القدسیّة رهینة الحقیقة</w:t>
            </w:r>
            <w:r>
              <w:rPr>
                <w:rStyle w:val="IndexLink"/>
                <w:rtl w:val="true"/>
              </w:rPr>
              <w:tab/>
            </w:r>
            <w:r>
              <w:rPr>
                <w:rStyle w:val="IndexLink"/>
              </w:rPr>
              <w:t>24</w:t>
            </w:r>
          </w:hyperlink>
        </w:p>
        <w:p>
          <w:pPr>
            <w:pStyle w:val="Contents5"/>
            <w:tabs>
              <w:tab w:val="clear" w:pos="7892"/>
              <w:tab w:val="right" w:pos="9026" w:leader="dot"/>
            </w:tabs>
            <w:rPr/>
          </w:pPr>
          <w:hyperlink w:anchor="__RefHeading___Toc422971_58195312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422973_581953129">
            <w:r>
              <w:rPr>
                <w:webHidden/>
                <w:rStyle w:val="IndexLink"/>
                <w:rtl w:val="true"/>
              </w:rPr>
              <w:t>الشکّ بوّابة المعارف</w:t>
            </w:r>
            <w:r>
              <w:rPr>
                <w:rStyle w:val="IndexLink"/>
                <w:rtl w:val="true"/>
              </w:rPr>
              <w:tab/>
            </w:r>
            <w:r>
              <w:rPr>
                <w:rStyle w:val="IndexLink"/>
              </w:rPr>
              <w:t>25</w:t>
            </w:r>
          </w:hyperlink>
        </w:p>
        <w:p>
          <w:pPr>
            <w:pStyle w:val="Contents5"/>
            <w:tabs>
              <w:tab w:val="clear" w:pos="7892"/>
              <w:tab w:val="right" w:pos="9026" w:leader="dot"/>
            </w:tabs>
            <w:rPr/>
          </w:pPr>
          <w:hyperlink w:anchor="__RefHeading___Toc422975_581953129">
            <w:r>
              <w:rPr>
                <w:webHidden/>
                <w:rStyle w:val="IndexLink"/>
                <w:rtl w:val="true"/>
              </w:rPr>
              <w:t>الشکّ الضارّ المذموم</w:t>
            </w:r>
            <w:r>
              <w:rPr>
                <w:rStyle w:val="IndexLink"/>
                <w:rtl w:val="true"/>
              </w:rPr>
              <w:tab/>
            </w:r>
            <w:r>
              <w:rPr>
                <w:rStyle w:val="IndexLink"/>
              </w:rPr>
              <w:t>26</w:t>
            </w:r>
          </w:hyperlink>
        </w:p>
        <w:p>
          <w:pPr>
            <w:pStyle w:val="Contents5"/>
            <w:tabs>
              <w:tab w:val="clear" w:pos="7892"/>
              <w:tab w:val="right" w:pos="9026" w:leader="dot"/>
            </w:tabs>
            <w:rPr/>
          </w:pPr>
          <w:hyperlink w:anchor="__RefHeading___Toc422977_581953129">
            <w:r>
              <w:rPr>
                <w:webHidden/>
                <w:rStyle w:val="IndexLink"/>
                <w:rtl w:val="true"/>
              </w:rPr>
              <w:t>الشکّ قنطرة الحقیقة</w:t>
            </w:r>
            <w:r>
              <w:rPr>
                <w:rStyle w:val="IndexLink"/>
                <w:rtl w:val="true"/>
              </w:rPr>
              <w:tab/>
            </w:r>
            <w:r>
              <w:rPr>
                <w:rStyle w:val="IndexLink"/>
              </w:rPr>
              <w:t>27</w:t>
            </w:r>
          </w:hyperlink>
        </w:p>
        <w:p>
          <w:pPr>
            <w:pStyle w:val="Contents5"/>
            <w:tabs>
              <w:tab w:val="clear" w:pos="7892"/>
              <w:tab w:val="right" w:pos="9026" w:leader="dot"/>
            </w:tabs>
            <w:rPr/>
          </w:pPr>
          <w:hyperlink w:anchor="__RefHeading___Toc422979_581953129">
            <w:r>
              <w:rPr>
                <w:webHidden/>
                <w:rStyle w:val="IndexLink"/>
                <w:rtl w:val="true"/>
              </w:rPr>
              <w:t>الشکّ الحسن الممدوح</w:t>
            </w:r>
            <w:r>
              <w:rPr>
                <w:rStyle w:val="IndexLink"/>
                <w:rtl w:val="true"/>
              </w:rPr>
              <w:tab/>
            </w:r>
            <w:r>
              <w:rPr>
                <w:rStyle w:val="IndexLink"/>
              </w:rPr>
              <w:t>28</w:t>
            </w:r>
          </w:hyperlink>
        </w:p>
        <w:p>
          <w:pPr>
            <w:pStyle w:val="Contents4"/>
            <w:tabs>
              <w:tab w:val="clear" w:pos="8176"/>
              <w:tab w:val="right" w:pos="9026" w:leader="dot"/>
            </w:tabs>
            <w:rPr/>
          </w:pPr>
          <w:hyperlink w:anchor="__RefHeading___Toc422981_581953129">
            <w:r>
              <w:rPr>
                <w:webHidden/>
                <w:rStyle w:val="IndexLink"/>
                <w:rtl w:val="true"/>
              </w:rPr>
              <w:t xml:space="preserve">النقطة الثالثة </w:t>
            </w:r>
            <w:r>
              <w:rPr>
                <w:rStyle w:val="IndexLink"/>
                <w:rtl w:val="true"/>
              </w:rPr>
              <w:t xml:space="preserve">: </w:t>
            </w:r>
            <w:r>
              <w:rPr>
                <w:rStyle w:val="IndexLink"/>
                <w:rtl w:val="true"/>
              </w:rPr>
              <w:t>معانی التوحید والشرک</w:t>
            </w:r>
            <w:r>
              <w:rPr>
                <w:rStyle w:val="IndexLink"/>
                <w:rtl w:val="true"/>
              </w:rPr>
              <w:tab/>
            </w:r>
            <w:r>
              <w:rPr>
                <w:rStyle w:val="IndexLink"/>
              </w:rPr>
              <w:t>29</w:t>
            </w:r>
          </w:hyperlink>
        </w:p>
        <w:p>
          <w:pPr>
            <w:pStyle w:val="Contents4"/>
            <w:tabs>
              <w:tab w:val="clear" w:pos="8176"/>
              <w:tab w:val="right" w:pos="9026" w:leader="dot"/>
            </w:tabs>
            <w:rPr/>
          </w:pPr>
          <w:hyperlink w:anchor="__RefHeading___Toc422983_581953129">
            <w:r>
              <w:rPr>
                <w:webHidden/>
                <w:rStyle w:val="IndexLink"/>
                <w:rtl w:val="true"/>
              </w:rPr>
              <w:t xml:space="preserve">النقطة الرابعة </w:t>
            </w:r>
            <w:r>
              <w:rPr>
                <w:rStyle w:val="IndexLink"/>
                <w:rtl w:val="true"/>
              </w:rPr>
              <w:t xml:space="preserve">: </w:t>
            </w:r>
            <w:r>
              <w:rPr>
                <w:rStyle w:val="IndexLink"/>
                <w:rtl w:val="true"/>
              </w:rPr>
              <w:t>الوحدة الإسلامیّة وفریضة الاعتصام باللّه</w:t>
            </w:r>
            <w:r>
              <w:rPr>
                <w:rStyle w:val="IndexLink"/>
                <w:rtl w:val="true"/>
              </w:rPr>
              <w:tab/>
            </w:r>
            <w:r>
              <w:rPr>
                <w:rStyle w:val="IndexLink"/>
              </w:rPr>
              <w:t>36</w:t>
            </w:r>
          </w:hyperlink>
        </w:p>
        <w:p>
          <w:pPr>
            <w:pStyle w:val="Contents3"/>
            <w:tabs>
              <w:tab w:val="clear" w:pos="8459"/>
              <w:tab w:val="right" w:pos="9026" w:leader="dot"/>
            </w:tabs>
            <w:rPr/>
          </w:pPr>
          <w:hyperlink w:anchor="__RefHeading___Toc422985_581953129">
            <w:r>
              <w:rPr>
                <w:webHidden/>
                <w:rStyle w:val="IndexLink"/>
                <w:rtl w:val="true"/>
              </w:rPr>
              <w:t>میزان الدلیل فی المعارف الاعتقادیّة</w:t>
            </w:r>
            <w:r>
              <w:rPr>
                <w:rStyle w:val="IndexLink"/>
                <w:rtl w:val="true"/>
              </w:rPr>
              <w:tab/>
            </w:r>
            <w:r>
              <w:rPr>
                <w:rStyle w:val="IndexLink"/>
              </w:rPr>
              <w:t>42</w:t>
            </w:r>
          </w:hyperlink>
        </w:p>
        <w:p>
          <w:pPr>
            <w:pStyle w:val="Contents4"/>
            <w:tabs>
              <w:tab w:val="clear" w:pos="8176"/>
              <w:tab w:val="right" w:pos="9026" w:leader="dot"/>
            </w:tabs>
            <w:rPr/>
          </w:pPr>
          <w:hyperlink w:anchor="__RefHeading___Toc422987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422989_581953129">
            <w:r>
              <w:rPr>
                <w:webHidden/>
                <w:rStyle w:val="IndexLink"/>
                <w:rtl w:val="true"/>
              </w:rPr>
              <w:t xml:space="preserve">المقام الأوّل </w:t>
            </w:r>
            <w:r>
              <w:rPr>
                <w:rStyle w:val="IndexLink"/>
                <w:rtl w:val="true"/>
              </w:rPr>
              <w:t xml:space="preserve">: </w:t>
            </w:r>
            <w:r>
              <w:rPr>
                <w:rStyle w:val="IndexLink"/>
                <w:rtl w:val="true"/>
              </w:rPr>
              <w:t>فی إمکان التعبّد بالظنّ فی تفاصیل العقائد</w:t>
            </w:r>
            <w:r>
              <w:rPr>
                <w:rStyle w:val="IndexLink"/>
                <w:rtl w:val="true"/>
              </w:rPr>
              <w:tab/>
            </w:r>
            <w:r>
              <w:rPr>
                <w:rStyle w:val="IndexLink"/>
              </w:rPr>
              <w:t>43</w:t>
            </w:r>
          </w:hyperlink>
        </w:p>
        <w:p>
          <w:pPr>
            <w:pStyle w:val="Contents4"/>
            <w:tabs>
              <w:tab w:val="clear" w:pos="8176"/>
              <w:tab w:val="right" w:pos="9026" w:leader="dot"/>
            </w:tabs>
            <w:rPr/>
          </w:pPr>
          <w:hyperlink w:anchor="__RefHeading___Toc422991_581953129">
            <w:r>
              <w:rPr>
                <w:webHidden/>
                <w:rStyle w:val="IndexLink"/>
                <w:rtl w:val="true"/>
              </w:rPr>
              <w:t xml:space="preserve">المقام الثانی </w:t>
            </w:r>
            <w:r>
              <w:rPr>
                <w:rStyle w:val="IndexLink"/>
                <w:rtl w:val="true"/>
              </w:rPr>
              <w:t xml:space="preserve">: </w:t>
            </w:r>
            <w:r>
              <w:rPr>
                <w:rStyle w:val="IndexLink"/>
                <w:rtl w:val="true"/>
              </w:rPr>
              <w:t>فی البحث عن ضابطة اصول الاعتقادات</w:t>
            </w:r>
            <w:r>
              <w:rPr>
                <w:rStyle w:val="IndexLink"/>
                <w:rtl w:val="true"/>
              </w:rPr>
              <w:tab/>
            </w:r>
            <w:r>
              <w:rPr>
                <w:rStyle w:val="IndexLink"/>
              </w:rPr>
              <w:t>84</w:t>
            </w:r>
          </w:hyperlink>
        </w:p>
        <w:p>
          <w:pPr>
            <w:pStyle w:val="Contents5"/>
            <w:tabs>
              <w:tab w:val="clear" w:pos="7892"/>
              <w:tab w:val="right" w:pos="9026" w:leader="dot"/>
            </w:tabs>
            <w:rPr/>
          </w:pPr>
          <w:hyperlink w:anchor="__RefHeading___Toc422993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22995_581953129">
            <w:r>
              <w:rPr>
                <w:webHidden/>
                <w:rStyle w:val="IndexLink"/>
                <w:rtl w:val="true"/>
              </w:rPr>
              <w:t>الرابطة بین علم اصول الفقه والعلوم القلبیّة</w:t>
            </w:r>
            <w:r>
              <w:rPr>
                <w:rStyle w:val="IndexLink"/>
                <w:rtl w:val="true"/>
              </w:rPr>
              <w:tab/>
            </w:r>
            <w:r>
              <w:rPr>
                <w:rStyle w:val="IndexLink"/>
              </w:rPr>
              <w:t>87</w:t>
            </w:r>
          </w:hyperlink>
        </w:p>
        <w:p>
          <w:pPr>
            <w:pStyle w:val="Contents4"/>
            <w:tabs>
              <w:tab w:val="clear" w:pos="8176"/>
              <w:tab w:val="right" w:pos="9026" w:leader="dot"/>
            </w:tabs>
            <w:rPr/>
          </w:pPr>
          <w:hyperlink w:anchor="__RefHeading___Toc422997_581953129">
            <w:r>
              <w:rPr>
                <w:webHidden/>
                <w:rStyle w:val="IndexLink"/>
                <w:rtl w:val="true"/>
              </w:rPr>
              <w:t xml:space="preserve">المقام الثالث </w:t>
            </w:r>
            <w:r>
              <w:rPr>
                <w:rStyle w:val="IndexLink"/>
                <w:rtl w:val="true"/>
              </w:rPr>
              <w:t xml:space="preserve">: </w:t>
            </w:r>
            <w:r>
              <w:rPr>
                <w:rStyle w:val="IndexLink"/>
                <w:rtl w:val="true"/>
              </w:rPr>
              <w:t>لمحة عن مناهج مدارس المعارف</w:t>
            </w:r>
            <w:r>
              <w:rPr>
                <w:rStyle w:val="IndexLink"/>
                <w:rtl w:val="true"/>
              </w:rPr>
              <w:tab/>
            </w:r>
            <w:r>
              <w:rPr>
                <w:rStyle w:val="IndexLink"/>
              </w:rPr>
              <w:t>93</w:t>
            </w:r>
          </w:hyperlink>
        </w:p>
        <w:p>
          <w:pPr>
            <w:pStyle w:val="Contents5"/>
            <w:tabs>
              <w:tab w:val="clear" w:pos="7892"/>
              <w:tab w:val="right" w:pos="9026" w:leader="dot"/>
            </w:tabs>
            <w:rPr/>
          </w:pPr>
          <w:hyperlink w:anchor="__RefHeading___Toc422999_58195312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23001_581953129">
            <w:r>
              <w:rPr>
                <w:webHidden/>
                <w:rStyle w:val="IndexLink"/>
                <w:rtl w:val="true"/>
              </w:rPr>
              <w:t>حصیلة المقدّمات الثلاث</w:t>
            </w:r>
            <w:r>
              <w:rPr>
                <w:rStyle w:val="IndexLink"/>
                <w:rtl w:val="true"/>
              </w:rPr>
              <w:tab/>
            </w:r>
            <w:r>
              <w:rPr>
                <w:rStyle w:val="IndexLink"/>
              </w:rPr>
              <w:t>95</w:t>
            </w:r>
          </w:hyperlink>
        </w:p>
        <w:p>
          <w:pPr>
            <w:pStyle w:val="Contents6"/>
            <w:tabs>
              <w:tab w:val="clear" w:pos="7609"/>
              <w:tab w:val="right" w:pos="9026" w:leader="dot"/>
            </w:tabs>
            <w:rPr/>
          </w:pPr>
          <w:hyperlink w:anchor="__RefHeading___Toc423003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423005_581953129">
            <w:r>
              <w:rPr>
                <w:webHidden/>
                <w:rStyle w:val="IndexLink"/>
                <w:rtl w:val="true"/>
              </w:rPr>
              <w:t>الأدلّة المعارف أربعة</w:t>
            </w:r>
            <w:r>
              <w:rPr>
                <w:rStyle w:val="IndexLink"/>
                <w:rtl w:val="true"/>
              </w:rPr>
              <w:tab/>
            </w:r>
            <w:r>
              <w:rPr>
                <w:rStyle w:val="IndexLink"/>
              </w:rPr>
              <w:t>96</w:t>
            </w:r>
          </w:hyperlink>
        </w:p>
        <w:p>
          <w:pPr>
            <w:pStyle w:val="Contents6"/>
            <w:tabs>
              <w:tab w:val="clear" w:pos="7609"/>
              <w:tab w:val="right" w:pos="9026" w:leader="dot"/>
            </w:tabs>
            <w:rPr/>
          </w:pPr>
          <w:hyperlink w:anchor="__RefHeading___Toc423007_581953129">
            <w:r>
              <w:rPr>
                <w:webHidden/>
                <w:rStyle w:val="IndexLink"/>
                <w:rtl w:val="true"/>
              </w:rPr>
              <w:t xml:space="preserve">الدلیل الأوّل </w:t>
            </w:r>
            <w:r>
              <w:rPr>
                <w:rStyle w:val="IndexLink"/>
                <w:rtl w:val="true"/>
              </w:rPr>
              <w:t xml:space="preserve">: </w:t>
            </w:r>
            <w:r>
              <w:rPr>
                <w:rStyle w:val="IndexLink"/>
                <w:rtl w:val="true"/>
              </w:rPr>
              <w:t>الکتاب العزیز</w:t>
            </w:r>
            <w:r>
              <w:rPr>
                <w:rStyle w:val="IndexLink"/>
                <w:rtl w:val="true"/>
              </w:rPr>
              <w:tab/>
            </w:r>
            <w:r>
              <w:rPr>
                <w:rStyle w:val="IndexLink"/>
              </w:rPr>
              <w:t>96</w:t>
            </w:r>
          </w:hyperlink>
        </w:p>
        <w:p>
          <w:pPr>
            <w:pStyle w:val="Contents6"/>
            <w:tabs>
              <w:tab w:val="clear" w:pos="7609"/>
              <w:tab w:val="right" w:pos="9026" w:leader="dot"/>
            </w:tabs>
            <w:rPr/>
          </w:pPr>
          <w:hyperlink w:anchor="__RefHeading___Toc423009_581953129">
            <w:r>
              <w:rPr>
                <w:webHidden/>
                <w:rStyle w:val="IndexLink"/>
                <w:rtl w:val="true"/>
              </w:rPr>
              <w:t xml:space="preserve">المسألة الاُولی </w:t>
            </w:r>
            <w:r>
              <w:rPr>
                <w:rStyle w:val="IndexLink"/>
                <w:rtl w:val="true"/>
              </w:rPr>
              <w:t xml:space="preserve">: </w:t>
            </w:r>
            <w:r>
              <w:rPr>
                <w:rStyle w:val="IndexLink"/>
                <w:rtl w:val="true"/>
              </w:rPr>
              <w:t>نظریة تفسیر القرآن بالقرآن</w:t>
            </w:r>
            <w:r>
              <w:rPr>
                <w:rStyle w:val="IndexLink"/>
                <w:rtl w:val="true"/>
              </w:rPr>
              <w:tab/>
            </w:r>
            <w:r>
              <w:rPr>
                <w:rStyle w:val="IndexLink"/>
              </w:rPr>
              <w:t>97</w:t>
            </w:r>
          </w:hyperlink>
        </w:p>
        <w:p>
          <w:pPr>
            <w:pStyle w:val="Contents6"/>
            <w:tabs>
              <w:tab w:val="clear" w:pos="7609"/>
              <w:tab w:val="right" w:pos="9026" w:leader="dot"/>
            </w:tabs>
            <w:rPr/>
          </w:pPr>
          <w:hyperlink w:anchor="__RefHeading___Toc423011_581953129">
            <w:r>
              <w:rPr>
                <w:webHidden/>
                <w:rStyle w:val="IndexLink"/>
                <w:rtl w:val="true"/>
              </w:rPr>
              <w:t>نهایة المطاف</w:t>
            </w:r>
            <w:r>
              <w:rPr>
                <w:rStyle w:val="IndexLink"/>
                <w:rtl w:val="true"/>
              </w:rPr>
              <w:tab/>
            </w:r>
            <w:r>
              <w:rPr>
                <w:rStyle w:val="IndexLink"/>
              </w:rPr>
              <w:t>109</w:t>
            </w:r>
          </w:hyperlink>
        </w:p>
        <w:p>
          <w:pPr>
            <w:pStyle w:val="Contents6"/>
            <w:tabs>
              <w:tab w:val="clear" w:pos="7609"/>
              <w:tab w:val="right" w:pos="9026" w:leader="dot"/>
            </w:tabs>
            <w:rPr/>
          </w:pPr>
          <w:hyperlink w:anchor="__RefHeading___Toc423013_581953129">
            <w:r>
              <w:rPr>
                <w:webHidden/>
                <w:rStyle w:val="IndexLink"/>
                <w:rtl w:val="true"/>
              </w:rPr>
              <w:t xml:space="preserve">المسألة الثانیة </w:t>
            </w:r>
            <w:r>
              <w:rPr>
                <w:rStyle w:val="IndexLink"/>
                <w:rtl w:val="true"/>
              </w:rPr>
              <w:t xml:space="preserve">: </w:t>
            </w:r>
            <w:r>
              <w:rPr>
                <w:rStyle w:val="IndexLink"/>
                <w:rtl w:val="true"/>
              </w:rPr>
              <w:t>نظریة إنکار خلود الکتاب العزیز</w:t>
            </w:r>
            <w:r>
              <w:rPr>
                <w:rStyle w:val="IndexLink"/>
                <w:rtl w:val="true"/>
              </w:rPr>
              <w:tab/>
            </w:r>
            <w:r>
              <w:rPr>
                <w:rStyle w:val="IndexLink"/>
              </w:rPr>
              <w:t>109</w:t>
            </w:r>
          </w:hyperlink>
        </w:p>
        <w:p>
          <w:pPr>
            <w:pStyle w:val="Contents6"/>
            <w:tabs>
              <w:tab w:val="clear" w:pos="7609"/>
              <w:tab w:val="right" w:pos="9026" w:leader="dot"/>
            </w:tabs>
            <w:rPr/>
          </w:pPr>
          <w:hyperlink w:anchor="__RefHeading___Toc423015_581953129">
            <w:r>
              <w:rPr>
                <w:webHidden/>
                <w:rStyle w:val="IndexLink"/>
                <w:rtl w:val="true"/>
              </w:rPr>
              <w:t xml:space="preserve">المسألة الثالثة </w:t>
            </w:r>
            <w:r>
              <w:rPr>
                <w:rStyle w:val="IndexLink"/>
                <w:rtl w:val="true"/>
              </w:rPr>
              <w:t xml:space="preserve">: </w:t>
            </w:r>
            <w:r>
              <w:rPr>
                <w:rStyle w:val="IndexLink"/>
                <w:rtl w:val="true"/>
              </w:rPr>
              <w:t>نظریّة المعرفة القرآنیّة والمعرفة الدینیّة ، وأنّ موروث الشریعة أفهام العلماء</w:t>
            </w:r>
            <w:r>
              <w:rPr>
                <w:rStyle w:val="IndexLink"/>
                <w:rtl w:val="true"/>
              </w:rPr>
              <w:tab/>
            </w:r>
            <w:r>
              <w:rPr>
                <w:rStyle w:val="IndexLink"/>
              </w:rPr>
              <w:t>118</w:t>
            </w:r>
          </w:hyperlink>
        </w:p>
        <w:p>
          <w:pPr>
            <w:pStyle w:val="Contents6"/>
            <w:tabs>
              <w:tab w:val="clear" w:pos="7609"/>
              <w:tab w:val="right" w:pos="9026" w:leader="dot"/>
            </w:tabs>
            <w:rPr/>
          </w:pPr>
          <w:hyperlink w:anchor="__RefHeading___Toc423017_581953129">
            <w:r>
              <w:rPr>
                <w:webHidden/>
                <w:rStyle w:val="IndexLink"/>
                <w:rtl w:val="true"/>
              </w:rPr>
              <w:t>مناقشة النظریّة</w:t>
            </w:r>
            <w:r>
              <w:rPr>
                <w:rStyle w:val="IndexLink"/>
                <w:rtl w:val="true"/>
              </w:rPr>
              <w:tab/>
            </w:r>
            <w:r>
              <w:rPr>
                <w:rStyle w:val="IndexLink"/>
              </w:rPr>
              <w:t>123</w:t>
            </w:r>
          </w:hyperlink>
        </w:p>
        <w:p>
          <w:pPr>
            <w:pStyle w:val="Contents6"/>
            <w:tabs>
              <w:tab w:val="clear" w:pos="7609"/>
              <w:tab w:val="right" w:pos="9026" w:leader="dot"/>
            </w:tabs>
            <w:rPr/>
          </w:pPr>
          <w:hyperlink w:anchor="__RefHeading___Toc423019_581953129">
            <w:r>
              <w:rPr>
                <w:webHidden/>
                <w:rStyle w:val="IndexLink"/>
                <w:rtl w:val="true"/>
              </w:rPr>
              <w:t xml:space="preserve">الدلیل الثانی </w:t>
            </w:r>
            <w:r>
              <w:rPr>
                <w:rStyle w:val="IndexLink"/>
                <w:rtl w:val="true"/>
              </w:rPr>
              <w:t xml:space="preserve">: </w:t>
            </w:r>
            <w:r>
              <w:rPr>
                <w:rStyle w:val="IndexLink"/>
                <w:rtl w:val="true"/>
              </w:rPr>
              <w:t>السنّة الشریفة</w:t>
            </w:r>
            <w:r>
              <w:rPr>
                <w:rStyle w:val="IndexLink"/>
                <w:rtl w:val="true"/>
              </w:rPr>
              <w:tab/>
            </w:r>
            <w:r>
              <w:rPr>
                <w:rStyle w:val="IndexLink"/>
              </w:rPr>
              <w:t>133</w:t>
            </w:r>
          </w:hyperlink>
        </w:p>
        <w:p>
          <w:pPr>
            <w:pStyle w:val="Contents6"/>
            <w:tabs>
              <w:tab w:val="clear" w:pos="7609"/>
              <w:tab w:val="right" w:pos="9026" w:leader="dot"/>
            </w:tabs>
            <w:rPr/>
          </w:pPr>
          <w:hyperlink w:anchor="__RefHeading___Toc423021_581953129">
            <w:r>
              <w:rPr>
                <w:webHidden/>
                <w:rStyle w:val="IndexLink"/>
                <w:rtl w:val="true"/>
              </w:rPr>
              <w:t xml:space="preserve">المسألة الأولی </w:t>
            </w:r>
            <w:r>
              <w:rPr>
                <w:rStyle w:val="IndexLink"/>
                <w:rtl w:val="true"/>
              </w:rPr>
              <w:t xml:space="preserve">: </w:t>
            </w:r>
            <w:r>
              <w:rPr>
                <w:rStyle w:val="IndexLink"/>
                <w:rtl w:val="true"/>
              </w:rPr>
              <w:t>أقسام الحدیث ومعرفتها</w:t>
            </w:r>
            <w:r>
              <w:rPr>
                <w:rStyle w:val="IndexLink"/>
                <w:rtl w:val="true"/>
              </w:rPr>
              <w:tab/>
            </w:r>
            <w:r>
              <w:rPr>
                <w:rStyle w:val="IndexLink"/>
              </w:rPr>
              <w:t>133</w:t>
            </w:r>
          </w:hyperlink>
        </w:p>
        <w:p>
          <w:pPr>
            <w:pStyle w:val="Contents6"/>
            <w:tabs>
              <w:tab w:val="clear" w:pos="7609"/>
              <w:tab w:val="right" w:pos="9026" w:leader="dot"/>
            </w:tabs>
            <w:rPr/>
          </w:pPr>
          <w:hyperlink w:anchor="__RefHeading___Toc423023_581953129">
            <w:r>
              <w:rPr>
                <w:webHidden/>
                <w:rStyle w:val="IndexLink"/>
                <w:rtl w:val="true"/>
              </w:rPr>
              <w:t xml:space="preserve">المسألة الثانیة </w:t>
            </w:r>
            <w:r>
              <w:rPr>
                <w:rStyle w:val="IndexLink"/>
                <w:rtl w:val="true"/>
              </w:rPr>
              <w:t xml:space="preserve">: </w:t>
            </w:r>
            <w:r>
              <w:rPr>
                <w:rStyle w:val="IndexLink"/>
                <w:rtl w:val="true"/>
              </w:rPr>
              <w:t>کیفیّة تحقیق الکتب الروائیة</w:t>
            </w:r>
            <w:r>
              <w:rPr>
                <w:rStyle w:val="IndexLink"/>
                <w:rtl w:val="true"/>
              </w:rPr>
              <w:tab/>
            </w:r>
            <w:r>
              <w:rPr>
                <w:rStyle w:val="IndexLink"/>
              </w:rPr>
              <w:t>145</w:t>
            </w:r>
          </w:hyperlink>
        </w:p>
        <w:p>
          <w:pPr>
            <w:pStyle w:val="Contents6"/>
            <w:tabs>
              <w:tab w:val="clear" w:pos="7609"/>
              <w:tab w:val="right" w:pos="9026" w:leader="dot"/>
            </w:tabs>
            <w:rPr/>
          </w:pPr>
          <w:hyperlink w:anchor="__RefHeading___Toc423025_581953129">
            <w:r>
              <w:rPr>
                <w:webHidden/>
                <w:rStyle w:val="IndexLink"/>
                <w:rtl w:val="true"/>
              </w:rPr>
              <w:t>المسألة الثالثة</w:t>
            </w:r>
            <w:r>
              <w:rPr>
                <w:rStyle w:val="IndexLink"/>
                <w:rtl w:val="true"/>
              </w:rPr>
              <w:tab/>
            </w:r>
            <w:r>
              <w:rPr>
                <w:rStyle w:val="IndexLink"/>
              </w:rPr>
              <w:t>148</w:t>
            </w:r>
          </w:hyperlink>
        </w:p>
        <w:p>
          <w:pPr>
            <w:pStyle w:val="Contents6"/>
            <w:tabs>
              <w:tab w:val="clear" w:pos="7609"/>
              <w:tab w:val="right" w:pos="9026" w:leader="dot"/>
            </w:tabs>
            <w:rPr/>
          </w:pPr>
          <w:hyperlink w:anchor="__RefHeading___Toc423027_581953129">
            <w:r>
              <w:rPr>
                <w:webHidden/>
                <w:rStyle w:val="IndexLink"/>
                <w:rtl w:val="true"/>
              </w:rPr>
              <w:t xml:space="preserve">الدلیل الثالث </w:t>
            </w:r>
            <w:r>
              <w:rPr>
                <w:rStyle w:val="IndexLink"/>
                <w:rtl w:val="true"/>
              </w:rPr>
              <w:t xml:space="preserve">: </w:t>
            </w:r>
            <w:r>
              <w:rPr>
                <w:rStyle w:val="IndexLink"/>
                <w:rtl w:val="true"/>
              </w:rPr>
              <w:t>العقل</w:t>
            </w:r>
            <w:r>
              <w:rPr>
                <w:rStyle w:val="IndexLink"/>
                <w:rtl w:val="true"/>
              </w:rPr>
              <w:tab/>
            </w:r>
            <w:r>
              <w:rPr>
                <w:rStyle w:val="IndexLink"/>
              </w:rPr>
              <w:t>156</w:t>
            </w:r>
          </w:hyperlink>
        </w:p>
        <w:p>
          <w:pPr>
            <w:pStyle w:val="Contents6"/>
            <w:tabs>
              <w:tab w:val="clear" w:pos="7609"/>
              <w:tab w:val="right" w:pos="9026" w:leader="dot"/>
            </w:tabs>
            <w:rPr/>
          </w:pPr>
          <w:hyperlink w:anchor="__RefHeading___Toc423029_581953129">
            <w:r>
              <w:rPr>
                <w:webHidden/>
                <w:rStyle w:val="IndexLink"/>
                <w:rtl w:val="true"/>
              </w:rPr>
              <w:t>مبادؤه الإدراکیّة</w:t>
            </w:r>
            <w:r>
              <w:rPr>
                <w:rStyle w:val="IndexLink"/>
                <w:rtl w:val="true"/>
              </w:rPr>
              <w:tab/>
            </w:r>
            <w:r>
              <w:rPr>
                <w:rStyle w:val="IndexLink"/>
              </w:rPr>
              <w:t>156</w:t>
            </w:r>
          </w:hyperlink>
        </w:p>
        <w:p>
          <w:pPr>
            <w:pStyle w:val="Contents6"/>
            <w:tabs>
              <w:tab w:val="clear" w:pos="7609"/>
              <w:tab w:val="right" w:pos="9026" w:leader="dot"/>
            </w:tabs>
            <w:rPr/>
          </w:pPr>
          <w:hyperlink w:anchor="__RefHeading___Toc423031_581953129">
            <w:r>
              <w:rPr>
                <w:webHidden/>
                <w:rStyle w:val="IndexLink"/>
                <w:rtl w:val="true"/>
              </w:rPr>
              <w:t>تعاریف اخری</w:t>
            </w:r>
            <w:r>
              <w:rPr>
                <w:rStyle w:val="IndexLink"/>
                <w:rtl w:val="true"/>
              </w:rPr>
              <w:tab/>
            </w:r>
            <w:r>
              <w:rPr>
                <w:rStyle w:val="IndexLink"/>
              </w:rPr>
              <w:t>157</w:t>
            </w:r>
          </w:hyperlink>
        </w:p>
        <w:p>
          <w:pPr>
            <w:pStyle w:val="Contents6"/>
            <w:tabs>
              <w:tab w:val="clear" w:pos="7609"/>
              <w:tab w:val="right" w:pos="9026" w:leader="dot"/>
            </w:tabs>
            <w:rPr/>
          </w:pPr>
          <w:hyperlink w:anchor="__RefHeading___Toc423033_581953129">
            <w:r>
              <w:rPr>
                <w:webHidden/>
                <w:rStyle w:val="IndexLink"/>
                <w:rtl w:val="true"/>
              </w:rPr>
              <w:t>تکامل السیر الإدراکیّ للعقل النظریّ‌</w:t>
            </w:r>
            <w:r>
              <w:rPr>
                <w:rStyle w:val="IndexLink"/>
                <w:rtl w:val="true"/>
              </w:rPr>
              <w:tab/>
            </w:r>
            <w:r>
              <w:rPr>
                <w:rStyle w:val="IndexLink"/>
              </w:rPr>
              <w:t>158</w:t>
            </w:r>
          </w:hyperlink>
        </w:p>
        <w:p>
          <w:pPr>
            <w:pStyle w:val="Contents6"/>
            <w:tabs>
              <w:tab w:val="clear" w:pos="7609"/>
              <w:tab w:val="right" w:pos="9026" w:leader="dot"/>
            </w:tabs>
            <w:rPr/>
          </w:pPr>
          <w:hyperlink w:anchor="__RefHeading___Toc423035_581953129">
            <w:r>
              <w:rPr>
                <w:webHidden/>
                <w:rStyle w:val="IndexLink"/>
                <w:rtl w:val="true"/>
              </w:rPr>
              <w:t>الشریعة الحقّة وسط فی البرهان</w:t>
            </w:r>
            <w:r>
              <w:rPr>
                <w:rStyle w:val="IndexLink"/>
                <w:rtl w:val="true"/>
              </w:rPr>
              <w:tab/>
            </w:r>
            <w:r>
              <w:rPr>
                <w:rStyle w:val="IndexLink"/>
              </w:rPr>
              <w:t>161</w:t>
            </w:r>
          </w:hyperlink>
        </w:p>
        <w:p>
          <w:pPr>
            <w:pStyle w:val="Contents6"/>
            <w:tabs>
              <w:tab w:val="clear" w:pos="7609"/>
              <w:tab w:val="right" w:pos="9026" w:leader="dot"/>
            </w:tabs>
            <w:rPr/>
          </w:pPr>
          <w:hyperlink w:anchor="__RefHeading___Toc423037_581953129">
            <w:r>
              <w:rPr>
                <w:webHidden/>
                <w:rStyle w:val="IndexLink"/>
                <w:rtl w:val="true"/>
              </w:rPr>
              <w:t>الإشارات العقلیّة فی الآیات والروایات</w:t>
            </w:r>
            <w:r>
              <w:rPr>
                <w:rStyle w:val="IndexLink"/>
                <w:rtl w:val="true"/>
              </w:rPr>
              <w:tab/>
            </w:r>
            <w:r>
              <w:rPr>
                <w:rStyle w:val="IndexLink"/>
              </w:rPr>
              <w:t>162</w:t>
            </w:r>
          </w:hyperlink>
        </w:p>
        <w:p>
          <w:pPr>
            <w:pStyle w:val="Contents6"/>
            <w:tabs>
              <w:tab w:val="clear" w:pos="7609"/>
              <w:tab w:val="right" w:pos="9026" w:leader="dot"/>
            </w:tabs>
            <w:rPr/>
          </w:pPr>
          <w:hyperlink w:anchor="__RefHeading___Toc423039_581953129">
            <w:r>
              <w:rPr>
                <w:webHidden/>
                <w:rStyle w:val="IndexLink"/>
                <w:rtl w:val="true"/>
              </w:rPr>
              <w:t>تعریف العقل العملیّ‌</w:t>
            </w:r>
            <w:r>
              <w:rPr>
                <w:rStyle w:val="IndexLink"/>
                <w:rtl w:val="true"/>
              </w:rPr>
              <w:tab/>
            </w:r>
            <w:r>
              <w:rPr>
                <w:rStyle w:val="IndexLink"/>
              </w:rPr>
              <w:t>162</w:t>
            </w:r>
          </w:hyperlink>
        </w:p>
        <w:p>
          <w:pPr>
            <w:pStyle w:val="Contents6"/>
            <w:tabs>
              <w:tab w:val="clear" w:pos="7609"/>
              <w:tab w:val="right" w:pos="9026" w:leader="dot"/>
            </w:tabs>
            <w:rPr/>
          </w:pPr>
          <w:hyperlink w:anchor="__RefHeading___Toc423041_581953129">
            <w:r>
              <w:rPr>
                <w:webHidden/>
                <w:rStyle w:val="IndexLink"/>
                <w:rtl w:val="true"/>
              </w:rPr>
              <w:t>الحسن والقبح العقلیّان تمهید فی التعلّق والتجرّد</w:t>
            </w:r>
            <w:r>
              <w:rPr>
                <w:rStyle w:val="IndexLink"/>
                <w:rtl w:val="true"/>
              </w:rPr>
              <w:tab/>
            </w:r>
            <w:r>
              <w:rPr>
                <w:rStyle w:val="IndexLink"/>
              </w:rPr>
              <w:t>168</w:t>
            </w:r>
          </w:hyperlink>
        </w:p>
        <w:p>
          <w:pPr>
            <w:pStyle w:val="Contents6"/>
            <w:tabs>
              <w:tab w:val="clear" w:pos="7609"/>
              <w:tab w:val="right" w:pos="9026" w:leader="dot"/>
            </w:tabs>
            <w:rPr/>
          </w:pPr>
          <w:hyperlink w:anchor="__RefHeading___Toc423043_581953129">
            <w:r>
              <w:rPr>
                <w:webHidden/>
                <w:rStyle w:val="IndexLink"/>
                <w:rtl w:val="true"/>
              </w:rPr>
              <w:t>تاریخ مسألة الحسن والقبح</w:t>
            </w:r>
            <w:r>
              <w:rPr>
                <w:rStyle w:val="IndexLink"/>
                <w:rtl w:val="true"/>
              </w:rPr>
              <w:tab/>
            </w:r>
            <w:r>
              <w:rPr>
                <w:rStyle w:val="IndexLink"/>
              </w:rPr>
              <w:t>170</w:t>
            </w:r>
          </w:hyperlink>
        </w:p>
        <w:p>
          <w:pPr>
            <w:pStyle w:val="Contents6"/>
            <w:tabs>
              <w:tab w:val="clear" w:pos="7609"/>
              <w:tab w:val="right" w:pos="9026" w:leader="dot"/>
            </w:tabs>
            <w:rPr/>
          </w:pPr>
          <w:hyperlink w:anchor="__RefHeading___Toc423045_581953129">
            <w:r>
              <w:rPr>
                <w:webHidden/>
                <w:rStyle w:val="IndexLink"/>
                <w:rtl w:val="true"/>
              </w:rPr>
              <w:t>أهمّیة مسألة الحسن والقبح</w:t>
            </w:r>
            <w:r>
              <w:rPr>
                <w:rStyle w:val="IndexLink"/>
                <w:rtl w:val="true"/>
              </w:rPr>
              <w:tab/>
            </w:r>
            <w:r>
              <w:rPr>
                <w:rStyle w:val="IndexLink"/>
              </w:rPr>
              <w:t>171</w:t>
            </w:r>
          </w:hyperlink>
        </w:p>
        <w:p>
          <w:pPr>
            <w:pStyle w:val="Contents6"/>
            <w:tabs>
              <w:tab w:val="clear" w:pos="7609"/>
              <w:tab w:val="right" w:pos="9026" w:leader="dot"/>
            </w:tabs>
            <w:rPr/>
          </w:pPr>
          <w:hyperlink w:anchor="__RefHeading___Toc423047_581953129">
            <w:r>
              <w:rPr>
                <w:webHidden/>
                <w:rStyle w:val="IndexLink"/>
                <w:rtl w:val="true"/>
              </w:rPr>
              <w:t>نظرة فی کلمات ابن سینا</w:t>
            </w:r>
            <w:r>
              <w:rPr>
                <w:rStyle w:val="IndexLink"/>
                <w:rtl w:val="true"/>
              </w:rPr>
              <w:tab/>
            </w:r>
            <w:r>
              <w:rPr>
                <w:rStyle w:val="IndexLink"/>
              </w:rPr>
              <w:t>172</w:t>
            </w:r>
          </w:hyperlink>
        </w:p>
        <w:p>
          <w:pPr>
            <w:pStyle w:val="Contents6"/>
            <w:tabs>
              <w:tab w:val="clear" w:pos="7609"/>
              <w:tab w:val="right" w:pos="9026" w:leader="dot"/>
            </w:tabs>
            <w:rPr/>
          </w:pPr>
          <w:hyperlink w:anchor="__RefHeading___Toc423049_581953129">
            <w:r>
              <w:rPr>
                <w:webHidden/>
                <w:rStyle w:val="IndexLink"/>
                <w:rtl w:val="true"/>
              </w:rPr>
              <w:t>أدلّة القائلین باعتباریّة الحسن والقبح</w:t>
            </w:r>
            <w:r>
              <w:rPr>
                <w:rStyle w:val="IndexLink"/>
                <w:rtl w:val="true"/>
              </w:rPr>
              <w:tab/>
            </w:r>
            <w:r>
              <w:rPr>
                <w:rStyle w:val="IndexLink"/>
              </w:rPr>
              <w:t>180</w:t>
            </w:r>
          </w:hyperlink>
        </w:p>
        <w:p>
          <w:pPr>
            <w:pStyle w:val="Contents2"/>
            <w:tabs>
              <w:tab w:val="clear" w:pos="8743"/>
              <w:tab w:val="right" w:pos="9026" w:leader="dot"/>
            </w:tabs>
            <w:rPr/>
          </w:pPr>
          <w:hyperlink w:anchor="__RefHeading___Toc423051_581953129">
            <w:r>
              <w:rPr>
                <w:webHidden/>
                <w:rStyle w:val="IndexLink"/>
                <w:rtl w:val="true"/>
              </w:rPr>
              <w:t>القسم الثانی</w:t>
            </w:r>
            <w:r>
              <w:rPr>
                <w:rStyle w:val="IndexLink"/>
                <w:rtl w:val="true"/>
              </w:rPr>
              <w:t>:</w:t>
            </w:r>
            <w:r>
              <w:rPr>
                <w:rStyle w:val="IndexLink"/>
                <w:rtl w:val="true"/>
              </w:rPr>
              <w:t>الاصول القانونیّة فی التراث الدینی مصطفی الإسکندری</w:t>
            </w:r>
            <w:r>
              <w:rPr>
                <w:rStyle w:val="IndexLink"/>
                <w:rtl w:val="true"/>
              </w:rPr>
              <w:tab/>
            </w:r>
            <w:r>
              <w:rPr>
                <w:rStyle w:val="IndexLink"/>
              </w:rPr>
              <w:t>197</w:t>
            </w:r>
          </w:hyperlink>
        </w:p>
        <w:p>
          <w:pPr>
            <w:pStyle w:val="Contents3"/>
            <w:tabs>
              <w:tab w:val="clear" w:pos="8459"/>
              <w:tab w:val="right" w:pos="9026" w:leader="dot"/>
            </w:tabs>
            <w:rPr/>
          </w:pPr>
          <w:hyperlink w:anchor="__RefHeading___Toc423053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23055_581953129">
            <w:r>
              <w:rPr>
                <w:webHidden/>
                <w:rStyle w:val="IndexLink"/>
                <w:rtl w:val="true"/>
              </w:rPr>
              <w:t>نظام المعارف والأحکام وضابطة العرض علی الکتاب والسنّة</w:t>
            </w:r>
            <w:r>
              <w:rPr>
                <w:rStyle w:val="IndexLink"/>
                <w:rtl w:val="true"/>
              </w:rPr>
              <w:tab/>
            </w:r>
            <w:r>
              <w:rPr>
                <w:rStyle w:val="IndexLink"/>
              </w:rPr>
              <w:t>199</w:t>
            </w:r>
          </w:hyperlink>
        </w:p>
        <w:p>
          <w:pPr>
            <w:pStyle w:val="Contents4"/>
            <w:tabs>
              <w:tab w:val="clear" w:pos="8176"/>
              <w:tab w:val="right" w:pos="9026" w:leader="dot"/>
            </w:tabs>
            <w:rPr/>
          </w:pPr>
          <w:hyperlink w:anchor="__RefHeading___Toc423057_581953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423059_581953129">
            <w:r>
              <w:rPr>
                <w:webHidden/>
                <w:rStyle w:val="IndexLink"/>
                <w:rtl w:val="true"/>
              </w:rPr>
              <w:t>تقدّم البحث المضمونیّ علی البحث الصدوریّ</w:t>
            </w:r>
            <w:r>
              <w:rPr>
                <w:rStyle w:val="IndexLink"/>
                <w:rtl w:val="true"/>
              </w:rPr>
              <w:tab/>
            </w:r>
            <w:r>
              <w:rPr>
                <w:rStyle w:val="IndexLink"/>
              </w:rPr>
              <w:t>202</w:t>
            </w:r>
          </w:hyperlink>
        </w:p>
        <w:p>
          <w:pPr>
            <w:pStyle w:val="Contents4"/>
            <w:tabs>
              <w:tab w:val="clear" w:pos="8176"/>
              <w:tab w:val="right" w:pos="9026" w:leader="dot"/>
            </w:tabs>
            <w:rPr/>
          </w:pPr>
          <w:hyperlink w:anchor="__RefHeading___Toc423061_581953129">
            <w:r>
              <w:rPr>
                <w:webHidden/>
                <w:rStyle w:val="IndexLink"/>
                <w:rtl w:val="true"/>
              </w:rPr>
              <w:t>دور معرفة صحّة المضمون فی الاستنباط</w:t>
            </w:r>
            <w:r>
              <w:rPr>
                <w:rStyle w:val="IndexLink"/>
                <w:rtl w:val="true"/>
              </w:rPr>
              <w:tab/>
            </w:r>
            <w:r>
              <w:rPr>
                <w:rStyle w:val="IndexLink"/>
              </w:rPr>
              <w:t>203</w:t>
            </w:r>
          </w:hyperlink>
        </w:p>
        <w:p>
          <w:pPr>
            <w:pStyle w:val="Contents4"/>
            <w:tabs>
              <w:tab w:val="clear" w:pos="8176"/>
              <w:tab w:val="right" w:pos="9026" w:leader="dot"/>
            </w:tabs>
            <w:rPr/>
          </w:pPr>
          <w:hyperlink w:anchor="__RefHeading___Toc423063_581953129">
            <w:r>
              <w:rPr>
                <w:webHidden/>
                <w:rStyle w:val="IndexLink"/>
                <w:rtl w:val="true"/>
              </w:rPr>
              <w:t>التحلیل المضمونیّ وجذوره</w:t>
            </w:r>
            <w:r>
              <w:rPr>
                <w:rStyle w:val="IndexLink"/>
                <w:rtl w:val="true"/>
              </w:rPr>
              <w:tab/>
            </w:r>
            <w:r>
              <w:rPr>
                <w:rStyle w:val="IndexLink"/>
              </w:rPr>
              <w:t>204</w:t>
            </w:r>
          </w:hyperlink>
        </w:p>
        <w:p>
          <w:pPr>
            <w:pStyle w:val="Contents4"/>
            <w:tabs>
              <w:tab w:val="clear" w:pos="8176"/>
              <w:tab w:val="right" w:pos="9026" w:leader="dot"/>
            </w:tabs>
            <w:rPr/>
          </w:pPr>
          <w:hyperlink w:anchor="__RefHeading___Toc423065_581953129">
            <w:r>
              <w:rPr>
                <w:webHidden/>
                <w:rStyle w:val="IndexLink"/>
                <w:rtl w:val="true"/>
              </w:rPr>
              <w:t>تحلیل المضمون بحث فی المتشابه</w:t>
            </w:r>
            <w:r>
              <w:rPr>
                <w:rStyle w:val="IndexLink"/>
                <w:rtl w:val="true"/>
              </w:rPr>
              <w:tab/>
            </w:r>
            <w:r>
              <w:rPr>
                <w:rStyle w:val="IndexLink"/>
              </w:rPr>
              <w:t>205</w:t>
            </w:r>
          </w:hyperlink>
        </w:p>
        <w:p>
          <w:pPr>
            <w:pStyle w:val="Contents4"/>
            <w:tabs>
              <w:tab w:val="clear" w:pos="8176"/>
              <w:tab w:val="right" w:pos="9026" w:leader="dot"/>
            </w:tabs>
            <w:rPr/>
          </w:pPr>
          <w:hyperlink w:anchor="__RefHeading___Toc423067_581953129">
            <w:r>
              <w:rPr>
                <w:webHidden/>
                <w:rStyle w:val="IndexLink"/>
                <w:rtl w:val="true"/>
              </w:rPr>
              <w:t>قاعدة حرمة ردّ الأحادیث</w:t>
            </w:r>
            <w:r>
              <w:rPr>
                <w:rStyle w:val="IndexLink"/>
                <w:rtl w:val="true"/>
              </w:rPr>
              <w:tab/>
            </w:r>
            <w:r>
              <w:rPr>
                <w:rStyle w:val="IndexLink"/>
              </w:rPr>
              <w:t>206</w:t>
            </w:r>
          </w:hyperlink>
        </w:p>
        <w:p>
          <w:pPr>
            <w:pStyle w:val="Contents4"/>
            <w:tabs>
              <w:tab w:val="clear" w:pos="8176"/>
              <w:tab w:val="right" w:pos="9026" w:leader="dot"/>
            </w:tabs>
            <w:rPr/>
          </w:pPr>
          <w:hyperlink w:anchor="__RefHeading___Toc423069_581953129">
            <w:r>
              <w:rPr>
                <w:webHidden/>
                <w:rStyle w:val="IndexLink"/>
                <w:rtl w:val="true"/>
              </w:rPr>
              <w:t>مبنی الحجّیة فی خبر الواحد</w:t>
            </w:r>
            <w:r>
              <w:rPr>
                <w:rStyle w:val="IndexLink"/>
                <w:rtl w:val="true"/>
              </w:rPr>
              <w:tab/>
            </w:r>
            <w:r>
              <w:rPr>
                <w:rStyle w:val="IndexLink"/>
              </w:rPr>
              <w:t>211</w:t>
            </w:r>
          </w:hyperlink>
        </w:p>
        <w:p>
          <w:pPr>
            <w:pStyle w:val="Contents4"/>
            <w:tabs>
              <w:tab w:val="clear" w:pos="8176"/>
              <w:tab w:val="right" w:pos="9026" w:leader="dot"/>
            </w:tabs>
            <w:rPr/>
          </w:pPr>
          <w:hyperlink w:anchor="__RefHeading___Toc423071_581953129">
            <w:r>
              <w:rPr>
                <w:webHidden/>
                <w:rStyle w:val="IndexLink"/>
                <w:rtl w:val="true"/>
              </w:rPr>
              <w:t>الفرق بین حجّیة الصدور وحجّیة المضمون</w:t>
            </w:r>
            <w:r>
              <w:rPr>
                <w:rStyle w:val="IndexLink"/>
                <w:rtl w:val="true"/>
              </w:rPr>
              <w:tab/>
            </w:r>
            <w:r>
              <w:rPr>
                <w:rStyle w:val="IndexLink"/>
              </w:rPr>
              <w:t>214</w:t>
            </w:r>
          </w:hyperlink>
        </w:p>
        <w:p>
          <w:pPr>
            <w:pStyle w:val="Contents4"/>
            <w:tabs>
              <w:tab w:val="clear" w:pos="8176"/>
              <w:tab w:val="right" w:pos="9026" w:leader="dot"/>
            </w:tabs>
            <w:rPr/>
          </w:pPr>
          <w:hyperlink w:anchor="__RefHeading___Toc423073_581953129">
            <w:r>
              <w:rPr>
                <w:webHidden/>
                <w:rStyle w:val="IndexLink"/>
                <w:rtl w:val="true"/>
              </w:rPr>
              <w:t xml:space="preserve">تفسیر </w:t>
            </w:r>
            <w:r>
              <w:rPr>
                <w:rStyle w:val="IndexLink"/>
                <w:rtl w:val="true"/>
              </w:rPr>
              <w:t xml:space="preserve">« </w:t>
            </w:r>
            <w:r>
              <w:rPr>
                <w:rStyle w:val="IndexLink"/>
                <w:rtl w:val="true"/>
              </w:rPr>
              <w:t xml:space="preserve">الحجّیة </w:t>
            </w:r>
            <w:r>
              <w:rPr>
                <w:rStyle w:val="IndexLink"/>
                <w:rtl w:val="true"/>
              </w:rPr>
              <w:t>»</w:t>
              <w:tab/>
            </w:r>
            <w:r>
              <w:rPr>
                <w:rStyle w:val="IndexLink"/>
              </w:rPr>
              <w:t>215</w:t>
            </w:r>
          </w:hyperlink>
        </w:p>
        <w:p>
          <w:pPr>
            <w:pStyle w:val="Contents4"/>
            <w:tabs>
              <w:tab w:val="clear" w:pos="8176"/>
              <w:tab w:val="right" w:pos="9026" w:leader="dot"/>
            </w:tabs>
            <w:rPr/>
          </w:pPr>
          <w:hyperlink w:anchor="__RefHeading___Toc423075_581953129">
            <w:r>
              <w:rPr>
                <w:webHidden/>
                <w:rStyle w:val="IndexLink"/>
                <w:rtl w:val="true"/>
              </w:rPr>
              <w:t>ثمرات التحلیل المضمونی</w:t>
            </w:r>
            <w:r>
              <w:rPr>
                <w:rStyle w:val="IndexLink"/>
                <w:rtl w:val="true"/>
              </w:rPr>
              <w:tab/>
            </w:r>
            <w:r>
              <w:rPr>
                <w:rStyle w:val="IndexLink"/>
              </w:rPr>
              <w:t>221</w:t>
            </w:r>
          </w:hyperlink>
        </w:p>
        <w:p>
          <w:pPr>
            <w:pStyle w:val="Contents4"/>
            <w:tabs>
              <w:tab w:val="clear" w:pos="8176"/>
              <w:tab w:val="right" w:pos="9026" w:leader="dot"/>
            </w:tabs>
            <w:rPr/>
          </w:pPr>
          <w:hyperlink w:anchor="__RefHeading___Toc423077_581953129">
            <w:r>
              <w:rPr>
                <w:webHidden/>
                <w:rStyle w:val="IndexLink"/>
                <w:rtl w:val="true"/>
              </w:rPr>
              <w:t>طرق استعلام صحّة المضمون</w:t>
            </w:r>
            <w:r>
              <w:rPr>
                <w:rStyle w:val="IndexLink"/>
                <w:rtl w:val="true"/>
              </w:rPr>
              <w:tab/>
            </w:r>
            <w:r>
              <w:rPr>
                <w:rStyle w:val="IndexLink"/>
              </w:rPr>
              <w:t>225</w:t>
            </w:r>
          </w:hyperlink>
        </w:p>
        <w:p>
          <w:pPr>
            <w:pStyle w:val="Contents3"/>
            <w:tabs>
              <w:tab w:val="clear" w:pos="8459"/>
              <w:tab w:val="right" w:pos="9026" w:leader="dot"/>
            </w:tabs>
            <w:rPr/>
          </w:pPr>
          <w:hyperlink w:anchor="__RefHeading___Toc423079_581953129">
            <w:r>
              <w:rPr>
                <w:webHidden/>
                <w:rStyle w:val="IndexLink"/>
                <w:rtl w:val="true"/>
              </w:rPr>
              <w:t xml:space="preserve">المقام الأوّل </w:t>
            </w:r>
            <w:r>
              <w:rPr>
                <w:rStyle w:val="IndexLink"/>
                <w:rtl w:val="true"/>
              </w:rPr>
              <w:t>:</w:t>
            </w:r>
            <w:r>
              <w:rPr>
                <w:rStyle w:val="IndexLink"/>
                <w:rtl w:val="true"/>
              </w:rPr>
              <w:t>تقدّم صحّة المضمون علی حجّیة الصدورورُکنیّة المضمون وفرعیّة حجّیة الصدور ،والوجوه الدالّة علی لزوم مراعاة حال المضمون مقدّماً علی الصدور</w:t>
            </w:r>
            <w:r>
              <w:rPr>
                <w:rStyle w:val="IndexLink"/>
                <w:rtl w:val="true"/>
              </w:rPr>
              <w:tab/>
            </w:r>
            <w:r>
              <w:rPr>
                <w:rStyle w:val="IndexLink"/>
              </w:rPr>
              <w:t>227</w:t>
            </w:r>
          </w:hyperlink>
        </w:p>
        <w:p>
          <w:pPr>
            <w:pStyle w:val="Contents3"/>
            <w:tabs>
              <w:tab w:val="clear" w:pos="8459"/>
              <w:tab w:val="right" w:pos="9026" w:leader="dot"/>
            </w:tabs>
            <w:rPr/>
          </w:pPr>
          <w:hyperlink w:anchor="__RefHeading___Toc423081_581953129">
            <w:r>
              <w:rPr>
                <w:webHidden/>
                <w:rStyle w:val="IndexLink"/>
                <w:rtl w:val="true"/>
              </w:rPr>
              <w:t xml:space="preserve">المقام الثانی </w:t>
            </w:r>
            <w:r>
              <w:rPr>
                <w:rStyle w:val="IndexLink"/>
                <w:rtl w:val="true"/>
              </w:rPr>
              <w:t>:</w:t>
            </w:r>
            <w:r>
              <w:rPr>
                <w:rStyle w:val="IndexLink"/>
                <w:rtl w:val="true"/>
              </w:rPr>
              <w:t>فی بیان تأثیر رُکنیّة المضمون علی دائرة الحجّیّة الثمرة الاُولی</w:t>
            </w:r>
            <w:r>
              <w:rPr>
                <w:rStyle w:val="IndexLink"/>
                <w:rtl w:val="true"/>
              </w:rPr>
              <w:tab/>
            </w:r>
            <w:r>
              <w:rPr>
                <w:rStyle w:val="IndexLink"/>
              </w:rPr>
              <w:t>235</w:t>
            </w:r>
          </w:hyperlink>
        </w:p>
        <w:p>
          <w:pPr>
            <w:pStyle w:val="Contents4"/>
            <w:tabs>
              <w:tab w:val="clear" w:pos="8176"/>
              <w:tab w:val="right" w:pos="9026" w:leader="dot"/>
            </w:tabs>
            <w:rPr/>
          </w:pPr>
          <w:hyperlink w:anchor="__RefHeading___Toc423083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423085_581953129">
            <w:r>
              <w:rPr>
                <w:webHidden/>
                <w:rStyle w:val="IndexLink"/>
                <w:rtl w:val="true"/>
              </w:rPr>
              <w:t>شواهد لاعتماد الرجالیّین فی الجرح والتعدیل علی المضمون وأنّه العمدة لدیهم فی ذلک</w:t>
            </w:r>
            <w:r>
              <w:rPr>
                <w:rStyle w:val="IndexLink"/>
                <w:rtl w:val="true"/>
              </w:rPr>
              <w:tab/>
            </w:r>
            <w:r>
              <w:rPr>
                <w:rStyle w:val="IndexLink"/>
              </w:rPr>
              <w:t>238</w:t>
            </w:r>
          </w:hyperlink>
        </w:p>
        <w:p>
          <w:pPr>
            <w:pStyle w:val="Contents4"/>
            <w:tabs>
              <w:tab w:val="clear" w:pos="8176"/>
              <w:tab w:val="right" w:pos="9026" w:leader="dot"/>
            </w:tabs>
            <w:rPr/>
          </w:pPr>
          <w:hyperlink w:anchor="__RefHeading___Toc423087_581953129">
            <w:r>
              <w:rPr>
                <w:webHidden/>
                <w:rStyle w:val="IndexLink"/>
                <w:rtl w:val="true"/>
              </w:rPr>
              <w:t>الثمرة الثالثة</w:t>
            </w:r>
            <w:r>
              <w:rPr>
                <w:rStyle w:val="IndexLink"/>
                <w:rtl w:val="true"/>
              </w:rPr>
              <w:tab/>
            </w:r>
            <w:r>
              <w:rPr>
                <w:rStyle w:val="IndexLink"/>
              </w:rPr>
              <w:t>244</w:t>
            </w:r>
          </w:hyperlink>
        </w:p>
        <w:p>
          <w:pPr>
            <w:pStyle w:val="Contents3"/>
            <w:tabs>
              <w:tab w:val="clear" w:pos="8459"/>
              <w:tab w:val="right" w:pos="9026" w:leader="dot"/>
            </w:tabs>
            <w:rPr/>
          </w:pPr>
          <w:hyperlink w:anchor="__RefHeading___Toc423089_581953129">
            <w:r>
              <w:rPr>
                <w:webHidden/>
                <w:rStyle w:val="IndexLink"/>
                <w:rtl w:val="true"/>
              </w:rPr>
              <w:t xml:space="preserve">المقام الثالث </w:t>
            </w:r>
            <w:r>
              <w:rPr>
                <w:rStyle w:val="IndexLink"/>
                <w:rtl w:val="true"/>
              </w:rPr>
              <w:t>:</w:t>
            </w:r>
            <w:r>
              <w:rPr>
                <w:rStyle w:val="IndexLink"/>
                <w:rtl w:val="true"/>
              </w:rPr>
              <w:t>فی بیان ضوابط العرض علی الکتاب والسنّة ومیزان المخالفة والموافقة لهما</w:t>
            </w:r>
            <w:r>
              <w:rPr>
                <w:rStyle w:val="IndexLink"/>
                <w:rtl w:val="true"/>
              </w:rPr>
              <w:tab/>
            </w:r>
            <w:r>
              <w:rPr>
                <w:rStyle w:val="IndexLink"/>
              </w:rPr>
              <w:t>247</w:t>
            </w:r>
          </w:hyperlink>
        </w:p>
        <w:p>
          <w:pPr>
            <w:pStyle w:val="Contents4"/>
            <w:tabs>
              <w:tab w:val="clear" w:pos="8176"/>
              <w:tab w:val="right" w:pos="9026" w:leader="dot"/>
            </w:tabs>
            <w:rPr/>
          </w:pPr>
          <w:hyperlink w:anchor="__RefHeading___Toc423091_58195312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23093_581953129">
            <w:r>
              <w:rPr>
                <w:webHidden/>
                <w:rStyle w:val="IndexLink"/>
                <w:rtl w:val="true"/>
              </w:rPr>
              <w:t>عدم نفوذ الشرط المخالف للکتاب والسنّة</w:t>
            </w:r>
            <w:r>
              <w:rPr>
                <w:rStyle w:val="IndexLink"/>
                <w:rtl w:val="true"/>
              </w:rPr>
              <w:tab/>
            </w:r>
            <w:r>
              <w:rPr>
                <w:rStyle w:val="IndexLink"/>
              </w:rPr>
              <w:t>247</w:t>
            </w:r>
          </w:hyperlink>
        </w:p>
        <w:p>
          <w:pPr>
            <w:pStyle w:val="Contents4"/>
            <w:tabs>
              <w:tab w:val="clear" w:pos="8176"/>
              <w:tab w:val="right" w:pos="9026" w:leader="dot"/>
            </w:tabs>
            <w:rPr/>
          </w:pPr>
          <w:hyperlink w:anchor="__RefHeading___Toc423095_581953129">
            <w:r>
              <w:rPr>
                <w:webHidden/>
                <w:rStyle w:val="IndexLink"/>
                <w:rtl w:val="true"/>
              </w:rPr>
              <w:t>حقیقة البحث سواء فی طرف موضوع القاعدة أو محمولها أو متعلّقها</w:t>
            </w:r>
            <w:r>
              <w:rPr>
                <w:rStyle w:val="IndexLink"/>
                <w:rtl w:val="true"/>
              </w:rPr>
              <w:tab/>
            </w:r>
            <w:r>
              <w:rPr>
                <w:rStyle w:val="IndexLink"/>
              </w:rPr>
              <w:t>254</w:t>
            </w:r>
          </w:hyperlink>
        </w:p>
        <w:p>
          <w:pPr>
            <w:pStyle w:val="Contents4"/>
            <w:tabs>
              <w:tab w:val="clear" w:pos="8176"/>
              <w:tab w:val="right" w:pos="9026" w:leader="dot"/>
            </w:tabs>
            <w:rPr/>
          </w:pPr>
          <w:hyperlink w:anchor="__RefHeading___Toc423097_581953129">
            <w:r>
              <w:rPr>
                <w:webHidden/>
                <w:rStyle w:val="IndexLink"/>
                <w:rtl w:val="true"/>
              </w:rPr>
              <w:t>فقه الروایات</w:t>
            </w:r>
            <w:r>
              <w:rPr>
                <w:rStyle w:val="IndexLink"/>
                <w:rtl w:val="true"/>
              </w:rPr>
              <w:tab/>
            </w:r>
            <w:r>
              <w:rPr>
                <w:rStyle w:val="IndexLink"/>
              </w:rPr>
              <w:t>260</w:t>
            </w:r>
          </w:hyperlink>
        </w:p>
        <w:p>
          <w:pPr>
            <w:pStyle w:val="Contents5"/>
            <w:tabs>
              <w:tab w:val="clear" w:pos="7892"/>
              <w:tab w:val="right" w:pos="9026" w:leader="dot"/>
            </w:tabs>
            <w:rPr/>
          </w:pPr>
          <w:hyperlink w:anchor="__RefHeading___Toc423099_581953129">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23101_581953129">
            <w:r>
              <w:rPr>
                <w:webHidden/>
                <w:rStyle w:val="IndexLink"/>
                <w:rtl w:val="true"/>
              </w:rPr>
              <w:t xml:space="preserve">الفائدة الاُولی </w:t>
            </w:r>
            <w:r>
              <w:rPr>
                <w:rStyle w:val="IndexLink"/>
                <w:rtl w:val="true"/>
              </w:rPr>
              <w:t xml:space="preserve">: </w:t>
            </w:r>
            <w:r>
              <w:rPr>
                <w:rStyle w:val="IndexLink"/>
                <w:rtl w:val="true"/>
              </w:rPr>
              <w:t>الفرق بین الحقّ والحکم</w:t>
            </w:r>
            <w:r>
              <w:rPr>
                <w:rStyle w:val="IndexLink"/>
                <w:rtl w:val="true"/>
              </w:rPr>
              <w:tab/>
            </w:r>
            <w:r>
              <w:rPr>
                <w:rStyle w:val="IndexLink"/>
              </w:rPr>
              <w:t>260</w:t>
            </w:r>
          </w:hyperlink>
        </w:p>
        <w:p>
          <w:pPr>
            <w:pStyle w:val="Contents5"/>
            <w:tabs>
              <w:tab w:val="clear" w:pos="7892"/>
              <w:tab w:val="right" w:pos="9026" w:leader="dot"/>
            </w:tabs>
            <w:rPr/>
          </w:pPr>
          <w:hyperlink w:anchor="__RefHeading___Toc423103_581953129">
            <w:r>
              <w:rPr>
                <w:webHidden/>
                <w:rStyle w:val="IndexLink"/>
                <w:rtl w:val="true"/>
              </w:rPr>
              <w:t xml:space="preserve">الفائدة الثانیة </w:t>
            </w:r>
            <w:r>
              <w:rPr>
                <w:rStyle w:val="IndexLink"/>
                <w:rtl w:val="true"/>
              </w:rPr>
              <w:t xml:space="preserve">: </w:t>
            </w:r>
            <w:r>
              <w:rPr>
                <w:rStyle w:val="IndexLink"/>
                <w:rtl w:val="true"/>
              </w:rPr>
              <w:t>فی معنی الموافقة</w:t>
            </w:r>
            <w:r>
              <w:rPr>
                <w:rStyle w:val="IndexLink"/>
                <w:rtl w:val="true"/>
              </w:rPr>
              <w:tab/>
            </w:r>
            <w:r>
              <w:rPr>
                <w:rStyle w:val="IndexLink"/>
              </w:rPr>
              <w:t>261</w:t>
            </w:r>
          </w:hyperlink>
        </w:p>
        <w:p>
          <w:pPr>
            <w:pStyle w:val="Contents5"/>
            <w:tabs>
              <w:tab w:val="clear" w:pos="7892"/>
              <w:tab w:val="right" w:pos="9026" w:leader="dot"/>
            </w:tabs>
            <w:rPr/>
          </w:pPr>
          <w:hyperlink w:anchor="__RefHeading___Toc423105_581953129">
            <w:r>
              <w:rPr>
                <w:webHidden/>
                <w:rStyle w:val="IndexLink"/>
                <w:rtl w:val="true"/>
              </w:rPr>
              <w:t xml:space="preserve">الفائدة الثالثة </w:t>
            </w:r>
            <w:r>
              <w:rPr>
                <w:rStyle w:val="IndexLink"/>
                <w:rtl w:val="true"/>
              </w:rPr>
              <w:t xml:space="preserve">: </w:t>
            </w:r>
            <w:r>
              <w:rPr>
                <w:rStyle w:val="IndexLink"/>
                <w:rtl w:val="true"/>
              </w:rPr>
              <w:t>معانی التحلیل والتحریم</w:t>
            </w:r>
            <w:r>
              <w:rPr>
                <w:rStyle w:val="IndexLink"/>
                <w:rtl w:val="true"/>
              </w:rPr>
              <w:tab/>
            </w:r>
            <w:r>
              <w:rPr>
                <w:rStyle w:val="IndexLink"/>
              </w:rPr>
              <w:t>264</w:t>
            </w:r>
          </w:hyperlink>
        </w:p>
        <w:p>
          <w:pPr>
            <w:pStyle w:val="Contents5"/>
            <w:tabs>
              <w:tab w:val="clear" w:pos="7892"/>
              <w:tab w:val="right" w:pos="9026" w:leader="dot"/>
            </w:tabs>
            <w:rPr/>
          </w:pPr>
          <w:hyperlink w:anchor="__RefHeading___Toc423107_581953129">
            <w:r>
              <w:rPr>
                <w:webHidden/>
                <w:rStyle w:val="IndexLink"/>
                <w:rtl w:val="true"/>
              </w:rPr>
              <w:t xml:space="preserve">الفائدة الرابعة </w:t>
            </w:r>
            <w:r>
              <w:rPr>
                <w:rStyle w:val="IndexLink"/>
                <w:rtl w:val="true"/>
              </w:rPr>
              <w:t xml:space="preserve">: </w:t>
            </w:r>
            <w:r>
              <w:rPr>
                <w:rStyle w:val="IndexLink"/>
                <w:rtl w:val="true"/>
              </w:rPr>
              <w:t>الجزئیّة طابع الحکم الثانویّ‌</w:t>
            </w:r>
            <w:r>
              <w:rPr>
                <w:rStyle w:val="IndexLink"/>
                <w:rtl w:val="true"/>
              </w:rPr>
              <w:tab/>
            </w:r>
            <w:r>
              <w:rPr>
                <w:rStyle w:val="IndexLink"/>
              </w:rPr>
              <w:t>264</w:t>
            </w:r>
          </w:hyperlink>
        </w:p>
        <w:p>
          <w:pPr>
            <w:pStyle w:val="Contents5"/>
            <w:tabs>
              <w:tab w:val="clear" w:pos="7892"/>
              <w:tab w:val="right" w:pos="9026" w:leader="dot"/>
            </w:tabs>
            <w:rPr/>
          </w:pPr>
          <w:hyperlink w:anchor="__RefHeading___Toc423109_581953129">
            <w:r>
              <w:rPr>
                <w:webHidden/>
                <w:rStyle w:val="IndexLink"/>
                <w:rtl w:val="true"/>
              </w:rPr>
              <w:t xml:space="preserve">الفائدة الخامسة </w:t>
            </w:r>
            <w:r>
              <w:rPr>
                <w:rStyle w:val="IndexLink"/>
                <w:rtl w:val="true"/>
              </w:rPr>
              <w:t xml:space="preserve">: </w:t>
            </w:r>
            <w:r>
              <w:rPr>
                <w:rStyle w:val="IndexLink"/>
                <w:rtl w:val="true"/>
              </w:rPr>
              <w:t>حقیقة الشرط والاشتراط‌</w:t>
            </w:r>
            <w:r>
              <w:rPr>
                <w:rStyle w:val="IndexLink"/>
                <w:rtl w:val="true"/>
              </w:rPr>
              <w:tab/>
            </w:r>
            <w:r>
              <w:rPr>
                <w:rStyle w:val="IndexLink"/>
              </w:rPr>
              <w:t>265</w:t>
            </w:r>
          </w:hyperlink>
        </w:p>
        <w:p>
          <w:pPr>
            <w:pStyle w:val="Contents5"/>
            <w:tabs>
              <w:tab w:val="clear" w:pos="7892"/>
              <w:tab w:val="right" w:pos="9026" w:leader="dot"/>
            </w:tabs>
            <w:rPr/>
          </w:pPr>
          <w:hyperlink w:anchor="__RefHeading___Toc423111_581953129">
            <w:r>
              <w:rPr>
                <w:webHidden/>
                <w:rStyle w:val="IndexLink"/>
                <w:rtl w:val="true"/>
              </w:rPr>
              <w:t xml:space="preserve">الفائدة السادسة </w:t>
            </w:r>
            <w:r>
              <w:rPr>
                <w:rStyle w:val="IndexLink"/>
                <w:rtl w:val="true"/>
              </w:rPr>
              <w:t xml:space="preserve">: </w:t>
            </w:r>
            <w:r>
              <w:rPr>
                <w:rStyle w:val="IndexLink"/>
                <w:rtl w:val="true"/>
              </w:rPr>
              <w:t>المختار فی معنی التحلیل والتحریم</w:t>
            </w:r>
            <w:r>
              <w:rPr>
                <w:rStyle w:val="IndexLink"/>
                <w:rtl w:val="true"/>
              </w:rPr>
              <w:tab/>
            </w:r>
            <w:r>
              <w:rPr>
                <w:rStyle w:val="IndexLink"/>
              </w:rPr>
              <w:t>266</w:t>
            </w:r>
          </w:hyperlink>
        </w:p>
        <w:p>
          <w:pPr>
            <w:pStyle w:val="Contents5"/>
            <w:tabs>
              <w:tab w:val="clear" w:pos="7892"/>
              <w:tab w:val="right" w:pos="9026" w:leader="dot"/>
            </w:tabs>
            <w:rPr/>
          </w:pPr>
          <w:hyperlink w:anchor="__RefHeading___Toc423113_581953129">
            <w:r>
              <w:rPr>
                <w:webHidden/>
                <w:rStyle w:val="IndexLink"/>
                <w:rtl w:val="true"/>
              </w:rPr>
              <w:t xml:space="preserve">الفائدة السابعة </w:t>
            </w:r>
            <w:r>
              <w:rPr>
                <w:rStyle w:val="IndexLink"/>
                <w:rtl w:val="true"/>
              </w:rPr>
              <w:t xml:space="preserve">: </w:t>
            </w:r>
            <w:r>
              <w:rPr>
                <w:rStyle w:val="IndexLink"/>
                <w:rtl w:val="true"/>
              </w:rPr>
              <w:t>العلاقة بین التقنین الشرعیّ والعقلائیّ‌</w:t>
            </w:r>
            <w:r>
              <w:rPr>
                <w:rStyle w:val="IndexLink"/>
                <w:rtl w:val="true"/>
              </w:rPr>
              <w:tab/>
            </w:r>
            <w:r>
              <w:rPr>
                <w:rStyle w:val="IndexLink"/>
              </w:rPr>
              <w:t>266</w:t>
            </w:r>
          </w:hyperlink>
        </w:p>
        <w:p>
          <w:pPr>
            <w:pStyle w:val="Contents5"/>
            <w:tabs>
              <w:tab w:val="clear" w:pos="7892"/>
              <w:tab w:val="right" w:pos="9026" w:leader="dot"/>
            </w:tabs>
            <w:rPr/>
          </w:pPr>
          <w:hyperlink w:anchor="__RefHeading___Toc423115_581953129">
            <w:r>
              <w:rPr>
                <w:webHidden/>
                <w:rStyle w:val="IndexLink"/>
                <w:rtl w:val="true"/>
              </w:rPr>
              <w:t xml:space="preserve">الفائدة الثامنة </w:t>
            </w:r>
            <w:r>
              <w:rPr>
                <w:rStyle w:val="IndexLink"/>
                <w:rtl w:val="true"/>
              </w:rPr>
              <w:t xml:space="preserve">: </w:t>
            </w:r>
            <w:r>
              <w:rPr>
                <w:rStyle w:val="IndexLink"/>
                <w:rtl w:val="true"/>
              </w:rPr>
              <w:t>توقّف معرفة المخالفة والموافقة فی القاعدة علی الصناعة التحلیلیّة لحقیقة الأحکام والمباحث القانونیّة البحتة</w:t>
            </w:r>
            <w:r>
              <w:rPr>
                <w:rStyle w:val="IndexLink"/>
                <w:rtl w:val="true"/>
              </w:rPr>
              <w:tab/>
            </w:r>
            <w:r>
              <w:rPr>
                <w:rStyle w:val="IndexLink"/>
              </w:rPr>
              <w:t>268</w:t>
            </w:r>
          </w:hyperlink>
        </w:p>
        <w:p>
          <w:pPr>
            <w:pStyle w:val="Contents5"/>
            <w:tabs>
              <w:tab w:val="clear" w:pos="7892"/>
              <w:tab w:val="right" w:pos="9026" w:leader="dot"/>
            </w:tabs>
            <w:rPr/>
          </w:pPr>
          <w:hyperlink w:anchor="__RefHeading___Toc423117_581953129">
            <w:r>
              <w:rPr>
                <w:webHidden/>
                <w:rStyle w:val="IndexLink"/>
                <w:rtl w:val="true"/>
              </w:rPr>
              <w:t xml:space="preserve">الفائدة التاسعة </w:t>
            </w:r>
            <w:r>
              <w:rPr>
                <w:rStyle w:val="IndexLink"/>
                <w:rtl w:val="true"/>
              </w:rPr>
              <w:t xml:space="preserve">: </w:t>
            </w:r>
            <w:r>
              <w:rPr>
                <w:rStyle w:val="IndexLink"/>
                <w:rtl w:val="true"/>
              </w:rPr>
              <w:t>عموم القاعدة لکلّ إنشاء من عقد أو إیقاع</w:t>
            </w:r>
            <w:r>
              <w:rPr>
                <w:rStyle w:val="IndexLink"/>
                <w:rtl w:val="true"/>
              </w:rPr>
              <w:tab/>
            </w:r>
            <w:r>
              <w:rPr>
                <w:rStyle w:val="IndexLink"/>
              </w:rPr>
              <w:t>270</w:t>
            </w:r>
          </w:hyperlink>
        </w:p>
        <w:p>
          <w:pPr>
            <w:pStyle w:val="Contents5"/>
            <w:tabs>
              <w:tab w:val="clear" w:pos="7892"/>
              <w:tab w:val="right" w:pos="9026" w:leader="dot"/>
            </w:tabs>
            <w:rPr/>
          </w:pPr>
          <w:hyperlink w:anchor="__RefHeading___Toc423119_581953129">
            <w:r>
              <w:rPr>
                <w:webHidden/>
                <w:rStyle w:val="IndexLink"/>
                <w:rtl w:val="true"/>
              </w:rPr>
              <w:t xml:space="preserve">الفائدة العاشرة </w:t>
            </w:r>
            <w:r>
              <w:rPr>
                <w:rStyle w:val="IndexLink"/>
                <w:rtl w:val="true"/>
              </w:rPr>
              <w:t xml:space="preserve">: </w:t>
            </w:r>
            <w:r>
              <w:rPr>
                <w:rStyle w:val="IndexLink"/>
                <w:rtl w:val="true"/>
              </w:rPr>
              <w:t>الاُصول القانونیّة معیار المخالفة والموافقة</w:t>
            </w:r>
            <w:r>
              <w:rPr>
                <w:rStyle w:val="IndexLink"/>
                <w:rtl w:val="true"/>
              </w:rPr>
              <w:tab/>
            </w:r>
            <w:r>
              <w:rPr>
                <w:rStyle w:val="IndexLink"/>
              </w:rPr>
              <w:t>270</w:t>
            </w:r>
          </w:hyperlink>
        </w:p>
        <w:p>
          <w:pPr>
            <w:pStyle w:val="Contents5"/>
            <w:tabs>
              <w:tab w:val="clear" w:pos="7892"/>
              <w:tab w:val="right" w:pos="9026" w:leader="dot"/>
            </w:tabs>
            <w:rPr/>
          </w:pPr>
          <w:hyperlink w:anchor="__RefHeading___Toc423121_581953129">
            <w:r>
              <w:rPr>
                <w:webHidden/>
                <w:rStyle w:val="IndexLink"/>
                <w:rtl w:val="true"/>
              </w:rPr>
              <w:t xml:space="preserve">الفائدة الحادیة عشر </w:t>
            </w:r>
            <w:r>
              <w:rPr>
                <w:rStyle w:val="IndexLink"/>
                <w:rtl w:val="true"/>
              </w:rPr>
              <w:t xml:space="preserve">: </w:t>
            </w:r>
            <w:r>
              <w:rPr>
                <w:rStyle w:val="IndexLink"/>
                <w:rtl w:val="true"/>
              </w:rPr>
              <w:t>السلطنة علی الشیء لا یسوّغ نفیها عن</w:t>
            </w:r>
            <w:r>
              <w:rPr>
                <w:rStyle w:val="IndexLink"/>
                <w:rtl w:val="true"/>
              </w:rPr>
              <w:tab/>
            </w:r>
            <w:r>
              <w:rPr>
                <w:rStyle w:val="IndexLink"/>
              </w:rPr>
              <w:t>272</w:t>
            </w:r>
          </w:hyperlink>
        </w:p>
        <w:p>
          <w:pPr>
            <w:pStyle w:val="Contents4"/>
            <w:tabs>
              <w:tab w:val="clear" w:pos="8176"/>
              <w:tab w:val="right" w:pos="9026" w:leader="dot"/>
            </w:tabs>
            <w:rPr/>
          </w:pPr>
          <w:hyperlink w:anchor="__RefHeading___Toc423123_581953129">
            <w:r>
              <w:rPr>
                <w:webHidden/>
                <w:rStyle w:val="IndexLink"/>
                <w:rtl w:val="true"/>
              </w:rPr>
              <w:t>ضوابط المخالفة فی الکلمات</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2_44070"/>
      <w:bookmarkStart w:id="1" w:name="pg5252_44070"/>
      <w:bookmarkEnd w:id="1"/>
    </w:p>
    <w:p>
      <w:pPr>
        <w:pStyle w:val="Heading2"/>
        <w:numPr>
          <w:ilvl w:val="1"/>
          <w:numId w:val="1"/>
        </w:numPr>
        <w:rPr/>
      </w:pPr>
      <w:bookmarkStart w:id="2" w:name="pg5252_44070"/>
      <w:bookmarkStart w:id="3" w:name="__RefHeading___Toc42295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قراءة النص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Doctrines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955_581953129"/>
      <w:bookmarkStart w:id="6" w:name="_Toc2"/>
      <w:bookmarkEnd w:id="5"/>
      <w:r>
        <w:rPr>
          <w:rtl w:val="true"/>
        </w:rPr>
        <w:t>اشارة</w:t>
      </w:r>
      <w:bookmarkStart w:id="7" w:name="pg5252_44076"/>
      <w:bookmarkEnd w:id="6"/>
    </w:p>
    <w:p>
      <w:pPr>
        <w:pStyle w:val="Heading2"/>
        <w:numPr>
          <w:ilvl w:val="1"/>
          <w:numId w:val="1"/>
        </w:numPr>
        <w:rPr/>
      </w:pPr>
      <w:bookmarkStart w:id="8" w:name="__RefHeading___Toc422957_581953129"/>
      <w:bookmarkStart w:id="9" w:name="_Toc3"/>
      <w:bookmarkEnd w:id="7"/>
      <w:bookmarkEnd w:id="8"/>
      <w:r>
        <w:rPr>
          <w:rtl w:val="true"/>
        </w:rPr>
        <w:t>کلمة الأستاذ</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والحمد للّه‌الذی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أمر بالأخذ بالمحکم وردّ المتشابه إلیه وأبی أن یجعل من المتشابه رائداً یُؤخذ به دون المحکم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والصلاة والسلام علی مَن جعلت حجّیته منجّزة للنذارة وموجبة لاستحقاق البشارة الذی أُوتی جوامع الکلم وترک للعباد الکتاب والعترة الهداة المنعم علیهم‌المنعوتین بغیر المغضوب علیهم ولا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فإنّ الحدیث عن منهج المعرفة وبالأخص المعرفة الدینیّة ترامت فیه جهود قوافل العلماء وتجاذبت فیه التحقیقات وتدافعت فیه الآراء کیف لا والحدیث عن منهج المعرفة عبارة عن منطقیة میزان دلیلیة الأدلّة فَبِهِ یُبان عن عیار الدلیل وتثمینه ومؤدّی مَداه ومداره ورتبته ودرجته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وخطُورة البحث فیه تکمن فی معرفة المحکم من المتشابه سواء کان هذان النعتان مطلقین أو نسبیّین بلحاظ مراتب القوّة فی الأدلّة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الأخذ بالمحکم لا ینحصر بالصورة الأولی بل یعّم الثانی أیضاً وکم حصلت غفلات مهلکة فی 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فکلّما تظافر التنقیب والتدقیق فی هذا المجال کلّما ازدادت البصیرة واشتدّ نور المعرفة وهذا الکتاب یتکفّل معالجة بعض الإثارات فی الدلیل النقلی والعقلیّ وأطر الموازین الأدویّة فی معرفة الأدلّة ، فهی لمنهج المعرفة وقد اشتمل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میزان الأدلّة فی البحوث الاعتقادیّة؛ وقد رقّمه العلّامة الجلیل السید عماد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نبذ من الاُصول القانونیّة الهامّة فی التراث الحدیثی وقد رقّمه العلّامة الفطن الشیخ مصطفی الإسکندری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10" w:name="pg5252_44078"/>
    </w:p>
    <w:p>
      <w:pPr>
        <w:pStyle w:val="Heading2"/>
        <w:numPr>
          <w:ilvl w:val="1"/>
          <w:numId w:val="1"/>
        </w:numPr>
        <w:rPr/>
      </w:pPr>
      <w:bookmarkStart w:id="11" w:name="__RefHeading___Toc422959_581953129"/>
      <w:bookmarkStart w:id="12" w:name="_Toc4"/>
      <w:bookmarkEnd w:id="10"/>
      <w:bookmarkEnd w:id="11"/>
      <w:r>
        <w:rPr>
          <w:rtl w:val="true"/>
        </w:rPr>
        <w:t xml:space="preserve">القسم الأوّل </w:t>
      </w:r>
      <w:r>
        <w:rPr>
          <w:rtl w:val="true"/>
        </w:rPr>
        <w:t xml:space="preserve">: </w:t>
      </w:r>
      <w:r>
        <w:rPr>
          <w:rtl w:val="true"/>
        </w:rPr>
        <w:t>میزان الأدلّة فی المعارف الاعتقادیّة</w:t>
      </w:r>
      <w:bookmarkEnd w:id="12"/>
    </w:p>
    <w:p>
      <w:pPr>
        <w:pStyle w:val="Heading3"/>
        <w:numPr>
          <w:ilvl w:val="2"/>
          <w:numId w:val="1"/>
        </w:numPr>
        <w:rPr/>
      </w:pPr>
      <w:bookmarkStart w:id="13" w:name="__RefHeading___Toc422961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تقریراً لما أفاده استاذنا المحقّق</w:t>
      </w:r>
    </w:p>
    <w:p>
      <w:pPr>
        <w:pStyle w:val="BookText"/>
        <w:rPr/>
      </w:pPr>
      <w:r>
        <w:rPr>
          <w:rFonts w:ascii="IRNazanin" w:hAnsi="IRNazanin" w:eastAsia="IRNazanin"/>
          <w:color w:val="111111"/>
          <w:sz w:val="28"/>
          <w:sz w:val="28"/>
          <w:szCs w:val="28"/>
          <w:rtl w:val="true"/>
          <w:lang w:bidi="fa-IR"/>
        </w:rPr>
        <w:t>آیة اللّه الشیخ محمّد السند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عماد الحکیم</w:t>
      </w:r>
    </w:p>
    <w:p>
      <w:pPr>
        <w:pStyle w:val="BookText"/>
        <w:rPr/>
      </w:pPr>
      <w:r>
        <w:rPr>
          <w:rFonts w:ascii="IRNazanin" w:hAnsi="IRNazanin" w:eastAsia="IRNazanin"/>
          <w:color w:val="111111"/>
          <w:sz w:val="28"/>
          <w:sz w:val="28"/>
          <w:szCs w:val="28"/>
          <w:rtl w:val="true"/>
          <w:lang w:bidi="fa-IR"/>
        </w:rPr>
        <w:t xml:space="preserve">وصلّی اللّه علی خیر خلقه ، وخاتم رسله ، البشیر النذیر ، والسراج المنیر والداعی إلی العلیّ ، الکامل الکبیر ، والذی أکمل الدین ببیعة الغدیر وعلی أهل بیته الطاهرین الهداة المیامین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فهذه مستلّة ممّا حرّرته فی تقریرات بحث الإمامة لأُستاذنا الجلیل والعالم النبیل الحریص علی الدین والغیور علی شریعة سیّد المرسلین المحقّق آیة اللّه الشیخ محمّد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وسدّد خطاه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علی نقاط کمقدّمة وبحث فی میزان الأدلّة فی البحوث الاعتقادیّة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سائلاً المولی اللطیف الخبیر أن یجعلها فی سبیله وخالصة لوجهه ، وأن یعیننی علی تعلّمها وتعلیمها والعمل بها إنّه سمیع مجیب </w:t>
      </w:r>
      <w:r>
        <w:rPr>
          <w:rFonts w:eastAsia="IRNazanin" w:cs="IRNazanin"/>
          <w:color w:val="111111"/>
          <w:sz w:val="28"/>
          <w:szCs w:val="28"/>
          <w:rtl w:val="true"/>
          <w:lang w:bidi="fa-IR"/>
        </w:rPr>
        <w:t>.</w:t>
      </w:r>
      <w:bookmarkStart w:id="15" w:name="pg5252_44082"/>
    </w:p>
    <w:p>
      <w:pPr>
        <w:pStyle w:val="Heading3"/>
        <w:numPr>
          <w:ilvl w:val="2"/>
          <w:numId w:val="1"/>
        </w:numPr>
        <w:rPr/>
      </w:pPr>
      <w:bookmarkStart w:id="16" w:name="__RefHeading___Toc422963_581953129"/>
      <w:bookmarkStart w:id="17" w:name="_Toc6"/>
      <w:bookmarkEnd w:id="15"/>
      <w:bookmarkEnd w:id="16"/>
      <w:r>
        <w:rPr>
          <w:rtl w:val="true"/>
        </w:rPr>
        <w:t>تمهید</w:t>
      </w:r>
      <w:bookmarkEnd w:id="17"/>
    </w:p>
    <w:p>
      <w:pPr>
        <w:pStyle w:val="Heading4"/>
        <w:numPr>
          <w:ilvl w:val="3"/>
          <w:numId w:val="1"/>
        </w:numPr>
        <w:rPr/>
      </w:pPr>
      <w:bookmarkStart w:id="18" w:name="__RefHeading___Toc422965_581953129"/>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الغرض المهمّ من هذا الکتاب هو تعمیق فقه النصوص المسلّمة ، واستیعاب دقائقها وفوائدها ، والترکیز علی جعل منهج عقلیّ برهانیّ لفهم تلک النصوص ، بغیة الوصول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للإمامة حسب ما اتیح للبشر من طاقة وقدرة واللّه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الخوض فی لُبّ البحث لا بدّ من تقدیم نقاط </w:t>
      </w:r>
      <w:r>
        <w:rPr>
          <w:rFonts w:eastAsia="IRNazanin" w:cs="IRNazanin"/>
          <w:color w:val="111111"/>
          <w:sz w:val="28"/>
          <w:szCs w:val="28"/>
          <w:rtl w:val="true"/>
          <w:lang w:bidi="fa-IR"/>
        </w:rPr>
        <w:t>:</w:t>
      </w:r>
    </w:p>
    <w:p>
      <w:pPr>
        <w:pStyle w:val="Heading4"/>
        <w:numPr>
          <w:ilvl w:val="3"/>
          <w:numId w:val="1"/>
        </w:numPr>
        <w:rPr/>
      </w:pPr>
      <w:bookmarkStart w:id="20" w:name="__RefHeading___Toc422967_581953129"/>
      <w:bookmarkStart w:id="21" w:name="_Toc8"/>
      <w:bookmarkEnd w:id="20"/>
      <w:r>
        <w:rPr>
          <w:rtl w:val="true"/>
        </w:rPr>
        <w:t xml:space="preserve">النقطة الاُولی </w:t>
      </w:r>
      <w:r>
        <w:rPr>
          <w:rtl w:val="true"/>
        </w:rPr>
        <w:t xml:space="preserve">: </w:t>
      </w:r>
      <w:r>
        <w:rPr>
          <w:rtl w:val="true"/>
        </w:rPr>
        <w:t>تأثیر الجانب المادّی علی الباحث</w:t>
      </w:r>
      <w:bookmarkEnd w:id="21"/>
    </w:p>
    <w:p>
      <w:pPr>
        <w:pStyle w:val="BookText"/>
        <w:rPr/>
      </w:pPr>
      <w:r>
        <w:rPr>
          <w:rFonts w:ascii="IRNazanin" w:hAnsi="IRNazanin" w:eastAsia="IRNazanin"/>
          <w:color w:val="111111"/>
          <w:sz w:val="28"/>
          <w:sz w:val="28"/>
          <w:szCs w:val="28"/>
          <w:rtl w:val="true"/>
          <w:lang w:bidi="fa-IR"/>
        </w:rPr>
        <w:t xml:space="preserve">إنّ معضلة البحث فی الإمامة لیست فی فقدان الأدلّة والبراهین أو نقصها ، بل فی ما وراء ذلک ، وبالتحدید فی النزعة المادّیة المغروزة فی الطبیعة البشریّة والتی تؤثّر فی سلوک البشر من جهة ، وفی فهمهم لحقائق الأشیاء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والمنشأ لهذه النزعة هو نحو وجود البشر ، فإنّ وجود الإنسان یشتمل علی جنبتین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جنبة المادّة والبدن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جنبة الروح والمعنی وعالم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تری صیَغ وأسالیب الإنکار للإمامة والتشکیک فیها ، هی بعینها صیغ الإنکار والتشکیک فی الرسالات والنبوّات کما یستعرضها القرآن الکریم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کلا المنهجین ناشئان عن إباء النزعة المادّیة عن الإذعان بوجود</w:t>
      </w:r>
    </w:p>
    <w:p>
      <w:pPr>
        <w:pStyle w:val="BookText"/>
        <w:rPr/>
      </w:pPr>
      <w:r>
        <w:rPr>
          <w:rFonts w:ascii="IRNazanin" w:hAnsi="IRNazanin" w:eastAsia="IRNazanin"/>
          <w:color w:val="111111"/>
          <w:sz w:val="28"/>
          <w:sz w:val="28"/>
          <w:szCs w:val="28"/>
          <w:rtl w:val="true"/>
          <w:lang w:bidi="fa-IR"/>
        </w:rPr>
        <w:t xml:space="preserve">الارتباط بالغیب والاتّصال بالسماء ، سواء کانت صورة الارتباط من قبیل وحی النبوّة أو الرسالة ، أم من مثل العصمة العلمیّة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العصمة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بالتسدید النوریّ الإلهیّ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ومرجع الإنکار فی الحالتین إلی إنکار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ومقام حجّته تعالی بینه وبین خلقه ، والهادی والمعلّم لهم</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الملل الإلحادیة تنکر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الارتباط ، والفِرَق الإسلامیّة المنکرة للعهد الإلهیّ المتمثّل بالإمامة ، تنکر بقاء الارتباط ، وإن اعترفت بأصل وجوده فی الأنبیاء علیهم السلام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بانقطاع النبوّة ، وأنّ السماء ترکت الأرض لأهل الأرض ، ولیت شعری ما الذی أوجب الاتّصال آنذاک وسوّغ الإنقطاع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استغنی البشر عن السماء أو تحقّق الهدف المنشود من الارتباط بها أو عجزت السماء عن هدایة أهل الأرض</w:t>
      </w:r>
      <w:r>
        <w:rPr>
          <w:rStyle w:val="FootnoteAnchor"/>
          <w:rtl w:val="true"/>
        </w:rPr>
        <w:footnoteReference w:id="3"/>
      </w:r>
      <w:r>
        <w:rPr>
          <w:rFonts w:ascii="IRNazanin" w:hAnsi="IRNazanin" w:eastAsia="IRNazanin"/>
          <w:color w:val="111111"/>
          <w:sz w:val="28"/>
          <w:sz w:val="28"/>
          <w:szCs w:val="28"/>
          <w:rtl w:val="true"/>
          <w:lang w:bidi="fa-IR"/>
        </w:rPr>
        <w:t>أو ماذا ؟</w:t>
      </w:r>
    </w:p>
    <w:p>
      <w:pPr>
        <w:pStyle w:val="BookText"/>
        <w:rPr/>
      </w:pPr>
      <w:r>
        <w:rPr>
          <w:rFonts w:ascii="Amiri" w:hAnsi="Amiri" w:eastAsia="Amiri" w:cs="Amiri"/>
          <w:color w:val="111111"/>
          <w:sz w:val="28"/>
          <w:sz w:val="28"/>
          <w:szCs w:val="28"/>
          <w:rtl w:val="true"/>
          <w:lang w:bidi="ar-SA"/>
        </w:rPr>
        <w:t xml:space="preserve">والحاصل أنّ کلتا المدرستین تُنکرانِ الاتّصال الفعلیّ بالسماء بنفس الأسالیب ونفس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معی نستعرض ما یرسمه القرآن ویصوّره من مدارس مادّیة تقصر الموجود علی المادّة ولا تفسّره إلّاعلی أساس الهوی والغرائز ، ولذلک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وإن اختلفت تعابیرهم وصیاغات ألفاظهم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المدارس ما حکاه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هذا إِلاّ بَشَرٌ مِثْلُکُمْ أَ فَتَأْتُونَ السِّحْرَ وَ أَنْتُمْ تُبْصِرُونَ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فإنّهم من شدّة انغماسهم فی الجانب البدنی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للإنسان حصروا کلّ الظواهر والقابلیات والقوی الإنسانیّة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یحتملونه فی القوی الخارقة للعادة لدی مدّعی الارتباط بالغیب أن یکون من السحر ویجحدون ما وراءه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عن لسان اخری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قالُوا أَضْغاثُ أَحْلامٍ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حیث قایسوا المرتبط بالوحی بأنفسهم ، لأنّهم وجدوا عدم تلقّیهم المعانی الجدیدة والکاشفة عن الغیب والمستقبل إلّامن خلال الأحلام والتی قد تطابق الواقع وقد تخالفه وبالتالی جحدوا ارتباطه بالغیب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عزّ من قائل عن لسان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افْتَراهُ بَلْ هُوَ شاعِرٌ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وهذه المدرسة تعتمد التشکیک والتردید فی ما یقوله المرتبط بالسماء وفی ما جاء به من آیات من خلال الطعن فی صدقه وأمانته ، وفی سلامة عقله ، وأنّ قواه الدانیة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والغرائز وقوّة الخیال أو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المسیطرة علیه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جامعة ؛ أنکروا عصمته العملیّة ، وأسندوا أفعاله وأقواله إلی القوی الدانیة ، وهؤلاء أیضاً وقعوا فی قیاس المرتبط بالوحی بأنفسهم حیث لا یجدون عندهم منبعاً للمعانی الجدیدة سوی تسریح قوّتی الخیال والوهم فی معانی خزانة الذاکرة ، فیما کانت إجابة الرسل علیهم السلام لهم أن هذا التشکیک یؤول إلی التشکیک فی قدرة اللّه علی إیجاد هذا الارتباط بین العوالم العلویة والسفلیة ، مع أنّه تعالی هو الذی خلقها جمیعاً ، فهو الذی فطر السماوات والأرض ،</w:t>
      </w:r>
    </w:p>
    <w:p>
      <w:pPr>
        <w:pStyle w:val="BookText"/>
        <w:rPr/>
      </w:pPr>
      <w:r>
        <w:rPr>
          <w:rFonts w:ascii="IRNazanin" w:hAnsi="IRNazanin" w:eastAsia="IRNazanin"/>
          <w:color w:val="111111"/>
          <w:sz w:val="28"/>
          <w:sz w:val="28"/>
          <w:szCs w:val="28"/>
          <w:rtl w:val="true"/>
          <w:lang w:bidi="fa-IR"/>
        </w:rPr>
        <w:t xml:space="preserve">وهذا الوصف یشیر إلی الاستدلال علی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عن 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وهؤلاء أیضاً شبّهوا الأنبیاء بأنفسهم ، فکما أنّ منشأ تعصّبهم للسلف وجماعات الصدر الأوّل هو سیطرة قواهم الشهویّة والغضبیّة ، فکذلک إصرار الأنبیاء علیهم السلام علی دعوتهم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تلک القوی ، ولم یذعنوا بما جاءهم به الأنبیاء من حجج وبراهین ومعاجز ، بل طالبوا بخوارق اخری أکثر بیاناً وأوضح إعجازاً ، لکنّ القرآن الکریم أوضَحَ أنّ المعضلة فی إنکار هؤلاء لا تعود إلی نقص تلک البراهین أو قصورها ، بل إلی المرض المعین فی نفوس تلک الجماعة المتمرّدة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ویشیر تعالی إلی خامسة 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إذ أنّ منشأ إنکار هؤلاء هو أیضاً توهّم التساوی بین البشر فی القوی الوجودیّة والروحیّة ، ولمّا لم یکن فی وسعهم الارتباط بما وراء الطبیعة ، فلیس ذلک فی وسع رجل غیرهم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وأجابهم سبحانه بأنّ هذا التوهّم باطل ، وأنّه أعلم حیث یجعل رسالته</w:t>
      </w:r>
      <w:r>
        <w:rPr>
          <w:rStyle w:val="FootnoteAnchor"/>
          <w:rtl w:val="true"/>
        </w:rPr>
        <w:footnoteReference w:id="11"/>
      </w:r>
      <w:r>
        <w:rPr>
          <w:rFonts w:ascii="Amiri" w:hAnsi="Amiri" w:eastAsia="Amiri" w:cs="Amiri"/>
          <w:color w:val="111111"/>
          <w:sz w:val="28"/>
          <w:sz w:val="28"/>
          <w:szCs w:val="28"/>
          <w:rtl w:val="true"/>
          <w:lang w:bidi="ar-SA"/>
        </w:rPr>
        <w:t>وأنّه یؤیّد مَن یرید بروح القدس</w:t>
      </w:r>
      <w:r>
        <w:rPr>
          <w:rStyle w:val="FootnoteAnchor"/>
          <w:rtl w:val="true"/>
        </w:rPr>
        <w:footnoteReference w:id="12"/>
      </w:r>
      <w:r>
        <w:rPr>
          <w:rFonts w:ascii="IRNazanin" w:hAnsi="IRNazanin" w:eastAsia="IRNazanin"/>
          <w:color w:val="111111"/>
          <w:sz w:val="28"/>
          <w:sz w:val="28"/>
          <w:szCs w:val="28"/>
          <w:rtl w:val="true"/>
          <w:lang w:bidi="fa-IR"/>
        </w:rPr>
        <w:t>وأنّه یخلق ما یشاء ویختار ، لیس لأحدٍ من خلقه أن یختار ویفرض علی اللّه مَن یختار</w:t>
      </w:r>
      <w:r>
        <w:rPr>
          <w:rStyle w:val="FootnoteAnchor"/>
          <w:rtl w:val="true"/>
        </w:rPr>
        <w:footnoteReference w:id="13"/>
      </w:r>
      <w:r>
        <w:rPr>
          <w:rFonts w:ascii="IRNazanin" w:hAnsi="IRNazanin" w:eastAsia="IRNazanin"/>
          <w:color w:val="111111"/>
          <w:sz w:val="28"/>
          <w:sz w:val="28"/>
          <w:szCs w:val="28"/>
          <w:rtl w:val="true"/>
          <w:lang w:bidi="fa-IR"/>
        </w:rPr>
        <w:t xml:space="preserve">بل ذلک شرک ، یتعالی اللّه ویتنزّه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ویتّضح من خلال هذه الآیات وجود التفاوت فی بنی البشر ، وأنّ بعضهم یتأهّل للعهد الإلهیّ وبعضهم لا یتأهّل ، وأنّ العارف بهذا التفاوت هو اللّه عزّ وجلّ أو من یعلِّمُه اللّه لا غیر ، لأنّه الخالق للبشر ، والخالق أعرف بما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دعوی هؤلاء استحقاقهم وقابلیّتهم لتعیین السفیر الإلهیّ ، هی شرک باللّه تعالی</w:t>
      </w:r>
      <w:r>
        <w:rPr>
          <w:rStyle w:val="FootnoteAnchor"/>
          <w:rtl w:val="true"/>
        </w:rPr>
        <w:footnoteReference w:id="15"/>
      </w:r>
      <w:r>
        <w:rPr>
          <w:rFonts w:ascii="Amiri" w:hAnsi="Amiri" w:eastAsia="Amiri" w:cs="Amiri"/>
          <w:color w:val="111111"/>
          <w:sz w:val="28"/>
          <w:sz w:val="28"/>
          <w:szCs w:val="28"/>
          <w:rtl w:val="true"/>
          <w:lang w:bidi="ar-SA"/>
        </w:rPr>
        <w:t xml:space="preserve">باعتبار أنفسهم نِدّاً له فی الإحاطة والعلم والمشیئة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فی أیّ وصفٍ من صفاته ، ولذلک کان نصب الواسطة بینه تعالی وبین خلقه من خواصّ أفعاله التی لا یشارکه فیها أحد ، فإذا نصبوا شخصاً من عند أنفسهم کان شِرکاً به وتعدّیاً علی حقّه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مزید توضیح لهذه الحقیقة فی مقدّمة لاحقة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هذا المنطق ما قصّه تعالی 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حیث طالبوا بإنزال ملک واسطة بینهم وبین السماء ، واستبعدوا تأهّل الرسول لذلک ، قیاساً له علی أنفسهم وحصراً للقابلیة والأهلیة بالملائکة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بمعنی أنّ صاحب الحقیقة المَلَکیة وإن کان قابلاً للاتّصال بالغیب وللوساطة بین اللّه تعالی وخلقه ، ولکنّه لابدّ أن یکون فی الصورة من جنسهم کی یتمّ الارتباط</w:t>
      </w:r>
    </w:p>
    <w:p>
      <w:pPr>
        <w:pStyle w:val="BookText"/>
        <w:rPr/>
      </w:pPr>
      <w:r>
        <w:rPr>
          <w:rFonts w:ascii="IRNazanin" w:hAnsi="IRNazanin" w:eastAsia="IRNazanin"/>
          <w:color w:val="111111"/>
          <w:sz w:val="28"/>
          <w:sz w:val="28"/>
          <w:szCs w:val="28"/>
          <w:rtl w:val="true"/>
          <w:lang w:bidi="fa-IR"/>
        </w:rPr>
        <w:t xml:space="preserve">بینهم وبینه ، وذلک عندما لا یکون فی نوع البشر أیّ شخص صالح لهذه الوساطة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یتضمّن حقیقتین مهمّتین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البشر العادیّین لیس من شأنهم ولا من قابلیّتهم الاتّصال بالملک فی صورته الملکیّة ، بل لابدّ أن یُرسل إلیهم فی صورتهم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هناک تفاوتاً فی طبقات البشر ، وإنّ من یختاره اللّه تعالی للسفارة والوساطة الإلهیّة لابدّ أن یتحلّی بصفات ذاتیّة ، تجعل من روحه حقیقة مَلکیة غیبیّة لکی یصلح للتلقّی من السماء فی عین قابلیته البشریّة لکی یمکن ارتباطه بسائر الناس والتوسّط بینهم وبین ربّهم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ذلک ما بیّنه سبحانه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أُنْزِلَ عَلَیْنَا الْمَلائِکَةُ أَوْ نَری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مَلَکاً لَقُضِیَ الْأَمْرُ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اسْتَکْبَرُوا فِی أَنْفُسِهِمْ وَ عَتَوْا عُتُوًّا کَبِیراً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وغیر ذلک من الآیات التی تذکر عدم</w:t>
      </w:r>
    </w:p>
    <w:p>
      <w:pPr>
        <w:pStyle w:val="BookText"/>
        <w:rPr/>
      </w:pPr>
      <w:r>
        <w:rPr>
          <w:rFonts w:ascii="IRNazanin" w:hAnsi="IRNazanin" w:eastAsia="IRNazanin"/>
          <w:color w:val="111111"/>
          <w:sz w:val="28"/>
          <w:sz w:val="28"/>
          <w:szCs w:val="28"/>
          <w:rtl w:val="true"/>
          <w:lang w:bidi="fa-IR"/>
        </w:rPr>
        <w:t xml:space="preserve">قابلیتهم للسفارة وإنّ إنکارهم علی السفیر المختار والشکّ ناشئ عن وضعهم لأنفسهم فی غیر مواضعها وهو الإستکبار والعتوّ والشکّ وعدم الخوف من الآخرة ونحو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ردّاً علی طائفة 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فدعوی هذه الطائفة تترکّز علی حصر التلقّی النفسانیّ والروحیّ بالإرتباط بالجنّ والشیاطین ، کما هو شأن الکاهن والساحر وبعض حالات الشعر ، حیث یکون الإخبار عن بعض المغیّبات عبر ایحاء الجنّ أو الشیاطین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الغفلة أو التغافل عن بعض الحالات الاُخری الحاصلة من ترقّی النفس البشریّة وتقبّلها لتلقّی الأنوار الإلهیّة والتی تختلف تماماً عن الاُولی من جهة شخصیّة المرتبط وأخلاقه والتزامه ، ومن جهة قدرة من أرسله وسعة رحمته وعظم لطفه وجلیل کرمه وإحاطة علمه وقیّومیّته سبحانه وتعالی ، ومن جهة ما جاء به الرسول وأوصیاؤه صدقاً ومتانة ومطابقة للعقل والحکمة والفطرة ، ومن جهة الحجج والبراهین القاطعة علی صحّة مدّعاه ، ولذا أجابهم سبحانه</w:t>
      </w:r>
    </w:p>
    <w:p>
      <w:pPr>
        <w:pStyle w:val="BookText"/>
        <w:rPr/>
      </w:pPr>
      <w:r>
        <w:rPr>
          <w:rFonts w:ascii="Amiri" w:hAnsi="Amiri" w:eastAsia="Amiri" w:cs="Amiri"/>
          <w:color w:val="111111"/>
          <w:sz w:val="28"/>
          <w:sz w:val="28"/>
          <w:szCs w:val="28"/>
          <w:rtl w:val="true"/>
          <w:lang w:bidi="ar-SA"/>
        </w:rPr>
        <w:t xml:space="preserve">بقَسم مغلّظ فی سورة التکویر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 هذه الشخصیّة یستحیل علیها الکذب أو سیطرة الجنّ أو الشیاطین أو خطأ الحواسّ أو اختلالها أو البخل عن إبداء الحقائق النازلة إلیه والتی یراد لها التنزّل إلی مَن دونه ، فیتعیّن أن یکون حقّاً وصدقاً وهدایة للعالمین ، ولذا فلا یوجد خلل فی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لا یوجد خلل فی المرسِل سبحانه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شَیْ‌ءٍ قَدِیرٌ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أَحْسَنَ کُلَّ شَیْ‌ءٍ خَلَقَهُ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یَکُنْ لَهُ شَرِیکٌ فِی الْمُلْکِ وَ خَلَقَ کُلَّ شَیْ‌ءٍ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یُؤاخِذُ اللّهُ النّاسَ بِظُلْمِهِمْ ما تَرَکَ عَلَیْها مِنْ دَابَّةٍ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یُدَبِّرُ الْأَمْرَ یُفَصِّلُ الْآیاتِ لَعَلَّکُمْ بِلِقاءِ رَبِّکُمْ تُوقِنُونَ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w:t>
      </w:r>
    </w:p>
    <w:p>
      <w:pPr>
        <w:pStyle w:val="BookText"/>
        <w:rPr/>
      </w:pPr>
      <w:r>
        <w:rPr>
          <w:rFonts w:ascii="Amiri" w:hAnsi="Amiri" w:eastAsia="Amiri" w:cs="Amiri"/>
          <w:color w:val="111111"/>
          <w:sz w:val="28"/>
          <w:sz w:val="28"/>
          <w:szCs w:val="28"/>
          <w:rtl w:val="true"/>
          <w:lang w:bidi="ar-SA"/>
        </w:rPr>
        <w:t xml:space="preserve">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لیس هناک خلل ولا نقص فی الرسالة ، لا فی القرآن ولا فی السنّة ولا فی العترة المفسِّرة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أهل بیتی،و إنهما لن یفترقا حتی یردا علی الحوض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ولیس هناک خلل فی البراهین علی أصل الرسالة ولا علی خلودها واستمرارها وتمامیتها ، فهناک المعجزة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علی معاجز عدیدة سابقة ولاحقة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معاجز اخری 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تستقصی فی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الأدلّة العقلیّة الساطعة والنصوص النقلیّة القاطعة ، وقبل کلّ ذلک شهادة الفطرة وبداهة الفکرة ، فهل إلی إنکارِ المنکرین من سبیل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ما استعرضه القرآن الکریم من مدارس بشریة لإنکار أصل الارتباط بالسماء هی بعینها صیاغات ومدارس الفرق المنکرة لاستمرار الارتباط بالسماء وبقاء الخلافة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صیاغتان أو دعویان لتبریر انقطاع الارتباط بالسماء بقاءً مع الاعتراف بالحاجة إلیه وجوداً ، وهما وإن کانتا راجعتین إلی بعض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ظاهرهما خلاف ذلک ، فاقتضی التنبیه علی بطلانهما وعدم مغایرتهما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بقاء الارتباط بالسماء موجب لجمود البشریّة عن الحرکة والتطوّر وخمول التجربة عن الازدهار نزوعاً إلی التواکل واعتماداً علی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القول باستمرار هذا الاتّصال بالسماء هو نوع من الإفراط فی النزعة الباطنیة وتضییع للطاقات المادّیة والفکریة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الاعتدال أن نعترف بانقطاعه بعد الرسول محمّد صلی الله علیه و آله و سلم فإنّه المنطقة الوسطی بین إفراط الباطنیّة وتفریط المادّیة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هذه الدعوی ما یتبنّاه بعض العِلمانیین أو المتغرِّبین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أدعیاء الثقافة فی بلاد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ختم النبوّة وسرّ نهایة الوحی الإلهیّ هو تطوّر البشریّة ورُقیّ الفکر الإنسانی إلی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الإکتفاء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والاستغناء عن هدایة السماء من خلال العقل والمنطق والتجارب المدروسة والحقائق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فلا حاجة إلی وجود نبیّ آخر أو رابطٍ یرفد الناس بالعلم والمعرفة ، ولیس لأنّ هذه الشریعة خالدة ما دام الإنسان ، ذلک لأنّها ترکت الکثیر من مساحات الفراغ ولم تُجِب علی أبسط المسائل العلمیّة التجریبیّة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ذکرته هاتان المقولتان ، وهما بجمیع أشکالهما تتّفقان علی الاستغناء عن هدایة السماء ، غیر أنّ الأخیرة تملک التصوّر علی صعید التنظیر والتطبیق ، والأولی علی صعید التطبیق فحسب ، وإن کانت هی الاُخری تستدعی التنظیر أیضاً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واِن استخدمتا بریق المعانی المبهمة والألفاظ الرنّانة ، إلّاأنّهما واضحتا الوهن بیّنتا 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ابتعاد أکثر الناس عن السماء خلال قرون عدیدة لم یثمر سوی ضیاع الحقائق الدینیّة وتسافل القیم الخُلقیة وانتشار الأوبئة الروحیّة وتضارب المصالح المادّیة إلی أبعد الحدود ، حتّی صار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وحشاً ضاریاً لا یتورّع حتّی عن افتراس أخیه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نادرة فی الوحوش الکاسرة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 الجماعیّ للبشر لمجرّد شهوة أو نزوة أو حسد أو غضب ،</w:t>
      </w:r>
    </w:p>
    <w:p>
      <w:pPr>
        <w:pStyle w:val="BookText"/>
        <w:rPr/>
      </w:pPr>
      <w:r>
        <w:rPr>
          <w:rFonts w:ascii="IRNazanin" w:hAnsi="IRNazanin" w:eastAsia="IRNazanin"/>
          <w:color w:val="111111"/>
          <w:sz w:val="28"/>
          <w:sz w:val="28"/>
          <w:szCs w:val="28"/>
          <w:rtl w:val="true"/>
          <w:lang w:bidi="fa-IR"/>
        </w:rPr>
        <w:t xml:space="preserve">فضلاً عن اغتصاب حقوقهم ومصادرة حرّیاتهم وانتهاک حرماتهم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وصدق اللّه العلیّ العظیم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لأنّ الحیوان المفترس لا یقتل حیواناً آخر إلّالجوع أو خوف أو نحوهما من حاجاته الأساسیّة ، ولا یتلذّذ بسفک الدماء ولا یستعبد الحیوانات الاُخری وإنّما یأکل القویّ الضعیف عند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تمادی وتدنّی إلی أسفل من قانون الغاب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التطوّر والازدهار والتقدّم الفکری والاکتفاء الذاتی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النظرة الواقعیّة والحکمة والاعتدال ؟</w:t>
      </w:r>
    </w:p>
    <w:p>
      <w:pPr>
        <w:pStyle w:val="BookText"/>
        <w:rPr/>
      </w:pPr>
      <w:r>
        <w:rPr>
          <w:rFonts w:ascii="IRNazanin" w:hAnsi="IRNazanin" w:eastAsia="IRNazanin"/>
          <w:color w:val="111111"/>
          <w:sz w:val="28"/>
          <w:sz w:val="28"/>
          <w:szCs w:val="28"/>
          <w:rtl w:val="true"/>
          <w:lang w:bidi="fa-IR"/>
        </w:rPr>
        <w:t>فهل من الحکمة والاعتدال أن یتلذّذ فرد وتشقی امّة فی سبیل لذّته ، وهل من النظرة الواقعیّة إغفال الروح وتناسی قوانین العقل والفطرة</w:t>
      </w:r>
      <w:r>
        <w:rPr>
          <w:rStyle w:val="FootnoteAnchor"/>
          <w:rtl w:val="true"/>
        </w:rPr>
        <w:footnoteReference w:id="56"/>
      </w:r>
      <w:r>
        <w:rPr>
          <w:rFonts w:ascii="IRNazanin" w:hAnsi="IRNazanin" w:eastAsia="IRNazanin"/>
          <w:color w:val="111111"/>
          <w:sz w:val="28"/>
          <w:sz w:val="28"/>
          <w:szCs w:val="28"/>
          <w:rtl w:val="true"/>
          <w:lang w:bidi="fa-IR"/>
        </w:rPr>
        <w:t>وإشباع الغرائز والشهوات وقصر النظر علیها ؟</w:t>
      </w:r>
    </w:p>
    <w:p>
      <w:pPr>
        <w:pStyle w:val="BookText"/>
        <w:rPr/>
      </w:pPr>
      <w:r>
        <w:rPr>
          <w:rFonts w:ascii="IRNazanin" w:hAnsi="IRNazanin" w:eastAsia="IRNazanin"/>
          <w:color w:val="111111"/>
          <w:sz w:val="28"/>
          <w:sz w:val="28"/>
          <w:szCs w:val="28"/>
          <w:rtl w:val="true"/>
          <w:lang w:bidi="fa-IR"/>
        </w:rPr>
        <w:t xml:space="preserve">کلّا بل حَلیت الدنیا فی أعینهم وراقهم زِبرجُها فأنستهم ذکر 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المدارس الإلحادیّة بشتّی صورها ، کانت دعامتها الأساسیة لإنکار الرابطة بین السماء والأرض هی دعواهم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العالم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عالم الغیب وما وراء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منشأ ذلک الإنکار غلبة النزعة المادّیة المتأصّلة فی کیانهم ، والتی أدّت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إهمال الجانب الروحی وتناسیه أو إخضاعه إلی مقاییس المادّة وضوابطها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تأریخیة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والباحث لا یجد ذلک مقصوراً فی مجال الاعتقاد</w:t>
      </w:r>
    </w:p>
    <w:p>
      <w:pPr>
        <w:pStyle w:val="BookText"/>
        <w:rPr/>
      </w:pPr>
      <w:r>
        <w:rPr>
          <w:rFonts w:ascii="IRNazanin" w:hAnsi="IRNazanin" w:eastAsia="IRNazanin"/>
          <w:color w:val="111111"/>
          <w:sz w:val="28"/>
          <w:sz w:val="28"/>
          <w:szCs w:val="28"/>
          <w:rtl w:val="true"/>
          <w:lang w:bidi="fa-IR"/>
        </w:rPr>
        <w:t xml:space="preserve">والمذهب ، بل یری لمسات ذلک جلیّة حتّی فی کتابة التأریخ منذ العهود القدیمة وإلی العصور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فالملاحظ اهتمام المؤرّخین برصد حیاة الملوک والحکّام وأصحاب الفنون والعلوم ونحو ذلک ممّا یخصّ الحیاة المادیّة ، بعیداً عن ذکر السماء وعلاقة الناس بها ، بینما اتّبع القَصَص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والسماویّ 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الترکیز علی هدایة السماء وحاجة الناس إلیها وضرورة الارتباط بها وسلّط الضوء بالدرجة الأولی علی تأریخ الأنبیاء وسیرتهم وتکفّلهم بالسفارة الإلهیّة ، وأبرزهم وأوصیاءهم کنجوم بشریّة تنذر وتبشّر وتهدی إلی سواءالسبیل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والمأمول بعد کلّ ذلک أن یلتفت الإنسان إلی هذه الحقیقة ویؤوب إلی جادّة الاعتدال ، لأنّ وجوده لا یختصّ بالمادة والجسد ، بل هو مرکّب من الروح والبدن ، والروح موجود مجرّد عن المادّة فی الذات والإدراک والعدید من الأفعال</w:t>
      </w:r>
      <w:r>
        <w:rPr>
          <w:rStyle w:val="FootnoteAnchor"/>
          <w:rtl w:val="true"/>
        </w:rPr>
        <w:footnoteReference w:id="57"/>
      </w:r>
      <w:r>
        <w:rPr>
          <w:rFonts w:ascii="IRNazanin" w:hAnsi="IRNazanin" w:eastAsia="IRNazanin"/>
          <w:color w:val="111111"/>
          <w:sz w:val="28"/>
          <w:sz w:val="28"/>
          <w:szCs w:val="28"/>
          <w:rtl w:val="true"/>
          <w:lang w:bidi="fa-IR"/>
        </w:rPr>
        <w:t xml:space="preserve">ومقتضی الاعتدال الإقرار بتمام وجود الإنسان لا بعضه ، وأداء حقّ الروح وحقّ البدن 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النزعة البشریّة إلی المادّة ، فالمأمول أن تؤوب إلی جادّة الصواب إذا قام الإنسان بواجبه فی التدبّر والبحث عن الحقیقة ، فإنّ الدلائل علی عالم الغیب واضحة ، والحجج کثیرة وقاطعة ، وأسفر الصبح لذی عینین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من تأمّل فی خلق نفسه وحقیقة الروح التی تعیش فی بدنه وصفاتها وأفعالها ، وحقیقة الفطرة التی جُبل علیها ومن أین جاءت وکیف بدأت ، یعلم ویجزم بوجود عالم آخر غیر عالم المادّة ، فکیف إذا تعمّق فی أکثر من ذلک</w:t>
      </w:r>
      <w:bookmarkStart w:id="22" w:name="pg5252_44096"/>
    </w:p>
    <w:p>
      <w:pPr>
        <w:pStyle w:val="BookText"/>
        <w:rPr/>
      </w:pPr>
      <w:bookmarkEnd w:id="22"/>
      <w:r>
        <w:rPr>
          <w:rFonts w:ascii="IRNazanin" w:hAnsi="IRNazanin" w:eastAsia="IRNazanin"/>
          <w:color w:val="111111"/>
          <w:sz w:val="28"/>
          <w:sz w:val="28"/>
          <w:szCs w:val="28"/>
          <w:rtl w:val="true"/>
          <w:lang w:bidi="fa-IR"/>
        </w:rPr>
        <w:t>من مخلوقات معروفة أو مخلوقات مجهولة بعیدة المنال ؟</w:t>
      </w:r>
    </w:p>
    <w:p>
      <w:pPr>
        <w:pStyle w:val="BookText"/>
        <w:rPr/>
      </w:pPr>
      <w:r>
        <w:rPr>
          <w:rFonts w:ascii="IRNazanin" w:hAnsi="IRNazanin" w:eastAsia="IRNazanin"/>
          <w:color w:val="111111"/>
          <w:sz w:val="28"/>
          <w:sz w:val="28"/>
          <w:szCs w:val="28"/>
          <w:rtl w:val="true"/>
          <w:lang w:bidi="fa-IR"/>
        </w:rPr>
        <w:t xml:space="preserve">وسوفَ یزداد یقیناً کلّما ازداد وعیاً وخبرة ، وینبغی الاعتبار فی ماحلّ بساحة الغرب من طغیان وانحراف وضیاع نتیجة التشبّث بالمادّة والبعد عن تعالیم السماء </w:t>
      </w:r>
      <w:r>
        <w:rPr>
          <w:rFonts w:eastAsia="IRNazanin" w:cs="IRNazanin"/>
          <w:color w:val="111111"/>
          <w:sz w:val="28"/>
          <w:szCs w:val="28"/>
          <w:rtl w:val="true"/>
          <w:lang w:bidi="fa-IR"/>
        </w:rPr>
        <w:t>.</w:t>
      </w:r>
    </w:p>
    <w:p>
      <w:pPr>
        <w:pStyle w:val="Heading4"/>
        <w:numPr>
          <w:ilvl w:val="3"/>
          <w:numId w:val="1"/>
        </w:numPr>
        <w:rPr/>
      </w:pPr>
      <w:bookmarkStart w:id="23" w:name="__RefHeading___Toc422969_581953129"/>
      <w:bookmarkStart w:id="24" w:name="_Toc9"/>
      <w:bookmarkEnd w:id="23"/>
      <w:r>
        <w:rPr>
          <w:rtl w:val="true"/>
        </w:rPr>
        <w:t xml:space="preserve">النقطة الثانیة </w:t>
      </w:r>
      <w:r>
        <w:rPr>
          <w:rtl w:val="true"/>
        </w:rPr>
        <w:t xml:space="preserve">: </w:t>
      </w:r>
      <w:r>
        <w:rPr>
          <w:rtl w:val="true"/>
        </w:rPr>
        <w:t>القدسیّة رهینة الحقیقة</w:t>
      </w:r>
      <w:bookmarkEnd w:id="24"/>
    </w:p>
    <w:p>
      <w:pPr>
        <w:pStyle w:val="Heading5"/>
        <w:numPr>
          <w:ilvl w:val="4"/>
          <w:numId w:val="1"/>
        </w:numPr>
        <w:rPr/>
      </w:pPr>
      <w:bookmarkStart w:id="25" w:name="__RefHeading___Toc422971_581953129"/>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التقدیس حالة من حالات التعظیم والتنزیه والاحترام الفائق والخضوع التام لحقیقة من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فلان فلاناً ، إذا احترمه وقدّره ونزّهه وخضع له ، وبتحلیل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عن خضوع القوی العملیّة لدی النفس الناطقة للقوی الإدراکیّة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لدی النفس الناطقة مجموعة من القوی ، من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والشهویّة والغضبیّة والوهمیّة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والقوّة العقلیّة إمّا عقل نظریّ یستفاد منه فی ما ینبغی أن یدرک ویعرف ویعلم ، أو عقل عملیّ یستفاد منه فی ما ینبغی أن یفعل أو لا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ووظیفة 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الإدراک والعلم ، ووظیفة العملیّ وبقیة القوی الاُخری هی‌القبول والتسلیم بمدرکات العقل‌النظریّ وتفعیلها والعمل علی أساسها ، وبالتالی الخضوع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أدرکت النفس حقیقةً مّا وأذعنت بها بواسطة العقل النظریّ ، فطبیعة النفس بل الفطرة قاضیة بخضوع العقل العملیّ والقوی العملیّة الاُخری لما أدرکته قوّة العقل النظریّ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والمنشأ فی ذلک أنّ بقیة القوی لها بصیرة وقدرة علی الإدراک ، وتعرف أن قوّة</w:t>
      </w:r>
      <w:bookmarkStart w:id="27" w:name="pg5252_44097"/>
    </w:p>
    <w:p>
      <w:pPr>
        <w:pStyle w:val="BookText"/>
        <w:rPr/>
      </w:pPr>
      <w:bookmarkEnd w:id="27"/>
      <w:r>
        <w:rPr>
          <w:rFonts w:ascii="IRNazanin" w:hAnsi="IRNazanin" w:eastAsia="IRNazanin"/>
          <w:color w:val="111111"/>
          <w:sz w:val="28"/>
          <w:sz w:val="28"/>
          <w:szCs w:val="28"/>
          <w:rtl w:val="true"/>
          <w:lang w:bidi="fa-IR"/>
        </w:rPr>
        <w:t xml:space="preserve">العقل النظریّ هی الأکفأ والأقدر علی تمییز المدرکات والتعرّف علیها ، فلابدّ أن تشقّ طریقها للهدایة بتوسّط قوّة العقل النظریّ ، والتسلیم والخضوع له وعدم التمرّد علیه ، وإلّا لکانت فی غوایة وضلال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وحقیقة التقدیس هی خضوع القوی العملیّة للقوی الإدراکیّة ، فهی فعل من أفعال النفس ، والاحترام والتعظیم والتوقیر لحقیقةٍ مّا ادرکت بتوسّط العقل‌النظریّ ظاهرة صحیحة لازمة بمقتضی طبیعة وفطرة النفس الناطقة ، وخلاف ذلک إخلال مخالف للفطرة المودعة فی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ینبغی الخلط بین التقدیس الصحیح المبتنی علی ما ذکرناه ، وبین التقدیس الذی لا أساس له ولا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 فما یقال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القدسیّة المضفاة علی بعض العقائد والحقائق الثابتة نوع من الجمود العقلیّ وعقبة أمام قافلة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بتامّ ، وظاهر الضعف ، إذ الإنسان حینما یصل إلی حقیقة ما عبر مقدّمات صحیحة منتِجة ، لابدّ أن تأخذ هذه الحقیقة قسطاً من التقدیس والتنزیه والاحترام لدیه </w:t>
      </w:r>
      <w:r>
        <w:rPr>
          <w:rFonts w:eastAsia="IRNazanin" w:cs="IRNazanin"/>
          <w:color w:val="111111"/>
          <w:sz w:val="28"/>
          <w:szCs w:val="28"/>
          <w:rtl w:val="true"/>
          <w:lang w:bidi="fa-IR"/>
        </w:rPr>
        <w:t>.</w:t>
      </w:r>
    </w:p>
    <w:p>
      <w:pPr>
        <w:pStyle w:val="Heading5"/>
        <w:numPr>
          <w:ilvl w:val="4"/>
          <w:numId w:val="1"/>
        </w:numPr>
        <w:rPr/>
      </w:pPr>
      <w:bookmarkStart w:id="28" w:name="__RefHeading___Toc422973_581953129"/>
      <w:bookmarkStart w:id="29" w:name="_Toc11"/>
      <w:bookmarkEnd w:id="28"/>
      <w:r>
        <w:rPr>
          <w:rtl w:val="true"/>
        </w:rPr>
        <w:t>الشکّ بوّابة المعارف</w:t>
      </w:r>
      <w:bookmarkEnd w:id="29"/>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الشکّ یتولّد منه الأسئلة المختلفة ویوصل الإنسان إلی معرفة حقائق جدیدة ویدفع عجلة التطوّر إلی الأمام ؟ فإذا اصطدم بالقدسیّة فَقَدَ الإنسان کلّ ذلک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التشکیک منه ما هو مذموم قبیح ومُضرّ ، ومنه ما هو ممدوح حسن ونافع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التقسیم قد ذکر فی علم المنطق فی باب صناعة الجدل ، وأنّ المجادل یجب أن لا یعرِّض الحقائق الثابتة ، للتشکیک والتردید بخلاف الأمور النظریّة غیر المبرهنة </w:t>
      </w:r>
      <w:r>
        <w:rPr>
          <w:rFonts w:eastAsia="IRNazanin" w:cs="IRNazanin"/>
          <w:color w:val="111111"/>
          <w:sz w:val="28"/>
          <w:szCs w:val="28"/>
          <w:rtl w:val="true"/>
          <w:lang w:bidi="fa-IR"/>
        </w:rPr>
        <w:t>.</w:t>
      </w:r>
      <w:bookmarkStart w:id="30" w:name="pg5252_44098"/>
    </w:p>
    <w:p>
      <w:pPr>
        <w:pStyle w:val="BookText"/>
        <w:rPr/>
      </w:pPr>
      <w:bookmarkEnd w:id="30"/>
      <w:r>
        <w:rPr>
          <w:rFonts w:ascii="IRNazanin" w:hAnsi="IRNazanin" w:eastAsia="IRNazanin"/>
          <w:color w:val="111111"/>
          <w:sz w:val="28"/>
          <w:sz w:val="28"/>
          <w:szCs w:val="28"/>
          <w:rtl w:val="true"/>
          <w:lang w:bidi="fa-IR"/>
        </w:rPr>
        <w:t xml:space="preserve">والقرآن الکریم یصرّح مراراً وتکراراً بذمّ ذلک التشکیک ، کما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هُوَ مُسْرِفٌ مُرْتابٌ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ارْتابَتْ قُلُوبُهُمْ فَهُمْ فِی رَیْبِهِمْ یَتَرَدَّدُونَ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لکِنَّکُمْ فَتَنْتُمْ أَنْفُسَکُمْ وَ تَرَبَّصْتُمْ وَ ارْتَبْتُمْ وَ غَرَّتْکُمُ الْأَمانِیُّ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الآیات الذامّة للتشکیک والإرتیاب فی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ذمّت الآیات العدیدة الاُخری التقلید الأعمی للآباء والتقدیس للسّلف من دون دلیل </w:t>
      </w:r>
      <w:r>
        <w:rPr>
          <w:rFonts w:eastAsia="IRNazanin" w:cs="IRNazanin"/>
          <w:color w:val="111111"/>
          <w:sz w:val="28"/>
          <w:szCs w:val="28"/>
          <w:rtl w:val="true"/>
          <w:lang w:bidi="fa-IR"/>
        </w:rPr>
        <w:t>.</w:t>
      </w:r>
    </w:p>
    <w:p>
      <w:pPr>
        <w:pStyle w:val="Heading5"/>
        <w:numPr>
          <w:ilvl w:val="4"/>
          <w:numId w:val="1"/>
        </w:numPr>
        <w:rPr/>
      </w:pPr>
      <w:bookmarkStart w:id="31" w:name="__RefHeading___Toc422975_581953129"/>
      <w:bookmarkStart w:id="32" w:name="_Toc12"/>
      <w:bookmarkEnd w:id="31"/>
      <w:r>
        <w:rPr>
          <w:rtl w:val="true"/>
        </w:rPr>
        <w:t>الشکّ الضارّ المذموم</w:t>
      </w:r>
      <w:bookmarkEnd w:id="32"/>
    </w:p>
    <w:p>
      <w:pPr>
        <w:pStyle w:val="BookText"/>
        <w:rPr/>
      </w:pPr>
      <w:r>
        <w:rPr>
          <w:rFonts w:ascii="IRNazanin" w:hAnsi="IRNazanin" w:eastAsia="IRNazanin"/>
          <w:color w:val="111111"/>
          <w:sz w:val="28"/>
          <w:sz w:val="28"/>
          <w:szCs w:val="28"/>
          <w:rtl w:val="true"/>
          <w:lang w:bidi="fa-IR"/>
        </w:rPr>
        <w:t xml:space="preserve">فالقبیح من الشکّ ما کان یعرض علی الحقائق الثابتة التی أنتجتها المقدّمات الصحیحة والتی ابتنت علی سلامة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الإنسان إلی حقیقةٍ مّا بتوسّط مقدّمات صحیحة وأدلّة منتجة ، ثمّ بدأ یشکّک فی ما وصل إلیه ، واعترته حالة من التذبذب والتردّد ، فهذا یعنی أنّ الإدراکات العقلیّة غیر قادرة علی تولید الإذعان فی نفسه ، وعدم رضوخ القوی العمّالة لدیه إلی القوی الإدراکیّة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حالة مرضیّة تعتری النفس البشریّة ، إذ هو من سیطرة قوّة المخیلة أو الوهم أو القوی السفلیّة الاُخری علی القوی العاقلة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بقیت النفس ملتفتة دائماً إلی حالة الشکّ والتردید ، تکون حینئذ غیر سلیمة ، لأنّ الصحّة والسلامة فی التناسق والإنسجام بین قوی النفس ، ووضع کلّ شیء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والإدراک لما هو واقعیّ ؛ یجب أن یولّد الإذعان ، والإذعان</w:t>
      </w:r>
      <w:bookmarkStart w:id="33" w:name="pg5252_44099"/>
    </w:p>
    <w:p>
      <w:pPr>
        <w:pStyle w:val="BookText"/>
        <w:rPr/>
      </w:pPr>
      <w:bookmarkEnd w:id="33"/>
      <w:r>
        <w:rPr>
          <w:rFonts w:ascii="IRNazanin" w:hAnsi="IRNazanin" w:eastAsia="IRNazanin"/>
          <w:color w:val="111111"/>
          <w:sz w:val="28"/>
          <w:sz w:val="28"/>
          <w:szCs w:val="28"/>
          <w:rtl w:val="true"/>
          <w:lang w:bidi="fa-IR"/>
        </w:rPr>
        <w:t xml:space="preserve">یجب أن یولّد القدسیّة والاحترام من جانب قوّة العقل العملیّ وما دونها من القوی العمّالة ، بمعنی خضوعها وانقیادها ومتابعتها لمدرکات العقل النظریّ </w:t>
      </w:r>
      <w:r>
        <w:rPr>
          <w:rFonts w:eastAsia="IRNazanin" w:cs="IRNazanin"/>
          <w:color w:val="111111"/>
          <w:sz w:val="28"/>
          <w:szCs w:val="28"/>
          <w:rtl w:val="true"/>
          <w:lang w:bidi="fa-IR"/>
        </w:rPr>
        <w:t>.</w:t>
      </w:r>
    </w:p>
    <w:p>
      <w:pPr>
        <w:pStyle w:val="Heading5"/>
        <w:numPr>
          <w:ilvl w:val="4"/>
          <w:numId w:val="1"/>
        </w:numPr>
        <w:rPr/>
      </w:pPr>
      <w:bookmarkStart w:id="34" w:name="__RefHeading___Toc422977_581953129"/>
      <w:bookmarkStart w:id="35" w:name="_Toc13"/>
      <w:bookmarkEnd w:id="34"/>
      <w:r>
        <w:rPr>
          <w:rtl w:val="true"/>
        </w:rPr>
        <w:t>الشکّ قنطرة الحقیقة</w:t>
      </w:r>
      <w:bookmarkEnd w:id="35"/>
    </w:p>
    <w:p>
      <w:pPr>
        <w:pStyle w:val="BookText"/>
        <w:rPr/>
      </w:pPr>
      <w:r>
        <w:rPr>
          <w:rFonts w:ascii="IRNazanin" w:hAnsi="IRNazanin" w:eastAsia="IRNazanin"/>
          <w:color w:val="111111"/>
          <w:sz w:val="28"/>
          <w:sz w:val="28"/>
          <w:szCs w:val="28"/>
          <w:rtl w:val="true"/>
          <w:lang w:bidi="fa-IR"/>
        </w:rPr>
        <w:t xml:space="preserve">فالشکّ ما هو إلّاقنطرة ووسیلة ومقدّمة لتمحیص الحقائق والمعتقدات ، فإمّا أن یصل الإنسان بعد البحث والتحقیق إلی حالة الإذعان بالنفی أو الإذعان بالثبوت ، وأمّا بقاؤه مرابطاً فی منطقة الشکّ مع کفایة ما یصلح للاستدلال علی الحقیقة ، فإنّها حالة مرضیّة غیر طبیعیّة ، فإنّ حالة الشکّ عبارة عن تذبذب واضطراب وتحیّر فی النفس من جانب القوی العملیّة فی انصیاعها للقوی الإدراکیّة ومن ثمّ أرشدت الشریعة ونهت عن البقاء فی حالة الشکّ وعن جعل الیقین شکّاً کقوله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یقینکم شکا،و لا جزمکم تردیدا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أمثالها من تعابیر الروایات وفی العلوم الموروثة ، کالفلسفة والحکمة والکلام والأخلاق وغیرها ، والعلوم الحدیثة کالسیکولوجیا والإجتماع ، فإنّها تؤکد علی أنّ البقاء فی حالة الشکّ والتردّد سواء فی جانب الإدراکات العقلیّة أو غیرها هو حالة مرضیّة وسقم یصیب النفوس ، ولذا ورد عن الصادق علیه 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w:t>
      </w:r>
      <w:bookmarkStart w:id="36" w:name="pg5252_44100"/>
    </w:p>
    <w:p>
      <w:pPr>
        <w:pStyle w:val="BookText"/>
        <w:rPr/>
      </w:pPr>
      <w:bookmarkEnd w:id="36"/>
      <w:r>
        <w:rPr>
          <w:rFonts w:ascii="IRNazanin" w:hAnsi="IRNazanin" w:eastAsia="IRNazanin"/>
          <w:color w:val="111111"/>
          <w:sz w:val="28"/>
          <w:sz w:val="28"/>
          <w:szCs w:val="28"/>
          <w:rtl w:val="true"/>
          <w:lang w:bidi="fa-IR"/>
        </w:rPr>
        <w:t xml:space="preserve">أو ظن و أقام علی أحدهما،أحبط الله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الله هی الحجة الواضحة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الفخر الرازی مع ما أنتجته تشکیکاته من فوائد جمّة ، مات وهو فی حالة شکّ فی التوحید ، فلم ینفع نفسه فی الإدمان علی التشکیک وإن انتفع الآخرون من تشکیکاته عندما اتّخذوها مقدّمة للوصول إلی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الإدمان علی الشکّ موجب لعناد القوی العملیّة وعدم رضوخها للقوی العقلیّة ، فبقی علی حالة الشکّ ومات علیها ، وأصبح التشکیک عنده مطلوباً بالذات ، مع أنّ حقّه أن یُطلب بالعرض </w:t>
      </w:r>
      <w:r>
        <w:rPr>
          <w:rFonts w:eastAsia="IRNazanin" w:cs="IRNazanin"/>
          <w:color w:val="111111"/>
          <w:sz w:val="28"/>
          <w:szCs w:val="28"/>
          <w:rtl w:val="true"/>
          <w:lang w:bidi="fa-IR"/>
        </w:rPr>
        <w:t>.</w:t>
      </w:r>
    </w:p>
    <w:p>
      <w:pPr>
        <w:pStyle w:val="Heading5"/>
        <w:numPr>
          <w:ilvl w:val="4"/>
          <w:numId w:val="1"/>
        </w:numPr>
        <w:rPr/>
      </w:pPr>
      <w:bookmarkStart w:id="37" w:name="__RefHeading___Toc422979_581953129"/>
      <w:bookmarkStart w:id="38" w:name="_Toc14"/>
      <w:bookmarkEnd w:id="37"/>
      <w:r>
        <w:rPr>
          <w:rtl w:val="true"/>
        </w:rPr>
        <w:t>الشکّ الحسن الممدوح</w:t>
      </w:r>
      <w:bookmarkEnd w:id="38"/>
    </w:p>
    <w:p>
      <w:pPr>
        <w:pStyle w:val="BookText"/>
        <w:rPr/>
      </w:pPr>
      <w:r>
        <w:rPr>
          <w:rFonts w:ascii="IRNazanin" w:hAnsi="IRNazanin" w:eastAsia="IRNazanin"/>
          <w:color w:val="111111"/>
          <w:sz w:val="28"/>
          <w:sz w:val="28"/>
          <w:szCs w:val="28"/>
          <w:rtl w:val="true"/>
          <w:lang w:bidi="fa-IR"/>
        </w:rPr>
        <w:t xml:space="preserve">أمّا الشکّ الحسن ، فهو تدبّر النفس فی الأدلّة والفحص فی المقدّمات لمعرفة صحیحها من سقیمها وإثارته للکشف عن المجهولات ، فهو ممّا رغّبت إلیه الشریعة ویدفع باتّجاهه العقل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القدسیّة التی تحاط ببعض الثوابت والمعتقدات عائق أمام فتح المجال للتحقیق والتنقیب إن قُصِد منه التأمّل والتدبّر فی الأدلّة للوصول إلی الواقع والدعوة للفحص السلیم عن صحّة وسقم الأدلّة ، فهو ممّا لا شک فی رجحانه وحسنه ، ولا یخدش بقدسیّة المقدّس ولا یقلّل من سموّه ومنزلته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بمعنی البقاء علی حالة التردّد والشکّ والإرتیاب إلی نهایة المطاف والبناء العملیّ علی الشکّ وترتیب آثاره حتّی بعد قیام الدلیل الکافی علیه ، فهذا سلوک مَرَضیّ سقیم بإتّفاق العلوم القدیمة والحدیثة ، ویمکن أن نجیب عنه</w:t>
      </w:r>
      <w:r>
        <w:rPr>
          <w:rStyle w:val="FootnoteAnchor"/>
          <w:rtl w:val="true"/>
        </w:rPr>
        <w:footnoteReference w:id="65"/>
      </w:r>
      <w:bookmarkStart w:id="39" w:name="pg5252_44101"/>
    </w:p>
    <w:p>
      <w:pPr>
        <w:pStyle w:val="BookText"/>
        <w:rPr/>
      </w:pPr>
      <w:bookmarkEnd w:id="39"/>
      <w:r>
        <w:rPr>
          <w:rFonts w:ascii="IRNazanin" w:hAnsi="IRNazanin" w:eastAsia="IRNazanin"/>
          <w:color w:val="111111"/>
          <w:sz w:val="28"/>
          <w:sz w:val="28"/>
          <w:szCs w:val="28"/>
          <w:rtl w:val="true"/>
          <w:lang w:bidi="fa-IR"/>
        </w:rPr>
        <w:t xml:space="preserve">بما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أن لا نجعل شیئاً مقدّساً قبل البحث عنه ومن دون قیام دلیل علیه ، فکلامکم صحیح ، لکن لا یخالفکم علیه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أردتم أن لا یکون هناک مقدّس أصلاً حتّی بعد قیام الدلیل علیه ، فما فائدة البحث الذی تدعون إلیه ؟</w:t>
      </w:r>
    </w:p>
    <w:p>
      <w:pPr>
        <w:pStyle w:val="BookText"/>
        <w:rPr/>
      </w:pPr>
      <w:r>
        <w:rPr>
          <w:rFonts w:ascii="IRNazanin" w:hAnsi="IRNazanin" w:eastAsia="IRNazanin"/>
          <w:color w:val="111111"/>
          <w:sz w:val="28"/>
          <w:sz w:val="28"/>
          <w:szCs w:val="28"/>
          <w:rtl w:val="true"/>
          <w:lang w:bidi="fa-IR"/>
        </w:rPr>
        <w:t xml:space="preserve">ومن المهمّ التمییز بین المعنیین؛ فحینما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القدسیّة رهینة الحقیقة یعنی أنّها ظاهرة طبیعیّة معلولة للحقائق ، وهی کالسور والسیاج لحفظ الحقائق عن الإندراس والضیاع ، فهذا الخضوع والتقدیس والتعظیم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للحقائق الهامّة والمصیریة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ناشئ من سلامة القوی لدی الإنسان ، وعدمه مسبَّب عن سقم ومرض فی النفس البشریّة </w:t>
      </w:r>
      <w:r>
        <w:rPr>
          <w:rFonts w:eastAsia="IRNazanin" w:cs="IRNazanin"/>
          <w:color w:val="111111"/>
          <w:sz w:val="28"/>
          <w:szCs w:val="28"/>
          <w:rtl w:val="true"/>
          <w:lang w:bidi="fa-IR"/>
        </w:rPr>
        <w:t>.</w:t>
      </w:r>
    </w:p>
    <w:p>
      <w:pPr>
        <w:pStyle w:val="Heading4"/>
        <w:numPr>
          <w:ilvl w:val="3"/>
          <w:numId w:val="1"/>
        </w:numPr>
        <w:rPr/>
      </w:pPr>
      <w:bookmarkStart w:id="40" w:name="__RefHeading___Toc422981_581953129"/>
      <w:bookmarkStart w:id="41" w:name="_Toc15"/>
      <w:bookmarkEnd w:id="40"/>
      <w:r>
        <w:rPr>
          <w:rtl w:val="true"/>
        </w:rPr>
        <w:t xml:space="preserve">النقطة الثالثة </w:t>
      </w:r>
      <w:r>
        <w:rPr>
          <w:rtl w:val="true"/>
        </w:rPr>
        <w:t xml:space="preserve">: </w:t>
      </w:r>
      <w:r>
        <w:rPr>
          <w:rtl w:val="true"/>
        </w:rPr>
        <w:t>معانی التوحید والشرک</w:t>
      </w:r>
      <w:bookmarkEnd w:id="41"/>
    </w:p>
    <w:p>
      <w:pPr>
        <w:pStyle w:val="BookText"/>
        <w:rPr/>
      </w:pPr>
      <w:r>
        <w:rPr>
          <w:rFonts w:ascii="IRNazanin" w:hAnsi="IRNazanin" w:eastAsia="IRNazanin"/>
          <w:color w:val="111111"/>
          <w:sz w:val="28"/>
          <w:sz w:val="28"/>
          <w:szCs w:val="28"/>
          <w:rtl w:val="true"/>
          <w:lang w:bidi="fa-IR"/>
        </w:rPr>
        <w:t xml:space="preserve">للتوحید والشرک معانٍ متعدّدة ، من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فی الذات الإلهیّة ، بمعنی أنّ اللّه واحد لا شریک له ولا نظیر ، وأنّه لم یلد ولم یولد ولم یکن له کفواً أحد؛ ویقابله الشرک فی الذات والقول بتعدّد الآلهة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فی الصفات ، ومعناه أنّ الصفات الواجبة عین الذات ، وأنّ الصفات الجیّدة فی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الإمکانیّة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لتلک الصفات الأزلیّة ، ومسبَّبة عنها ولیست عینها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فی الأفعال ، ومعناه أنّ کلّ الأفعال فی الکون مستندة إلی إیجاده تعالی ، وکذا أفعال الفاعل المختار من المخلوقات هی بتمکینه تعالی للفاعل المختار ، ولا حول ولا قوّة إلّاباللّه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فی العبادة ، ومعناه أنّ العبادة حقّ له تعالی ، وأنّه لا یستحقّ العبادة</w:t>
      </w:r>
    </w:p>
    <w:p>
      <w:pPr>
        <w:pStyle w:val="BookText"/>
        <w:rPr/>
      </w:pPr>
      <w:r>
        <w:rPr>
          <w:rFonts w:ascii="IRNazanin" w:hAnsi="IRNazanin" w:eastAsia="IRNazanin"/>
          <w:color w:val="111111"/>
          <w:sz w:val="28"/>
          <w:sz w:val="28"/>
          <w:szCs w:val="28"/>
          <w:rtl w:val="true"/>
          <w:lang w:bidi="fa-IR"/>
        </w:rPr>
        <w:t xml:space="preserve">سواه ؛ ویقابله الشرک فیها بمعنی عبادة غیر المستحقّ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فی الطاعة ، وهو من التوحید فی الأفعال أیضاً فی الفاعل المختار بمعنی أن تکون أفعاله ناشئة من متابعة اللّه والإنقیاد إلی إرادته ومشیئته التشریعیّة أی أنّه لا طاعة لأحد سواه ، وأنّ طاعة غیره إنّما تکون بإذنه وأمره لرجوعها إلی طاعته ، وإلّا کانت شرکاً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والقرآن الکریم فی آیاته المکّیة وإن لم یرکّز الضوء علی التوحید ونفی الشرک فی الطاعة وإنّما رکّز علی التوحید فی الأقسام السابقة ، إذ کان کفّار قریش مشرکین لا ملحدین ، ولم یکونوا منکرین لأصل معرفة اللّه کما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فکانوا مشرکین فی الذات وفی العبادة أیضاً ولذا ترکّز البحث فی الآیات المکّیة علی نفی ذلک الشرک وما یناسبه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الآیات المدنیّة ، فإنّ الترکیز فیها قد انصبّ علی القسم الأخیر والنهی عن عقیدة الشرک فی الطاعة ، فهی تدعو إلی طاعة اللّه وطاعة من أمر اللّه بطاعته واتّباعه والتسلیم له من جهته ، والنهی عن طاعة غیر اللّه تعالی بدون إذنه من جهة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والآیات فی ذلک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فاعتبرهم کفّاراً لأنّهم عصوا ولم یطیعوا اللّه والرسول ، وأطاعوا سادتهم</w:t>
      </w:r>
    </w:p>
    <w:p>
      <w:pPr>
        <w:pStyle w:val="BookText"/>
        <w:rPr/>
      </w:pPr>
      <w:r>
        <w:rPr>
          <w:rFonts w:ascii="IRNazanin" w:hAnsi="IRNazanin" w:eastAsia="IRNazanin"/>
          <w:color w:val="111111"/>
          <w:sz w:val="28"/>
          <w:sz w:val="28"/>
          <w:szCs w:val="28"/>
          <w:rtl w:val="true"/>
          <w:lang w:bidi="fa-IR"/>
        </w:rPr>
        <w:t xml:space="preserve">وکبراءهم ممّن لم یأذن اللّه تعالی بطاعتهم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فاعتبر طاعة أولیاء الشیطان شرکاً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القرآن علی النهی عن طاعة الکفّار من أهل الکتاب وغیرهم ، وعن طاعة المنافقین والظالمین والآثمین</w:t>
      </w:r>
      <w:r>
        <w:rPr>
          <w:rStyle w:val="FootnoteAnchor"/>
          <w:rtl w:val="true"/>
        </w:rPr>
        <w:footnoteReference w:id="69"/>
      </w:r>
      <w:r>
        <w:rPr>
          <w:rFonts w:ascii="Amiri" w:hAnsi="Amiri" w:eastAsia="Amiri" w:cs="Amiri"/>
          <w:color w:val="111111"/>
          <w:sz w:val="28"/>
          <w:sz w:val="28"/>
          <w:szCs w:val="28"/>
          <w:rtl w:val="true"/>
          <w:lang w:bidi="ar-SA"/>
        </w:rPr>
        <w:t xml:space="preserve">، بل نهی عن طاعة أکثر من فی الأرض ، لأنّهم لا یرتبطون بالسماء ، ولم یؤذن فی إطاعتهم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تُطِعْ أَکْثَرَ مَنْ فِی الْأَرْضِ یُضِلُّوکَ عَنْ سَبِیلِ اللّهِ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عقّب ذلک بما یفید التعلیل وحکمة النهی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فلا یفلح الإنسان ولا یهتدی إلّابالرجوع إلی السماء للتعرف علی المهتدین الصالحین للإتّباع والتأسّی وعلی الضالّین المضلّین للحذر منهم ومن سلوکهم وضلالاتهم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تلک الآیة وما قبلها دلّت علی استخلافه تعالی لخلیفة فی الأرض وأنّه مؤهّل للعلم ، قادر علی إنباء الملائکة بما لا یعلمون ، وأنّه أفضل منهم وعلیهم طاعته والتعلّم منه والخضوع والسجود له ، وأنّ من لم یسجد له فقد کفر</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 عدم الطاعة لمن أمر اللّه بطاعته شرک وکفر واستکبار ، وإلّا فإبلیس لم یکفر باللّه ولم یدع إلهاً غیره ، وإنّما عصاه فی عدم الخضوع لمن أمر بالخضوع له ، فهو شرک طاعة وشرک تمرّدٍ علی خلیفة اللّه وولیّه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القصّة المبارکة قد کرّرها القرآن الکریم سبع مرّات فی السور المدنیّة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ذمّ القرآن الکریم أهل الکتاب لإطاعتهم أحبارهم ورهبانهم فی غیر ما أذن اللّه تعالی ، واعتبرهم کفّاراً یعبدون أحبارهم ورهبانهم؛ وذلک لأنّ أحبارهم أمروهم بعبادة عیسی واتّخاذه إلهاً بدون حجّة فأطاعوهم ، وأمروهم بالاعتقادات الباطلة مثل أنّ عیسی علیه السلام ابن اللّه أو أنّ عزیر ابن اللّه ، فاتّبعوهم بغیر علم ، فذمّهم واعتبر ذلک عبادة لهم؛ فقال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مع أنّ أهل الکتاب لا یعتبرون علماءهم أرباباً بالمعنی المعروف للربوبیّة کما هو واضح ، فیکون المقصود مجرّد الطاعة فی غیر ما أذن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دعواهم إلی عبادة أنفسهم ، و لو دعواهم إلی عبادة أنفسهم ما أجابوهم ،و لکن أحلوا لهم حراما و حرموا علیهم حلالا ، فعبدوهم من حیث لا یشعرون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أطاعوهم فی معصیة الله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ویمکن استخلاص ذلک من سیاق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کُنْتُمْ تُحِبُّونَ اللّهَ فَاتَّبِعُونِی یُحْبِبْکُمُ اللّهُ وَ یَغْفِرْ لَکُمْ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ومفهوم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تتّبعونی فلستم تحبّون اللّه ، فجعلت علامة صدق محبّة اللّه والایمان به ، ولازمه هو متابعة من أمر اللّه بطاعته واتّباعه والإنقیاد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والکثیر من الآیات التی قرنت بین طاعته صلی الله علیه و آله و سلم وطاعة اللّه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 .</w:t>
      </w:r>
      <w:r>
        <w:rPr>
          <w:rStyle w:val="FootnoteAnchor"/>
          <w:rtl w:val="true"/>
        </w:rPr>
        <w:footnoteReference w:id="8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اعتبرت الآیات المتبوع والمحبوب بدون إذن اللّه تعالی ندّاً مقابلاً للّه عزّ وجلّ ، فالندّیّة فی هذه الآیات لیست ندّیّة من قبیل عبادة الأصنام ، وإنّما هی</w:t>
      </w:r>
    </w:p>
    <w:p>
      <w:pPr>
        <w:pStyle w:val="BookText"/>
        <w:rPr/>
      </w:pPr>
      <w:r>
        <w:rPr>
          <w:rFonts w:ascii="IRNazanin" w:hAnsi="IRNazanin" w:eastAsia="IRNazanin"/>
          <w:color w:val="111111"/>
          <w:sz w:val="28"/>
          <w:sz w:val="28"/>
          <w:szCs w:val="28"/>
          <w:rtl w:val="true"/>
          <w:lang w:bidi="fa-IR"/>
        </w:rPr>
        <w:t xml:space="preserve">باعتبار اتّباع من لم یأمر اللّه بطاعته وتولّیه ، بل أمر بالتبرّی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فإطاعة جماعة لجماعة سالفة لم یأمر اللّه عزّ وجلّ باتّباعهم هو نوع من أنواع الشرک ، وجعل الندّ له تعالی یؤدّی إلی بطلان جمیع الأعمال ویجعل أعمالهم حسرات علیهم ویجرّهم إلی الخلود فی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مقابل ذلک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فأمر تعالی بتولّی الرسول صلی الله علیه و آله و سلم وتولّی من أقام الصلاة وآتی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الرکوع ، والولایة تعنی الأوْلی بکم والوالی علیکم ولزوم الإطاعة والانقیاد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فإنّها دلّت علی لزوم طاعة الرسول وأولی الأمر ووجوب ذلک ، ولکنّ العاصی لهذا الواجب لا یخرج عن الإسلام بذلک وإن کان مشرکاً فی الطاعة وعاصیاً مهملاً لفریضة من فرائض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فهذه الآیة الکریمة مع کونها مکّیة النزول تعرّضت للتوحید ونفی الشرک فی طاعة ولیّ اللّه والتسلیم بما اختاره اللّه وطاعة من أمر بطاعته ، وأنّ هذا الموضوع إلزامیّ ولیس لأحد أن یختار غیر ما اختاره اللّه ، أو ینتخب غیر مَن عیّنه اللّه تعالی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فقیّد سبحانه وجود الإیمان والتوحید بطاعته صلی الله علیه و آله و سلم وتمام متابعته والإنقیاد والتسلیم له فی القول والفعل ، والرضا به نفسیّاً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فالعقیدة التوحیدیّة منوطة بمنتهی الطاعة العملیّة والقلبیّة للرسول صلی الله علیه و آله و سلم ، وتعتبر التمرّد علیه صلی الله علیه و آله و سلم شرکاً قلبیّاً ، ووجه إناطة التوحید والإیمان بطاعة من أمر اللّه بطاعته ، وتلازم أقسام التوحید الخمسة هو أنّ مَن یوحّد اللّه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یسلّم بنبوّة النبیّ الخاتم صلی الله علیه و آله و سلم أو یذعن بإمامة وولایة الوصیّ ، فلا یقبل منه ذلک ، لکونه یؤول إلی عدم الإذعان بالذات الأزلیّة اللّامحدودة فی القدرة واللّامحدودة فی کلّ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بسط وجه التلازم بینها وأنّه کیف یؤول إلی تحدید الذات والقول بالذات غیر الأزلیّة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فإنّها دلّت علی نفس المضمون ، وأنّ التسلیم وعدم فرض الرأی والإذعان باختیار اللّه والرسول من شروط الإیمان ، وبدون ذلک لا یتمّ الإیمان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لدی أصحاب الحدیث من العامّة وجماعة السلفیّین وأتباع مذهب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یرکّز علی التوحید فی مقابل عقیدة الشرک ، حیث أنّ کفّار قریش والجزیرة العربیّة قبل الإسلام لم یکونوا ملحدین ،</w:t>
      </w:r>
      <w:bookmarkStart w:id="42" w:name="pg5252_44108"/>
    </w:p>
    <w:p>
      <w:pPr>
        <w:pStyle w:val="BookText"/>
        <w:rPr/>
      </w:pPr>
      <w:bookmarkEnd w:id="42"/>
      <w:r>
        <w:rPr>
          <w:rFonts w:ascii="Amiri" w:hAnsi="Amiri" w:eastAsia="Amiri" w:cs="Amiri"/>
          <w:color w:val="111111"/>
          <w:sz w:val="28"/>
          <w:sz w:val="28"/>
          <w:szCs w:val="28"/>
          <w:rtl w:val="true"/>
          <w:lang w:bidi="ar-SA"/>
        </w:rPr>
        <w:t xml:space="preserve">بل کانوا یشرکون مع اللّه غیره ، کما تصرّح بذلک العدید من الآیات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ومن ثَمّ رکّز القرآن الکریم علی نفی الشرک فی العقیدة والعبادة ، ومن هنا قالوا بأنّ تشدّد القرآن یتمحور حول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وإن سبقهم فیه بقیة الطوائف الإسلامیّة إلّاأنّ العقیدة التوحیدیّة ونفی الشرکیّة فی القرآن الکریم ،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فالآیات المکّیّة رکّزت علی التوحید فی الذات والصفات والعبادة ، وأمّا الآیات المدنیّة فقد رکّزت علی التوحید فی الطاعة ونفی الشرک فیها ، أی توحید اللّه فی طاعة من أمر اللّه بطاعته ، ونفی الشرک فی طاعة من لم یأمر اللّه بطاعته ونهی عنها ، کما تقدّمت الإشارة إلی ذلک فی المقدّمة السابقة </w:t>
      </w:r>
      <w:r>
        <w:rPr>
          <w:rFonts w:eastAsia="IRNazanin" w:cs="IRNazanin"/>
          <w:color w:val="111111"/>
          <w:sz w:val="28"/>
          <w:szCs w:val="28"/>
          <w:rtl w:val="true"/>
          <w:lang w:bidi="fa-IR"/>
        </w:rPr>
        <w:t>.</w:t>
      </w:r>
    </w:p>
    <w:p>
      <w:pPr>
        <w:pStyle w:val="Heading4"/>
        <w:numPr>
          <w:ilvl w:val="3"/>
          <w:numId w:val="1"/>
        </w:numPr>
        <w:rPr/>
      </w:pPr>
      <w:bookmarkStart w:id="43" w:name="__RefHeading___Toc422983_581953129"/>
      <w:bookmarkStart w:id="44" w:name="_Toc16"/>
      <w:bookmarkEnd w:id="43"/>
      <w:r>
        <w:rPr>
          <w:rtl w:val="true"/>
        </w:rPr>
        <w:t xml:space="preserve">النقطة الرابعة </w:t>
      </w:r>
      <w:r>
        <w:rPr>
          <w:rtl w:val="true"/>
        </w:rPr>
        <w:t xml:space="preserve">: </w:t>
      </w:r>
      <w:r>
        <w:rPr>
          <w:rtl w:val="true"/>
        </w:rPr>
        <w:t>الوحدة الإسلامیّة وفریضة الاعتصام باللّه</w:t>
      </w:r>
      <w:bookmarkEnd w:id="44"/>
    </w:p>
    <w:p>
      <w:pPr>
        <w:pStyle w:val="BookText"/>
        <w:rPr/>
      </w:pPr>
      <w:r>
        <w:rPr>
          <w:rFonts w:ascii="IRNazanin" w:hAnsi="IRNazanin" w:eastAsia="IRNazanin"/>
          <w:color w:val="111111"/>
          <w:sz w:val="28"/>
          <w:sz w:val="28"/>
          <w:szCs w:val="28"/>
          <w:rtl w:val="true"/>
          <w:lang w:bidi="fa-IR"/>
        </w:rPr>
        <w:t>البحث فی العقائد وتحقیقها ، هل ینافی الوحدة الإسلامیّة ؟</w:t>
      </w:r>
    </w:p>
    <w:p>
      <w:pPr>
        <w:pStyle w:val="BookText"/>
        <w:rPr/>
      </w:pPr>
      <w:r>
        <w:rPr>
          <w:rFonts w:ascii="Amiri" w:hAnsi="Amiri" w:eastAsia="Amiri" w:cs="Amiri"/>
          <w:color w:val="111111"/>
          <w:sz w:val="28"/>
          <w:sz w:val="28"/>
          <w:szCs w:val="28"/>
          <w:rtl w:val="true"/>
          <w:lang w:bidi="ar-SA"/>
        </w:rPr>
        <w:t xml:space="preserve">لا شکّ فی حثّ القرآن الکریم والسنّة النبویّة علی الاتّحاد والتکاتف بین المسلمین ، وأنّهم کالجسد الواحد إذا اشتکی منه عضو تداعت له سائر الأعضاء بالسهر والحمّی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فقضیّة الوحدة الإسلامیّة قضیّة مسلّمة أجمعت علیها الأمّة ودلّت علیها الأدلّة القطعیّة ، ولکن هل أنّ البحث فی العقائد الحقّة ینافی ذلک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أنّه لا ینافیه ولا یعارضه ولا یخدش فیه قید أنملة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لأنّ طرح النظریات المتبنّاة من الفرق المختلفة حول الزعامة والقیادة للمسلمین ، ومداولة الأوراق المطروحة فی بورصة التحقیق ، إذا کان بحثاً عن الحقیقة للحقیقة وعلی طاولة الإنصاف وبنحو لا یتصادم مع توحید الصفّ فی المشترکات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الطرح وهذا البحث لیس تکریساً للفرقة ولا تشتیتاً للاُمّة ، بل لا یعدو الامتثال للواجب والأداء للفریضة التی یقطع بها العقل ویؤکّدها النقل ، حتّی أنّ نفس هذه الآیة الکریمة تدلّ علی وجوب الوحدة من خلال التمسّک بحبل اللّه ، لا الوحدة کیفما وقعت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قطب الاتّحاد هذا الحبل ومرکز الاتّفاق هذا الاتّصال ، وهو حبل طرفه بین أیدینا وطرفه الآخر عند اللّه تعالی ، فهو حبل الاتّصال بالسماء وجوهر الارتباط بالکامل المطلق الواحد الأحد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للتعدیة فیکون الحبل هو المعتصَم به ومفعول الإعتصام ، وإمّا للإلصاق فهو تقیید للإعتصام بالحبل ولیس کل إعتصام ، أو للإستعانة ، فیکون الحبل وسیلة للإجتماع وعوناً علی الاتّحاد ، وکیف کان فالمطلوب هو الإعتصام بالحبل والتمسّک به والإلتفاف حوله والتجمّع من خلاله لا مجرّد الاتّحاد ولو کان علی اللات والعزّی والظلم والطاغوت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 التعبیر بالحبل فی الآیة الکریمة والحدیث النبویّ الشریف من لطف وظرافة ومناسبة ، فهو إمّا تشبیه کما ینبغی أن تکون علیه جماعة المسلمین من التکاتف والترابط بحیث تکون کالحبل الواحد المتجمّع من خیوط منفصلة المشدود برکن وثیق ، أو تشبیه للمسلمین فی حاجتهم إلی حبل اللّه بالغریق المتمسّک بحبل النجاة ، وذلک من خلال تضمین الفعل معنی التمسّک لتکون</w:t>
      </w:r>
    </w:p>
    <w:p>
      <w:pPr>
        <w:pStyle w:val="BookText"/>
        <w:rPr/>
      </w:pPr>
      <w:r>
        <w:rPr>
          <w:rFonts w:ascii="IRNazanin" w:hAnsi="IRNazanin" w:eastAsia="IRNazanin"/>
          <w:color w:val="111111"/>
          <w:sz w:val="28"/>
          <w:sz w:val="28"/>
          <w:szCs w:val="28"/>
          <w:rtl w:val="true"/>
          <w:lang w:bidi="fa-IR"/>
        </w:rPr>
        <w:t xml:space="preserve">الغایة حصول العصمة من الهلاک والضلال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التمحیص عن صحیح المقال من الفرق والطوائف والمذاهب إلّافحصاً عن الحبل الذی أمرنا بالإعتصام والتمسّک به للنجاة لیکون الأساس الذی ترسو علیه الوحدة المأمور بها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تَفَرَّقُوا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 المقطع إمّا تأکید للمقطع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فسّرناه بلزوم تمسّک الجمیع بالحبل وعدم تفرّق بعضهم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فریضة اخری لها کمال المناسبة مع الأولی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إعتصموا وتمسّکوا جمیعاً بحبل اللّه ، ثمّ أمر بعدم التفرّق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الحثّ والتأکید علی فریضة الاتّحاد وعدم التفرّق موجّه إلی کلّ مَن دخل فی حظیرة الإسلام وتشهّد بالشهادتین ، فتوفّرت له حصانة الإسلام وحقن دمه وحُرِّم مالُه وعرضُه وفتحت أبواب الارتباط به ، وحلّت مناکحته ، وکان له ما للمسلمین ، وعلیه ما علیهم ، ممّا یدلّ علی أنّ المسلمین وإن اشترکوا فی مثل تلک الأحکام الاجتماعیة العامّة واشترکوا فی وجوب الذبّ عن بیضة الإسلام ومقدّساته ومدافعة أعداء الدین صفّاً واحداً وحمایة الثغور ودفع الفئة الباغیة إذا اقتتلت فئتان منهم ، والأمر بالمعروف وتثبیته والنهی عن المنکر ودفعه فی مختلف أصعدة حیاتهم ، وغیر ذلک من الأحکام السیاسیّة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واشترکوا فی توزیع بیت المال وموارده المالیّة والطبیعیّة ، ووجوب الوفاء بالعقود بینهم ، وغیر ذلک من الأحکام الاقتصادیّة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اشترکوا فی إقامة الحدود والتعزیرات ، وإقامة القسط والعدل فی فصل التنازع والخصومات ، ونحو ذلک من الأحکام القضائیّة والجزائیّة العامّة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واشترکوا فی إقامة الصلاة ، وإیتاء الزکاة ، واستقبال القبلة ، وأداء الصیام ،</w:t>
      </w:r>
    </w:p>
    <w:p>
      <w:pPr>
        <w:pStyle w:val="BookText"/>
        <w:rPr/>
      </w:pPr>
      <w:r>
        <w:rPr>
          <w:rFonts w:ascii="IRNazanin" w:hAnsi="IRNazanin" w:eastAsia="IRNazanin"/>
          <w:color w:val="111111"/>
          <w:sz w:val="28"/>
          <w:sz w:val="28"/>
          <w:szCs w:val="28"/>
          <w:rtl w:val="true"/>
          <w:lang w:bidi="fa-IR"/>
        </w:rPr>
        <w:t xml:space="preserve">والحجّ ، وغیرها من الأحکام العبادیّة والروحیّة العامّة ، بالإضافة إلی اشتراکهم قبلُ فی الإیمان باللّه وتوحیده ، وبنبوّة نبیّه الخاتم صلی الله علیه و آله و سلم ، وبالکتاب المنزل علیه صلی الله علیه و آله و سلم ، والاعتقاد بیوم الحساب ، والعقاب والثواب ، وغیر ذلک من الأحکام العقائدیّة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من ناحیة الأدلّة الفقهیّة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المصالح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إشتراک المسلمین فی کلّ ذلک عقیدةً وعبادةً وقضاءً وجزاءً وسیاسةً واقتصاداً وحصانةً وحقوقاً لهم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بنی علیه مشهور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ما یسمّی أحکام الإسلام فی قبال أحکام الإیمان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هل إنّ هذه الحقیقة الفقهیّة تتصادم مع ذکر العقائد وتحقیقها ؟ وهل هناک تنافٍ بین آیة التآخی والإجتماع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تحقیق العقیدة وتحصیل المذهب الحق ؟</w:t>
      </w:r>
    </w:p>
    <w:p>
      <w:pPr>
        <w:pStyle w:val="BookText"/>
        <w:rPr/>
      </w:pPr>
      <w:r>
        <w:rPr>
          <w:rFonts w:ascii="IRNazanin" w:hAnsi="IRNazanin" w:eastAsia="IRNazanin"/>
          <w:color w:val="111111"/>
          <w:sz w:val="28"/>
          <w:sz w:val="28"/>
          <w:szCs w:val="28"/>
          <w:rtl w:val="true"/>
          <w:lang w:bidi="fa-IR"/>
        </w:rPr>
        <w:t xml:space="preserve">کلّا وکلّا فإنّ هذه الحقیقة الفقهیّة والآیة الکریمة لا ینافیان ذلک البحث سواء کانت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مؤکّداً لسابقها ، أو فرضاً جدیداً ، وإن أقررنا أنّها آیة عزیمة لا رخصة ، لأنّها من قبیل تحدید الإعتصام بحبل اللّه وبیان کیفیّته إذ أنّه أمر أوّلاً بالاعتصام ، فقد یُتوهّم أنّ ذلک یعنی لزوم التمسّک بحبل اللّه ولو استلزم الفرقة والتشتّت ، فأکّد مراده وبیّن لزوم کون الإعتصام بنحو لا یوجب الفرقة بل یکون منشأ للاتّحاد والإجتماع والألفة والإشتراک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عدم التصادم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أنواع التوحّد الثابتة فقهیّاً والمأمور بها قرآنیّاً وروائیّاً ، لا تحقّق الحصن المنیع والحفظ من الغوایة إلّاإذا تمّ الاعتصام بحبل اللّه ، وإذا لم ترسُ علیه وتستند إلیه ، فهی وحدة صوریّة سیاسیّة لا جوهریّة حقیقیّة ، فإنّهم وإن اشترکوا فی کلّ ذلک إلّاأنّ هذه المظاهر من الوحدة وسبل النجاة</w:t>
      </w:r>
    </w:p>
    <w:p>
      <w:pPr>
        <w:pStyle w:val="BookText"/>
        <w:rPr/>
      </w:pPr>
      <w:r>
        <w:rPr>
          <w:rFonts w:ascii="IRNazanin" w:hAnsi="IRNazanin" w:eastAsia="IRNazanin"/>
          <w:color w:val="111111"/>
          <w:sz w:val="28"/>
          <w:sz w:val="28"/>
          <w:szCs w:val="28"/>
          <w:rtl w:val="true"/>
          <w:lang w:bidi="fa-IR"/>
        </w:rPr>
        <w:t xml:space="preserve">تتهدّدها الفرقة والهلکة ، ویفتّ فی عضدها الشقاق والإنحراف والضلال ما لم یمتثل المسلمون ما فرضه اللّه علیهم وهو الإعتصام بحبله تعالی ، لأنّه هو الأمان من الفرقة والهلکة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یعطی معنی أنّ الحبل‌دعامة تدور علیها رحی الإسلام وتلتفّ حوله بقیة الأحکام وترتکز علیه خیمة المجتمع الإسلامیّ وهو مصدر قوّتهم وعزّتهم ونجاحهم وفلاحهم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تلک الأبواب التی اشترکوا فیها لا تحمیهم من التنازع فیها ، سواء باب القضایا الاجتماعیّة أم السیاسیّة أم باب الاقتصاد أم القضاء والأمن أم العقائد أم مصادر العلم بالدین الحنیف أم منابع التقنین والتشریع ، وذلک الحبل هو المتکفّل لحلّ الاختلاف فی تلک الأبواب وغیرها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لعمرک رأیت باباً یُطرق أهمّ من هذا الباب ، وملاذاً یُلجأ إلیه أوسع من هذا الملاذ ، وحبلاً تتّسق به خرز الدین ، أقوی وأمتن من هذا الحبل الوثیق ؟</w:t>
      </w:r>
    </w:p>
    <w:p>
      <w:pPr>
        <w:pStyle w:val="BookText"/>
        <w:rPr/>
      </w:pPr>
      <w:r>
        <w:rPr>
          <w:rFonts w:ascii="IRNazanin" w:hAnsi="IRNazanin" w:eastAsia="IRNazanin"/>
          <w:color w:val="111111"/>
          <w:sz w:val="28"/>
          <w:sz w:val="28"/>
          <w:szCs w:val="28"/>
          <w:rtl w:val="true"/>
          <w:lang w:bidi="fa-IR"/>
        </w:rPr>
        <w:t xml:space="preserve">خصوصاً وأنّ فی استخدام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نکتتین ظریفتین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الحبل عادة یستخدم للنجاة ، ویکون أحد طرفیه عند المنقِذ وطرفه الآخر فی ید المنقَذ ، وهذا یدلّ علی استمرار الاتّصال بالسماء وعدم الإکتفاء بما وصل إلینا من أحکام وأدلّة ونظریّات عقلیّة ونقلیّة ، بل لابدّ من التمسّک بحبل السماء وعدم ترکه ، وهذا الحکم عامّ لکلّ المسلمین السابقین والحاضرین والقادمین إلی یوم القیامة ، فلابدّ من وجود حبل متّصل بالسماء فی کلّ هذه العصور ، وعدم انقطاع الفیض الإلهیّ والرحمة النازلة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کثیر من روایات العامّة فی أنّ الحبل هو الکتاب ، وفی بعضها أنّه حبلان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الکتاب وحبل آل الرسول صلی الله علیه و آله و سلم ، فإذا صحّت الطائفة الثانیة فهو</w:t>
      </w:r>
    </w:p>
    <w:p>
      <w:pPr>
        <w:pStyle w:val="BookText"/>
        <w:rPr/>
      </w:pPr>
      <w:r>
        <w:rPr>
          <w:rFonts w:ascii="IRNazanin" w:hAnsi="IRNazanin" w:eastAsia="IRNazanin"/>
          <w:color w:val="111111"/>
          <w:sz w:val="28"/>
          <w:sz w:val="28"/>
          <w:szCs w:val="28"/>
          <w:rtl w:val="true"/>
          <w:lang w:bidi="fa-IR"/>
        </w:rPr>
        <w:t xml:space="preserve">المطلوب ، وهو قریب جدّاً إذ أنّها لم ترد ممّن ینتمی إلی مذهب أهل البیت کی یتّهم فی النقل وکانت الأجواء الاجتماعیة وأهواء الحکّام تقتضی الوضع ضدّهم لا لهم علیهم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تتمّ هذه الطائفة بل ثبتت الأولی ، فلا یُحتمل أنّ المراد بالحبل هو ظواهر الکتاب فقط ، إذ أنّ ظواهر الکتاب الشریف لم تمنع من الفرقة والتشتّت والتقاتل والتنابذ والضلال ، بل کثر حصول کلّ ذلک مع تمسّکهم جمیعاً بالکتاب الظاهر ، فلابدّ من وجود مفسِّر لهذا الکتاب ، ومستنبط لحقائقه ، وموضّح لمتشابهاته ، عالم بجزئیّاته وکلّیاته لکی یطبّقه علی کلّ مشکلة ومعضلة ، لأنّ فیه تبیان کلّ شیء ، ولا حافظ ومفسّر کذلک سوی العترة الطاهرة ، ولم یدّع ذلک سواهم ، ولم یبطل اللّه سبحانه دعواهم ، بل أکّدها بالمعاجز الباهرة والکرامات المستمرّة الظاهرة </w:t>
      </w:r>
      <w:r>
        <w:rPr>
          <w:rFonts w:eastAsia="IRNazanin" w:cs="IRNazanin"/>
          <w:color w:val="111111"/>
          <w:sz w:val="28"/>
          <w:szCs w:val="28"/>
          <w:rtl w:val="true"/>
          <w:lang w:bidi="fa-IR"/>
        </w:rPr>
        <w:t>.</w:t>
      </w:r>
      <w:bookmarkStart w:id="45" w:name="pg5252_44114"/>
    </w:p>
    <w:p>
      <w:pPr>
        <w:pStyle w:val="Heading3"/>
        <w:numPr>
          <w:ilvl w:val="2"/>
          <w:numId w:val="1"/>
        </w:numPr>
        <w:rPr/>
      </w:pPr>
      <w:bookmarkStart w:id="46" w:name="__RefHeading___Toc422985_581953129"/>
      <w:bookmarkStart w:id="47" w:name="_Toc17"/>
      <w:bookmarkEnd w:id="45"/>
      <w:bookmarkEnd w:id="46"/>
      <w:r>
        <w:rPr>
          <w:rtl w:val="true"/>
        </w:rPr>
        <w:t>میزان الدلیل فی المعارف الاعتقادیّة</w:t>
      </w:r>
      <w:bookmarkEnd w:id="47"/>
    </w:p>
    <w:p>
      <w:pPr>
        <w:pStyle w:val="Heading4"/>
        <w:numPr>
          <w:ilvl w:val="3"/>
          <w:numId w:val="1"/>
        </w:numPr>
        <w:rPr/>
      </w:pPr>
      <w:bookmarkStart w:id="48" w:name="__RefHeading___Toc422987_581953129"/>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وفیه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التعبّد بالظنّ فی تفاصیل العقائد</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ضابطة اصول الاعتقادات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مدارس المعارف</w:t>
      </w:r>
      <w:bookmarkStart w:id="50" w:name="pg5252_44116"/>
    </w:p>
    <w:p>
      <w:pPr>
        <w:pStyle w:val="Heading4"/>
        <w:numPr>
          <w:ilvl w:val="3"/>
          <w:numId w:val="1"/>
        </w:numPr>
        <w:rPr/>
      </w:pPr>
      <w:bookmarkStart w:id="51" w:name="__RefHeading___Toc422989_581953129"/>
      <w:bookmarkStart w:id="52" w:name="_Toc19"/>
      <w:bookmarkEnd w:id="50"/>
      <w:bookmarkEnd w:id="51"/>
      <w:r>
        <w:rPr>
          <w:rtl w:val="true"/>
        </w:rPr>
        <w:t xml:space="preserve">المقام الأوّل </w:t>
      </w:r>
      <w:r>
        <w:rPr>
          <w:rtl w:val="true"/>
        </w:rPr>
        <w:t xml:space="preserve">: </w:t>
      </w:r>
      <w:r>
        <w:rPr>
          <w:rtl w:val="true"/>
        </w:rPr>
        <w:t>فی إمکان التعبّد بالظنّ فی تفاصیل العقائد</w:t>
      </w:r>
      <w:bookmarkEnd w:id="52"/>
    </w:p>
    <w:p>
      <w:pPr>
        <w:pStyle w:val="BookText"/>
        <w:rPr/>
      </w:pPr>
      <w:r>
        <w:rPr>
          <w:rFonts w:ascii="IRNazanin" w:hAnsi="IRNazanin" w:eastAsia="IRNazanin"/>
          <w:color w:val="111111"/>
          <w:sz w:val="28"/>
          <w:sz w:val="28"/>
          <w:szCs w:val="28"/>
          <w:rtl w:val="true"/>
          <w:lang w:bidi="fa-IR"/>
        </w:rPr>
        <w:t>لا بدّ من الإشارة إلی أنّ التحقیقات الأخیرة فی اصول الفقه قد انتهت إلی إمکان إثبات تفاصیل المسائل الاعتقادیّة بالظنّ والحجج التعبّدیة دون اصول العقائد واُسسها ، کما ذکر ذلک المحقّق الشیخ الأنصاریّ فی الرسائل</w:t>
      </w:r>
      <w:r>
        <w:rPr>
          <w:rStyle w:val="FootnoteAnchor"/>
          <w:rtl w:val="true"/>
        </w:rPr>
        <w:footnoteReference w:id="91"/>
      </w:r>
      <w:r>
        <w:rPr>
          <w:rFonts w:ascii="IRNazanin" w:hAnsi="IRNazanin" w:eastAsia="IRNazanin"/>
          <w:color w:val="111111"/>
          <w:sz w:val="28"/>
          <w:sz w:val="28"/>
          <w:szCs w:val="28"/>
          <w:rtl w:val="true"/>
          <w:lang w:bidi="fa-IR"/>
        </w:rPr>
        <w:t xml:space="preserve">حاکیاً له عن جماعة ، منهم المحقّق الطوسیّ ، والأردبیلیّ ، وتلمیذه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والشیخ البهائیّ ، والعلّامة المجلسیّ ، والمحدّث الکاشانیّ ، وغیرهم قدس سرهم ، وقد ذهب الشیخ إلی إمکانه بحسب الصناعة وإن منع منه بحسب الوظیفة الشرعیّة ، کما حکی عن الشیخ الطوسیّ‌</w:t>
      </w:r>
      <w:r>
        <w:rPr>
          <w:rStyle w:val="FootnoteAnchor"/>
          <w:rtl w:val="true"/>
        </w:rPr>
        <w:footnoteReference w:id="92"/>
      </w:r>
      <w:r>
        <w:rPr>
          <w:rFonts w:ascii="IRNazanin" w:hAnsi="IRNazanin" w:eastAsia="IRNazanin"/>
          <w:color w:val="111111"/>
          <w:sz w:val="28"/>
          <w:sz w:val="28"/>
          <w:szCs w:val="28"/>
          <w:rtl w:val="true"/>
          <w:lang w:bidi="fa-IR"/>
        </w:rPr>
        <w:t xml:space="preserve">کفایة الجزم والظنّ فی الاعتقاد إذا طابق الواقع وإن عصی المکلّف بترک تحصیل الاعتقاد عن دلیل قطعیّ لأنّه واجب مستقلّ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من کلام المانعین من العمل به فی الاعتقادیّات إمکان وقوعه ، ومن المتأخّرین قد ذهب الحکیم الفقیه المحقّق الإصفهانیّ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إلی تصویر ذلک وکفایة الإیمان بالظنّ ، وکذا المحقّق القمّی رحمه الله</w:t>
      </w:r>
      <w:r>
        <w:rPr>
          <w:rStyle w:val="FootnoteAnchor"/>
          <w:rtl w:val="true"/>
        </w:rPr>
        <w:footnoteReference w:id="94"/>
      </w:r>
      <w:r>
        <w:rPr>
          <w:rFonts w:ascii="IRNazanin" w:hAnsi="IRNazanin" w:eastAsia="IRNazanin"/>
          <w:color w:val="111111"/>
          <w:sz w:val="28"/>
          <w:sz w:val="28"/>
          <w:szCs w:val="28"/>
          <w:rtl w:val="true"/>
          <w:lang w:bidi="fa-IR"/>
        </w:rPr>
        <w:t>، وکذا ذهب السیّد الخوئیّ إلی حجّیة الظنّ فی تفاصیل الاعتقادات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ولیعلم أنّ مسلک الفقهاء فی الحکم الأوّل فی تفاصیل الاعتقادات ، وهو وجوب الإیمان فقهیّاً ، هو کونه کبقیّة أحکام الفقه الفرعیّة ، من 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ضروریّاً فی الدین ، فإنکاره خروج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بالشرائط المذکورة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ضروریّاً فی المذهب ، فإنکاره خروج عن المذهب عند الأکثر ، أو خروج عن الدین أیضاً کما عند المجلسیّ والمحقّق القمیّ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ضروریّاً فلا یوجب سوی الفسق إذا تنجّز علیه ، وبالجملة هو من الأعمال الفرعیّة العملیّة ، غایة الأمر أنّها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الجوارح وأعمال الجوانح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تحقیق المسألة لابدّ من البحث فی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ووقوع التعبّد بالحکم التکلیفیّ الشرعیّ فی الاعتقادیات من وجوب وحرمة ، وغیرهما ، والذی یُسمّی فی مصطلح علم اصول الفقه بالحکم الواقعیّ الأوّلیّ ، أی بلحاظ الموضوع والفعل فی حدّ نفسه وبعنوانه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ووقوع التعبّد بالکاشف الظنّیّ الذی یسمّی اصولیّاً بالحکم الظاهریّ ، وهل یمکن تدخّل الشارع فی کیفیّة الإحراز والإدراک للإعتقادیّات التی هی أفعال قلبیّة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المرحلة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الحاجة للبحث فیها أنّ التعبّد بالظنّ شرعاً إنّما</w:t>
      </w:r>
    </w:p>
    <w:p>
      <w:pPr>
        <w:pStyle w:val="BookText"/>
        <w:rPr/>
      </w:pPr>
      <w:r>
        <w:rPr>
          <w:rFonts w:ascii="IRNazanin" w:hAnsi="IRNazanin" w:eastAsia="IRNazanin"/>
          <w:color w:val="111111"/>
          <w:sz w:val="28"/>
          <w:sz w:val="28"/>
          <w:szCs w:val="28"/>
          <w:rtl w:val="true"/>
          <w:lang w:bidi="fa-IR"/>
        </w:rPr>
        <w:t xml:space="preserve">یتعقّل بعد إمکان التعبّد بالحکم التکلیفیّ فی الاعتقادیات کوظیفة ، وإلّا فلا معنی للتعبّد بالظنّ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جماعة إمکان التکلیف الشرعیّ بالاعتقاد بالنبوّة والإمامة والمعاد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آخرون إمکانه فی الإمامة والمعاد فقط ، وعلّلوا ذلک بعدم المحذور العقلیّ من دور وغیره حینئذ ، لا سیّما أنّ الترغیب والترهیب نافع للنفس بلحاظ العقل العملیّ ، حیث أنّ الذمّ والمدح یؤثر فی الإرادة والأفعال الجانحیّة ، لأنّ الاعتقاد والإذعان فیه جهتان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جهة الإدراک والإنکشاف ، وجهة أنّه فعل من أفعال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التوحید ؛ فإنّ التعبّد به کوظیفة شرعاً یستوجب الدور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فوجوب المعرفة فیه عقلیّ محض ولا یمکن وجوبه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والتحقیق إمکان التعبّد شرعاً فی الاعتقادیّات مطلقاً حتّی التوحید ، وذلک بالالتفات إلی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فی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بثلاثة أفعال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الفحص من المجهول إلی المعلوم ، وبالعکس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إدراک المجهول کنتیجة متولّدة من مقدّمات معلومة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الإذعان بما أدرکته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فی الفلسفة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الملّاصدرا فی رسالة التصوّر والتصدیق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الإذعان هو الحکم المتعلّق بالقضایا ، وهو مغایر للإدراک المنقسم إلی التصوّر والتصدیق ، فکلّ من القسمین تصوّر بالمعنی الأعمّ ، غایة الأمر أنّ التصدیق تصوّر موجب لإذعان النفس ، فهو علّة للإذعان لا متضمِّن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فالإدراک والتصوّر بقسمیه فعل للقوی الإدراکیّة للنفس ، بینما الإذعان هو فعل للقوی العملیّة فی النفس ، وحقیقة هذا الإذعان هو قیام النفس بدمج صورتی المحمول والموضوع فی صورة واحدة ، فإذا دُمجتا معاً یکون ذلک إذعاناً ، نظیر الصورة الحسّیّة التی تدرکها النفس ، حیث أنّ هذه الصورة المحسوسة البدیهیة هی عبارة عن موضوع وعدّة محمولات أذعنت النفس بثبوتها للموضوع ، فتدرکها فی صورة واحدة مندمجة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فالدمج فعل نفسانیّ عملیّ متعلّقه الإدراک ، ولذا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الإدراک فعل قوّة العقل النظریّ ، والدمج والإذعان فعل قوّة العقل العملیّ ، وکلّ من هذین الفعلین اختیاریان للنفس ، وإن کان الإدراک من نمط الانفعال ، والإذعان من نمط الفعل والإیجاد ، إذ باختیار الفحص بین المعلومات والمجهولات تتهیّأ النفس لإدراک المقدّمات ومن ثمّ إدراک النتیجة ، ثمّ إذا شاءت تقرّ وتذعن بتلک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والنفس فی الحالات السلیمة من الأمراض الإدراکیّة ، والصفات العملیّة ، تقوم بهذین الفعلین باسترسال طبیعیّ موافق لفطرتها ، فلکلّ من القوّتین الإدراکیّة والعملیّة‌أدوات تقیها وتصونها عن تلک الأمراض‌العائقة لهما عن ممارسة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الأمراض الإدراکیّة حبّ الشیء أو بغضه ، ففی الخبر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للشیء یعمی و یصم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أی أنّه یمنع من الإدراک السلیم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المقرّر فی علم النفس أنّ الترغیب والترهیب ، من الأدوات المعالجة للقوی العملیّة وغالب الأمراض الإدراکیّة نابعة من الأمراض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 فالإدراک السلیم بمفرده إذا قامت به القوی الإدراکیّة لا یکفی لقیام النفس وقوی العقل العملیّ بالحکم والإذعان ، إذ قد تبتلی النفس بصفات وهیئات ردیئة تعیقها</w:t>
      </w:r>
    </w:p>
    <w:p>
      <w:pPr>
        <w:pStyle w:val="BookText"/>
        <w:rPr/>
      </w:pPr>
      <w:r>
        <w:rPr>
          <w:rFonts w:ascii="Amiri" w:hAnsi="Amiri" w:eastAsia="Amiri" w:cs="Amiri"/>
          <w:color w:val="111111"/>
          <w:sz w:val="28"/>
          <w:sz w:val="28"/>
          <w:szCs w:val="28"/>
          <w:rtl w:val="true"/>
          <w:lang w:bidi="ar-SA"/>
        </w:rPr>
        <w:t xml:space="preserve">عن ذلک ، کما یشیر إلیه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البرهان وحده لا یکفی لتحقیق الإذعان بالنتیجة ، ولم یعدّوا الفیلسوف حکیماً حتّی یکون مرتاضاً وسالکاً طریق تهذیب النفس ، بل قال شیخ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السهروردی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یکون حکیماً إلّاإذا اقتدر علی خلع النفس عن بدنه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فهم یلحظون فی ذلک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التامّ المطابق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تعریف الحکمة ، لا یتحقّق مع ممانعة النفس عن الوصول إلی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فالبرهان لیس علّة فاعلیة تامّة للنتیجة ، بل هو علّة مُعدّة قریبة جدّاً لإفاضة النتیجة ، والعلمُ الیقینیّ إنّما هو من إفاضة العوالم العلویّة ، فلابدّ من عدم المانع من الإفاضة ، ورفعُ المانع إنّما یتمّ بتهذیب النفس وترویضها لکی تتقبّل الحقّ وتذعن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الترهیب والترغیب طریق إلی ذلک ، وهو متولّد ومسبّب عن الحکم والتکلیف الشرعیّ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الإیمان لیس من سنخ الإدراک المجرّد کفعلٍ لقوّة إدراکیّة ، بل هو فعل علمیّ من قوّة العقل العملیّ ، کما هو سنخ أفعال العقل العملیّ وهی أفعال لیست عملیّة بحتة ولا إدراکیّة بحتة ، بل فیها کلّ من الجنبتین ، کما تقدّم فی الأمر الأوّل ، وأنّ الإذعان وإن ارتبط بإدراک القضایا إلّاأنّه من فعل</w:t>
      </w:r>
    </w:p>
    <w:p>
      <w:pPr>
        <w:pStyle w:val="BookText"/>
        <w:rPr/>
      </w:pPr>
      <w:r>
        <w:rPr>
          <w:rFonts w:ascii="Amiri" w:hAnsi="Amiri" w:eastAsia="Amiri" w:cs="Amiri"/>
          <w:color w:val="111111"/>
          <w:sz w:val="28"/>
          <w:sz w:val="28"/>
          <w:szCs w:val="28"/>
          <w:rtl w:val="true"/>
          <w:lang w:bidi="ar-SA"/>
        </w:rPr>
        <w:t xml:space="preserve">العقل العملیّ ، والإیمان من سنخ الإذعان ، ولذا تصدق علیه ماهیّة التسلیم والإخبات والإنقیاد القلبیّ ، وهو مغایر للمعرفة بمعنی الإدراک والإنکشاف المجرّد ، کما یشیر 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فإدراکهم المجرّد من دون التسلیم والإذعان والإخبات لا ینطبق علیه الحدّ الماهویّ للإیمان ، بل یصدق علیه کفر الجحود کما صرّحت به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تُطلق المعرفة وتستعمل فی ما یترادف مع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 تبیّن مغایرة الإدراک للإذعان ومغایرة المعرفة للإیمان ، لا بدّ من الالتفات إلی کون الإذعان والإیمان لهما درجات تشکیکیّة بتبع ما للإدراک من درجات تشکیکیّة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یتصوّر من النفس الإذعان والبناء والتسلیم والإنقیاد لدرجة الإدراک الاحتمالیّة ، کما قد تسلّم النفس وتذعن لدرجة الإدراک الظنّی وکذا لدرجة الإدراک الیقینیّ ، مثل موارد الإدراک لمحتملٍ ذی أهمّیة خطیرة ، فإنّ النفس تراعی ذلک الاحتمال وتنقاد وتذعن بالمحتمل ، ولا تراعی الإحتمال القویّ المقابل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إنّها قد تنقاد وتتابع الإدراک الظنّی ، فما قد یوهمه کثیر من کلمات الحکماء أو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الإذعان والجزم لا یکون إلّامع الیقین أو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الحمل علی العلم بالمعنی الأعمّ الشامل لمطلق التصوّر والإدراک فی مقابل الجهل المرکبّ ، لاخصوص التصدیق والعلم‌المرکّب ، ویشیر إلیه قوله سبحانه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الَّذِینَ یَظُنُّونَ أَنَّهُمْ مُلاقُوا اللّهِ کَمْ مِنْ فِئَةٍ قَلِیلَةٍ غَلَبَتْ فِئَةً کَثِیرَةً بِإِذْنِ اللّهِ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یَرْجُوا لِقاءَ رَبِّهِ فَلْیَعْمَلْ عَمَلاً صالِحاً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دلالة علی حصول الإیمان بمجرّد الرجاء الذی لا یبلغ مرتبة الظنّ ولا الاطمئنان فضلاً عن مرتبة الیقین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یَرْجُوا لِقاءَ اللّهِ فَإِنَّ أَجَلَ اللّهِ لَآتٍ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لا یَرْجُونَ لِقاءَنا وَ رَضُوا بِالْحَیاةِ الدُّنْیا </w:t>
      </w:r>
      <w:r>
        <w:rPr>
          <w:rFonts w:eastAsia="Amiri" w:cs="Amiri" w:ascii="Amiri" w:hAnsi="Amiri"/>
          <w:color w:val="111111"/>
          <w:sz w:val="28"/>
          <w:szCs w:val="28"/>
          <w:rtl w:val="true"/>
          <w:lang w:bidi="ar-SA"/>
        </w:rPr>
        <w:t xml:space="preserve">. .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فَنَذَرُ الَّذِینَ لا یَرْجُونَ لِقاءَنا فِی طُغْیانِهِمْ یَعْمَهُونَ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یا قَوْمِ اعْبُدُوا اللّهَ وَ ارْجُوا الْیَوْمَ الْآخِرَ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یَکُونُوا یَرَوْنَها بَلْ کانُوا لا یَرْجُونَ نُشُوراً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الآیات تشیر إلی تحقّق الإذعان والتسلیم والإیمان والإخبات ولو بدرجات ضعیفة منه من دون تحقّق الإدراک بالدرجة العالیة التامّة ، بل یحصل بتبع الإدراک الضعیف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الظنّ والرجاء علی العلم والخوف مجاز لا قرینة ولا دلیل علیه ، ومن ثَمّ فلا وجه له سوی ما هو مرتکز من توهّم لزوم الجزم الیقینی فی ماهیّة الإیمان والنجاة الاُخرویّة ، مع أنّ الیقین درجة من درجات الإیمان ، ومن أعزّ الکنوز الإلهیّة ، ففی الروایة الشریفة 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یقسم بین الناس شیء أقل من الیقین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نُبّه علی ذلک فی علمی الفلسفة والعرفان</w:t>
      </w:r>
      <w:r>
        <w:rPr>
          <w:rStyle w:val="FootnoteAnchor"/>
          <w:rtl w:val="true"/>
        </w:rPr>
        <w:footnoteReference w:id="112"/>
      </w:r>
      <w:r>
        <w:rPr>
          <w:rFonts w:ascii="Amiri" w:hAnsi="Amiri" w:eastAsia="Amiri" w:cs="Amiri"/>
          <w:color w:val="111111"/>
          <w:sz w:val="28"/>
          <w:sz w:val="28"/>
          <w:szCs w:val="28"/>
          <w:rtl w:val="true"/>
          <w:lang w:bidi="ar-SA"/>
        </w:rPr>
        <w:t xml:space="preserve">، وتشیر إلی ذلک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إذ أنّها تبیّن الملازمة بین تحقّق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ورؤیة الجحیم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إلی ذلک أیضاً إحتجاج الرضا علیه السلام علی أحد الزنادقة بأنّ الإحتیاط بالإیمان بالنبیّ وبقوله صلی الله علیه و آله و سلم موجب للنجاة علی کلّ تقدیر ، سواء طابق الواقع أم لا ؛ بخلاف عدم الإحتیاط به ، فإنّه محتمل للهلاک الأبدیّ والعذاب المقیم علی تقدیر المطابقة ، والعقل یدعو إلی الإحتیاط حینئذ ، فإنّ مؤدّی هذا الإحتجاج</w:t>
      </w:r>
    </w:p>
    <w:p>
      <w:pPr>
        <w:pStyle w:val="BookText"/>
        <w:rPr/>
      </w:pPr>
      <w:r>
        <w:rPr>
          <w:rFonts w:ascii="IRNazanin" w:hAnsi="IRNazanin" w:eastAsia="IRNazanin"/>
          <w:color w:val="111111"/>
          <w:sz w:val="28"/>
          <w:sz w:val="28"/>
          <w:szCs w:val="28"/>
          <w:rtl w:val="true"/>
          <w:lang w:bidi="fa-IR"/>
        </w:rPr>
        <w:t xml:space="preserve">هو إمکان تحقّق الإیمان بدرجة الإحتمال ، وتَترتّب علیه النجاة کما هو مفاد الآیات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اتّضحت هذه الأمور الثلاثة ، یتّضح أنّ کلّاً من البیان أو المعرفة أو الإدراک مغایر للإذعان والإیمان ، وأنّ کلّاً منهما مغایر للفحص؛ فللنفس أفعال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 ، فإدراک ، فإذعان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أیضاً إمکان تحقّق الاعتقاد الظنّیّ ، بل الإذعان الاحتمالیّ والتسلیم الرجائی ، ویترتّب علی ذلک أنّ ما یقال من أنّ وجوب المعرفة یتعیّن کونه عقلیّاً محضاً ، إن ارید به وجوب الفحص فهو تامّ لا غبار علیه ، إذ لا یمکن افتراض تشریعه قبل معرفة التشریع ، للزوم الدور ، وکذا الحال إذا ارید منه وجوب الإدراک والبیان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إن ارید منه الإذعان والتسلیم والإیمان ، فلا مانع من تصویر التشریع والتکلیف به وإن کان المتعلّق هو أوّل اصول الدین وهو التوحید ، بل التشریع نافع فی ذلک کما عرفت ، ولذا ورد التعبیر عن الإیمان بالتوحید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لزوم الدور أو الخُلف ، لأنّ من فحص بإلزام من عقله وأدرک وجود الباری والخالق عزّ وجلّ ، وأدرک قدرته اللامحدودة ، وأدرک أنّ له إرادة ورغبة بأن یؤمن الإنسان ویذعن به تعالی ، فإنّه لا یلزم من ذلک دور ولا خلف ، بل یکون أدعی لتحریکه إلی الإیمان ، علی ما تقدّم من أنّ الترغیب والترهیب علاج للقوی العملیّة فی تحقیق متابعة مدرکات القوی النظریّة ، ویشیر إلی هذا التفکیک فی معنی المعرفة ما ورد فی الروایات ، کما عن أبی عبد اللّه علیه السلام قال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علی خلقه أن یعرفوا قبل أن یعرفهم ،و للخلق علی الله أن یعرفهم ،</w:t>
      </w:r>
    </w:p>
    <w:p>
      <w:pPr>
        <w:pStyle w:val="BookText"/>
        <w:rPr/>
      </w:pPr>
      <w:r>
        <w:rPr>
          <w:rFonts w:ascii="IRNazanin" w:hAnsi="IRNazanin" w:eastAsia="IRNazanin"/>
          <w:color w:val="111111"/>
          <w:sz w:val="28"/>
          <w:sz w:val="28"/>
          <w:szCs w:val="28"/>
          <w:rtl w:val="true"/>
          <w:lang w:bidi="fa-IR"/>
        </w:rPr>
        <w:t xml:space="preserve">ولله علی الخلق إذا عرفهم أن یقبلوه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تصرّح بلزوم القبول والتسلیم والإذعان بعد الإدراک والمعرفة ، فهی تفکّک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اخری عن عبد الأعلی</w:t>
      </w:r>
      <w:r>
        <w:rPr>
          <w:rStyle w:val="FootnoteAnchor"/>
          <w:rtl w:val="true"/>
        </w:rPr>
        <w:footnoteReference w:id="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 هل جُعل فی الناس أداة ینالون بها المعرفة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المعرفة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علی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دلّت علی أنّه تعالی یکلّف النفوس الإیمان والإذعان بعد ما آتاها الإدراک والبیان ، ومنها التوحید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یظهر أنّ ما ورد فی الشریعة کثیراً ما ظاهره</w:t>
      </w:r>
    </w:p>
    <w:p>
      <w:pPr>
        <w:pStyle w:val="BookText"/>
        <w:rPr/>
      </w:pPr>
      <w:r>
        <w:rPr>
          <w:rFonts w:ascii="IRNazanin" w:hAnsi="IRNazanin" w:eastAsia="IRNazanin"/>
          <w:color w:val="111111"/>
          <w:sz w:val="28"/>
          <w:sz w:val="28"/>
          <w:szCs w:val="28"/>
          <w:rtl w:val="true"/>
          <w:lang w:bidi="fa-IR"/>
        </w:rPr>
        <w:t xml:space="preserve">کون الإیمان بالتوحید فرضاً وتکلیفاً لا موجب لتأویله ، وقد کانت دعوات الأنبیاء غالباً أو کثیراً أوّلها ومبدؤها الدعوة إلی التوحید وإبطال الشرک والمحاجّة علیه وإقامة المعاجز علیه ، ثم بعد حصول المعرفة یبلّغونهم فریضة الإیمان 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ننتهی إلی أنّ هناک وجوباً عقلیّاً للمعرفة بمعنی الفحص والبحث وإزالة الموانع للتأهّل لإفاضة بیان وإدراک التوحید ، ووجوباً آخر عقلیّاً وشرعیّاً بالإیمان والإذعان 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وجوب عقلیّ ثالث وهو لزوم بناء فعل الإذعان علی مقدّمات یقینیّة وإن لم یکن الإذعان نفسه بدرجة الیقین ، إلّاأنّ المنشأ له لابدّ أن یکون یقینیاً بمعنی أنّ المقدّمات لابدّ أن یکون من شأنها تولید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أنّه لو أخلّ بالوجوب الثالث ولکن إذعانه طابق الواقع ، کفی فی تحقّق النجاة الأخرویة وإدراک الحقیقة بدرجة احتمالیة ، وإن کان عاصیاً بالإخلال المزبور ، وقد صرّح بذلک شیخ الطائفة قدس سره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وجوب رابع عقلیّ وشرعیّ ، وهو المحافظة علی طهارة النفس والابتعاد عن الظلمانیّة المتولّدة من فعل القبائح والمعاصی ، والتی تستوجب زیغ القلب عن الإذعان والتسلیم بالحقّ ، کما یشیر إلیه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فلأجل</w:t>
      </w:r>
    </w:p>
    <w:p>
      <w:pPr>
        <w:pStyle w:val="BookText"/>
        <w:rPr/>
      </w:pPr>
      <w:r>
        <w:rPr>
          <w:rFonts w:ascii="IRNazanin" w:hAnsi="IRNazanin" w:eastAsia="IRNazanin"/>
          <w:color w:val="111111"/>
          <w:sz w:val="28"/>
          <w:sz w:val="28"/>
          <w:szCs w:val="28"/>
          <w:rtl w:val="true"/>
          <w:lang w:bidi="fa-IR"/>
        </w:rPr>
        <w:t xml:space="preserve">المحافظة علی بقاء الإیمان بالحقّ ، تجب المحافظة علی طهارة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یتبیّن من کلّ ذلک تصوّر التکلیف الشرعیّ المتعلّق بالاعتقاد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فعل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بالتوحید فضلاً عن غیره من اصول الدین ، وأوضح منه تصوّر التکلیف بتفاصیل المعارف والاعتقادات وإمکانه بل ووقوعه علی ما یتّضح من سبر الآیات والروایات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تبیّن أنّ الإذعان والإیمان علی درجات تتناسب مع درجة الإدراک ومدی سلامة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فالاعتقاد الظنّیّ أمر ممکن وکذا الاحتمالی ، وإن تعلّق بما هو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یأتی من فوائد التعبّد بالکاشف عن الاعتقاد الحقّ ، من هدایة الوحی للعقل المحدود إلی الحقائق التی لا ینالها بنفسه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التعبّد بالظنّ الناشئ من أسباب خاصّة ومقدّمات نقلیّة معیّنة فی تفاصیل العقائد ، وهل یُحتجّ به فیها کما یحتجّ به فی الفروع ؟</w:t>
      </w:r>
    </w:p>
    <w:p>
      <w:pPr>
        <w:pStyle w:val="BookText"/>
        <w:rPr/>
      </w:pPr>
      <w:r>
        <w:rPr>
          <w:rFonts w:ascii="IRNazanin" w:hAnsi="IRNazanin" w:eastAsia="IRNazanin"/>
          <w:color w:val="111111"/>
          <w:sz w:val="28"/>
          <w:sz w:val="28"/>
          <w:szCs w:val="28"/>
          <w:rtl w:val="true"/>
          <w:lang w:bidi="fa-IR"/>
        </w:rPr>
        <w:t xml:space="preserve">المعروف والمشهور عند الأکثر عدم الاعتداد بالظنّ فی الاعتقادیات أصلاً بل ادّعی علیه الإجماع ، لکنّک عرفت ذهاب بعض الأعلام ومحقّقی الطائفة إلی التفصیل فی ذلک ، وإمکان الاعتداد بالظنّ المعتبَر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فی الاعتقاد الجزم ، وهو ممّا لا یتصوّر تحقّقه بمجرّد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صیاغته ببیان آخر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بالظنّ فی الاعتقادیات إمّا هو تحصیل للیقین بالظنّ وهو محال ، أو هو تحصیل للظنّ بالظنّ وهو تحصیل للحاصل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 اصول الاعتقادات لا یسمن ولا یغنی من جوع جزماً ، وإنّما یتوهّم حجّیّته فی تفاصیل الاعتقادیّات ، ولا معنی محصَّل لحجّیته حتّی فیها ،</w:t>
      </w:r>
    </w:p>
    <w:p>
      <w:pPr>
        <w:pStyle w:val="BookText"/>
        <w:rPr/>
      </w:pPr>
      <w:r>
        <w:rPr>
          <w:rFonts w:ascii="IRNazanin" w:hAnsi="IRNazanin" w:eastAsia="IRNazanin"/>
          <w:color w:val="111111"/>
          <w:sz w:val="28"/>
          <w:sz w:val="28"/>
          <w:szCs w:val="28"/>
          <w:rtl w:val="true"/>
          <w:lang w:bidi="fa-IR"/>
        </w:rPr>
        <w:t xml:space="preserve">لأنّ وجوب الاعتقاد بها معلّق علی حصول العلم بخلاف اصول الاعتقادات ، فإنّ وجوبها مطلق یبعث إلی الفحص عنها وتحصیلها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فتفاصیل الاعتقادات قبل العلم بها لا وجوب لها واقعاً کی یحرزه الظنّ وتقوم علیه الحجّة الظنیّة ، فلا یتصوّر فیها الحکم الظاهریّ ، وبعد العلم بها لا مجال للظنّ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الناهیة عن اتّباع الظنّ مطلقاً والناهیة عن اتّباعه فی الاعتقادیّات ،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یَتَّبِعُونَ إِلاَّ الظَّنَّ وَ إِنْ هُمْ إِلاّ یَخْرُصُونَ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یَتَّبِعُ أَکْثَرُهُمْ إِلاّ ظَنًّا 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وغیرها من الآیات الکریمة الذامّة للظنّ والعمل بغیر علم ولا سیّما فی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فی الاعتقادات والمعارف ، هو الوصول إلی الهدایة والحقائق الواقعیّة ، والتحرّز عن الوقوع فی الضلال ، وهذا الوجوب عقلیّ وشرعیّ ، والرکون إلی الظنّ لا یؤمّن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حجّیة الظنّ مطلقاً فی الاعتقادات اصولاً أو تفاصیل ، إذ قد اختلف فی جواز العمل بالظنّ فی الأحکام الفرعیّة الشرعیّة ، فکیف بالأحکام العلمیّة الاعتقادیّة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عن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التعویل علی أخبار</w:t>
      </w:r>
    </w:p>
    <w:p>
      <w:pPr>
        <w:pStyle w:val="BookText"/>
        <w:rPr/>
      </w:pPr>
      <w:r>
        <w:rPr>
          <w:rFonts w:ascii="IRNazanin" w:hAnsi="IRNazanin" w:eastAsia="IRNazanin"/>
          <w:color w:val="111111"/>
          <w:sz w:val="28"/>
          <w:sz w:val="28"/>
          <w:szCs w:val="28"/>
          <w:rtl w:val="true"/>
          <w:lang w:bidi="fa-IR"/>
        </w:rPr>
        <w:t xml:space="preserve">الآحاد فی اصول الدین إتفاقیّ ، إلّاعن بعض غَفَلة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ما حکی عن السیّد المرتضی قدس سره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المفسّرة فی الروایات الکثیرة بالمعرفة وأنّه لم یخلقهم إلّالیعرفون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أدلّة وجوب المعرفة ، ومن الواضح أنّ المعرفة لا تتحقّق بالظنّ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الخوص فی تحقیق الحال لابدّ من تنقیح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التنبّه إلی أنّ کثیراً من تفاصیل الاعتقادات قامت علیها طوائف من الآیات القرآنیّة والروایات المستفیضة والمتواترة فی الأبواب المختلفة ، وهی خارجة عن محلّ النزاع فی المقام ، وإن دخلت فی بحث المقام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قد یُعترض علی التمسّک بها ، منشؤه هو النزاع فی المقام الأوّل ، لا هذا المقام؛ لأنّ المفروض حصول العلم بها ، فلا موجب للکلام فی حجّیة الظنّ فیها ، بل الصحیح أنّ مَن بنی علی عدم الحکم التکلیفیّ فی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لابدّ أن یبنی استدلاله علیها ، لأنّ المفروض حصول العلم بالوحی وقول المعصوم ، وقد حقّق فی علم المعقول أنّ الوحی وقول المعصوم وسط برهانیّ فی الاستدلال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اعتاده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التحقیق فی مسائل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التقلیل فی شأن الآیات والروایات ، والاکتفاء بالبراهین العقلیّة المجرّدة ، تقصیر فی البحث ، وغلق لبابٍ واسعٍ موصلٍ للحقائق والمعارف ، إذ الحکمة هی استفراغ الوسع بقدر الطاقة البشریّة لمعرفة حقائق الأشیاء ، وبعد ثبوت أنّ الوحی وقول</w:t>
      </w:r>
    </w:p>
    <w:p>
      <w:pPr>
        <w:pStyle w:val="BookText"/>
        <w:rPr/>
      </w:pPr>
      <w:r>
        <w:rPr>
          <w:rFonts w:ascii="IRNazanin" w:hAnsi="IRNazanin" w:eastAsia="IRNazanin"/>
          <w:color w:val="111111"/>
          <w:sz w:val="28"/>
          <w:sz w:val="28"/>
          <w:szCs w:val="28"/>
          <w:rtl w:val="true"/>
          <w:lang w:bidi="fa-IR"/>
        </w:rPr>
        <w:t xml:space="preserve">المعصوم صالحٌ للوقوع وسطاً برهانیّاً ، فلابدّ أن تتّسع دائرة البحث لتشمل ما ورد فی الکتاب والسنّة بالفحص عن الطرق القطعیّة المؤدّیة إلیه عبر طوائف الآیات الکریمة والروایات المتواترة أو المستفیضة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الشأن کلّ الشأن فی الإحاطة بجمیع الآیات والروایات بجانب الاضطلاع العلمیّ الوافر بعمق فی جهات مسائل المعارف کی یحصل التنبّه إلی تصنیف الروایات إلی طوائف بحسب مغزاها ولوازمها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البحث والفحص فی الآیات والروایات ، حتّی الظنّیة ، واستقصاء الدلالات الظنّیة فی الآیات وأخبار الآحاد ، وإن بُنی علی عدم حجّیة الخبر الظنّی فی مطلق المعارف والاعتقادات فی المقام الثانی ، وعدم إمکان التکلیف الشرعیّ فی الاعتقادات فی المقام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الدلالة والروایة الظنّیتین لا تقصر عن إحداث إحتمال زائد فی البحث العقلیّ فی مسائل المعارف والاعتقادات ، لإنّ القیمة العلمیّة للتصوّر بالغة الأهمّیة بعد کون التصوّر بنفسه علماً بسیطاً فی قبال الجهل المرکّب ، فلا یقصر الفحص عن الخبر الظنّی أو الضعیف فی مسألة من مسائل المعارف عن التنقیب والبحث فی قول أحد الحکماء والفلاسفة حینما یقوم الباحث فی الحکمة بالإلمام بأطراف الأقوال ووجوه الاستدلال فی المسألة لاستکمال دائرة الفحص الذهنیّ والفکریّ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بعد کون التفکّر هو عبارة عن حرکة الفکر بین المعلوم والمجهول لأجل الوصول إلی معرفة المجهول ، کانت إستعانة الباحث بمخزن الذاکرة الموجود لدی العقول الاُخری هو من تمامیّة وکمال عملیّة التفکیر ، وهو ما یشیر إلیه الحدیث الشریف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من جمع علم الناس إلی علمه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الغفلة عن تصوّر من التصوّرات فی البحث ، وعدم الالتفات إلیه ، قصور فی حرکة الفکر لمعرفة الحقائق ، فإذا کان ذلک حال أقوال العقول المتعارفة غیر المرتبطة بالوحی ومنبع الفیض الإلهیّ ، فکیف بالخبر الحاکی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الوحی ؟</w:t>
      </w:r>
    </w:p>
    <w:p>
      <w:pPr>
        <w:pStyle w:val="BookText"/>
        <w:rPr/>
      </w:pPr>
      <w:r>
        <w:rPr>
          <w:rFonts w:ascii="IRNazanin" w:hAnsi="IRNazanin" w:eastAsia="IRNazanin"/>
          <w:color w:val="111111"/>
          <w:sz w:val="28"/>
          <w:sz w:val="28"/>
          <w:szCs w:val="28"/>
          <w:rtl w:val="true"/>
          <w:lang w:bidi="fa-IR"/>
        </w:rPr>
        <w:t xml:space="preserve">قال ابن سینا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المتحیّر فعلاجه حلّ شبهته وذلک لأنّ المتحیّر لا محالة إنّما وقع فی ما وقع فیه ، إمّا لما یراه من تخالف الأفاضل الأکثرین ویشاهده من کون رأی کلّ واحد منهم مقابلاً لرأی الآخر الذی یجده قرناً له لا یقصر عنه فلا یجب عنده أن یکون أحد القولین أولی بالتصدیق من الآخر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حلّ ما وقع فیه ، فمن ذلک أن یعرِّفه أنّ الناس ناس لا ملائکة ومع ذلک فلیس یجب أن یکونوا متکافئین فی الإصابة ، ولا یجب إذا کان واحد أکثر صواباً فی شیء من آخر ، أن لا یکون الآخر أکثر صواباً منه فی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یعرف أنّ أکثر المتفلسفین یتعلّم المنطق ولیس یستعمله ، بل یعود آخر الأمر إلی القریحة فیرکبها رکوب الراکض من غیر کفّ عنان أو جذب خطام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الفضلاء من یرمز أیضاً برموز ویقول ألفاظاً ظاهرة مستشنعة أو خطأً وله فیها غرض خفیّ ، بل أکثر الحکماء بل الأنبیاء الذین لا یؤتون من جهة غلطاً أو سهواً ، هذه وتیرتهم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هذه الفائدة العلمیّة من الخبر الضعیف لا ربط لها بالتعبّد فی کلا المقامین ، وإنّما هی فائدة تکوینیّة بحتة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إذا اشتمل ذلک المدلول أو ذلک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فی آیات وروایات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الإشارة إلی نکتة الاستدلال عقلاً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الیقین والظنّ کما یطلقان علی درجة الجزم والإذعان والتسلیم النفسیّ فی قبال الحیرة والإضطراب فی الشکّ کذلک یُطلقان علی نفس مقدّمات القیاس باعتبار أنّ المقدمات إن کانت بدیهیّة أو برهانیّة ، أی یقینیّة نظریّة ؛ کان الاستناد إلیها فی معرفة النتیجة برهانیّاً فیرادف الیقین البرهانیّ ، وإن کانت درجة الجزم بالنتیجة غیر مستحکمة وذلک لإبتلاء النفس بموانع مرّ ذکرها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العکس بأن تکون المقدّمات غیر یقینیّة ولا برهانیّة ، ولکن درجة الجزم وإذعان بعض النفوس بها تکون مستحکمة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القرآن الکریم إلی حصول المرض بالنحو الثانی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فإنّهم وُصفوا بحالة الظنّ وعدم العلم مع ادّعائهم الجازم ، فیظهر أنّ إطلاق الظنّ إنّما هو علی مدرکهم ودلیلهم فی نفسه باعتبار أنّه لیس بمقدّمات علمیّة یقینیّة وإن حصل لدیهم الإذعان التامّ والاعتقاد الجازم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تعالی إلی مرض النفوس بالنحو الأوّل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إنّ فی الآیة دلالة علی أنّ ما أقامه اللّه لهم من حجج برهانیّة یقینیّة ینبغی أن توجب الإذعان ، ولکنّهم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یحصل لدیهم حالة الجزم المستحکم والإذعان الکامل ، ومثلها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تفترض أنّ آیات اللّه بیّنة توجب التصدیق ولکنّهم بسبب إساءتهم لم یحصل لدیهم الإذعان والتسلیم المناسب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وغالب إطلاق الکتاب الکریم وروایات المعارف لمفردةالعلم و الیقین هو علی المقدّمات الیقینیّة المنتجة بطبعها ، لا علی درجة الجزم ، وکذلک جری اصطلاح الفلاسفة والمتکلّمین والمناطقة علی ذلک ، وقد حرّرنا فی علم الاُصول أنّ الحجّیة صفة ومحمول لتلک المقدّمات لا لدرجة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اتّضاح هذه الأمور الثلاثة یتبیّن الحال فی أدلّة المانعین من العمل بالظنّ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تقدّم من أنّ الجزم علی درجات ، وکذا الاعتقاد ، وأنّ النجاة والإیمان یتحقّق بأدنی درجات الجزم ، بعد فرض تسلیم النفس وطوعانیّتها وحصول الإنقیاد والمتابعة ، غایة الأمر أنّ هناک وظیفة عقلیّة وشرعیّة اخری ، وهی لزوم تحصیل المقدّمات الیقینیّة والبرهانیّة علی المعارف والمعتقدات ، وهی مغایرة لفریضة مطلق الإیمان ، بل هی درجة خاصّة من الإیمان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الوظیفة هی کما ذکره المانعون فی ثانی أدلّتهم ، مخصوصة باُسس الاعتقادیّات ، وأمّا تفاصیلها فلیس من الواجب أصل الاعتقاد بها إذا لم یحصل العلم بها ، فضلاً عن لزوم تحصیل الیقین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أنّ وجوب الاعتقاد بالظنّ إمّا أمر بالمحال إذا کان المراد منه الجزم الیقینیّ ، أو تحصیل للحاصل إذا کان المراد منه الظنّی ، فهی غفلة عمّا سبق تنقیحه من أنّ للنفس ثلاثة أفعال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الفحص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الإدراک بدرجاته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الإذعان والتصدیق والجزم بدرجاته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القائل بنی إستدلاله علی وحدة الفعلین الأخیرین من الدرجة الإدراکیّة والإذعان بدرجاته ، إذ مع افتراض تعدّد الفعل قد تدرک النفس بدرجة الظنّ ، لکنّها لا تذعن ولا تجزم بدرجة تلائمه ، فلا تنقاد ولا تبنی علی ذلک الإدراک کما بسطنا بیانه فی 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یکون الترغیب والترهیب من قبل الشرع المقدّس نافعاً فی انقیاد النفس بدرجة الجزم الظنّی ، وذلک بتوسّط الحکم الشرعیّ فی المقام الثانی الذی هو من سنخ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تبیّن من ذلک عدم إرادة الجزم بدرجة الیقین بتوسّط الظنّ کی یکون أمراً بالمحال ؛ علی أنا بیّنا فی ما سبق أنّه لیس بمحال فی حالات النفس وأفعالها ، فکما أمکن لِمن یظنّ بالباطل أن یجزم به بالجزم الکامل ، کذلک یمکن لبعض المؤمنین أن یذعنوا إذعاناً تامّاً ویجزموا لأجل ما یوجب الظنّ بالواقع ، کالأحلام والأخبار الضعیفة فضلاً عن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ممکن ، بل واقع للکثیر من عوامّ الناس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الاستدلال علی المنع آتٍ بعینه فی الیقین ، حیث أشکل علی تصویر وجوب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تحصیل للحاصل أو أمر بغیر</w:t>
      </w:r>
    </w:p>
    <w:p>
      <w:pPr>
        <w:pStyle w:val="BookText"/>
        <w:rPr/>
      </w:pPr>
      <w:r>
        <w:rPr>
          <w:rFonts w:ascii="IRNazanin" w:hAnsi="IRNazanin" w:eastAsia="IRNazanin"/>
          <w:color w:val="111111"/>
          <w:sz w:val="28"/>
          <w:sz w:val="28"/>
          <w:szCs w:val="28"/>
          <w:rtl w:val="true"/>
          <w:lang w:bidi="fa-IR"/>
        </w:rPr>
        <w:t xml:space="preserve">المقدور ، والجواب عنهما هو ما بسطناه فی المقام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أنّ عموم أدلّة وجوب المعرفة التی أشیر إلیها فی الدلیل السادس عند المانع ، وکذا أدلّة وجوب التعلّم ، یقرب دلالتها علی وجوب الفعل الثالث وهو الإذعان والتسلیم ، غایة الأمر یقیّد هذا الوجوب المطلق فی تفاصیل الاعتقادات بما إذا قام العلم الوجدانیّ أو الدلیل الظنّیّ المعتبر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دلالة طائفة من الروایات الصحیحة والمعتبرة المستفیضة علی وجوب الإذعان الظنّی والانقیاد والمتابعة للظنّ المعتبر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لم یُقرّ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یأتیکم فی لیلة القدر کما ذکر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ولم یجحده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قامت علیه الحجة ممن یثق به فی علمنا فلم یثق به ،فهو کافر ، و أما من لم یسمع ذلک فهو فی عذر حتی یسمع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أبی عبداللّه علیه السلام ، 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العباد إذا جهلوا وقفوا و لم یجحدوا لم یکفروا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الجحود إنّما یطلق علی الإنکار مع وجود الدلیل وفرض الجهل مع ذلک باعتبار أنّ الدلیل لیس یقیناً تفصیلیّاً بل ظنّیّاً إجمالیّاً ، بل یکفی دلالتها علی لزوم الفحص عند ورود الدلیل الظنّی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سوید عن أبی الحسن موسی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الضعفاء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فکتب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الضعیف من لم ترفع إلیه حجة و لم یعرف الاختلاف،فإذا عرف الاختلاف فلیس بمستضعف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اطلق علی نقل الاختلاف أنّه ترفع إلیه حجّة ، أی‌علی الشخص المنقول إلیه ، وقد ورد للتعبیر عن رشید الهجری رضی الله عنه بأنّه مستضعف مع صحّة اعتقاده فی الاُصول وجملة من التفاصیل ، لکنّه بلحاظ من فوقه فهو مستضعف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المتتبّع للروایات المستفیضة الدالّة علی حجّیّة خبر الواحد یجد عمومها لموارد تفاصیل المعارف ، بل جملة منها نصّ فی تلک الموارد ،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أجیب عنه بعدّة أجوبة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النهی المزبور عن الظنّ إنّما هو فی الاُصول الرئیسیّة کالتوحید والنبوّة ، بینما الأدلّة الدالّة علی حجّیة الظنّ إنّما هی فی تفاصیل الاعتقادات ، فهی أخصّ من العمومات الناهیة عن العمل بالظنّ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الظنّ المنهیّ عنه إنّما هو فی مقابل الیقین ، ولیس النهی عن مطلق</w:t>
      </w:r>
    </w:p>
    <w:p>
      <w:pPr>
        <w:pStyle w:val="BookText"/>
        <w:rPr/>
      </w:pPr>
      <w:r>
        <w:rPr>
          <w:rFonts w:ascii="IRNazanin" w:hAnsi="IRNazanin" w:eastAsia="IRNazanin"/>
          <w:color w:val="111111"/>
          <w:sz w:val="28"/>
          <w:sz w:val="28"/>
          <w:szCs w:val="28"/>
          <w:rtl w:val="true"/>
          <w:lang w:bidi="fa-IR"/>
        </w:rPr>
        <w:t>الظنّ ، مثل تقلید الآباء المورث للظنّ فی قبال المعجزة المورثة للیقین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المنهیّ عنه منحصر بصورة إمکان تحصیل الیقین ، ولا یمکن فی تفاصیل الاعتقادات تحصیل الیقین کما اعترف به الفلاسفة</w:t>
      </w:r>
      <w:r>
        <w:rPr>
          <w:rStyle w:val="FootnoteAnchor"/>
          <w:rtl w:val="true"/>
        </w:rPr>
        <w:footnoteReference w:id="139"/>
      </w:r>
      <w:r>
        <w:rPr>
          <w:rFonts w:ascii="IRNazanin" w:hAnsi="IRNazanin" w:eastAsia="IRNazanin"/>
          <w:color w:val="111111"/>
          <w:sz w:val="28"/>
          <w:sz w:val="28"/>
          <w:szCs w:val="28"/>
          <w:rtl w:val="true"/>
          <w:lang w:bidi="fa-IR"/>
        </w:rPr>
        <w:t xml:space="preserve">، فقد ذکر ابن سینا فی إثبات المعاد الجسمانی مع أهمّیته وکونه من اصول المعارف والاعتقادیّات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لم یصل إلی إثباته ولا یمکنه ذلک ، وقد کفتنا الشریعة المحمّدیة مؤونة ذلک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الملّاصدرا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تفاصیل البرزخ والمعاد والجنّة والنار وأحوال العوالم والنشآت الاُخری کلّها ممّا لا یحیط بها العقل الجزئیّ بما له من العلم الحصولیّ من مجموع القضایا الیقینیّة والنظریّة ، فلابدّ حینئذٍ من التوسّل بالوحی المحیط بعوالم الوجود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بمقدور من یتّصل بالغیب الدلالة علی أسرار المعارف عبر ما یمتلکه</w:t>
      </w:r>
    </w:p>
    <w:p>
      <w:pPr>
        <w:pStyle w:val="BookText"/>
        <w:rPr/>
      </w:pPr>
      <w:r>
        <w:rPr>
          <w:rFonts w:ascii="IRNazanin" w:hAnsi="IRNazanin" w:eastAsia="IRNazanin"/>
          <w:color w:val="111111"/>
          <w:sz w:val="28"/>
          <w:sz w:val="28"/>
          <w:szCs w:val="28"/>
          <w:rtl w:val="true"/>
          <w:lang w:bidi="fa-IR"/>
        </w:rPr>
        <w:t xml:space="preserve">العقل الذی لدی سائر البشر من قضایا بتنبیهه علی کیفیّة تألیف تلک الأسرار للوصول إلی النتائج المرجوّة بنحو لم یکن فی مقدور أفراد البشر العادیین التعرّف علیها بدون تنبیه السماء ، کما هو الحال فی مفاد ظواهر الکتاب العزیز ، فإنّ باستطاعة المعصوم علیه السلام تألیفها بنحو تنتج أسرار المعارف وإن لم یکن مقدوراً للعقل البشریّ بدون الارتباط بالسماء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الأدلّة العقلیّة النظریّة إذا ترامت وتکثّرت بعیداً عن البدیهیّات ، تقلّ درجة الجزم بمواد الأقیسة النظریّة إلی درجة الظنّ ، وإن کانت فی صورة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تطبیق ضوابط علم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واجدة لشرائط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فالتفکیک بین درجتی الظنّ لا وجه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الظنّ المنهیّ عنه هو الذی لا یرجع إلی الیقین ، أی لا یکون مستند حجّیته الیقین ، بخلاف الذی یرجع إلیه ، لأنّ النهی عنه إنّما هو من جهة الاعتماد علیه فی‌حدّ نفسه ، بینما الظنّ الذی قام علی اعتباره الیقین یکون الاعتماد فیه علی الیقین لا علی الظنّ نفسه ، حیث أنّ الدلیل علی اعتبار الخبر الواحد ودلالة الظهور قطعیّ ، فیخرج الظنّ المعتبر تخصّصاً من أدلّة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وحقیقة هذه الأجوبة أنّ الظنّ والیقین فی إصطلاح الشریعة لیس المراد منه الدرجة الإدراکیّة ولا الدرجة الإذعانیّة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منهما هو ما یصحّ الرکون إلیه من مقدّمات الاستدلال ، فیسمّی یقیناً ، وما لا یصحّ الرکون إلیه ، فیسمّیه القرآن والشرع ظنّاً ، کما فی إطلاق القرآن الظنّ علی الحسّ فی مورد اعتقاد الیهود بقتل المسیح عیسی بن مریم فی مقابل ترکهم دلیل معجزات الوحی بأنّه نبیّ قد أبلغهم بکونه باقی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یتّبع الإنسان إدراکاً ظنّیّاً اعتقد به وأذعن له لأجل نوریّته ، ویسمّیه الشرع</w:t>
      </w:r>
    </w:p>
    <w:p>
      <w:pPr>
        <w:pStyle w:val="BookText"/>
        <w:rPr/>
      </w:pPr>
      <w:r>
        <w:rPr>
          <w:rFonts w:ascii="IRNazanin" w:hAnsi="IRNazanin" w:eastAsia="IRNazanin"/>
          <w:color w:val="111111"/>
          <w:sz w:val="28"/>
          <w:sz w:val="28"/>
          <w:szCs w:val="28"/>
          <w:rtl w:val="true"/>
          <w:lang w:bidi="fa-IR"/>
        </w:rPr>
        <w:t xml:space="preserve">هدایة ویقیناً ، وقد مرّ أنّ هذا هو إصطلاح المناطقة ، إذ یعتبرون فی الیقین أن یکون ممّا یصلح للاعتماد علیه ولا یلحظون درجة الإدراک والإذعان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افترض أنّ الظنّ لیس هادیاً ولا موصلاً للحقائق ولا عاصماً عن الضلال ، فیلاحظ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درجة من درجات العلم لکونه تصوّراً فی قبال الجهل المرکّب علی أقلّ تقدیر ، وقد ذکرنا أنّه لذلک یحکم العقل بالفحص عنه کی تتمّ عملیة البحث الفکریّ واستقصاء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لم یکن بدرجة الیقین لکنّه فوق الجهل المرکّب ، ویحتوی علی درجة من انکشاف الواقع وأقرب وصولاً للواقع من الغفلة ، فیتلو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 مورد البحث عن الظنّ إنّما هو فی تفاصیل الاعتقادات والمعارف لا فی اصولها مع فقدان الأدلّة الیقینیّة فی جزئیّات المعارف ، فلا خروج عن ثوابت الهدایة وصراط الحقّ الثابتة التی هی فی الاُصول الثابتة بالأدلّة الیقینیّة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فرض قیام الدلیل الیقینیّ علی اعتباره یکون معذراً ومؤمناً لا غوایة وضلالاً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 الماهوی للإیمان هو التسلیم القلبیّ والإنقیاد والإذعان ولو بأدنی درجاته ،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التسلیم الباطنیّ القلبیّ والجری العملیّ بالاذعان متابعةً لأیّ درجة إدراکٍ من العقل النظریّ مُحقِّقٌ لحدّ الإیمان ، ومن ثمّ قیل أنّه عقد للقلب من سنخ الأفعال العملیّة العلمیّة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استدلّ به علی امتناع الاعتقاد بالظنّ بأنّ الاعتقاد یساوق الیقین ، لا وجه 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من معقد الإجماع لیس هو عدم</w:t>
      </w:r>
    </w:p>
    <w:p>
      <w:pPr>
        <w:pStyle w:val="BookText"/>
        <w:rPr/>
      </w:pPr>
      <w:r>
        <w:rPr>
          <w:rFonts w:ascii="IRNazanin" w:hAnsi="IRNazanin" w:eastAsia="IRNazanin"/>
          <w:color w:val="111111"/>
          <w:sz w:val="28"/>
          <w:sz w:val="28"/>
          <w:szCs w:val="28"/>
          <w:rtl w:val="true"/>
          <w:lang w:bidi="fa-IR"/>
        </w:rPr>
        <w:t xml:space="preserve">النجاة باتّباع الدلیل الظنّی إذا أصاب الحقّ فی اصول الدین فضلاً عن تفاصیل الاعتقادات ، بل مرادهم بیان وظیفة اخری هی لزوم وقایة المعرفة والإیمان عن التزلزل والزوال ، وتحکیمها بالأدلّة الیقینیّة وهی وظیفة شرعیّة اخری غیر أصل فریضة المعرفة والإیمان ، وهی وظیفة خاصّة باُصول الدین وضروریّاته اللازم الثبات علیها ، والواجب معرفتها مطلقاً بخلاف التفاصیل المقیّد وجوب الاعتقاد بها علی حصول الحجّة ، کما أنّ النجاة لیست معلّقة علیها ، وإنّما ارتفاع الدرجات فی الإیمان مرهون بالتفاصیل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إشارة الآیات العدیدة إلی تحقّق الإیمان بمجرّد الرجاء ، فضلاً عن الظنّ فیما إذا کان هناک إذعان وتسلیم بدرجة الرجاء ، وقد صرّح الشیخ الطوسی قدس سره بذلک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عمّا نقلناه عن عدّة من أعلام الطائفة المحقّقین ، باعتباره والإستناد إلیه فی تفاصیل الاعتقادات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المعرفة الواجبة والعلم المفروض تحصیله هو خصوص التصدیق الیقینیّ ، مصادرة علی المطلوب ، لأنّ المعرفة والعلم صادقان علی کلا قسمی العلم من التصوّر والتصدیق ، غایة الأمر أنّ مجرّد التصوّر من دون إذعان وانقیاد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بدرجة مناسبة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یحقّق حدّ الإیمان والمعرفة ، فإنّ للعلم والمعرفة درجات ، وبعضها یتعلّق التکلیف بأدنی ما یقترن بالتسلیم والانقیاد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هذاأوّلاً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إرادة المعرفة الخاصّة والدرجة العالیة من الإیمان من أدلّة</w:t>
      </w:r>
    </w:p>
    <w:p>
      <w:pPr>
        <w:pStyle w:val="BookText"/>
        <w:rPr/>
      </w:pPr>
      <w:r>
        <w:rPr>
          <w:rFonts w:ascii="IRNazanin" w:hAnsi="IRNazanin" w:eastAsia="IRNazanin"/>
          <w:color w:val="111111"/>
          <w:sz w:val="28"/>
          <w:sz w:val="28"/>
          <w:szCs w:val="28"/>
          <w:rtl w:val="true"/>
          <w:lang w:bidi="fa-IR"/>
        </w:rPr>
        <w:t xml:space="preserve">الوجوب ، لکانت مقیّدة باُصول العقائد بالضرورة والاتّفاق ، إذ لم یذهب أحد إلی إطلاق وجوب تحصیل المعرفة الخاصّة فی تفاصیل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فالإطلاق إمّا مقیّد باُصول العقائد إذا کان المراد به العلم ، وإمّا علی إطلاقه إذا کان المراد به ما یشمل المعرفة‌الظنّیّة المعتبرة ، وحیث أنّ الآیة مطلقة ، یتعیّن الثانی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یتبیّن إمکان التعبّد بالظنّ فی تفاصیل العقائد ، ولکن یبقی علینا إثبات وقوع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آیات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أظهرها آیة النفر</w:t>
      </w:r>
      <w:r>
        <w:rPr>
          <w:rStyle w:val="FootnoteAnchor"/>
          <w:rtl w:val="true"/>
        </w:rPr>
        <w:footnoteReference w:id="143"/>
      </w:r>
      <w:r>
        <w:rPr>
          <w:rFonts w:ascii="IRNazanin" w:hAnsi="IRNazanin" w:eastAsia="IRNazanin"/>
          <w:color w:val="111111"/>
          <w:sz w:val="28"/>
          <w:sz w:val="28"/>
          <w:szCs w:val="28"/>
          <w:rtl w:val="true"/>
          <w:lang w:bidi="fa-IR"/>
        </w:rPr>
        <w:t xml:space="preserve">بتقریب أنّها بصدد بیان وجوب التفقّه فی الدین ، ثمّ وجوب الإنذار بما استفاده من علوم الدین ،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کمجموع 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للأحکام الفرعیّة والاعتقادیّة وأحکام الآداب والأخلاق والسنن ، فالتفقّه یتعلّق بها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ذلک أشار بعض شرّاح الحدیث ، فذکروا أنّ الفقه فی الآیات والروایات لیس مختصّاً بالفقه الإصطلاحی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شامل للأکبر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فقه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یتّضح أنّ متعلّق الوجوب الکفائیّ الأوّل فی الآیة هو مطلق أحکام الدین ، وکذلک یکون متعلّق الوجوب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الاستغراقیّ یعنی وجوب الحذر وقبول الإنذار ، هو مطلق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فبعین ما تقرّب دلالة الآیة علی حجّیة الخبر فی الفروع تقرّب علی حجّیته فی المعارف عدا التوحید والنبوّة عند الکلّ وعدا الاُصول الخمسة عند 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تقریب الاستدلال فی آیة الکتمان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آیة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هُوَ أُذُنٌ قُلْ أُذُنُ خَیْرٍ لَکُمْ یُؤْمِنُ بِاللّهِ وَ یُؤْمِنُ لِلْمُؤْمِنِینَ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وآیة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الاستدلال بالآیات بأنّه استدلال بالظنّ علی حجّیة الظنّ</w:t>
      </w:r>
    </w:p>
    <w:p>
      <w:pPr>
        <w:pStyle w:val="BookText"/>
        <w:rPr/>
      </w:pPr>
      <w:r>
        <w:rPr>
          <w:rFonts w:ascii="IRNazanin" w:hAnsi="IRNazanin" w:eastAsia="IRNazanin"/>
          <w:color w:val="111111"/>
          <w:sz w:val="28"/>
          <w:sz w:val="28"/>
          <w:szCs w:val="28"/>
          <w:rtl w:val="true"/>
          <w:lang w:bidi="fa-IR"/>
        </w:rPr>
        <w:t xml:space="preserve">فیلزم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بأنّ مفاد هذه الآیات إثبات حجّیة خبر الواحد الذی هو ظنّ خاصّ بتوسّط حجّیة ظنّ آخر هو الظهور الذی ثبتت حجّیته بالقطع بإمضاء الشارع له ، وبذلک فلا یتمّ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الکلام لیس فی الإمکان الثبوتیّ ، بل فی الوقوع والإثبات بعد البرهنة علی الإمکان الثبوتیّ علی 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المثبتین للتعبّد بالخبر الظنّیّ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أشرنا إلی بعض منها فی أجوبة المانعین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صحیحة عبدالعزیز المهتدی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إنّی لا أکاد أصل إلیک أسألک عن کلّ ما أحتاج إلیه من معالم دینی ، أفیونس بن عبدالرحمن ثقة آخذ عنه ما أحتاج إلیه من معالم دینی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ریب أنّ معالم الدین أعمّ من الفروع والمعارف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روایات عدیدة شامل للمعارف ، مثل صحیحة عبداللّه بن أبی یعفور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کلّ ساعة ألقاک یمکن القدوم ویجیء الرجل من أصحابنا فیسألنی ولیس عندی کلّ ما یسألنی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یمنعک من محمد بن مسلم الثقفی،فإنه قد سمع أبی و کان عنده مرضیا وجیها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دلّت علی جواز الرجوع إلی کلّ من سمع وکان مرضیّاً وجیهاً مهما کانت المسألة ، عقائدیّة أو فرعیّة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عن الإمام أبی الحسن الثالث علیه السلام وهی تکاد تکون قطعیّة الصدور ، وموردها الإخبار عن تولّد الحجّة فهی نصّ فی حجّیة خبر الواحد فی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عبداللّه بن جعفر الحمیری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أخبرنی أبو علیّ أحمد بن إسحاق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أو عمّن آخذ وقول من أقبل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العمری ثقتی،فما أدی إلیک عنی فعنی یؤدی،و ما قال لک عنی فعنی یقول ، فاسمع له و أطع،فإنه الثقة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محمّد علیه السلام عن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العمری و ابنه ثقتان ، فما أدیا إلیک عنی فعنی یؤدیان،و ما قالا لک فعنی یقولان ،فاسمع لهما و أطعهما،فإنهما الثقتان المأمونان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قول إمامین قد مضیا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والمتشرّعة علی حجّیة خبر الثقة ، فإنّها عامّة</w:t>
      </w:r>
    </w:p>
    <w:p>
      <w:pPr>
        <w:pStyle w:val="BookText"/>
        <w:rPr/>
      </w:pPr>
      <w:r>
        <w:rPr>
          <w:rFonts w:ascii="IRNazanin" w:hAnsi="IRNazanin" w:eastAsia="IRNazanin"/>
          <w:color w:val="111111"/>
          <w:sz w:val="28"/>
          <w:sz w:val="28"/>
          <w:szCs w:val="28"/>
          <w:rtl w:val="true"/>
          <w:lang w:bidi="fa-IR"/>
        </w:rPr>
        <w:t xml:space="preserve">وشاملة لأخباره فی تفاصیل الاعتقادات ، کما تشمل الفروع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ویستوضح هذا الشمول بما ألفتنا إلیه فی صدر هذه المقدّمة من أنّ وجوب الاعتقاد فی التفاصیل وزانه وزان الأحکام الفرعیّة العملیّة ، بل هو منها حقیقة ، غایة الأمر أنّ إحداها أعمال جارحیّة والاُخری جانحیّة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لوجود السیرتین دأبُ الرواة من الخاصّة والعامّة علی نقل تفاصیل الاعتقادات ، ولذلک تری هذا الکمّ الهائل من روایات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بأنّ دأبهم علی ذلک إنّما هو لتحصّل الاستفاضة والتواتر لا اعتماداً علی خبر الواحد بما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تمّ ذلک وصحّ إلّاأنّ نقل واحد لآخر فی سلسلة الأسانید ظاهر فی اعتمادهم علی الراوی الواحد ، وإلّا لروی کلّ راوٍ عن جماعة فی سلسلة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عکس ذلک کما هو واضح فی اعتماد المفسّرین علی الدلالة الظنّیة المعتبرة فی الآیات ، بل ومطلق المتشرّعة یعتمدون علی ذلک فی إثبات تفاصیل المعارف ، بل إنّ أمّهات المباحث المغلقة فی المعارف یُتنبّه إلی وجه الحقیقة فیها بإشارة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ذکرناه سابقاً فی المقام الأوّل من أنّه حتّی لو بنی علی عدم حجّیة الظنّ وعلی عدم التکلیف بالإیمان فی العقائد ، یبقی لزوم الفحص فی الآیات والروایات ثابتاً عقلاً ، إذ العقل یلزم باستیفاء الفحص فی حرکة الفکر بین المحتملات فی عملیّة استنتاج المطلوب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الباحث العقلیّ فی المعارف یتتبّع الوجوه المختلفة فی الاستدلال والنظریّات المتعدّدة ، ولا یعتمد فی دائرة الفحص علی حدود المعلومات والمحتملات التی لدیه ، بل یشرک عقول ومعلومات الآخرین مع عقله</w:t>
      </w:r>
    </w:p>
    <w:p>
      <w:pPr>
        <w:pStyle w:val="BookText"/>
        <w:rPr/>
      </w:pPr>
      <w:r>
        <w:rPr>
          <w:rFonts w:ascii="IRNazanin" w:hAnsi="IRNazanin" w:eastAsia="IRNazanin"/>
          <w:color w:val="111111"/>
          <w:sz w:val="28"/>
          <w:sz w:val="28"/>
          <w:szCs w:val="28"/>
          <w:rtl w:val="true"/>
          <w:lang w:bidi="fa-IR"/>
        </w:rPr>
        <w:t xml:space="preserve">ومعلوماته ، فالأحری به عقلاً أن یبحث عن مؤدّیات الطرق إلی الوحی الذی هو نافذة علی الغیب لا تصل العقول الجزئیّة إلیها بالتفصیل ، فهذا وجه ثالث للزوم الفحص فیما نقل عن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هذا الوجه هو مفاد ما ورد من الشرع الحنیف من الحثّ علی الاستشارة ومشارکة عقول الرجال وعدم الاستبداد بالرأی ، وهو مفاد ما یصطلح علیه من الرجوع إلی بنک المعلومات فی کلّ حقل من حقول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هناک وجه رابع غیر مبنیّ أیضاً علی وجود الحکم الشرعیّ فی المقام الأوّل والثانی ، وحاصله أنّ الوحی القطعیّ یقع وسطاً برهانیّاً فی القیاس العقلیّ للنتیجة العقلیّة البحتة من دون ارتباط بالحکم الشرعیّ الاعتقادی ، لما تبیّن من برهانیّة معاجز الأنبیاء والأوصیاء علیهم السلام علی صدق اطّلاعهم علی الغیب وواقعیّات الأشیاء بتوسّط الوحی بنحو أرفع من القضایا الیقینیّة البدیهیّة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کذلک ، فیلزم العقل بالفحص وتحصیل الطریق القطعیّ إلی الوحی ، ویتمّ استحصال ذلک عبر تراکم الدلالات والطرق الظنّیة حتّی یرتقی الاحتمال فیها إلی القطع علی ما حقّق فی بحث الاستقراء من علم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یفترق عن الثالث بأنّه مبنیّ علی الحجّیة العقلیّة للوحی والاستفادة منها فی التصدیق والإذعان ، أمّا الثالث فقد بُنی علی مجرّد استفادة أصل التصوّر المحتمل فی عملیّة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وجوه أربعة تلزم عقلاً بالرجوع فی المعارف إلی منقولات الوحی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فی المقام التعرّض إلی ما ذکره کلّ من الفخر الرازی والمحقّق الخواجة نصیرالدین الطوسی فی تلخیص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الثانیة من الرکن الأوّل المعقودة لأحکام النظر فی 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فی معرفة اللّه</w:t>
      </w:r>
    </w:p>
    <w:p>
      <w:pPr>
        <w:pStyle w:val="BookText"/>
        <w:rPr/>
      </w:pPr>
      <w:r>
        <w:rPr>
          <w:rFonts w:ascii="IRNazanin" w:hAnsi="IRNazanin" w:eastAsia="IRNazanin"/>
          <w:color w:val="111111"/>
          <w:sz w:val="28"/>
          <w:sz w:val="28"/>
          <w:szCs w:val="28"/>
          <w:rtl w:val="true"/>
          <w:lang w:bidi="fa-IR"/>
        </w:rPr>
        <w:t>تعالی إلی المعلّم</w:t>
      </w:r>
      <w:r>
        <w:rPr>
          <w:rStyle w:val="FootnoteAnchor"/>
          <w:rtl w:val="true"/>
        </w:rPr>
        <w:footnoteReference w:id="151"/>
      </w:r>
      <w:r>
        <w:rPr>
          <w:rFonts w:ascii="IRNazanin" w:hAnsi="IRNazanin" w:eastAsia="IRNazanin"/>
          <w:color w:val="111111"/>
          <w:sz w:val="28"/>
          <w:sz w:val="28"/>
          <w:szCs w:val="28"/>
          <w:rtl w:val="true"/>
          <w:lang w:bidi="fa-IR"/>
        </w:rPr>
        <w:t xml:space="preserve">، حیث قال الفخر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فی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المعلّم خلافاً للملاحدة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حصل العلم بأنّ العالم ممکن ، وکلّ ممکن فله مؤثّر ، علمنا أنّ العالم له مؤثِّر سواء کان هناک معلّم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 الجمهور منّا</w:t>
      </w:r>
      <w:r>
        <w:rPr>
          <w:rStyle w:val="FootnoteAnchor"/>
          <w:rtl w:val="true"/>
        </w:rPr>
        <w:footnoteReference w:id="152"/>
      </w:r>
      <w:r>
        <w:rPr>
          <w:rFonts w:ascii="IRNazanin" w:hAnsi="IRNazanin" w:eastAsia="IRNazanin"/>
          <w:color w:val="111111"/>
          <w:sz w:val="28"/>
          <w:sz w:val="28"/>
          <w:szCs w:val="28"/>
          <w:rtl w:val="true"/>
          <w:lang w:bidi="fa-IR"/>
        </w:rPr>
        <w:t xml:space="preserve">ومن المعتزلة فی إبطال قولهم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حصول العلم بالشیء لو افتقر إلی معلّم لافتقر المعلّم فی کونه معلّماً إلی معلّم آخر ، ولزم التسلسل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نعلم کون المعلّم صادقاً إلّابعد العلم بأنّ اللّه تعالی صدّقه بواسطة إظهار المعجزة علی یدیه ، فلو توقّف العلم باللّه سبحانه علی قوله ، لزم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الوجهان ضعیفان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فلاحتمال أن یکون عقل النبیّ والإمام أکمل من عقول سائر الخلق ، فلا جرم کان عقله مستقلّاً بإدراک الحقائق ، وعقل غیره لم یکن مستقلاً ، فکان محتاجاً إلی التعلیم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ذلک إنّما یلزم علی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معزول مطلقاً وقول المعلّم وحده مفید للعلم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لابدّ منه لکنّه غیر کافٍ ، بل لابدّ معه من معلّم آخر یرشدنا إلی الأدلّة ویوقفنا علی الجواب فی الشبهات ، لا یلزمه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عقولنا غیر مستقلّة بمعرفة الدلائل والجواب عن الشبهات ، فلابدّ من إمام یعلّمنا تلک الأدلّة والأجوبة ، حتّی أنّا بواسطة تعلیمه وقوّة عقولنا نعرف تلک الحقائق ، ومن جملة تلک الحقائق هو أنّه یعلّمنا ما یدل علی إمامته ، وعلی هذا التقدیر لا یلزم الدور والتسلسل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بأنّا نری الاختلاف مستمرّاً بین أهل العالم ، ولو کفی العقل لَما کان کذلک ، ولأنّا نری أنّ الإنسان وحده لا یستقلّ بتحصیل أضعف العلوم ، بل لابدّ له من استاذ یهدیه ، وذلک یدلّ علی أنّ العقل غیر 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أتی بالنظر علی الوجه المذکور لا یعرض له ما ذکرت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نزاع فی التعبیر ، لکن الإمتناع ممنوع ، وإلّا لزم التسلسل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نطالبهم بتعیین ذلک الإمام ونبیّن أنّه من أجهل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علیه المحقّق الخواجه نصیر الدین الطوسی رحمه الله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 ینکرون استلزام مقدّمات إثبات الصانع لنتائجها ، لکن یقولون هذا وحده لا یجزی ولا تحصل به النجاة إلّاإذا اتّصل به تعلّم ، لقول النبیّ صلی الله علیه و آله و سلم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امرت أن اقاتل الناس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w:t>
      </w:r>
    </w:p>
    <w:p>
      <w:pPr>
        <w:pStyle w:val="BookText"/>
        <w:rPr/>
      </w:pP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وکثیر من الناس کانوا یقولون بالتوحید ، لکنّهم لما لم یأخذوا ذلک منه ما کان یقبل 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وأمثال هذه کثیرة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فاعلم أنه لا إله إلا الله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فاُمِر بهذا القول وهذا العلم ، فإن لم یقبلوا قوله کفّرهم ، مع أنّهم معترفون بوجود الصانع ، کما حکی عنهم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 وفی أمثاله ، فلو کانت العقول کافیة لقالت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نثبت الصانع بعقولنا ونعرف توحیده ولا نحتاج فی ذلک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اختصر مقدّمهم هذا فی کلام موجز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یکفی أو لا ؟ فإن کان یکفی فلیس لأحد من الخلق حتّی الإنبیاء علیهم السلام هدایة غیره من العقلاء ، وإن لم یکف فهو اعتراف بالاحتیاج إلی التعلیم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کلام کثیر فی إثبات مذهبهم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التعلیم فی المعقولات لیس بضروریّ مع أنّه إعانة وهدایة وحثّ علی استعمال العقل ، وفی المنقولات ضروریّ ، والأنبیاء ما جاءوا لتعلیم الصنف الأوّل وحده ، بل له وللصنف</w:t>
      </w:r>
    </w:p>
    <w:p>
      <w:pPr>
        <w:pStyle w:val="BookText"/>
        <w:rPr/>
      </w:pPr>
      <w:r>
        <w:rPr>
          <w:rFonts w:ascii="IRNazanin" w:hAnsi="IRNazanin" w:eastAsia="IRNazanin"/>
          <w:color w:val="111111"/>
          <w:sz w:val="28"/>
          <w:sz w:val="28"/>
          <w:szCs w:val="28"/>
          <w:rtl w:val="true"/>
          <w:lang w:bidi="fa-IR"/>
        </w:rPr>
        <w:t xml:space="preserve">الثانی؛ فإنّ العقل لا یتطرّق إلی ما یرشدون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نطالبهم بتعیین ذلک الإمام ونبیّن أنّه من أجهل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لازم علیهم؛ لأنّهم ما یدّعون أنّ إمامهم یعلّمهم علماً ، إنّما یدّعون أنّ متابعته والاعتراف بإمامته إذا صار مضافاً إلی المعارف العقلیّة وغیرها حصّل النجاة ، وإلّا فلا ، وضعف هذه الدعوی وتعرّیها عن الحجّة ظاهر غیر محتاج فیهما إلی إطناب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 الخواجه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لزوم استعانة العقل بالوحی یمکن أن یصاغ بأربعة وجوه ولا ینحصر بالوجهین الأوّلین وإن کانا تامّین کما تقدّم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الفخر الرازی إلی الوجه الثالث الذی ذکرناه فی تضعیفه للدلیل الأوّل من أدلّة المعتزلة والأشاعرة ، بتقریب أنّ عقل النبیّ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من عقول سائر الخلق ، وبالتالی احتاجت عقولهم إلی الإستعانة بالتعلیم أی فی أصل إحداث التصوّر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هو نفسه إلی الوجه الرابع الذی قدّمناه فی تضعیفه للدلیل الثانی من أدلّة الأشاعرة والمعتزلة ، حیث ذکر أنّ العقل لیس بمعزول ، والمعلّم وحده غیر مفید ، بل العقل لابدّ منه کما لابدّ معه من معلّم آخر یرشدنا إلی الدلائل ویوقفنا علی الحقائق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جواب الرازی عن أدلّة لزوم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أتی بالنظر وأقام الاستدلال لم یعرض له الاختلاف أو الحیرة ، وأنّ امتناع استقلال الإنسان وحده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الحقیقة لما کانت واحدة فمن اختلاف أهل النظر یعلم عدم إصابة جمیعهم للحقیقة ، ولذا لا یُری فی الأنبیاء والرسل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اختلاف فی الاُصول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فالناظر یری أنّ الحکماء اختلفوا فی الصفات الذاتیّة الاُمّ للذات الأزلیّة کالاختلاف فی صفة العلم بین مدارس المشّاء والإشراق والحکمة المتعالیة والعرفان ، والاختلاف بین الأشاعرة وغیرهم ، کما لم یتمکّن الحکماء من إثبات المعاد الجسمانیّ طیلةَ قرون متمادیة ، حتّی قال ابن سینا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یعلم أنّ المعاد منه ما هو منقول من الشرع ولا سبیل إلی إثباته إلّامن طریق الشریعة وتصدیق خبر النبوّة وهو الذی للبدن عند البعث ، وخیرات البدن وشروره معلومة لا یحتاج إلی أن تُعلم ، وقد بسطت الشریعة الحقّة التی أتانا بها نبیّنا وسیّدنا ومولانا محمّد صلی الله علیه و آله و سلم حالَ السعادة والشقاوة التی بحسب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هو مُدرک بالعقل والقیاس البرهانیّ وقد صدّقته النبوّة وهو السعادة والشقاوة الثابتتان بالقیاس اللتان للأنفس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الفلاسفة إلی عصر الملّا صدرا الذی تمکّن من الالتفات إلی وجوه الاستدلال العقلیّ علی المعاد الجسمانی ، وذلک ببرکة تنبیه الوحی من آیاتٍ وروایاتٍ‌</w:t>
      </w:r>
      <w:r>
        <w:rPr>
          <w:rStyle w:val="FootnoteAnchor"/>
          <w:rtl w:val="true"/>
        </w:rPr>
        <w:footnoteReference w:id="159"/>
      </w:r>
      <w:r>
        <w:rPr>
          <w:rFonts w:ascii="IRNazanin" w:hAnsi="IRNazanin" w:eastAsia="IRNazanin"/>
          <w:color w:val="111111"/>
          <w:sz w:val="28"/>
          <w:sz w:val="28"/>
          <w:szCs w:val="28"/>
          <w:rtl w:val="true"/>
          <w:lang w:bidi="fa-IR"/>
        </w:rPr>
        <w:t xml:space="preserve">علی بقاء هویّة الشخص ببقاء روحه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ما هو معروف ، من أنّ الفلسفة الیونانیة کانت تشتمل علی ثلاثمائة مسألة</w:t>
      </w:r>
    </w:p>
    <w:p>
      <w:pPr>
        <w:pStyle w:val="BookText"/>
        <w:rPr/>
      </w:pPr>
      <w:r>
        <w:rPr>
          <w:rFonts w:ascii="IRNazanin" w:hAnsi="IRNazanin" w:eastAsia="IRNazanin"/>
          <w:color w:val="111111"/>
          <w:sz w:val="28"/>
          <w:sz w:val="28"/>
          <w:szCs w:val="28"/>
          <w:rtl w:val="true"/>
          <w:lang w:bidi="fa-IR"/>
        </w:rPr>
        <w:t xml:space="preserve">ثمّ اثری البحث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ببرکة معارف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یربو علی ثمانمائة مسألة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ما أفاده رحمه الله استناد تضاعف أعداد أبواب المعرفة فی الحکمة الإسلامیّة إلی ما یقدحُه الوحی من أصل تصوّر تلک الأبواب بعد أن کانت مسدودة بالجهل المرکّب ، فضلاً عن إرشادات الوحی وتنبیهاته إلی وجوه الأدلّة العقلیّة التی من خلالها یتوصّل إلی إقامة الأقیسة العقلیّة البحتة علی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الملّاصدرا وغیره من الحکماء وأصحاب التراجم أنّ عدّة من الفلاسفة الأوائل کانوا من الأنبیاء علیهم السلام ، ومن هنا کان طابع المدرسة المشّائیّة ومن بعدها الإشراقیّة ثمّ مدرسة الحکمة المتعالیة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الدرجة القصوی ممّا وصلت إلیه الفلسفة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المزاوجة بین منابع المعرفة ، بین الوحی من جانب وبین ذائقة القلب فی مشاهداته وإدراکات العقل فی المعانی المفهومة من جانب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الملّاصدرا فی فصلٍ عَقَدَه فی طریق التوفیق بین الشریعة والحکمة فی دوام فیض الباری وحدوث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مراراً إلی أنّ الحکمة غیر مخالفة للشرائع الحقّة الإلهیّة ، بل المقصود منهما شیء واحد هی معرفة الحق الأوّل وصفاته وأفعاله ، وهذه تحصل تارة بطریق الوحی والرسالة فتُسمّی بالنبوّة ، وتارة بطریق السلوک والکسب فتُسمّی بالحکمة والولایة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یقول بمخالفتهما فی المقصود من لا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w:t>
      </w:r>
    </w:p>
    <w:p>
      <w:pPr>
        <w:pStyle w:val="BookText"/>
        <w:rPr/>
      </w:pPr>
      <w:r>
        <w:rPr>
          <w:rFonts w:ascii="IRNazanin" w:hAnsi="IRNazanin" w:eastAsia="IRNazanin"/>
          <w:color w:val="111111"/>
          <w:sz w:val="28"/>
          <w:sz w:val="28"/>
          <w:szCs w:val="28"/>
          <w:rtl w:val="true"/>
          <w:lang w:bidi="fa-IR"/>
        </w:rPr>
        <w:t xml:space="preserve">الخطابات الشرعیّة علی البراهین الحِکَمیّة ، ولا یقدر علی ذلک إلّا مؤیّد من عند اللّه ، کامل فی العلوم الحِکَمیّة مُطّلِع علی الأسرار النبویّة ، فإنّه قد یکون الإنسان بارعاً فی الحکمة البحثیّة ولا حظّ له من علم الکتاب والشریعة أو بالعکس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فالعقل السلیم إذا تأمّل تأمّلاً شافیاً وتشبّث بذیل الإنصاف متبرّیاً عن المیل والانحراف والعناد والاعتساف ، وتدبّر أنّ طائفة من العقول الزکیّة والنفوس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لم تتنجّس بواطنهم بأرجاس الجاهلیّة ، ولم ینحرفوا عن سبیل التقدیس ، ولم یأتوا بباطل ولا تدلیس ، وکانوا مؤیّدین من عند اللّه بأمور غریبة فی العلم والعمل ، معجزاتٍ وخوارق للعادات من غیر سحرٍ وحِیلٍ ولا غشّ ولا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أصرّوا علی القول بحدوث هذا العالم وخرابه وبواره وانشقاق أسقافه وانهدام طاقاته وتساقط کواکبه وانکدارها ، وطیّ سماواته وبَیْدِ أرضه وانفجار بحارها وسَیَران</w:t>
      </w:r>
      <w:r>
        <w:rPr>
          <w:rStyle w:val="FootnoteAnchor"/>
          <w:rtl w:val="true"/>
        </w:rPr>
        <w:footnoteReference w:id="161"/>
      </w:r>
      <w:r>
        <w:rPr>
          <w:rFonts w:ascii="IRNazanin" w:hAnsi="IRNazanin" w:eastAsia="IRNazanin"/>
          <w:color w:val="111111"/>
          <w:sz w:val="28"/>
          <w:sz w:val="28"/>
          <w:szCs w:val="28"/>
          <w:rtl w:val="true"/>
          <w:lang w:bidi="fa-IR"/>
        </w:rPr>
        <w:t>جبالها ونسفها وبالغوا فی ذلک وتشدّدوا فی الإنکار علی منکریه</w:t>
      </w:r>
      <w:r>
        <w:rPr>
          <w:rStyle w:val="FootnoteAnchor"/>
          <w:rtl w:val="true"/>
        </w:rPr>
        <w:footnoteReference w:id="162"/>
      </w:r>
      <w:r>
        <w:rPr>
          <w:rFonts w:ascii="IRNazanin" w:hAnsi="IRNazanin" w:eastAsia="IRNazanin"/>
          <w:color w:val="111111"/>
          <w:sz w:val="28"/>
          <w:sz w:val="28"/>
          <w:szCs w:val="28"/>
          <w:rtl w:val="true"/>
          <w:lang w:bidi="fa-IR"/>
        </w:rPr>
        <w:t xml:space="preserve">مع أنّه لا یضرّهم القول بقِدم العالم مع بقاء النفوس بعد الأبدان الشخصیّة وإثبات الخیرات والشرور النفسانیة فی المعاد ، ولا یُخلّ بالشریعة فی ظاهر الأمر ، فیجزم لا محالة بأنّهم ما نطقوا عن الهوی ، وأنّ ما أخبروا عن یقین حقّ واعتقاد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رجعنا إلی البراهین العقلیّة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الجمع بین الحکمة والشریعة فی هذه المسألة العظیمة لا یمکن إلّابما هدانا اللّه إلیه وکشف الحجاب عن وجه بصیرتنا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فإنّک تراه یزاوج فی منبع المعرفة لمدرسة الحکمة المتعالیة ، ویصرّح بأنّ قول المعصوم وسط برهانیّ ، حتّی أنّه فی مسألة حدوث العالم المادّی التی اشتهر إنکارها عن الحکماء الأوائل ، لم یعبأ بآرائهم فی قبال قول المعصوم علیه السلام المقطوع به ، وقد وصف هذه المسألة بالمسألة العظیمة فی معارف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سینا فی إلهیات الشفاء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أکثر ما یقرّ به الجمهور وینزع إلیه ویقول به فهو حقّ ، وأنّما یدفعه هؤلاء المتشبّهة بالفلاسفة ، جهلاً منهم بعلله وأسبابه ، وقد عملنا فی هذا الباب کتاب البِرّ والإثم ، فتأمّل شرح هذه الأمور من هناک وصدّق بما یحکی من العقوبات الإلهیّة النازلة علی مدنٍ فاسدة ، وأشخاص ظالمة ، وانظر أنّ الحقّ کیف یُنصر ؟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والملاحظ أنّ کثیراً من الأجیال البشریّة إلی یومنا هذا ، حتّی الکثیر من عامّة المسلمین ، یذهبون إلی تجسیم ربّ العزّة سبحانه واشتقاق الخلق منه بالتولید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برکات هدایة العترة من آل محمّد علیهم السلام لقال قاطبة المسلمین بذلک ، إذ أنّهم علیهم السلام قد تصدّوا لنفی التجسیم عنه تعالی ونفی الأین والمکان ،</w:t>
      </w:r>
    </w:p>
    <w:p>
      <w:pPr>
        <w:pStyle w:val="BookText"/>
        <w:rPr/>
      </w:pPr>
      <w:r>
        <w:rPr>
          <w:rFonts w:ascii="IRNazanin" w:hAnsi="IRNazanin" w:eastAsia="IRNazanin"/>
          <w:color w:val="111111"/>
          <w:sz w:val="28"/>
          <w:sz w:val="28"/>
          <w:szCs w:val="28"/>
          <w:rtl w:val="true"/>
          <w:lang w:bidi="fa-IR"/>
        </w:rPr>
        <w:t>ونفی الکیف والزمان ، کما تصدّوا لنفی التعطیل بإخراجه تعالی عن حدّ التعطیل وحدّ التشبیه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إنّهم علیهم السلام تصدّوا لنفی شبهتی الجبر والتفویض ، ودفع شبهات القدریّة والمرجئة ، وأوضحوا الجادّة الحنیفیّة بقولهم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جبر و لا تفویض ، و إنما هو أمر بین أمرین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بیّنوا الحقائق وکشفوا الکثیر من المعضلات فی معارف التوحید ، ومنها العدل ومعارف المعاد والنبوّة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 فالعقل وإن استقلّ بالحکم والاستدلال فی المعارف ابتداءً وانتهاءً ، إلّا أنّه فی حاجة إلی التنبیه والدلالة من وحی السماء کی یصل إلی الحقائق التی لم یکن من شأنه إدراکها بمفرده ، وإلّا لم یکن هناک فرق بین العقول المحیطة الأولی والعقول الجزئیّة فی سعة الإحاطة الوجودیة بالحقائق ، وسیأتی المزید من بیان العلاقة بین العقل والوحی فی نهایة هذا الفصل إن شاء اللّه ، ومن ثمّ سیقع الکلام فی هذا الفصل عن میزان الاستدلال بکلّ من طریقی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وطریقی النفس العقل والقلب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ختام هذه المقدّمة لا بدّ من التنبیه علی أنّه حیثُ کان کلٌّ من طریقی الوحی وطریقی النفس منبعاً للمعارف ، فیجب الإحاطة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مسألة معرفیّة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هذه الطرق</w:t>
      </w:r>
      <w:r>
        <w:rPr>
          <w:rStyle w:val="FootnoteAnchor"/>
          <w:rtl w:val="true"/>
        </w:rPr>
        <w:footnoteReference w:id="167"/>
      </w:r>
      <w:r>
        <w:rPr>
          <w:rFonts w:ascii="IRNazanin" w:hAnsi="IRNazanin" w:eastAsia="IRNazanin"/>
          <w:color w:val="111111"/>
          <w:sz w:val="28"/>
          <w:sz w:val="28"/>
          <w:szCs w:val="28"/>
          <w:rtl w:val="true"/>
          <w:lang w:bidi="fa-IR"/>
        </w:rPr>
        <w:t>، ففی طریقی الوحی یجب الإحاطة بآیات المعارف والتفاسیر الواردة فی ذیلها ، وباستقصاء أبواب روایات المعارف لتحصیل المتواتر منها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والمستفیض وغیرهما ، بالإضافة إلی التدرّب العمیق فی فنون درایة فقه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طریقی النفس لابدّ من الإلمام بالوجوه العقلیّة والذوقیّة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بتفاصیلها </w:t>
      </w:r>
      <w:r>
        <w:rPr>
          <w:rFonts w:eastAsia="IRNazanin" w:cs="IRNazanin"/>
          <w:color w:val="111111"/>
          <w:sz w:val="28"/>
          <w:szCs w:val="28"/>
          <w:rtl w:val="true"/>
          <w:lang w:bidi="fa-IR"/>
        </w:rPr>
        <w:t>.</w:t>
      </w:r>
      <w:bookmarkStart w:id="53" w:name="pg5252_44158"/>
    </w:p>
    <w:p>
      <w:pPr>
        <w:pStyle w:val="Heading4"/>
        <w:numPr>
          <w:ilvl w:val="3"/>
          <w:numId w:val="1"/>
        </w:numPr>
        <w:rPr/>
      </w:pPr>
      <w:bookmarkStart w:id="54" w:name="__RefHeading___Toc422991_581953129"/>
      <w:bookmarkStart w:id="55" w:name="_Toc20"/>
      <w:bookmarkEnd w:id="53"/>
      <w:bookmarkEnd w:id="54"/>
      <w:r>
        <w:rPr>
          <w:rtl w:val="true"/>
        </w:rPr>
        <w:t xml:space="preserve">المقام الثانی </w:t>
      </w:r>
      <w:r>
        <w:rPr>
          <w:rtl w:val="true"/>
        </w:rPr>
        <w:t xml:space="preserve">: </w:t>
      </w:r>
      <w:r>
        <w:rPr>
          <w:rtl w:val="true"/>
        </w:rPr>
        <w:t>فی البحث عن ضابطة اصول الاعتقادات</w:t>
      </w:r>
      <w:bookmarkEnd w:id="55"/>
    </w:p>
    <w:p>
      <w:pPr>
        <w:pStyle w:val="Heading5"/>
        <w:numPr>
          <w:ilvl w:val="4"/>
          <w:numId w:val="1"/>
        </w:numPr>
        <w:rPr/>
      </w:pPr>
      <w:bookmarkStart w:id="56" w:name="__RefHeading___Toc422993_581953129"/>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 xml:space="preserve">یُطلق الأصل فی اللغة علی 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الشیء ، فکأنّ الشیء تابع وفرع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وهو بلحاظ ما یوزن به الشیء ویقاس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فی إصطلاح أهل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القاعدة التی یستفاد منها فی مقام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کالقواعد الفقهیّة وقواعد الحِکمة العامّة ، فإنّ الاستفادة منها تطبیقیّة ، وما یستنتج منها هو صغریات لهذه القاعدة ، وبهذا اللحاظ سمّیت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یحدّد المنهَجَة والأسلوب فی البحث والاستدلال وموازینهما من قبیل علم المنطق بالنسبة إلی الفلسفة ، وعلم الاُصول بالنسبة إلی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بالتطبیق هو مجیء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کبری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فی النتیجة ، ویتشکّل من قیاس حقیقیّ ، وأمّا میزان الاستدلال وقواعده ، فلا تکون هی عین النتیجة فی قیاس الاستدلال ، وإنّما یکون الاستدلال والقیاس بهیئة وصورة تلک القواعد ، ومن ثمّ لم تکن قواعد علم المنطق وعلم اصول الفقه واقعة فی محمولات أقیسة الاستنتاج والاستنباط للأحکام العقلیّة أو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للأصل معنیین اصطلاحیّین منقولین من المعنیین اللغویین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هذین المعنیین یتّضح أنّ لاُصول المعارف والاعتقادات معنیین أیضاً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المنطبقة علی جزئیّات قضایا المعارف والاعتقادات ،</w:t>
      </w:r>
    </w:p>
    <w:p>
      <w:pPr>
        <w:pStyle w:val="BookText"/>
        <w:rPr/>
      </w:pPr>
      <w:r>
        <w:rPr>
          <w:rFonts w:ascii="IRNazanin" w:hAnsi="IRNazanin" w:eastAsia="IRNazanin"/>
          <w:color w:val="111111"/>
          <w:sz w:val="28"/>
          <w:sz w:val="28"/>
          <w:szCs w:val="28"/>
          <w:rtl w:val="true"/>
          <w:lang w:bidi="fa-IR"/>
        </w:rPr>
        <w:t xml:space="preserve">وهی مبحوثة فی کلّ علم من علوم الکلام والفلسفة والعرفان ، وعلمَی التفسیر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المنهجة وموازین الاستدلال فی المعارف والاعتقادات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منطق المعارف والاعتقادات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مبحوثة فی کلّ من علمَی المنطق واُصول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فالمنطق توزَن به صحّة الاستدلال بالأدلة العقلیّة ، وعلم اصول الفقه بمنزلة منطق العلوم الدینیّة أجمع ، إذ المراد بالحکم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بالقواعد الممهّدة فی إستنباط الحکم الشرعی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الأعمّ من الحکم الاعتقادیّ والفرعیّ ، سواء فی مسائل المعارف أم الآداب أم الأخلاق والسنن أم مسائل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التمعّن والتدقیق فی العلوم یؤکّد للباحث دخول علم المنطق فی کلّ إستدلال من أیّ علم ، لأنّ هیئة القیاس تُعرف به ، کما یدلّه علی دخول اصول الفقه فی منهجة علوم المعرفة ، دینیّة کانت أو عقلیّة ، فإنّ الملاءمة بین الحجج العقلیّة والنقلیّة والکشفیّة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مسألة بحثها الملّاصدرا فی العدید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علم اصول الفقه ، وتعرّض لها الأصولیون بنحو مبسوط لم یلحظ فی أیّ علم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بحثوا دائرة حجّیة العقل ، وهی مسألة ضروریّة فی أبحاث المعارف ، ولذا تجد علماء الکلام وأمثالهم من علماء المعارف یبحثونها فی مقدّمة أبحاثهم قبل مسائل العلم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سمعتَ قبلُ کلام إبن سینا فی البحث عن المعاد الجسمانیّ ، حیث مهّد فی مستهلّ ذلک الفصل وجه حجّیة النقل عن الشریعة فی الاستدلال علی المعاد</w:t>
      </w:r>
    </w:p>
    <w:p>
      <w:pPr>
        <w:pStyle w:val="BookText"/>
        <w:rPr/>
      </w:pPr>
      <w:r>
        <w:rPr>
          <w:rFonts w:ascii="IRNazanin" w:hAnsi="IRNazanin" w:eastAsia="IRNazanin"/>
          <w:color w:val="111111"/>
          <w:sz w:val="28"/>
          <w:sz w:val="28"/>
          <w:szCs w:val="28"/>
          <w:rtl w:val="true"/>
          <w:lang w:bidi="fa-IR"/>
        </w:rPr>
        <w:t>الجسمانیّ ، کما تقدّم کلام الملّاصدرا فی التوفیق بین الحجج</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یتّضح أنّ لکلٍّ من علم المنطق وعلم اصول الفقه دوراً فی منهجة الاستدلال ، فالأوّل من ناحیة هیئة الاستدلال وأشکال الأقیسة والبراهین ، والثانی من جهة مواد الاستدلال ، وإن کان الأوّل یتضمّن البحث فی المواد إجمالاً ، کباب صناعة التحلیل والترکیب من علم المنطق ، کما أنّ الثانی یتضمّن البحث فی الهیئات إجمالاً ، کالبحث فی العموم والخصوص والمطلق والمقیّد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تری بعض البحوث المشترکة بین العلمَین ، کالبحث عن حجّیة التواتر والاستقراء ، وحجّیة القطع والیقین الذاتیّة والقیاس المنصوص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لکن المنطقیّ یبحث فی الحجّیة من حیث تولیدها الإذعان تارة عند المستدِل نفسه إذا استندت إلی مقدّمات یقینیّة کما فی البرهان ، واُخری تفید إذعاناً جازماً وإن لم تستند إلی مقدّمات یقینیّة تفید إلزام المقابل وقطع العذر علیه وهو صناعة الجدل ، وثالثة ورابعة وخامسة فی جهات اخری هی صناعة المغالطة وصناعة الخطابة وصناعة الشعر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والاُصولیّ یبحث فی الحجّیة ذات الموادّ الیقینیّة أو المنتهیة إلی الیقین ،</w:t>
      </w:r>
      <w:bookmarkStart w:id="58" w:name="pg5252_44161"/>
    </w:p>
    <w:p>
      <w:pPr>
        <w:pStyle w:val="BookText"/>
        <w:rPr/>
      </w:pPr>
      <w:bookmarkEnd w:id="58"/>
      <w:r>
        <w:rPr>
          <w:rFonts w:ascii="IRNazanin" w:hAnsi="IRNazanin" w:eastAsia="IRNazanin"/>
          <w:color w:val="111111"/>
          <w:sz w:val="28"/>
          <w:sz w:val="28"/>
          <w:szCs w:val="28"/>
          <w:rtl w:val="true"/>
          <w:lang w:bidi="fa-IR"/>
        </w:rPr>
        <w:t xml:space="preserve">عن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العذر ، ویمتاز علم الاُصول باستیفاء البحث عن دلیلیّة جمیع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یتوقّع له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عن النسبة بین الأدلّة ، فرتبته تستشرف علی العلوم الباحثة فی منهجة الاستدلال ، ومن ثمّ کان عبارة عن ضوابط وموازین خطیرة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المعرفة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المعرفة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غایة الأمر أنّ علم الاُصول یبحث عن تلک الموازین بما هی ممهّدة لتلک الأمور بلحاظ ارتباطها بالحکم الشرعیّ لا بما هی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أنّ هناک تعاوناً وتکافلاً بین العلوم بعضها وبعض ، کما هو الحال بین علمَی المنطق واُصول الفقه ، وبینهما وبین مدارس المعرفة الاُخری من الفلسفة والکلام وعلم التفسیر وغیرها ، وقد یتقدّم بعضها باعتبار ، ویتأخّر باعتبار آخر </w:t>
      </w:r>
      <w:r>
        <w:rPr>
          <w:rFonts w:eastAsia="IRNazanin" w:cs="IRNazanin"/>
          <w:color w:val="111111"/>
          <w:sz w:val="28"/>
          <w:szCs w:val="28"/>
          <w:rtl w:val="true"/>
          <w:lang w:bidi="fa-IR"/>
        </w:rPr>
        <w:t>.</w:t>
      </w:r>
    </w:p>
    <w:p>
      <w:pPr>
        <w:pStyle w:val="Heading5"/>
        <w:numPr>
          <w:ilvl w:val="4"/>
          <w:numId w:val="1"/>
        </w:numPr>
        <w:rPr/>
      </w:pPr>
      <w:bookmarkStart w:id="59" w:name="__RefHeading___Toc422995_581953129"/>
      <w:bookmarkStart w:id="60" w:name="_Toc22"/>
      <w:bookmarkEnd w:id="59"/>
      <w:r>
        <w:rPr>
          <w:rtl w:val="true"/>
        </w:rPr>
        <w:t>الرابطة بین علم اصول الفقه والعلوم القلبیّة</w:t>
      </w:r>
      <w:bookmarkEnd w:id="60"/>
    </w:p>
    <w:p>
      <w:pPr>
        <w:pStyle w:val="BookText"/>
        <w:rPr/>
      </w:pPr>
      <w:r>
        <w:rPr>
          <w:rFonts w:ascii="IRNazanin" w:hAnsi="IRNazanin" w:eastAsia="IRNazanin"/>
          <w:color w:val="111111"/>
          <w:sz w:val="28"/>
          <w:sz w:val="28"/>
          <w:szCs w:val="28"/>
          <w:rtl w:val="true"/>
          <w:lang w:bidi="fa-IR"/>
        </w:rPr>
        <w:t>انتهینا للتوّ إلی أنّ علم الاُصول میزان منطقیّ فی المعارف ، فهل هو کذلک بالنسبة إلی مدرسة العرفان والمشاهدات القلبیّة ؟</w:t>
      </w:r>
    </w:p>
    <w:p>
      <w:pPr>
        <w:pStyle w:val="BookText"/>
        <w:rPr/>
      </w:pPr>
      <w:r>
        <w:rPr>
          <w:rFonts w:ascii="IRNazanin" w:hAnsi="IRNazanin" w:eastAsia="IRNazanin"/>
          <w:color w:val="111111"/>
          <w:sz w:val="28"/>
          <w:sz w:val="28"/>
          <w:szCs w:val="28"/>
          <w:rtl w:val="true"/>
          <w:lang w:bidi="fa-IR"/>
        </w:rPr>
        <w:t xml:space="preserve">من المناسب هنا التعرّض لما صرّح به القیصریّ فی مقدّمات شرحه للفصوص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 النوم ینقسم لأضغاث أحلام وغیرها ، کذلک ما یری فی الیقظة ینقسم إلی أمور حقیقیّة محضة واقعة فی نفس الأمر ، وإلی أمور خیالیة صرفة لا حقیقة لها شیطانیّة ، وقد یخالطها الشیطان بیسیر من الأمور الحقیقیّة لیضلّ الرائی ، لذلک یحتاج السالک إلی مرشد یرشده وینجیه من المهالک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إمّا أن یتعلّق بالحوادث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متعلّقاً بها ، فعند</w:t>
      </w:r>
    </w:p>
    <w:p>
      <w:pPr>
        <w:pStyle w:val="BookText"/>
        <w:rPr/>
      </w:pPr>
      <w:r>
        <w:rPr>
          <w:rFonts w:ascii="IRNazanin" w:hAnsi="IRNazanin" w:eastAsia="IRNazanin"/>
          <w:color w:val="111111"/>
          <w:sz w:val="28"/>
          <w:sz w:val="28"/>
          <w:szCs w:val="28"/>
          <w:rtl w:val="true"/>
          <w:lang w:bidi="fa-IR"/>
        </w:rPr>
        <w:t xml:space="preserve">وقوعها کما شاهدها ، أو علی سبیل التعبیر وعدم وقوعها ، یحصل التمییز بینها وبین الخیالیّة الصرفة ، وعبور الحقیقة عن صورتها الأصلیّة إنّما هو للمناسبات التی بین الصور ، الظاهرة هی فیها ، وبین الحقیقة ، ولظهورها فیها أسباب کلّها راجعة إلی أحوال الرائی وتفصیله یؤدّی إلی التطویل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کذلک ، فللفرق بینها وبین الخیالیّة الصرفة موازین یعرفها أرباب الذوق والشهود بحسب مکاشفاتهم ، کما أنّ للحکماء میزاناً یفرّق بین الصواب والخطأ ، وهو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هو میزان عامّ وهو القرآن والحدیث المنبئ کلّ منهما عن الکشف التام المحمدی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هو خاصّ ، وهو ما یتعلّق بحال کلّ منهم الفایض علیه من الإسم الحاکم والصفة الغالبة علیه ، وسنومئ فی الفصل التالی بعض ما یعرف به إجمالاً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الفصل السابع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کلّ من الکشف الصوریّ والمعنویّ علی حسب استعداد السالک ومناسبات روحه وتوجّه سرّه إلی کلّ من أنواع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الإستعدادات متفاوتة والمناسبات متکثّرة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مقامات الکشف متفاوتة بحیث لا یکاد ینضبط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 المکاشفات وأتمّها إنّما یحصل لمن یکون مزاجه الروحانیّ أقرب إلی الاعتدال التامّ ، کأرواح الأنبیاء والکمّل من الأولیاء علیهم السلام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برهن فی ذیل کلامه علی أنّ المیزان للواردات القلبیّة والمکاشفات والمشاهدات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میزان المعرفة القلبیّة المائز بین الحقّ الحقیقیّ منه والباطل الشیطانیّ أو الخیالیّ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الکریم والسنّة المطهّرة ، وهو کشف الأنبیاء والرسل علیهم السلام المتجلّی فی الکتب السماویّة التی بُعثوا بها ، وفی أقوالهم وفی 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ضابطة العرض علی الکتاب والسنّة منوطة بما یتوصّل إلیه البحث فی علم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ما قاله السید حیدر الآملی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الإلهام العامّ فیکون بسبب وغیر سبب ، ویکون حقیقیّاً وغیر حقیقیّ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یکون بالسبب ویکون حقیقیّاً ، فهو بتسویة النفس وتحلیتها وتهذیبها بالأخلاق المرضیّة والأوصاف الحمیدة ، موافقاً للشرع ومطابقاً للإسلام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یکون بغیر سبب ویکون غیر حقیقیّ ، فهو یکون لخواصّ النفوس واقتضاء الولادة والبلدان ، کمایحصل للبراهمة والکشایش</w:t>
      </w:r>
      <w:r>
        <w:rPr>
          <w:rStyle w:val="FootnoteAnchor"/>
          <w:rtl w:val="true"/>
        </w:rPr>
        <w:footnoteReference w:id="172"/>
      </w:r>
      <w:r>
        <w:rPr>
          <w:rFonts w:ascii="IRNazanin" w:hAnsi="IRNazanin" w:eastAsia="IRNazanin"/>
          <w:color w:val="111111"/>
          <w:sz w:val="28"/>
          <w:sz w:val="28"/>
          <w:szCs w:val="28"/>
          <w:rtl w:val="true"/>
          <w:lang w:bidi="fa-IR"/>
        </w:rPr>
        <w:t xml:space="preserve">والرهبان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والتمییز بین هذین الإلهامین محتاج إلی میزان إلهیّ ومحکّ ربّانیّ ، وهو نظر الکامل المحقّق والإمام المعصوم والنبیّ المرسل المطّلع علی بواطن الأشیاء علی ما هی علیه ، واستعدادات الموجودات وحقائقها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احتجنا بعد الأنبیاء والرسول علیهم السلام إلی الإمام المرشد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کلّ واحد لیس له قوّة التمییز بین الإلهامَین ، الحقیقیّ وغیر الحقیقیّ ، وبین الخاطر الإلهیّ والخاطر الشیطانیّ ، وغیر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والذکر هو القرآن أو النبیّ ، وأهله هم أهل بیته من الأئمّة المعصومین المطّلعین علی أسرار القرآن وحقائقه ودقائقه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تعالی أیضاً تأکیداً لهذا المعنی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أی إلی أهل اللّه تعالی وأهل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والآیات الدالّة علی متابعة الکامل والمرشد الذی هوالإمام المعصوم أو العلماء الورثة من خلفائهم ، کثیرة ، فارجع إلیها لأنّ هذا لیس موضعها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فنرجع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تحقّقتَ ، عرفتَ أیضاً أنّ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قسّموها إلی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وملکیّ وشیطانیّ ونفسانیّ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سببه ذلک ، أی عدم العلم بالإلهامین المذکورین ، أعنی الحقیقیّ وغیر الحقیقیّ ، لأنّها کلّها من أقسام الإلهام وتوابعه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المتّقی الهندی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الشاذلیّ المالکیّ رئیس الطریقة الشاذلیّة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ضمِن العصمة فی جانب الکتاب والسنّة ولم یضمنها فی جانب الکشف والإلهام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أبی القاسم القشیریّ النیشابوریّ الأشعریّ الشافعیّ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للمرید أن یعتقد فی المشایخ العصمة من الخطأ والزلل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ذکروه یشیر إلی ما روی عن أهل البیت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للقلب اذنین ینفث فیهما الملک المرشد و الشیطان المفتن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إلی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 أنّ المعارف القلبیّة لابدّ من تمحیصها ووزنها بکلّ من الوحی الإلهیّ والعقل ، وقد عرفت دور علم اصول الفقه فی وضع المنهج والمیزان للأدلّة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المطاف یتبیّن أنّه لا مکابرة فی القول بأنّ اصول الفقه هو منطق العلوم الدینیّة من الکلام والتفسیر والآداب والأخلاق وسائر المعارف الدینیّة بالإضافة إلی الفقه ، بل ومنطق المعارف مطلقاً ، کما هو حال علم المنطق المعروف ، فتکون موازین العلم الأوّل هی أحد معنیی اصول الاعتقادات واُصول المعارف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ارید المعنی الأوّل للأصل ، وهو میزان الاستدلال وضابطة منهج البحث</w:t>
      </w:r>
    </w:p>
    <w:p>
      <w:pPr>
        <w:pStyle w:val="BookText"/>
        <w:rPr/>
      </w:pPr>
      <w:r>
        <w:rPr>
          <w:rFonts w:ascii="IRNazanin" w:hAnsi="IRNazanin" w:eastAsia="IRNazanin"/>
          <w:color w:val="111111"/>
          <w:sz w:val="28"/>
          <w:sz w:val="28"/>
          <w:szCs w:val="28"/>
          <w:rtl w:val="true"/>
          <w:lang w:bidi="fa-IR"/>
        </w:rPr>
        <w:t xml:space="preserve">فی الاستنتاج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ارید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القواعد التطبیقیّة العامّة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عدم حصرها بالقواعد العامّة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الحدسیّة الظنّیّة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الإلهیّات ، بل تشمل القواعد الکلامیّة والذوقیّة المبرهنة ، وهی مدرکات القلب المتنزّلة بلغة عقلیّة مبرهنة أو متطابقة مع الأدلّة النقلیّة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جانب ، ومن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قواعد معارف القرآن الکریم والأبواب الروائیّة المتعدّدة ، أعنی القواعد المستقاة منهما بلغة عقلیّة وذوقیّة موزونة لا بلسانٍ بحثیّ بحتٍ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اتّضح الأصل بالمعنی السابق ، یتبیّن أنّ جمیع تلک القواعد تشکلّ اصول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 الملاءمة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بعلمَی اصول الفقه والمنطق </w:t>
      </w:r>
      <w:r>
        <w:rPr>
          <w:rFonts w:eastAsia="IRNazanin" w:cs="IRNazanin"/>
          <w:color w:val="111111"/>
          <w:sz w:val="28"/>
          <w:szCs w:val="28"/>
          <w:rtl w:val="true"/>
          <w:lang w:bidi="fa-IR"/>
        </w:rPr>
        <w:t>.</w:t>
      </w:r>
      <w:bookmarkStart w:id="61" w:name="pg5252_44167"/>
    </w:p>
    <w:p>
      <w:pPr>
        <w:pStyle w:val="Heading4"/>
        <w:numPr>
          <w:ilvl w:val="3"/>
          <w:numId w:val="1"/>
        </w:numPr>
        <w:rPr/>
      </w:pPr>
      <w:bookmarkStart w:id="62" w:name="__RefHeading___Toc422997_581953129"/>
      <w:bookmarkStart w:id="63" w:name="_Toc23"/>
      <w:bookmarkEnd w:id="61"/>
      <w:bookmarkEnd w:id="62"/>
      <w:r>
        <w:rPr>
          <w:rtl w:val="true"/>
        </w:rPr>
        <w:t xml:space="preserve">المقام الثالث </w:t>
      </w:r>
      <w:r>
        <w:rPr>
          <w:rtl w:val="true"/>
        </w:rPr>
        <w:t xml:space="preserve">: </w:t>
      </w:r>
      <w:r>
        <w:rPr>
          <w:rtl w:val="true"/>
        </w:rPr>
        <w:t>لمحة عن مناهج مدارس المعارف</w:t>
      </w:r>
      <w:bookmarkEnd w:id="63"/>
    </w:p>
    <w:p>
      <w:pPr>
        <w:pStyle w:val="Heading5"/>
        <w:numPr>
          <w:ilvl w:val="4"/>
          <w:numId w:val="1"/>
        </w:numPr>
        <w:rPr/>
      </w:pPr>
      <w:bookmarkStart w:id="64" w:name="__RefHeading___Toc422999_581953129"/>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تنقسم مدارس المعارف إلی علوم الفلسفة والعرفان والکلام والعلوم الغریبة بالإضافة إلی مدرستی التفسیر والحدیث فی بُعد الأسرار والمعارف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بالفلسفة الهندیّة التی هی أعرق الفلسفات البشریّة وتمتاز بالإعتماد علی الإدراکات القلبیّة والوجدانیّات والأخلاقیّات ، وهی صبغة تتمیّز بها الفلسفة الهندیّة عن الیونانیّة الأرسطیّة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اوپانیشادها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السرّ الأکبر ، 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الذی هو رمز فی کثیر من الفلسفات 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یتوفّر فیه نبذة عن أکثر الفلسفات الهندیّة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جاءت الفلسفة الفهلویّة ، وقد امتازت بتنظیر قواعد عامّة فی الوجود ونوریّته وجوانب هامّة فی الحکمة العملیّة فی الأخلاق وتدبیر المدن وقد احتذت الفلسفة الیونانیّة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حذوهم فی الکثیر من أمثلتهم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تلتها الفلسفة الحرّانیّة فی الموصل والبابلیّة فی بابل ، ثمّ الفلسفة الإسکندریّة ، ثمّ عقبتها الفلسفة الیونانیة ، وقد تمیّزت بمسلکین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الفلسفة الإشراقیّة ومسلک الفلسفة المشّائیة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والملحوظ أنّها استفادت من الفلسفات البشریّة السابقة حتّی أنّک تجد الکثیر من أمثلة الیونانیّین کما فی کلمات أفلاطون وسقراط وأرسطو مأخوذة من الفلسفة الفارسیّة أو الهندیّة أو الحرّانیّة ، وارتفع نجمها فی المسلک الثانی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الإشراقیّة فقد کانت تشدّد علی المعرفة القلبیّة ، وهی تعتمد علی المعارف القلبیّة المتنزّلة بلسان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دور الفلسفة الإسلامیّة التی أثْرت المباحث الفلسفیّة إستقاءً من معارف الدین الإسلامیّ ، وأضافت إلیها حتّی بلغت ما یقارب تسعمائة مسألة بعد أن کانت لا تزید علی ثلاثمائة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هی الأقوی فی المسلکین المتقدّمین ، حتّی وصلت ذروتها فی منهج الفلسفة الصدرائیة ، أعنی الحکمة المتعالیة ، والتی سیأتی الکلام فی امتیازاتها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یعتمد علی الدلیل العقلیّ والنقلیّ والمواءمة بینهما ، ویعتمد غالباً علی العقل العملیّ دون النظریّ ، کما أنّه یمتاز عن الفلسفة بتقید الأحکام المستنتجة فیه بموافقة الشرع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نشأ هذا العلم مع نشأة الأدیان السماویّة ، حیث جاء بعض ألسنتها بلسان هذا العلم ، ثمّ أخذ فی التوسّع والتطوّر وتعدّدت المناهج فیه إلی یومنا هذا کما سیأتی بسطها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ویعتمد علی المعارف والمشاهدات القلبیّة ، سواء تنزّلت بلسان قوّة العقل أو قوّة الوهم أو قوّة الخیال ، بخلاف فلسفة الإشراق فإنّها محصورة بما یتنزل بلسان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وینقسم إلی العرفان النظریّ الباحث عن معارف التوحید والمعاد وسائر المعارف ، والعرفان العملیّ الباحث عن تهذیب الإنسان وسیره وسلوکه إلی لقاء اللّه سبحانه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الحروف والأعداد والعزائم والجفر والرمل وغیرها ، وهی وإن کانت علوماً آلیّة لأغراض معیّنة ، إلّاأنّها یُتطرّق فیها أیضاً إلی تفسیر کثیر من الظواهر والخصوصیّات الکونیّة بنحو العموم </w:t>
      </w:r>
      <w:r>
        <w:rPr>
          <w:rFonts w:eastAsia="IRNazanin" w:cs="IRNazanin"/>
          <w:color w:val="111111"/>
          <w:sz w:val="28"/>
          <w:szCs w:val="28"/>
          <w:rtl w:val="true"/>
          <w:lang w:bidi="fa-IR"/>
        </w:rPr>
        <w:t>.</w:t>
      </w:r>
      <w:bookmarkStart w:id="66" w:name="pg5252_44169"/>
    </w:p>
    <w:p>
      <w:pPr>
        <w:pStyle w:val="BookText"/>
        <w:rPr/>
      </w:pPr>
      <w:bookmarkEnd w:id="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المدارس المنقولة عن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مدرسة التفسیر للقرآن الکریم ، وقد امتازت بمباحث وتفاصیل فی المعارف بتبع انتشار المعارف فی الآیات والسور ، سواء بدرجة مفاد العبارة ، أو نکات الإشارة أو دقائق اللطائف أو استشمام عیون الحقائق ، وقد غلبت علی المفسّرین فی ترجمة معارف الوحی لغة إحدی المدارس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أو الذوقیّة أو الکلامیّة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مدرسة فقه الحدیث ، وقد اعتنت بتحریر مسائل المعارف الواردة فی الأبواب الروائیّة ، ومن ثمّ امتازت هی وسابقتها بمباحث عدیدة لم تتطرّق إلیها بقیّة المدارس ، نظراً لقصور المدارس البشریّة عن الإحاطة بتفاصیل النشآت والعوالم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المدرسة هی الاُخری قد غلب علی فقهائها فی ترجمة معارف الروایة لغة إحدی المدارس المتقدّمة ، وإن لم ینتهجوا مبانی تلک المدرسة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الملّاصدرا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یجمع بین اللغة العقلیّة والذوقیّة والنقلیّة ، أی الجمع بین کلّ مدارس المعارف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ظهرت مناهج کلامیّة جدیدة ، اعتمد بعضها علی التفکیک بین لغة العقل المحدود والعقل اللامحدود ، أی بالترکیز علی المعارف القرآنیّة والاستعانة بالسنّة علی طریقة البحث العقلیّ‌</w:t>
      </w:r>
      <w:r>
        <w:rPr>
          <w:rStyle w:val="FootnoteAnchor"/>
          <w:rtl w:val="true"/>
        </w:rPr>
        <w:footnoteReference w:id="180"/>
      </w:r>
      <w:r>
        <w:rPr>
          <w:rFonts w:ascii="IRNazanin" w:hAnsi="IRNazanin" w:eastAsia="IRNazanin"/>
          <w:color w:val="111111"/>
          <w:sz w:val="28"/>
          <w:sz w:val="28"/>
          <w:szCs w:val="28"/>
          <w:rtl w:val="true"/>
          <w:lang w:bidi="fa-IR"/>
        </w:rPr>
        <w:t>، وبعضها الآخر علی طریقة البحث الذوقی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423001_581953129"/>
      <w:bookmarkStart w:id="68" w:name="_Toc25"/>
      <w:bookmarkEnd w:id="67"/>
      <w:r>
        <w:rPr>
          <w:rtl w:val="true"/>
        </w:rPr>
        <w:t>حصیلة المقدّمات الثلاث</w:t>
      </w:r>
      <w:bookmarkEnd w:id="68"/>
    </w:p>
    <w:p>
      <w:pPr>
        <w:pStyle w:val="Heading6"/>
        <w:numPr>
          <w:ilvl w:val="5"/>
          <w:numId w:val="1"/>
        </w:numPr>
        <w:rPr/>
      </w:pPr>
      <w:bookmarkStart w:id="69" w:name="__RefHeading___Toc423003_581953129"/>
      <w:bookmarkStart w:id="70" w:name="_Toc26"/>
      <w:bookmarkEnd w:id="69"/>
      <w:r>
        <w:rPr>
          <w:rtl w:val="true"/>
        </w:rPr>
        <w:t>اشارة</w:t>
      </w:r>
      <w:bookmarkEnd w:id="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ذکرناه فی المقدّمات السابقة أنّ مصدر المعارف والحجّة علیها علی</w:t>
      </w:r>
      <w:bookmarkStart w:id="71" w:name="pg5252_44170"/>
    </w:p>
    <w:p>
      <w:pPr>
        <w:pStyle w:val="BookText"/>
        <w:rPr/>
      </w:pPr>
      <w:bookmarkEnd w:id="71"/>
      <w:r>
        <w:rPr>
          <w:rFonts w:ascii="IRNazanin" w:hAnsi="IRNazanin" w:eastAsia="IRNazanin"/>
          <w:color w:val="111111"/>
          <w:sz w:val="28"/>
          <w:sz w:val="28"/>
          <w:szCs w:val="28"/>
          <w:rtl w:val="true"/>
          <w:lang w:bidi="fa-IR"/>
        </w:rPr>
        <w:t xml:space="preserve">نحوین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قناة الوحی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قناة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والدلیل فی الاُولی هو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فی الثانیة عبارة عن العقل والقلب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أدلّة المعارف أربعة ، سواء جعلنا البحث متقیّداً بحیثیة متابعة الشرع أم جعلناه باحثاً عن الحقائق بما هی هی ، کما دلّلنا علی ذلک فی تلک المقدّمات ولاسیّما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نوقع البحث فی هذه الأدلّة الأربعة تباعاً </w:t>
      </w:r>
      <w:r>
        <w:rPr>
          <w:rFonts w:eastAsia="IRNazanin" w:cs="IRNazanin"/>
          <w:color w:val="111111"/>
          <w:sz w:val="28"/>
          <w:szCs w:val="28"/>
          <w:rtl w:val="true"/>
          <w:lang w:bidi="fa-IR"/>
        </w:rPr>
        <w:t>.</w:t>
      </w:r>
    </w:p>
    <w:p>
      <w:pPr>
        <w:pStyle w:val="Heading6"/>
        <w:numPr>
          <w:ilvl w:val="5"/>
          <w:numId w:val="1"/>
        </w:numPr>
        <w:rPr/>
      </w:pPr>
      <w:bookmarkStart w:id="72" w:name="__RefHeading___Toc423005_581953129"/>
      <w:bookmarkStart w:id="73" w:name="_Toc27"/>
      <w:bookmarkEnd w:id="72"/>
      <w:r>
        <w:rPr>
          <w:rtl w:val="true"/>
        </w:rPr>
        <w:t>الأدلّة المعارف أربعة</w:t>
      </w:r>
      <w:bookmarkEnd w:id="73"/>
    </w:p>
    <w:p>
      <w:pPr>
        <w:pStyle w:val="Heading6"/>
        <w:numPr>
          <w:ilvl w:val="5"/>
          <w:numId w:val="1"/>
        </w:numPr>
        <w:rPr/>
      </w:pPr>
      <w:bookmarkStart w:id="74" w:name="__RefHeading___Toc423007_581953129"/>
      <w:bookmarkStart w:id="75" w:name="_Toc28"/>
      <w:bookmarkEnd w:id="74"/>
      <w:r>
        <w:rPr>
          <w:rtl w:val="true"/>
        </w:rPr>
        <w:t xml:space="preserve">الدلیل الأوّل </w:t>
      </w:r>
      <w:r>
        <w:rPr>
          <w:rtl w:val="true"/>
        </w:rPr>
        <w:t xml:space="preserve">: </w:t>
      </w:r>
      <w:r>
        <w:rPr>
          <w:rtl w:val="true"/>
        </w:rPr>
        <w:t>الکتاب العزیز</w:t>
      </w:r>
      <w:bookmarkEnd w:id="75"/>
    </w:p>
    <w:p>
      <w:pPr>
        <w:pStyle w:val="BookText"/>
        <w:rPr/>
      </w:pPr>
      <w:r>
        <w:rPr>
          <w:rFonts w:ascii="Amiri" w:hAnsi="Amiri" w:eastAsia="Amiri" w:cs="Amiri"/>
          <w:color w:val="111111"/>
          <w:sz w:val="28"/>
          <w:sz w:val="28"/>
          <w:szCs w:val="28"/>
          <w:rtl w:val="true"/>
          <w:lang w:bidi="ar-SA"/>
        </w:rPr>
        <w:t xml:space="preserve">وهو دلیل قطعیّ یقینیّ بإعجازه للبشر طیلة أربعة عشر قرناً من جهات عدیدة کالبلاغة والدقّة العلمیّة مع کثرة العلوم وتنوّعها ، من دون اضطراب ولا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بالإضافة إلی إخباراته الغیبیّة ، ونبوءاته المستقبلیّة وغیرها ، الأمر الذی جعله یهیمن علی افق الذهن البشری الذی لا ینفکّ عن التطوّر والتوسّع 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الکریم ثابت بالتواتر عند جمیع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الأعظم صلی الله علیه و آله و سلم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یقع مفاده وسطاً فی القیاس البرهانیّ ، ولیس الحدیث فی المقام عن وجوده ، إعجازه الشریف ونحوه من المباحث الاُخری ، بل نتعرّض لخصوص</w:t>
      </w:r>
      <w:bookmarkStart w:id="76" w:name="pg5252_44171"/>
    </w:p>
    <w:p>
      <w:pPr>
        <w:pStyle w:val="BookText"/>
        <w:rPr/>
      </w:pPr>
      <w:bookmarkEnd w:id="76"/>
      <w:r>
        <w:rPr>
          <w:rFonts w:ascii="IRNazanin" w:hAnsi="IRNazanin" w:eastAsia="IRNazanin"/>
          <w:color w:val="111111"/>
          <w:sz w:val="28"/>
          <w:sz w:val="28"/>
          <w:szCs w:val="28"/>
          <w:rtl w:val="true"/>
          <w:lang w:bidi="fa-IR"/>
        </w:rPr>
        <w:t xml:space="preserve">بعض المسائل المثارة حدیثاً فی ما قد یُصطلح علیه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الحدیث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423009_581953129"/>
      <w:bookmarkStart w:id="78" w:name="_Toc29"/>
      <w:bookmarkEnd w:id="77"/>
      <w:r>
        <w:rPr>
          <w:rtl w:val="true"/>
        </w:rPr>
        <w:t xml:space="preserve">المسألة الاُولی </w:t>
      </w:r>
      <w:r>
        <w:rPr>
          <w:rtl w:val="true"/>
        </w:rPr>
        <w:t xml:space="preserve">: </w:t>
      </w:r>
      <w:r>
        <w:rPr>
          <w:rtl w:val="true"/>
        </w:rPr>
        <w:t>نظریة تفسیر القرآن بالقرآن</w:t>
      </w:r>
      <w:bookmarkEnd w:id="78"/>
    </w:p>
    <w:p>
      <w:pPr>
        <w:pStyle w:val="BookText"/>
        <w:rPr/>
      </w:pPr>
      <w:r>
        <w:rPr>
          <w:rFonts w:ascii="IRNazanin" w:hAnsi="IRNazanin" w:eastAsia="IRNazanin"/>
          <w:color w:val="111111"/>
          <w:sz w:val="28"/>
          <w:sz w:val="28"/>
          <w:szCs w:val="28"/>
          <w:rtl w:val="true"/>
          <w:lang w:bidi="fa-IR"/>
        </w:rPr>
        <w:t xml:space="preserve">هذه النظریّة طُرقت أخیراً عند عدّة من المفسّرین ، الخاصّة والعامّة ، وقد اعتُمدت فی القرن الأخیر ، وهی فی قبال النظریّة الاُخری القائلة بالاقتصار فی تفسیر القرآن علی المأثور والمنقول من الروایات ، وقد التزم بها جماعة من الخاصّة والعامّة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تقییم کلتا النظریتین بأقوی ما قیل فی توجیههما وتقریبهما وقد تبنّی بعض المتأخّرین النظریّة الاُولی ، بینما تبنّی الأخباریّون النظریّة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فقد بحثت فی علم الاُصول مفصّلاً وبیّنت جهات الخلل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النظریّة الأولی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قررّه بعض الأکابر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الطریق إلی فهم القرآن الکریم غیر مسدود ، وإنّ البیان الإلهیّ والذکر الحکیم بنفسه هو الطریق الهادی إلی نفسه ، أی أنّه لا یحتاج فی تبیین مقاصده إلی طریق ، فکیف یُتصوّر أن یکون الکتاب الذی عرّفه اللّه تعالی بأنّه هدی وأنّه نور وأنّه تبیان لکلّ شیء ، مفتقراً إلی هادٍ غیره ومستنیراً بنور غیره ومبیّناً بأمر غیره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لمؤدّی حدیث الثقلین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الصفحة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معناه معنی اتّباع بیان النبیّ صلی الله علیه و آله و سلم وهو کون شأن النبیّ صلی الله علیه و آله و سلم فی هذا المقام هو التعلیم فحسب بهدایة المعلّم الخبیر ذهن المتعلّم وإرشاده إلی ما یصعب علیه العلم به والحصول علیه ، لا ما یمتنع فهمه من غیر تعلیم ، ولا معنی لإرجاع معانی الآیات إلی بیان النبیّ صلی الله علیه و آله و 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 ، تعلیمه تسهیل للطریق وتقریب للمقصد ، لا إیجاد للطریق وخلق للمقصد ، أی أنّه ممّا یؤدّی إلیه اللفظ ولو بعد التدبّر والتأمّل والبحث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وبعین هذا المعنی یکون معنی حجّیة الثقل الآخر ، فللقرآن الدلالة علی معانیه والکشف عن المعارف الإلهیّة ، ولأهل البیت الدلالة علی الطریق وهدایة الناس إلی أغراضه ومقاصده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فالمتعیّن فی التفسیر الإستمداد بالقرآن علی فهمه وتفسیر الآیة بالآیة وذلک بالتدرّب علی الآثار المنقولة عن النبیّ وأهل بیته صلّی اللّه علیه وعلیهم ، وتهیئة ذوقٍ مکتسب منها ، ثمّ الورود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ومعنی قول رسول اللّه صلی الله علیه و آله و سلم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برأیه </w:t>
      </w:r>
      <w:r>
        <w:rPr>
          <w:rFonts w:eastAsia="IRNazanin" w:cs="IRNazanin"/>
          <w:color w:val="111111"/>
          <w:sz w:val="28"/>
          <w:szCs w:val="28"/>
          <w:rtl w:val="true"/>
          <w:lang w:bidi="fa-IR"/>
        </w:rPr>
        <w:t xml:space="preserve">. . .» </w:t>
      </w:r>
      <w:r>
        <w:rPr>
          <w:rStyle w:val="FootnoteAnchor"/>
          <w:rtl w:val="true"/>
        </w:rPr>
        <w:footnoteReference w:id="184"/>
      </w:r>
      <w:r>
        <w:rPr>
          <w:rFonts w:ascii="IRNazanin" w:hAnsi="IRNazanin" w:eastAsia="IRNazanin"/>
          <w:color w:val="111111"/>
          <w:sz w:val="28"/>
          <w:sz w:val="28"/>
          <w:szCs w:val="28"/>
          <w:rtl w:val="true"/>
          <w:lang w:bidi="fa-IR"/>
        </w:rPr>
        <w:t>یفید معنی الاختصاص والانفراد والاستقلال بأن یستقلّ فی تفسیر القرآن بما عنده من الأسباب فی فهم الکلام العربیّ ، فیقیس کلامه تعالی بکلام الناس ، فإنّ قطعة من الکلام من أیّ متکلّم إذا ورد علینا لم نلبث أن نعمل فیه القواعد المعمولة فی کشف المراد الکلامیّ ونحکم بذلک أنّه أراد کذا ، کما نجری علیه فی الأقاریر والشهادات</w:t>
      </w:r>
    </w:p>
    <w:p>
      <w:pPr>
        <w:pStyle w:val="BookText"/>
        <w:rPr/>
      </w:pP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لکون بیاننا مبنیّاً علی ما نعلمه من اللغة ونعهده من مصادیق الکلمات حقیقة ، والبیان القرآنی غیر جارٍ هذا المجری ، بل هو کلام موصول بعضه ببعض فی عین أنّه مفصول ینطق بعضه ببعض ویشهد بعضه علی بعض ، کما قال علیّ علیه السلام فلا یکفی ما یتحصّل من آیة واحدة بإعمال القواعد المقرّرة فی العلوم المربوطة فی انکشاف المعنی المراد منها دون أن یتعاهد جمیع الآیات المناسبة لها ، ویجتهد فی التدبّر فیها ، کما یظهر 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فالتفسیر بالرأی المنهیّ عنه ، أمر راجع إلی طریق الکشف دون المکشوف ، وبعبارة اخری إنّما نهی علیه السلام عن تفهّم کلامه علی نحو ما یتفهّم کلام غیره ، وإن کان هذا النحو من التفهم ربّما صادف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قوله صلی الله علیه و آله و سلم فی الروایة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تکلم فی القرآن برأیه فأصاب فقد أخطأ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الحکم بالخطأ مع فرض الإصابة لیس إلّالکون الخطأ فی الطریق ، وکذا قوله علیه السلام فی حدیث العیاشی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أصاب لم یؤجر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کان علیه الأمر فی زمن النبیّ صلی الله علیه و آله و سلم فإنّ القرآن لم یکن</w:t>
      </w:r>
    </w:p>
    <w:p>
      <w:pPr>
        <w:pStyle w:val="BookText"/>
        <w:rPr/>
      </w:pPr>
      <w:r>
        <w:rPr>
          <w:rFonts w:ascii="IRNazanin" w:hAnsi="IRNazanin" w:eastAsia="IRNazanin"/>
          <w:color w:val="111111"/>
          <w:sz w:val="28"/>
          <w:sz w:val="28"/>
          <w:szCs w:val="28"/>
          <w:rtl w:val="true"/>
          <w:lang w:bidi="fa-IR"/>
        </w:rPr>
        <w:t xml:space="preserve">مؤلّفاً بعد ، ولم یکن منه إلّاسور أو آیات متفرّقة فی أیدی الناس فکان فی تفسیر کلّ قطعة قطعة خطر الوقوع فی خلاف المراد ، والمحصّل أنّ المنهیّ عنه هو الاستقلال فی تفسیر القرآن واعتماد المفسِّر علی نفسه من غیر رجوع إلی غیره ، ولازمه وجوب الاستمداد من الغیر بالرجوع إلیه ، وهذا الغیر لا محالة إمّا هو الکتاب أو 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واختار أنّ ذلک الغیر هو خصوص الکتاب ، واستدلّ علی ذلک بأمور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اختلاف کلامه سبحانه مع کلام غیره فی نحو استعمال الألفاظ وسرد الجُمل وإعمال الصناعات اللفظیّة ، بل هو کلام عربیّ روعیّ فیه جمیع ما یراعی فی الکلام العربیّ ، وإنّما الاختلاف من جهة المراد والمصداق الذی ینطبق علیه مفهوم الکلام ، بسبب انغماس أذهاننا فی المصادیق المادّیة فقط ، وذلک یؤدّی إلی الإخلال بالترتیب المعنویّ الموجود فی مضامین الآیات ، وإلی معارضة بعضها ببعض ، المعبّر عنه بضرب القرآن بعضه ببعض فی قبال تصدیق بعضه بعضاً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الآمرة بالتدبّر فی القرآن ولاسیما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تدل دلالة واضحة علی أنّ المعارف القرآنیّة یمکن أن ینالها الباحث بالتدبّر والبحث ، ویرتفع بذلک ما یتراءی من الاختلاف بین الآیات ، ولمّا کانت الآیة فی مقام التحدّی ، فلا معنی لإرجاع فهم معانی الآیات إلی فهم الغیر ، حتّی إلی بیان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بیّنه إمّا یکون معنیً یوافق ظاهر الکلام ، فهو ممّا یؤدّی إلیه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التدبّر والتأمّل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یکون معنیً لا یوافق الظاهر ، ولا أنّ الکلام یؤدّی إلیه فهو ممّا لا یلائم التحدّی ولا تتمّ به الحجّة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تفاصیل الأحکام ممّا لا سبیل إلی تلقّیه من غیر بیان النبیّ صلی الله علیه و آله و سلم کما أرجعها القرآن إلیه صلی الله علیه و آله و سلم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 وما فی معناه من الآیات ، وکذا تفاصیل القصص والمعاد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العدید من الآیات من تعیین وظیفته صلی الله علیه و آله و سلم فی تبیان الذکر وتعلیم الکتاب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فالنبیّ صلی الله علیه و آله و سلم إنّما یعلّم الناس ویبیّن لهم ما یدلّ علیه القرآن بنفسه ، ویبیّنه اللّه سبحانه بکلامه ، ویمکن للناس الحصول علیه بالنتیجة ، لأنّه صلی الله علیه و آله و سلم إن کان یبیّن لهم معانی لا طریق إلی فهمها من کلام اللّه تعالی ، فإنّ ذلک لا ینطبق مطلقاً علی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لِسانٌ عَرَبِیٌّ مُبِینٌ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المتواترة عنه صلی الله علیه و آله و سلم المتضمّنة لوصیّته بالتمسّک بالقرآن الکریم ، والأخذ به وعرض الروایات علیه ، ولا یستقیم معناها إلّامع کون جمیع ما نقل عنه صلی الله علیه و آله و سلم ممّا یمکن استفادته من الکتاب ، ولو توقّف ذلک علی بیانه صلی الله علیه و آله و سلم کان من الدور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نفس الروایات لا تخلو من المتشابه ، ولیست کلّها محکمات ، فکیف یفسّر القرآن بالروایات والحال هذه ؟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یقتضیه توصیفه سبحانه للکتاب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بَیِّناتٍ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وأنّه خطاب للجمیع لا لفئة دون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الکتاب غیر مفتقر إلی هادٍ غیره ، وغیر مستنیر بنورٍ غیره ولا مبیّناً بأمرٍ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کتاب الله مبهم فقد هلک و أهلک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کلّ شیء یحدّث به المعصومون علیهم السلام فلیُسأل عنه من کتاب اللّه ، والکثیر من الروایات تستدلّ علی مراد آیةٍ بآیة اخری ، وتستشهد منه بمعنی علی معنی منه آخر ، ولا یستقیم ذلک إلّامع کون المعانی القرآنیّة ممّا یناله المخاطَب ویستقلّ به ذهنه عند وروده من طریقه المتعیّن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السنّة منبثقة من حجّیة الکتاب ورتبة السنّة فی طول رتبة الکتاب ، لأنّ الکتاب هو المعجزة وهو الدلیل علی حجّیة قوله صلی الله علیه و آله و سلم ولزوم تصدیقه ، والکتاب هو الآمر بطاعته والتسلیم له وتحکیمه والتأسّی به ، ومن ثَمّ کان النسخ للقرآن ممنوعاً حتّی بالسنّة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ادّعی إجماع الفریقین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السنّة الظنّیة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تدلّ علیه الآیة الکریمة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فلا یبطله شیء ، وإنّما هو بنفسه ینسخ بعض آیاته بالمعنی الصحیح للنسخ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انتهاء أمد الحکم زماناً ، لا النسخ الحقیقیّ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یدلّ علی جواز التخصیص لآیات القرآن</w:t>
      </w:r>
    </w:p>
    <w:p>
      <w:pPr>
        <w:pStyle w:val="BookText"/>
        <w:rPr/>
      </w:pPr>
      <w:r>
        <w:rPr>
          <w:rFonts w:ascii="IRNazanin" w:hAnsi="IRNazanin" w:eastAsia="IRNazanin"/>
          <w:color w:val="111111"/>
          <w:sz w:val="28"/>
          <w:sz w:val="28"/>
          <w:szCs w:val="28"/>
          <w:rtl w:val="true"/>
          <w:lang w:bidi="fa-IR"/>
        </w:rPr>
        <w:t xml:space="preserve">وعموماته ، لا جواز نسخه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هذه النظریّة تتلخّص فی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یتکفّل ببیان نفسه ولا یحتاج فی تفسیره إلی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حصول الملکة والقدرة علی تفسیر القرآن بالقرآن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بغیره کالتفسیر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یحصل بالتدریب والتمعّن فی‌روایات التفسیر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الروایات المفسّرة للآیات هی من التفسیر بالمصداق والتطبیق ، لا لتحدید عموم المعنی؛ فلا یسقط ظهور الکتاب بما فسّرته الروایة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حجّیة السنّة من القرآن وفی طوله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یجوز نسخ الکتاب إلّابه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النظریّة وإن اشتملت علی نکات ظریفة من قبیل الإشارة إلی رأی الملّاصدرا فی تفسیر المتشابه بالاعتماد علی وضع الألفاظ لروح المعانی لا لخصوص المصادیق المادّیة منها ، أی للماهیّة الأصلیّة لا للماهیة الفردیّة ، فمثلاً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لیستا موضوعتین للجارحتین الخاصّتین فقط ، بل لکلّ ما یبصر به ویبطش به ، فتطلقان علی بعض الموجودات التی لیس لها تلک الجارحتان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ومصدر هذا الرأی ما اشیر إلیه فی روایات أهل البیت علیهم السلام الصادرة فی القرن الأوّل والثانی ، أنّه تعالی بصیر بغیر آلة وسمیع بغیر جارحة ، ثم أخذ بذلک العرفاء والفلاسفة وشرحها الملّاصدرا رحمه الله ببسط وتفصیل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قبیل تفسیر القرآن بالقرآن وهو ممّا بیّنه الأئمّة علیه السلام أنفسهم تعلیماً منهم لرفع المتشابه منه بالمحکم ، والمغایر لضرب القرآن بعضه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معارضة بعضه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ملاحظة التناسب والإنسجام بین آیاته ، ومن قبیل أنّ التشابه</w:t>
      </w:r>
    </w:p>
    <w:p>
      <w:pPr>
        <w:pStyle w:val="BookText"/>
        <w:rPr/>
      </w:pPr>
      <w:r>
        <w:rPr>
          <w:rFonts w:ascii="IRNazanin" w:hAnsi="IRNazanin" w:eastAsia="IRNazanin"/>
          <w:color w:val="111111"/>
          <w:sz w:val="28"/>
          <w:sz w:val="28"/>
          <w:szCs w:val="28"/>
          <w:rtl w:val="true"/>
          <w:lang w:bidi="fa-IR"/>
        </w:rPr>
        <w:t xml:space="preserve">الموصوف به بعض الآیات إنّما هو وصف للآیات بلحاظ ذهن السامع والقارئ لا للآیات بما هی هی فی نفس الأمر ، ومن قبیل أنّ القرآن فیه تبیان کلّ شیء وأنّه هادٍ بکلّ أنواع الهدایة ، وأنّه بیان للناس جمیعاً ، وأنّه الجامع والشافی والکافی ، فکلّ ذلک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النظریّة لا تخلو من مؤاخذات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تمامیة الکتاب الکریم وکماله واستغناءه عن غیره فی أنوار الهدایة لا تلازم استغناء البشر عن قیّمٍ وحافظ ومعلّم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بمثال من علم الریاضیّات ، فإنّه من أکثر العلوم بدیهة وقبولاً عند البشر ، وهو علم متکامل لحلّ جمیع الرموز من دون اعتماد علی علم آخر فی قضایاه ، لکن حیث کان مشتملاً علی نظریّات فی قبال البدیهیات ، فهو محتاج إلی قیّم خبیر وحافظ مطّلع یرسم دقیق النظریّات وینظّمها ویرشد إلی اسلوب الاستفادة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الإحاطة بهذا العلم مع بداهته بنحو یحقّق المعرفة بجمیع مسائله ، خارج عن قدرة البشر المتعارفة ، ولا یتوفّر إلّافی المعصوم</w:t>
      </w:r>
      <w:r>
        <w:rPr>
          <w:rStyle w:val="FootnoteAnchor"/>
          <w:rtl w:val="true"/>
        </w:rPr>
        <w:footnoteReference w:id="196"/>
      </w:r>
      <w:r>
        <w:rPr>
          <w:rFonts w:ascii="IRNazanin" w:hAnsi="IRNazanin" w:eastAsia="IRNazanin"/>
          <w:color w:val="111111"/>
          <w:sz w:val="28"/>
          <w:sz w:val="28"/>
          <w:szCs w:val="28"/>
          <w:rtl w:val="true"/>
          <w:lang w:bidi="fa-IR"/>
        </w:rPr>
        <w:t xml:space="preserve">، ولذلک بقیت معادلات ریاضیّة وحسابیّة غیر محلولة فی ذلک العلم إلی یومنا هذا ، کالمعادلات المتضمّنة لعدد کبیر من المجهولات مع عدد قلیل من الأرقام ، مع أنّه من المقطوع به أنّ علم الریاضیّات بنفسه حلّال لمعضلاتها بلا حاجة إلی علم آخر ، وما ذلک إلّا لأنّ الذهن البشریّ محدود ومتفاوت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بعض خبراء الریاضیّات فی العصر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امّهات قواعد علم الریاضیات تنتهی إلی ستّة تقریباً ، وإنّ البشر یذعنون بها اضطراراً ، وإنّه لو أمکن</w:t>
      </w:r>
    </w:p>
    <w:p>
      <w:pPr>
        <w:pStyle w:val="BookText"/>
        <w:rPr/>
      </w:pPr>
      <w:r>
        <w:rPr>
          <w:rFonts w:ascii="IRNazanin" w:hAnsi="IRNazanin" w:eastAsia="IRNazanin"/>
          <w:color w:val="111111"/>
          <w:sz w:val="28"/>
          <w:sz w:val="28"/>
          <w:szCs w:val="28"/>
          <w:rtl w:val="true"/>
          <w:lang w:bidi="fa-IR"/>
        </w:rPr>
        <w:t xml:space="preserve">للعقل البشریّ الوصول إلی خلفیّة تلک القواعد ، فسوف یفتح للبشریة فتحاً عظیماً فی أسرار العلم والکون ، ولم یتیسّر ذلک لحدّ الآن ، وما ذلک إلّالأنّ العقل البشریّ لا یصل إلی فهم کلّ شیء بنفسه ، باعتبار تفاوت الأذهان عمقاً واستیعاباً وحفظاً وسرعة استحضار ، ویقصر الذهن المتعارف عن بلوغ الغایة فی جمیع ذلک ،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الصحیح لا یلازم التطبیق الصحیح والمراعاة الصائبة الدائمة ، کما فی علم المنطق ومراعاته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بیانیّة القرآن داخلیّة لا ینافی أن یکون الکاشف عنه هو المعصوم ، وأدلّ شاهد علی ذلک ما حصل من اختلاف کبیر بین المفسّرین حتّی بعض القائلین بنظریة تفسیر القرآن بالقرآن ، وذلک لأنّ الوصول للدرجات العالیة من المعانی لا یتیسّر لجمیع القابلیّات ، بل بعضها ممتنع لغیر المعصوم ، ولک أن تتمثّل بالقصیدة الشعریة التی ینشدها الشاعر وتجری المسابقات الأدبیة بین حذّاق الأدباء فی قراءة نفسیّة هذا الشاعر عبر تطبیق قواعد العلوم الأدبیّة ، فمع کون القصیدة عربیّة فصیحة ، ومع الاتّفاق علی القواعد الأدبیّة ، لا یلزم تکافؤ قدرة الأذهان فی استنطاق الکلام بتوسّط تلک القواعد للوصول إلی بطون المعانی لنفسیّة المتکلّم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بکلام المتکلّم قراءة کلّ دفائن نفسه ، لکن ذلک لا یتیسّر لأغلب حذّاق العلم والأدب فضلاً عن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ورد فی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 الإشارة للخواص ،و اللطائف للأولیاء، و الحقائق للأنبیاء</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القرآنیّة ما یشیر إلی أنّ بعض درجات القرآن الکریم وکُنه بطونه لا یتیسّر نیلها إلّاللمعصوم ، ولا تثبت للغیر إلّابتوسّط المعصوم وبحسب</w:t>
      </w:r>
    </w:p>
    <w:p>
      <w:pPr>
        <w:pStyle w:val="BookText"/>
        <w:rPr/>
      </w:pPr>
      <w:r>
        <w:rPr>
          <w:rFonts w:ascii="Amiri" w:hAnsi="Amiri" w:eastAsia="Amiri" w:cs="Amiri"/>
          <w:color w:val="111111"/>
          <w:sz w:val="28"/>
          <w:sz w:val="28"/>
          <w:szCs w:val="28"/>
          <w:rtl w:val="true"/>
          <w:lang w:bidi="ar-SA"/>
        </w:rPr>
        <w:t xml:space="preserve">قابلیّة هذا الغیر ، نظیر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فإنّه حصر مؤکّد ، وهو لا یقتضی نفی العلم بالمتشابه لغیر المعصوم فحسب ، بل یدلّ علی نفی الإحاطة التامّة لمحکمات الکتاب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الآیات السابقة وصفت الآیات المحکمات بأنّهنّ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هذا الوصف أنّها أساسه وأصله وأنّ باقی الآیات فرع علیها بما فیها المتشابهات ، وحیث لا تتعقّل الإحاطة التامّة بالأصل مع العجز عن تأویل المتشابه ، فنفی القدرة علی تأویل المتشابه لغیر المعصوم دلیل علی عدم الإحاطة بالمحکم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مع أنّ أصحاب نظریّة تفسیر القرآن بالقرآن یعترفون بأنهم لم یتبیّنوا کلّ شیء ، 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ومقتضی آیتَی البیان کما تقدّم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قول الرسول صلی الله علیه و آله و سلم وفعله وتقریره ، لیس منشؤها خصوص معجزة القرآن الکریم وإن کان هو أکبر المعاجز ، فانشقاق القمر وتکلّم الشجرة والحصی والذئب وغیرها من المعجزات ، کلّ واحد منها دالّ واضح وتامّ علی تصدیق رسالته وأمانته ، کما هو الحال فی أوائل البعثة فی أوّل صبیحة دعا فیها صلی الله علیه و آله و سلم إلی رسالته ، فإنّه احتجّ علیهم بصفات شخصه صلی الله علیه و آله و سلم من منتهی الصدق</w:t>
      </w:r>
    </w:p>
    <w:p>
      <w:pPr>
        <w:pStyle w:val="BookText"/>
        <w:rPr/>
      </w:pPr>
      <w:r>
        <w:rPr>
          <w:rFonts w:ascii="IRNazanin" w:hAnsi="IRNazanin" w:eastAsia="IRNazanin"/>
          <w:color w:val="111111"/>
          <w:sz w:val="28"/>
          <w:sz w:val="28"/>
          <w:szCs w:val="28"/>
          <w:rtl w:val="true"/>
          <w:lang w:bidi="fa-IR"/>
        </w:rPr>
        <w:t xml:space="preserve">وغایة الأمانة والعفّة والنزاهة وعلوّ الأخلاق وطیب الأعراق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فی الآیات الکریمة ما یشیر إلی أنّ أحد وجوه حجّیة القرآن هو صفاته صلی الله علیه و آله و سلم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فإنّه تعالی قد احتجّ علیهم بمعرفتهم لِشخص النبیّ وصفاته ، إذ أنکر علیهم عدم معرفتهم للنبیّ بالاستفهام التقریریّ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ذکرت الآیة علی لسانه صلی الله علیه و آله و سلم احتجاجه علی نسبة القرآن إلی اللّه عزّ وجلّ بسابقة لبثه بین ظهرانیهم عمراً طویلاً ومعرفتهم السابقة له صلی الله علیه و آله و سلم ، ولم یکن قد أتاهم به من قبل ، فلیس مجیئه صلی الله علیه و آله و سلم بالقرآن إلیهم نابعاً من نزوة نفسیّة أو اتّباعٍ للهوی بل هو صلی الله علیه و آله و سلم فی کلّ ذلک متبّع مسلّم لربّه ، فقد عرفوه بالصدق والأمانة والنزاهة والاستقامة ، لا یغرّه هوی ولا یغریه مال ولا جاه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الآیات وغیرها ممّا یجده المتتبِّع فی القرآن تکشف عن حجّیّة قول</w:t>
      </w:r>
    </w:p>
    <w:p>
      <w:pPr>
        <w:pStyle w:val="BookText"/>
        <w:rPr/>
      </w:pPr>
      <w:r>
        <w:rPr>
          <w:rFonts w:ascii="Amiri" w:hAnsi="Amiri" w:eastAsia="Amiri" w:cs="Amiri"/>
          <w:color w:val="111111"/>
          <w:sz w:val="28"/>
          <w:sz w:val="28"/>
          <w:szCs w:val="28"/>
          <w:rtl w:val="true"/>
          <w:lang w:bidi="ar-SA"/>
        </w:rPr>
        <w:t xml:space="preserve">النبیّ صلی الله علیه و آله و سلم بنفسه ، ولیس فی طول حجّیّة القرآن الکریم ، ومن ذلک یتضح أنّ ما اتّفق علیه کلّ من الخاصّة والعامّة من إمکان نسخ القرآن بالسنّة القطعیّة ، حقّ لا غبار علیه ، ولیس فی ذلک منافاة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لأنّ الکتاب المجید قد أمر بالأخذ والعمل بما أتی به الرسول صلی الله علیه و آله و سلم ویکون نسخ القرآن بالسنّة القطعیّة من نسخ القرآن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قدّمنا من أنّ أحد وجوه حجّیة القرآن هو شخص الرسول صلی الله علیه و آله و سلم وهو الآتی بالقرآن والمأمون علیه ، فإذا کان مأموناً علی تبلیغ الوحی وعزائم أمر اللّه سبحانه وحافظاً لتمام القرآن ، فکیف لا یکون مأموناً علی الإخبار عن نسخ بعض أحکامه عن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حصل الخلط لدی هذا البعض بین الإخبار عن النسخ والإنشاء له ، أو لعلّه خلط بین نسخ الحکم ونسخ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قائل من الخاصّة بنسخ التلاوة وإنّما قال به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لازم هذه الدعوی عدم جواز تخصیص القرآن ولا تقییده بالسنّة القطعیّة ، إذ لیس النسخ بالمعنی الصحیح أسوأ حالاً من التخصیص ، والتخصیص ثابت عنده وعند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الواردة فی بیان الآیات القرآنیّة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فبعضها بصدد تأویل الآیات وبیان بطونها ، وهذا الصنف لا یعنی سقوط ظهورها عن الاعتبار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فی صدد بیان مصداق الآیة أو أبرز موارد انطباقها ، وهذا الصنف هو الآخر لا یضرّ بالظهور ولا یمنع المعنی الکلّی للآیة عن الانطباق علی</w:t>
      </w:r>
      <w:bookmarkStart w:id="79" w:name="pg5252_44183"/>
    </w:p>
    <w:p>
      <w:pPr>
        <w:pStyle w:val="BookText"/>
        <w:rPr/>
      </w:pPr>
      <w:bookmarkEnd w:id="79"/>
      <w:r>
        <w:rPr>
          <w:rFonts w:ascii="IRNazanin" w:hAnsi="IRNazanin" w:eastAsia="IRNazanin"/>
          <w:color w:val="111111"/>
          <w:sz w:val="28"/>
          <w:sz w:val="28"/>
          <w:szCs w:val="28"/>
          <w:rtl w:val="true"/>
          <w:lang w:bidi="fa-IR"/>
        </w:rPr>
        <w:t xml:space="preserve">موارد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ثالث فی صدد تفسیر الظاهر کأن تبیّن قرینة خفیّة اشتمل علیها ظهور الآیة ، أو تنفی معنیً معیّناً عن مفاد الآیة ، أو تبیّن خصوصیّة فی المعنی الظاهر لا یمکن تواجدها إلّافی مصادیق معیّنة ، وهذا الصنف یتعیّن حمل ظهور الآیة علی ما أفادته الروایة لأنّهم علیهم السلام أعرف بقرائن الکتاب وأسالیبه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الخلط بین أقسام الروایات والحکم علیها بحکم مطلق </w:t>
      </w:r>
      <w:r>
        <w:rPr>
          <w:rFonts w:eastAsia="IRNazanin" w:cs="IRNazanin"/>
          <w:color w:val="111111"/>
          <w:sz w:val="28"/>
          <w:szCs w:val="28"/>
          <w:rtl w:val="true"/>
          <w:lang w:bidi="fa-IR"/>
        </w:rPr>
        <w:t>!</w:t>
      </w:r>
    </w:p>
    <w:p>
      <w:pPr>
        <w:pStyle w:val="Heading6"/>
        <w:numPr>
          <w:ilvl w:val="5"/>
          <w:numId w:val="1"/>
        </w:numPr>
        <w:rPr/>
      </w:pPr>
      <w:bookmarkStart w:id="80" w:name="__RefHeading___Toc423011_581953129"/>
      <w:bookmarkStart w:id="81" w:name="_Toc30"/>
      <w:bookmarkEnd w:id="80"/>
      <w:r>
        <w:rPr>
          <w:rtl w:val="true"/>
        </w:rPr>
        <w:t>نهایة المطاف</w:t>
      </w:r>
      <w:bookmarkEnd w:id="81"/>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التکافل بین محکمات الکتاب والسنّة لرفع التشابه فی کلّ منهما ، لا یعنی النقص فی الکتاب العزیز ولا العجز فی بیانه؛ بل مؤدّاه لزوم القیّم والهادی والمرشد للعقول إلی حقائق حبل اللّه المتین وصراطه المستقیم وبطون الکتاب المبین ، فإنّ الأخذ بالظواهر مقدّمة للأخذ بالبطون تلو بعضها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ذلک إلّابهدایة من یحیط بتمام حقائق القرآن ، ظهوره وبطونه ، بل لا یمکن معرفة ظاهره إلّالمن أحاط بجمیع محتملاته ووجوهه وأسالیبه ، وعرف محکمه ومتشابهه وعامّه وخاصّه وناسخه ومنسوخه ، فلابدّ من التمسّک بمن له ذلک العلم ، وسیأتی توضیح النسبة بین الحجج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Heading6"/>
        <w:numPr>
          <w:ilvl w:val="5"/>
          <w:numId w:val="1"/>
        </w:numPr>
        <w:rPr/>
      </w:pPr>
      <w:bookmarkStart w:id="82" w:name="__RefHeading___Toc423013_581953129"/>
      <w:bookmarkStart w:id="83" w:name="_Toc31"/>
      <w:bookmarkEnd w:id="82"/>
      <w:r>
        <w:rPr>
          <w:rtl w:val="true"/>
        </w:rPr>
        <w:t xml:space="preserve">المسألة الثانیة </w:t>
      </w:r>
      <w:r>
        <w:rPr>
          <w:rtl w:val="true"/>
        </w:rPr>
        <w:t xml:space="preserve">: </w:t>
      </w:r>
      <w:r>
        <w:rPr>
          <w:rtl w:val="true"/>
        </w:rPr>
        <w:t>نظریة إنکار خلود الکتاب العزیز</w:t>
      </w:r>
      <w:bookmarkEnd w:id="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النظریّة قد تبدو حدیثة وتتردّد فی العصر الحاضر بصیاغات متعدّدة ، بعضها بطریقة الصوفیّة ، وبعضها باُسلوب علم النفس البشریّ ، وبعضها بلغة القانون ، وبعضها بصیاغة علم الاجتماع إلّاأنّها قدیمة قد تعرّض لها غیر واحد</w:t>
      </w:r>
    </w:p>
    <w:p>
      <w:pPr>
        <w:pStyle w:val="BookText"/>
        <w:rPr/>
      </w:pPr>
      <w:r>
        <w:rPr>
          <w:rFonts w:ascii="IRNazanin" w:hAnsi="IRNazanin" w:eastAsia="IRNazanin"/>
          <w:color w:val="111111"/>
          <w:sz w:val="28"/>
          <w:sz w:val="28"/>
          <w:szCs w:val="28"/>
          <w:rtl w:val="true"/>
          <w:lang w:bidi="fa-IR"/>
        </w:rPr>
        <w:t>من الصوفیّة الماضین</w:t>
      </w:r>
      <w:r>
        <w:rPr>
          <w:rStyle w:val="FootnoteAnchor"/>
          <w:rtl w:val="true"/>
        </w:rPr>
        <w:footnoteReference w:id="205"/>
      </w:r>
      <w:r>
        <w:rPr>
          <w:rFonts w:ascii="IRNazanin" w:hAnsi="IRNazanin" w:eastAsia="IRNazanin"/>
          <w:color w:val="111111"/>
          <w:sz w:val="28"/>
          <w:sz w:val="28"/>
          <w:szCs w:val="28"/>
          <w:rtl w:val="true"/>
          <w:lang w:bidi="fa-IR"/>
        </w:rPr>
        <w:t xml:space="preserve">ولیست نظریة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الأزلیّة اللامحدودة حیث أنّ فیضها عمیم دائم لا محدود فلا یمکن أن یحیط بذلک الفیض ذاتُ ممکنٍ من الممکنات ، فما تلقّاه النبیّ الخاتم صلی الله علیه و آله و سلم من وحی القرآن إنّما هو بحسب قابلیّته صلی الله علیه و آله و سلم لا بحسب کلّ ما یمکن أن یفاض من الذات الأزلیّة ، ومن هنا یبقی باب الاستفاضة والاستیحاء من الذات الأزلیّة مفتوحاً کما کان قبل الرسالة الخاتمة ، کما إنّ معرفة الذات الأزلیّة حیث لا یمکن الإحاطة بها ولا التعرُّف علی کنهها ، فما یوجد من معارف الشریعة الخاتمة إنّما هی بحسب ما توصّل إلیه النبیّ صلی الله علیه و آله و سلم فی المعرفة ، لا بحسب منتهی سیر المعرفة للذات الأزلیّة ، کما یشیر إلیه قوله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عرفناک حق معرفتک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ونظیره ما یؤثر عنه صلی الله علیه و آله و سلم بمضمون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 صیاغة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النبوّة الخاتمة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البشریّة عن الحاجة إلی النبوّة ، وتکامل عقول الناس إلی درجة الإکتفاء عن النبوّة بقدرتهم الذهنیّة والفکریّة فی الاستیحاء والاستلهام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صیاغة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حیث کانت مجموعة من المعارف والقوانین الاعتباریة ، فلا یمکن أن تکون خالدة دائمة ما دامت الحیاة الإنسانیّة علی الأرض ، لأنّ المعارف والحقائق الواقعیّة بابها مفتوح أمام الذهن البشریّ المتجدّد المتطوّر باستمرار ، وأمّا القوانین الاعتباریّة فهی متقوّمة بالاعتبار وفقاً للمصالح</w:t>
      </w:r>
    </w:p>
    <w:p>
      <w:pPr>
        <w:pStyle w:val="BookText"/>
        <w:rPr/>
      </w:pPr>
      <w:r>
        <w:rPr>
          <w:rFonts w:ascii="IRNazanin" w:hAnsi="IRNazanin" w:eastAsia="IRNazanin"/>
          <w:color w:val="111111"/>
          <w:sz w:val="28"/>
          <w:sz w:val="28"/>
          <w:szCs w:val="28"/>
          <w:rtl w:val="true"/>
          <w:lang w:bidi="fa-IR"/>
        </w:rPr>
        <w:t xml:space="preserve">والمفاسد وهی متغیّرة بحسب الظروف والأحوال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صیاغة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إنفتاح التکامل البشریّ والسماح للتجربة الإنسانیّة أن تتحرّک ، هو استمرار الشرائع وتحرّکها وعدم الوقوف علی شریعة خاصّة کما جرت سیرة البشریّة فی الشرائع السابقة ، ولذا فإنّ سَنّ السنن والقوانین فی عصرنا الحاضر أصبح مرهوناً بالعقول وما تستکشفه من حقائق جیلاً بعد 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وینکشف خداع رونق هذه النظریّة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عناصر الفرضیّة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بالصیاغة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تعیّن ، حیث أنّها من جانب افترضت الذات الأزلیّة غیر محدودة ، ومن جانب آخر جعلت الطرف الإنسانیّ عائماً غائماً غیرَ معیّن وکأنّه قابل غیر محدود ، مع أنّه فی الحقیقة محدّد معیّن ، إذ المفروض إستمرار البشریّة إلی حدّ معیّن هو یوم المعاد واُفول هذه النشأة الدنیویّة لهذه القافلة التی بدأت بآدم علیه السلام وتنتهی بنفخة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فالمستفیض بالفیض الإلهیّ فی الجانب الثانی محدود من جهتین أمداً وعدداً فی هذه النشأة ، فبلحاظ هذا الظرف المحدود لا محالة یمکن افتراض فرد بشریّ سابق للجمیع فی القرب والدنوّ والاستفاضة من الذات الإلهیّة ، ومن الواضح عدم تدخّل التأخّر الزمانیّ فی ذلک ، ولا ضرورة توجب أن یکون هذا الفرد الکامل هو آخر الأفراد زماناً ، فالعمدة الالتفات إلی أنّ البشریّة المحدودة بهذه النشأة الدنیویّة لیست من حیث الأفراد والامتداد الزمانی قوابل لا محدودة للفیض الإلهیّ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لو تمّ لورد علی الأسماء الإلهیّة أیضاً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 حیث أنّ هذا الإسم وباقی الأسماء المقدّسة هی مظاهر للذات الأزلیّة</w:t>
      </w:r>
    </w:p>
    <w:p>
      <w:pPr>
        <w:pStyle w:val="BookText"/>
        <w:rPr/>
      </w:pPr>
      <w:r>
        <w:rPr>
          <w:rFonts w:ascii="IRNazanin" w:hAnsi="IRNazanin" w:eastAsia="IRNazanin"/>
          <w:color w:val="111111"/>
          <w:sz w:val="28"/>
          <w:sz w:val="28"/>
          <w:szCs w:val="28"/>
          <w:rtl w:val="true"/>
          <w:lang w:bidi="fa-IR"/>
        </w:rPr>
        <w:t xml:space="preserve">وتجلٍّ لها ، فکیف تتلاءم أبدیّة هذه الأسماء وأزلیّتها مع لا محدودیّة المظاهر والتجلّیات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والحلّ للإشکال فی کلا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الإلهیّة ونور</w:t>
      </w:r>
      <w:r>
        <w:rPr>
          <w:rStyle w:val="FootnoteAnchor"/>
          <w:rtl w:val="true"/>
        </w:rPr>
        <w:footnoteReference w:id="208"/>
      </w:r>
      <w:r>
        <w:rPr>
          <w:rFonts w:ascii="IRNazanin" w:hAnsi="IRNazanin" w:eastAsia="IRNazanin"/>
          <w:color w:val="111111"/>
          <w:sz w:val="28"/>
          <w:sz w:val="28"/>
          <w:szCs w:val="28"/>
          <w:rtl w:val="true"/>
          <w:lang w:bidi="fa-IR"/>
        </w:rPr>
        <w:t xml:space="preserve">الحقیقة المحمّدیّة صلی الله علیه و آله و سلم هی أبواب ممرّ الفیض الدائم ، ومجری العین الأزلیّة ومسلک الفیوضات الإلهیّة ، فالأسماء المتقدّمة فی توسّع فی الظهور وزیادة فی التجلّیات وکذلک الحقیقة المحمّدیة فی استفاضة دائمة من العین الأزلیّة ، لکن هذا لا یمنع بوّابیّتها أو ینافی وساطتها فی الفیض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مطابق لما برهن علیه فی الحکمة النظریّة من علم الفلسفة بأنّ الصوادر الأولی واسطة فی الفیض الإلهیّ ابتداءً واستدامةً ، ومن ثمّ یظهر أنّ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مدارج من حدّ ظهوره إلی درجات بطونه إنتهاءً بدرجة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یکتب فیه کلّ شیء ممّا کان ویکون فی عالم الإمکان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الوسط الخالد فی إفاضة العلوم والمعارف ، وهو بوّابة الأبواب لأنوار الذات الأزلیّة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وُصِف القرآن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الشیء الجامع لجمیع الکلمات ، والکلمة مصداقها الحقیقیّ الشیء الدالّ تکویناً بذاته علی مراد الفاعل لذلک الشیء ، کما أطلق علی</w:t>
      </w:r>
    </w:p>
    <w:p>
      <w:pPr>
        <w:pStyle w:val="BookText"/>
        <w:rPr/>
      </w:pPr>
      <w:r>
        <w:rPr>
          <w:rFonts w:ascii="IRNazanin" w:hAnsi="IRNazanin" w:eastAsia="IRNazanin"/>
          <w:color w:val="111111"/>
          <w:sz w:val="28"/>
          <w:sz w:val="28"/>
          <w:szCs w:val="28"/>
          <w:rtl w:val="true"/>
          <w:lang w:bidi="fa-IR"/>
        </w:rPr>
        <w:t xml:space="preserve">عیسی علیه السلام أنّه کلمة اللّه سبحانه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لِلْعالَمِینَ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وذو المجد والعظمة لا یبلی ولا یندثر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المحو والإثبات للمشیئة الإلهیّة موجودة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تعالی قد صرّف فیه وضرب فیه من کلّ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ضَرَبْنا لِلنّاسِ فِی هذَا الْقُرْآنِ مِنْ کُلِّ مَثَلٍ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تَفْصِیلَ کُلِّ شَیْ‌ءٍ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وصف الرسول بأنّه رحمة للعالمین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انزل إلیه الفرقان لیکون للعالمین نذیراً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دینه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w:t>
      </w:r>
    </w:p>
    <w:p>
      <w:pPr>
        <w:pStyle w:val="BookText"/>
        <w:rPr/>
      </w:pPr>
      <w:r>
        <w:rPr>
          <w:rFonts w:ascii="Amiri" w:hAnsi="Amiri" w:eastAsia="Amiri" w:cs="Amiri"/>
          <w:color w:val="111111"/>
          <w:sz w:val="28"/>
          <w:sz w:val="28"/>
          <w:szCs w:val="28"/>
          <w:rtl w:val="true"/>
          <w:lang w:bidi="ar-SA"/>
        </w:rPr>
        <w:t xml:space="preserve">اَلدِّینِ کُلِّهِ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ممّا یدلّ علی أنّه الدین الأبدیّ الذی لا یبطله دین ، ولا تنسخه شریعة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دینه لیس إلّالکافّة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إلی أنّه خاتم النبیّین الذی لیس بعده دین ولا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من ضرورات الإسلام أنّ النبیّ لا نبیّ بعده ولا شریعة تنسخ شریعته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فَمَنْ تَوَلّی بَعْدَ ذلِکَ فَأُولئِکَ هُمُ الْفاسِقُونَ أَ فَغَیْرَ دِینِ اللّهِ یَبْغُونَ وَ لَهُ أَسْلَمَ مَنْ فِی السَّماواتِ وَ الْأَرْضِ طَوْعاً وَ کَرْهاً وَ إِلَیْهِ یُرْجَعُونَ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الوجدان حاکم بعدم توقّف السعی البشریّ فی أیّ مجال من المجالات حتّی فی التقنین الوضعیّ عند غیر المتمسّکین بالدین وقوانینه ، فهذا الفحص والتنقیب العلمیّ تلمس کلّ فطرة وجوده وتحسّ الإذعان باستمراره ،</w:t>
      </w:r>
    </w:p>
    <w:p>
      <w:pPr>
        <w:pStyle w:val="BookText"/>
        <w:rPr/>
      </w:pPr>
      <w:r>
        <w:rPr>
          <w:rFonts w:ascii="IRNazanin" w:hAnsi="IRNazanin" w:eastAsia="IRNazanin"/>
          <w:color w:val="111111"/>
          <w:sz w:val="28"/>
          <w:sz w:val="28"/>
          <w:szCs w:val="28"/>
          <w:rtl w:val="true"/>
          <w:lang w:bidi="fa-IR"/>
        </w:rPr>
        <w:t xml:space="preserve">وهذه البدیهة تثبت 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حقیقة واقعیّة یحاول البشر الوصول إلیها فی کلّ المجالات حتّی القانون الوضعیّ ، إذ لا یعقل السعی نحو اللاموجود والبحث عن اللاشیء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إحاطة البشر بتمام أطراف تلک الحقیقة والواقعیّة فی أیّ مجال من مجالات التطوّر ، لأنّه لو حصلت الإحاطة التامّة بالحقیقة لما احتیج إلی السعی ولتوقّف البحث العلمیّ ، وهو خلاف الفطرة والوجدان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نستنتج أنّ البشریّة بعقلها المحدود الساعی حثیثاً إلی التکامل ، لا یصل فی یومٍ ما إلی الإحاطة بسعة الحقیقة تماماً حتّی فی مجال القانون الوضعیّ ، ولذلک نجد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دائماً فی تغیّر وتبدیل إلّاما طابق السنن والشرائع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تظهر الحاجة المُلحّة إلی عنایة الباری ولطف ربّ الخلیقة المحیط بحقیقتها وواقعیّتها بما لها من السعة فی الأفراد والإمتداد فی الزمان لکی یرشد البشریّة إلی تلک الحقیقة ویهدیها إلی تلک الواقعیّة ، ومن الإرشاد التشریع السماویّ الکاشف عن الحقائق ، وبهذا یثبت الاحتیاج الدائم إلی الشرع المقدّس وعدم استغناء العقول عنه مهما تطوّرت وتکاملت ، فإنّ سعیها دلیل حاجتها لبارئها سبحانه وتعالی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لو تمّ لورد علی الأحکام العقلیّة کحسن العدل والإنصاف ، وقبح الظلم والإجحاف ، وحسن الإحسان والرأفة ، وقبح الإیذاء والقسوة ، وسائر أحکام العقل العملیّ ، وکذلک أحکام العقل النظریّ مثل امتناع التناقض ، وأنّ الکلّ أکبر من الجزء ، مع أنّ کلّ فطرة بشریّة تری أنّ هذه الأحکام ثابتة دائمة ومحیطة بکلّ الأفراد فی کلّ الظروف والتغیّرات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بذلک بداهة وجود معادلة قانونیّة وقضیّة حاکمة محیطة بتمام الأفراد فی جمیع الظروف ، والتی لا یطّلع علیها إلّااللّه أو من علّمه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التمحیص فی ما أسلفناه ، تظهر وساطة الحقیقة المحمّدیّة صلی الله علیه و آله و سلم فی الفیض الإلهیّ ، وأنّ اختیاره لختم الرسالات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ببدیهة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تکامل شریعته وجمعها لکلّ الکمالات التی یمکن للبشر التوصّل إلیها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المقام الجامع فی الحقیقة المحمّدیة إحاطة البدیهیات العقلیّة وشمولها لجمیع الأزمان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الحقیقة الواضحة المبرهنة أنّ الإنسان مرکّب من بدن وروح ، وأنّ لکلّ من هذین الجزءین قوی مختلفة ، وأنّ هذه الترکیبة لم تتبدّل من عصر أبینا آدم علیه السلام إلی الآن ، ولن تتبدّل إلی یوم القیامة مهما تبدّلت وسائل المعیشة وتنوّعت ، ومهما اتّسعت حضارة العمران واختلفت أسالیب المدنیّة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حاجات روحیّة وطبائع خُلُقیّة وقوی نفسیّة ثابتة مهما تغیّرت أنماط التعامل البشریّ ، سواء فی داخل الأسرة أم المجتمعات الضیّقة ، أم المجتمع الإنسانیّ ککلّ ، فإنّ الإنسان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 وروحاً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الترکیبة الاجتماعیة فی اطرها المختلفة ابتداءً من الأسرة فإنّه بحاجة إلی التربیة والنموّ تحت رعایة الأبوین وحضانتهما مادیّاً وروحیّاً ، مروراً بالأقارب والعشیرة ، ثمّ احتیاجه إلی التکافل والتعاون مع أبناء القریة أو المدینة ، وصولاً إلی حاجاته فی المجتمع الإنسانیّ الکبیر المحتاج إلی قانون عادل ونظام شامل لکلّ تفاصیل حیاته ، وإلی رائد عادل مقتدر منفّذ لذلک القانون ، وغیر ذلک ممّا یفصّله علماء النفس والاجتماع والحکماء وخبراء القانون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یدلّ علی وجود جهة ثابتة فی البشریّة ما دامت موجودة علی وجه</w:t>
      </w:r>
    </w:p>
    <w:p>
      <w:pPr>
        <w:pStyle w:val="BookText"/>
        <w:rPr/>
      </w:pPr>
      <w:r>
        <w:rPr>
          <w:rFonts w:ascii="IRNazanin" w:hAnsi="IRNazanin" w:eastAsia="IRNazanin"/>
          <w:color w:val="111111"/>
          <w:sz w:val="28"/>
          <w:sz w:val="28"/>
          <w:szCs w:val="28"/>
          <w:rtl w:val="true"/>
          <w:lang w:bidi="fa-IR"/>
        </w:rPr>
        <w:t xml:space="preserve">البسیطة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الجهة الثابتة لها قانون واحد یناسبها ویلائمها ویقتدر علی إیصالها إلی الکمال ، وهو ثابت لا یتغیّر بتغیّر الظروف ولا بتغیّر الزمان أو المکان ، لأنّه مقنّن للثابت لا للمتغیّر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فالتکامل حینئذ هو بثبات هذا القانون الملائم لتلک الجهة البشریّة الثابتة ، وافتراض التطوّر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طور آخر وراء تلک الجهة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مصادم لتلک الحقیقة الثابتة ، بل التطوّر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أخذ المجموع البشریّ أطوار الکمال اللامتناهی المؤدّی إلیه ذلک القانون الثابت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الصراط إلی اللّه فی مواضع عدیدة من الکتاب العزیز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فإنّ المستقیم هو الثابت الذی لا انعطاف فیه ، وهو قوام الوصول فی حرکة المتحرّک وسلوک السالک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هذه الحقیقة الثابتة لا تقبل التغییر والتبدّل مهما تغیّرت الظروف أو تکاملت النفوس ، بل سرّ الکمال والتطوّر هو الخضوع لهذه الحقیقة والتحرّک علی أساسها </w:t>
      </w:r>
      <w:r>
        <w:rPr>
          <w:rFonts w:eastAsia="IRNazanin" w:cs="IRNazanin"/>
          <w:color w:val="111111"/>
          <w:sz w:val="28"/>
          <w:szCs w:val="28"/>
          <w:rtl w:val="true"/>
          <w:lang w:bidi="fa-IR"/>
        </w:rPr>
        <w:t>.</w:t>
      </w:r>
      <w:bookmarkStart w:id="84" w:name="pg5252_44192"/>
    </w:p>
    <w:p>
      <w:pPr>
        <w:pStyle w:val="Heading6"/>
        <w:numPr>
          <w:ilvl w:val="5"/>
          <w:numId w:val="1"/>
        </w:numPr>
        <w:rPr/>
      </w:pPr>
      <w:bookmarkStart w:id="85" w:name="__RefHeading___Toc423015_581953129"/>
      <w:bookmarkStart w:id="86" w:name="_Toc32"/>
      <w:bookmarkEnd w:id="84"/>
      <w:bookmarkEnd w:id="85"/>
      <w:r>
        <w:rPr>
          <w:rtl w:val="true"/>
        </w:rPr>
        <w:t xml:space="preserve">المسألة الثالثة </w:t>
      </w:r>
      <w:r>
        <w:rPr>
          <w:rtl w:val="true"/>
        </w:rPr>
        <w:t xml:space="preserve">: </w:t>
      </w:r>
      <w:r>
        <w:rPr>
          <w:rtl w:val="true"/>
        </w:rPr>
        <w:t>نظریّة المعرفة القرآنیّة والمعرفة الدینیّة ، وأنّ موروث الشریعة أفهام العلماء</w:t>
      </w:r>
      <w:bookmarkEnd w:id="86"/>
    </w:p>
    <w:p>
      <w:pPr>
        <w:pStyle w:val="BookText"/>
        <w:rPr/>
      </w:pPr>
      <w:r>
        <w:rPr>
          <w:rFonts w:ascii="IRNazanin" w:hAnsi="IRNazanin" w:eastAsia="IRNazanin"/>
          <w:color w:val="111111"/>
          <w:sz w:val="28"/>
          <w:sz w:val="28"/>
          <w:szCs w:val="28"/>
          <w:rtl w:val="true"/>
          <w:lang w:bidi="fa-IR"/>
        </w:rPr>
        <w:t xml:space="preserve">تتلخّص هذه النظریّة بدعوی أنّنا نلمس ظاهرة الاختلاف وتبدّل الرأی فی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فالفقه مثلاً نجد فیه العدید من الفتاوی والقواعد قد تبدّلت وتغیّرت ، ولازالت تتبدّل ، ولا یکاد الناظر یقف علی حدٍّ ینتهی عنده اختلاف‌الفتوی ، والأمثلة علی‌ذلک کثیرة یصعب حصرها ، ولا حاجة إلی سردها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علم الکلام ، فلیس أحسن حظّاً من الفقه ، فإنّ الاختلاف فیه مشهود وواضح فی ما بین الطوائف ، کالتجسیم ونفیه ، وخلق القرآن وقدمه ، والجبر والتفویض والإختیار المتوسّط بینهما ، وذاتیّة الصفات الإلهیّة أو زیادتها ، ونوعیّة المعاد الجسمانیّ ، بل وقع الخلاف بین علماء الطائفة الواحدة ، فقد حکی السیّد ابن طاووس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خمسمائة مسألة وقع الخلاف فیها بین علمین من أعلام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علم التفسیر ، فإنّ الملحوظ بین الفینة والفینة صدور تفسیر یختلف عمّا سبقه من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التغایر والاختلاف بدأ منذ الصدر الأوّل وحتّی عصرنا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علم الأخلاق وتهذیب النفس ، فإنّک تشاهد مشارب وطرقاً لا تکاد تجتمع علی هیئة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الفقهاء علی التقیّد بظواهر الشریعة والتزموا حرفیّاً بالأحکام والآداب والسنن ، وجری الصوفیّة والعرفاء علی الریاضات والقواعد السلوکیّة ونزعوا إلی البواطن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وتشدّد علماء الأخلاق فی أحکام العقل العملیّ واقتناء الفضائل الممدوحة ونبذ الرذائل المذمومة ، کما جری دیدن المحدّثین علی توثیق الارتباط بأولیاء اللّه</w:t>
      </w:r>
    </w:p>
    <w:p>
      <w:pPr>
        <w:pStyle w:val="BookText"/>
        <w:rPr/>
      </w:pPr>
      <w:r>
        <w:rPr>
          <w:rFonts w:ascii="IRNazanin" w:hAnsi="IRNazanin" w:eastAsia="IRNazanin"/>
          <w:color w:val="111111"/>
          <w:sz w:val="28"/>
          <w:sz w:val="28"/>
          <w:szCs w:val="28"/>
          <w:rtl w:val="true"/>
          <w:lang w:bidi="fa-IR"/>
        </w:rPr>
        <w:t xml:space="preserve">واُمنائه ، والتوسّل بهم والإستشفاع بهم ، وتقویة الاتّصال 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یتجلّی لک الاختلاف فی مناهج السلوک والأخلاق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علم الإستنباط وما یصطلح علیه فی العلم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القانون والقراءة القانونیّة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الکبیر فی میزان الحجّیة والاستدلال وطریق المعرفة الدینیّة بین الأصولیین والأخباریین من الخاصّة والعامّة</w:t>
      </w:r>
      <w:r>
        <w:rPr>
          <w:rStyle w:val="FootnoteAnchor"/>
          <w:rtl w:val="true"/>
        </w:rPr>
        <w:footnoteReference w:id="227"/>
      </w:r>
      <w:r>
        <w:rPr>
          <w:rFonts w:ascii="IRNazanin" w:hAnsi="IRNazanin" w:eastAsia="IRNazanin"/>
          <w:color w:val="111111"/>
          <w:sz w:val="28"/>
          <w:sz w:val="28"/>
          <w:szCs w:val="28"/>
          <w:rtl w:val="true"/>
          <w:lang w:bidi="fa-IR"/>
        </w:rPr>
        <w:t xml:space="preserve">، مع أنّ هذا العلم متکفّل للبحث عن موازین المعرفة الدینیّة وموازین المعرفة القرآنیّة ، بل یشمل موازین المعرفة لکلّ العلوم الدینیّة ، وقد تقدّم التعبیر عنه أنّه بمثابة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وشرحناه شرحاً وافیاً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وقع الخلاف بین علماء الحدیث ودرایته فی کیفیّة تصحیح الحدیث وضوابط الإعتماد علیه ، وضوابط اعتماد المضمون والمتن ، فنشأ اتّجاه الحشویّة فی قبال أصحاب النقد والترجیح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الخلاف فی نهج المعرفة بین المتکلّمین والفلاسفة والعرفاء والصوفیّة والمحدّثین والمفسّرین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مقدار یسیر ممّا وقع فیه الخلاف المستمرّ الذی لم یمکن حسمه ولم یقِف عند 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والاستقراء المذکور یوصلنا إلی نتیجة هامّة بملاحظة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وقوع الخلاف فی النظر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البدیهیّ وحدة الحقیقة الدینیّة وعدم اختلاف الشریعة</w:t>
      </w:r>
    </w:p>
    <w:p>
      <w:pPr>
        <w:pStyle w:val="BookText"/>
        <w:rPr/>
      </w:pPr>
      <w:r>
        <w:rPr>
          <w:rFonts w:ascii="IRNazanin" w:hAnsi="IRNazanin" w:eastAsia="IRNazanin"/>
          <w:color w:val="111111"/>
          <w:sz w:val="28"/>
          <w:sz w:val="28"/>
          <w:szCs w:val="28"/>
          <w:rtl w:val="true"/>
          <w:lang w:bidi="fa-IR"/>
        </w:rPr>
        <w:t xml:space="preserve">الواقعیّة ، وأنّ ما هو الحقّ واحد ، وإنّ الکثرة إنّما هی فی جانب الزیغ والباطل ، وإلّا لجمعت الحقیقة المتناقضین ، ووجد فی الواقع الواحد المتخالفان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لهاتین المقدّمتین یلزم التسلیم بأحد فرضین لا یخلو الواقع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الحکم ببطلان تکثّر الأفهام وأنّ هذا الموروث من التراث الدینیّ لیس إلّا حصاد أفهام بشریّة لا تعکس الحقیقة الدینیّة ، وإمّا الإلتزام بتغیّر الشریعة الواقعیّة وأنّها لا ثبات فیها ، بل تصاغ بحسب جهود الباحثین فی المعارف الدینیّة وبحسب ظروفهم وأفکارهم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الفرضین یظلّ الباب مفتوحاً للأنظار الجدیدة والأفهام العصریّة کما هو الحال فی القانون التجریبیّ الوضعیّ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تقریب ذلکبتقریب ثان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تأثرّ الباحث فی قراءة النصّ برسوبات بیئة العصر الذی یعیش فیه ، ومن ثمّ تمتزج الحقیقة التی یتوخّاها من وراء النصّ مع هذه الرسوبات ، ویتراءی من مجموع نظریّته التلوّن بالحقیقة الثابتة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هناک عوامل اخری لامتزاج الحقیقة الدینیّة بغیرها ، وهی خصوصیّات وأشکال التطبیق التی لا تمتّ بصلة إلی تلک الحقیقة الکلّیة العامّة ، ویؤول المقروء من النص إلی أخذ خصوصیّات المورد التطبیقیّ فی المعنی الکلّیّ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هناک لوناً ثالثاً من ا لمعانی المغایرة الممتزجة بالحقیقة ، وهی الناشئة من خصوصیّات الاُفق الفکریّ للباحث نفسه ، سعةً وضیقاً وسطحیّةً وعمقاً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الدواعی التی ینطلق الباحث فی البحث من أجلها ، کما إذا کانت لدیه نظریّة مسبقة یقصد تحمیلها علی النصّ ولم یجرّد نفسه لاستنطاق النصّ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العوامل التی تشوب البحث فی قراءة النصّ الدینیّ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تدعیم ذلکبتقریب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الطبیعی المحتمل فی کیفیّة تولّد الضرورات الدینیّة ، افتراض المعنی المدّعی ضرورته ولزومه ، قد قرأه أحد کبار العلماء ذوی الهالة الکبیرة والوجاهة والموقع ، ثمّ أخطأ فی فهم النصّ ، غیر أنّ اللاحقین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ما یمتلکه العالم السابق من موقعیّة فی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تأثّروا بذلک الفهم فی بدایة مدارجهم العلمیّة ، وترسّخ ذلک فی نفوسهم حتّی أصبحوا وجوهاً وأکابر لمن یلیهم ، وبقی ذلک الفهم فی أذهانهم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متابعة عامّة الناس لهم فی عصرهم ، فما حال من یأتی بعدهم من العلماء إلّاأن یتلقّی ذلک بالقبول ؟ ولا سیّما أنّه فی نفس البیئة ونفس المدرسة ، وبذلک یعود ذلک الفهم الخاطئ موروثاً بدیهیّاً وحقیقة دینیّة ضروریّة ، حتّی أنّ من یرید أن یجیز لنفسه التفکیر فی ما یخالف ذلک المعنی فی قراءة النصّ یجد نفسه معرّضاً للهجوم والمقاطعة ، وهکذا تتوارث الطبقات ذلک کضرورة دینیّة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ثمّ تری أنّ الملل المختلفة والطوائف المتفاوتة فی الملّة الواحدة توجد متواترات وضروریّات فی معتقداتها ، تمثّل الطابع العامّ لذلک المذهب ، بینما الضروریّ المتواتر لمذهب آخر علی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 البدیهیّ وحدة الحقیقة ، فلابدّ من صحّة واحدة منها بالخصوص ، أو أن نقول بصحّة کلّ المعارف الدینیّة وإن اختلفت أو تناقضت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وبتقریب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التحقیقات الأدبیّة الأخیرة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تطرأ علیها زوائد أحیاناً وینقص منها بعض أجزائها أحیاناً اخری بحسب تعاقب وتفاوت الأجیال ، فکلّ جیل یتعایش مع المعنی بما یتلاءم مع حاجات عصره ، وتلک الحاجات تتحکّم فی المعنی سعةً وضیقاً وترکیباً وتفکیکاً ، ومن هنا تختلف دلالة الألفاظ علی المعانی بحسب العصور والأجیال</w:t>
      </w:r>
    </w:p>
    <w:p>
      <w:pPr>
        <w:pStyle w:val="BookText"/>
        <w:rPr/>
      </w:pPr>
      <w:r>
        <w:rPr>
          <w:rFonts w:ascii="IRNazanin" w:hAnsi="IRNazanin" w:eastAsia="IRNazanin"/>
          <w:color w:val="111111"/>
          <w:sz w:val="28"/>
          <w:sz w:val="28"/>
          <w:szCs w:val="28"/>
          <w:rtl w:val="true"/>
          <w:lang w:bidi="fa-IR"/>
        </w:rPr>
        <w:t xml:space="preserve">والحاجات ، سواء فی المادّة اللفظیّة أو الهیئة الأفرادیّة أو الترکیبیّة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ذلک اختلاف الأمثال المضروبة جیلاً بعد جیل ، واختلاف إیحاءات الکلام الواحد والجملة الواحدة بحسب الزمان ، بل المحقّق الأدیب یلمس ذلک جلیّاً فی العصر الواحد بین أهل البقاع المختلفة ، نظیر اختلاف القبائل العربیّة فی شؤون اللغة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قد یصطلح علیه البعض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النحت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التبدّلات والتقلّبات فی أطواره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وبتقریب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الفهم والمعرفة فی النصوص والمتون الدینیّة تتأثّر بتطوّر العلوم التجریبیّة والطبیعیّة الکونیّة وتلاحق الإکتشافات الجدیدة التی کانت مستورة عن البشر ، وذلک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بسبب أنّ الموضوعات الفقهیّة یختلف إدراک حقائقها باختلاف التطوّر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بسبب عدم الیقین فی دلالة المتون الفقهیّة ، فیقدّم علیها القطع الحاصل من العلوم التجریبیة الصاعدة فی التطوّر والتقدّم ، ولأجل ذلک تجد الکثیر من التفسیرات للنصوص الدینیّة التی ابتنت علی فرضیّات علمیة خاطئة ، قد تبدّلت بتبدّل تلک الفرضیّات ، نظیر ما حدث فی العلوم الفلسفیّة المبتنیة علی فرضیّات طبیعیّة خاطئة کهیئة بطلمیوس</w:t>
      </w:r>
      <w:r>
        <w:rPr>
          <w:rStyle w:val="FootnoteAnchor"/>
          <w:rtl w:val="true"/>
        </w:rPr>
        <w:footnoteReference w:id="229"/>
      </w:r>
      <w:r>
        <w:rPr>
          <w:rFonts w:ascii="Amiri" w:hAnsi="Amiri" w:eastAsia="Amiri" w:cs="Amiri"/>
          <w:color w:val="111111"/>
          <w:sz w:val="28"/>
          <w:sz w:val="28"/>
          <w:szCs w:val="28"/>
          <w:rtl w:val="true"/>
          <w:lang w:bidi="ar-SA"/>
        </w:rPr>
        <w:t>والعناصر الأربعة</w:t>
      </w:r>
      <w:r>
        <w:rPr>
          <w:rStyle w:val="FootnoteAnchor"/>
          <w:rtl w:val="true"/>
        </w:rPr>
        <w:footnoteReference w:id="230"/>
      </w:r>
      <w:r>
        <w:rPr>
          <w:rFonts w:ascii="IRNazanin" w:hAnsi="IRNazanin" w:eastAsia="IRNazanin"/>
          <w:color w:val="111111"/>
          <w:sz w:val="28"/>
          <w:sz w:val="28"/>
          <w:szCs w:val="28"/>
          <w:rtl w:val="true"/>
          <w:lang w:bidi="fa-IR"/>
        </w:rPr>
        <w:t xml:space="preserve">الأوّلیّة ، وغیرهما ، فإنّ ذلک یدلّ علی الارتباط والملازمة فی تطوّر الفهمین فی المعرفة الدینیّة والمعرفة الکونیّة </w:t>
      </w:r>
      <w:r>
        <w:rPr>
          <w:rFonts w:eastAsia="IRNazanin" w:cs="IRNazanin"/>
          <w:color w:val="111111"/>
          <w:sz w:val="28"/>
          <w:szCs w:val="28"/>
          <w:rtl w:val="true"/>
          <w:lang w:bidi="fa-IR"/>
        </w:rPr>
        <w:t>.</w:t>
      </w:r>
      <w:bookmarkStart w:id="87" w:name="pg5252_44197"/>
    </w:p>
    <w:p>
      <w:pPr>
        <w:pStyle w:val="Heading6"/>
        <w:numPr>
          <w:ilvl w:val="5"/>
          <w:numId w:val="1"/>
        </w:numPr>
        <w:rPr/>
      </w:pPr>
      <w:bookmarkStart w:id="88" w:name="__RefHeading___Toc423017_581953129"/>
      <w:bookmarkStart w:id="89" w:name="_Toc33"/>
      <w:bookmarkEnd w:id="87"/>
      <w:bookmarkEnd w:id="88"/>
      <w:r>
        <w:rPr>
          <w:rtl w:val="true"/>
        </w:rPr>
        <w:t>مناقشة النظریّة</w:t>
      </w:r>
      <w:bookmarkEnd w:id="89"/>
    </w:p>
    <w:p>
      <w:pPr>
        <w:pStyle w:val="BookText"/>
        <w:rPr/>
      </w:pPr>
      <w:r>
        <w:rPr>
          <w:rFonts w:ascii="IRNazanin" w:hAnsi="IRNazanin" w:eastAsia="IRNazanin"/>
          <w:color w:val="111111"/>
          <w:sz w:val="28"/>
          <w:sz w:val="28"/>
          <w:szCs w:val="28"/>
          <w:rtl w:val="true"/>
          <w:lang w:bidi="fa-IR"/>
        </w:rPr>
        <w:t xml:space="preserve">هذه النظریّة بتمام صیاغاتها اشتملت علی مغالطة أبعدتها عن موازین قراءة النصّ واُصوله وضوابطه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بادئ ذی بدء التنبیه إلی أنّ العلوم الإسلامیّة طوال أربعة عشر قرناً رکّزت علی قراءة النصّ وتحقیق القواعد والمناهج الصحیحة لفهمه وتطبیقه ، وازدهرت بحوثها بتعمیق ذلک إلی حدٍّ لم تصل إلیه سائر الملل والأقوام الاُخری ، بل إنّها اقتبست الکثیر من التحقیقات التی توصّل المسلمون إلیها فی علوم الأدب المختلفة ، کعلم البلاغة ، والمعانی ، والبیان ، والبدیع ، وفقه اللغة ، والنحو ، والصرف ، وعلوم النقد الأدبیّ ، وغیرها من علوم الأدب ، بالإضافة إلی علم اصول الفقه</w:t>
      </w:r>
      <w:r>
        <w:rPr>
          <w:rStyle w:val="FootnoteAnchor"/>
          <w:rtl w:val="true"/>
        </w:rPr>
        <w:footnoteReference w:id="231"/>
      </w:r>
      <w:r>
        <w:rPr>
          <w:rFonts w:ascii="IRNazanin" w:hAnsi="IRNazanin" w:eastAsia="IRNazanin"/>
          <w:color w:val="111111"/>
          <w:sz w:val="28"/>
          <w:sz w:val="28"/>
          <w:szCs w:val="28"/>
          <w:rtl w:val="true"/>
          <w:lang w:bidi="fa-IR"/>
        </w:rPr>
        <w:t xml:space="preserve">الزاخر بالتحقیقات المعمّقة التی قلّ نظیرها ، وکذا مباحث الألفاظ فی علم المنطق وعلوم النقد الأدبیّ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خصوص النصّ القرآنی ، التفاسیر التی لا تحصی ، وفی خصوص الحدیث ، کتب شرح الحدیث التی لا تعدّ هی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فعلوم اللغة بالمعنی الوسیع ، وعلم قراءة النصّ ، ینتهجان قواعد للوصول إلی المدلول وإلی فهم المعنی الذی رمی إلیه المتکلّم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جانب ، ومن جانب آخر ، لم یتخطّ الشارع أسلوب المحاورة بما یتضمّن من قواعد متّبعة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ثمّة اختلاف فی فهم کلام الشارع ، فهو لأجل خطأ الباحث فی تطبیق تلک القواعد ، لا لخطأ نفس القواعد ، ولا لتغیّر الحقیقة بتغیّر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الاختلاف أدلّ علی لزوم الرکون إلی قواعد</w:t>
      </w:r>
    </w:p>
    <w:p>
      <w:pPr>
        <w:pStyle w:val="BookText"/>
        <w:rPr/>
      </w:pPr>
      <w:r>
        <w:rPr>
          <w:rFonts w:ascii="Amiri" w:hAnsi="Amiri" w:eastAsia="Amiri" w:cs="Amiri"/>
          <w:color w:val="111111"/>
          <w:sz w:val="28"/>
          <w:sz w:val="28"/>
          <w:szCs w:val="28"/>
          <w:rtl w:val="true"/>
          <w:lang w:bidi="ar-SA"/>
        </w:rPr>
        <w:t xml:space="preserve">وضوابط لمعرفة الخطأ من الصواب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ما استعرضه القائل من اختلافات فی العلوم الدینیّة بین علماء الأدیان ، بل بین علماء العلم الواحد فی المذهب الواحد ، لا یرجع دائماً إلی التناقض والتکاذب ، وإنّما یشکّل أحیاناً نوعاً من التکامل فی فهم الشریعة وتتعاضد الأفهام والتحقیقات تلو بعضها البعض ، وتتراکم النتائج إلی حدّ ما وصلت إلیه فی العصر الحاضر ، ولا بدّ من التفریق بین الاختلاف فی الإجمال والتفصیل ، والسطحیة والتّعمق ، والقلّة والکثرة من جانب ، والتکاذب والتناقض من جانب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تشبیه ذلک بالتطوّر والاختلاف فی علم الریاضیّات والهندسة وعلم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المیکانیک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العلوم الریاضیّة ، حیث أنّ الدرجة التی وصلت إلیها فی العصر الحاضر من القواعد الجدیدة المبرهنة ، تختلف عن الدرجات القدیمة ، إلّاأنّ ذلک لیس بمعنی تخطئة القواعد القدیمة البرهانیّة ، بل هو اتّساع وتطوّر فی استنتاج القواعد فی العلوم الریاضیّة ، أشبه ما یکون بالبذرة سُقیت بماء البحث العلمیّ ، فظهر لها ساق ، ثمّ اردفت بمزید من التنقیب والبحوث ، فاشتدّ ساقها ، ثمّ تلاحقت البحوث فتفرّعت أغصانها وأینعت ثمارها ، ثمّ ازدادت البحوث فتکثّرت الشجرة إلی أشجار ، وهکذا حتّی أصبحت جنّة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فمسیرة التحقیق تندفع إلی الأمام قدماً مستندة إلی تعاون الجهود وتعاقب الأفکار ، ولولا الحلقات الاُولی لما وصلنا إلی هذه الحلقات التی نجدها فی الواقع المعاصر ، فالمجموع القائم منها لیس فقط لا یتناقض ولا یتدافع مع السابق ، بل هو فی وجوده مرتکز علی ما سبق من تحقیقات وبحوث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ذلک کلّه بجانب وجود نسبة معیّنة من الأفکار التصحیحیّة ، أی إنّها</w:t>
      </w:r>
    </w:p>
    <w:p>
      <w:pPr>
        <w:pStyle w:val="BookText"/>
        <w:rPr/>
      </w:pPr>
      <w:r>
        <w:rPr>
          <w:rFonts w:ascii="IRNazanin" w:hAnsi="IRNazanin" w:eastAsia="IRNazanin"/>
          <w:color w:val="111111"/>
          <w:sz w:val="28"/>
          <w:sz w:val="28"/>
          <w:szCs w:val="28"/>
          <w:rtl w:val="true"/>
          <w:lang w:bidi="fa-IR"/>
        </w:rPr>
        <w:t xml:space="preserve">تصحّح السقیم ممّا سبق من العلوم النظریّة ، کما هو الشأن فی کلّ علم بشریّ ، ولکنّه لیس نسخاً لأصول العلم وقواعده الیقینیّة ، بل إنّ النظریّة التی یثبت خطؤها لا یتعقّل أن تکون جمیع موادّها باطلة ، وإلّا لما اشتبهت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أن یکون فیها نسبة من المجهود العلمیّ المساهم فی الوصول إلی النتیجة الصائبة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یتبیّن أنّه لیس کلّ اختلاف یساوی التناقض والتدافع ، بل منه ما یکون تطوّراً وتکاملاً ، ومنه ما یکون تشذیباً وتهذیباً لما سلف ، فهناک فرق بین الأفکار والآراء التی تتکامل فی طول بعضها البعض ، وبین الأفکار التی تتدافع فی عرض بعضها البعض ، فإنّ الاُولی لا تعنی بطلان الضابطة ولا سقم المیزان الذی اتّخذه المتقدّمون ، وإنّما تعنی التوسّع فی تطبیق تلک الضابطة والاستفادة من الثمرات والنتائج المتلاحقة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من تقییمالتقریب الأوّل لهذه النظریّة ، أنّه قد حصل الخلط فیه بین الاختلاف بمعنی التقابل والتنافر بین الآراء ، وبین الاختلاف بمعنی مطلق التعدّد بنحو الضیق والسعة والبسط والاختصار ، ولعلّ منشأ وقوع القائل فی ذلک سببان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ابتعاد القائل عن الاختصاص وقصور باعه فی العلوم الإسلامیّة ، فإنّ بعضهم قد یکون تخصّصه فی فلسفة التاریخ أو السیاسة أو الاقتصاد أو الأدیان الاُخری أو غیر ذلک من التخصّصات المغایرة لعلوم قراءة النصّ الإسلامیّ ، فإنّه لا یتوصّل إلی عمق ما توصّل إلیه المتخصّصون فی هذه المسیرة العریقة من أبحاث العلوم الإسلامیّة باعتبار کثرة المسائل وتشعّب الأبحاث بنحو لم یشهده أیّ نصّ من النصوص الدینیّة الاُخری ، ولم تشهد لغة من لغات العالم جهوداً کاللغة العربیّة ، حتّی أنّ الکثیر من اللغات کالإنجلیزیّة والفارسیّة والاُردیّة</w:t>
      </w:r>
    </w:p>
    <w:p>
      <w:pPr>
        <w:pStyle w:val="BookText"/>
        <w:rPr/>
      </w:pPr>
      <w:r>
        <w:rPr>
          <w:rFonts w:ascii="IRNazanin" w:hAnsi="IRNazanin" w:eastAsia="IRNazanin"/>
          <w:color w:val="111111"/>
          <w:sz w:val="28"/>
          <w:sz w:val="28"/>
          <w:szCs w:val="28"/>
          <w:rtl w:val="true"/>
          <w:lang w:bidi="fa-IR"/>
        </w:rPr>
        <w:t xml:space="preserve">قد اقتبست من علوم الأدب والنقد العربیّ ، والطریف أنّنا نشهد هذه الأیّام تبجّحاً وتفاخراً بالأسالیب الأدبیّة الغربیّة الحدیثة ، والتحقیق أنّها لم تنتج عُشر ما أنتجته الأبحاث فی علوم الأدب العربیّ ، کما أنّ المتتبّع فی علوم النصّ الدینی أو القانونیّ یجد البون الشاسع بین ما وصلت إلیه العلوم عندنا ، بالقیاس إلی ما توصّلوا إلیه حتّی الآن ، وکذلک علم التفسیر وعلوم شرح الحدیث التی وصلت عندنا إلی عدد هائل کمّاً وکیفاً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بین الاختلاف فی الضروریّات والاختلاف فی النظریّات ، والوهن إنّما یکون مع الاختلاف فی الضروریّات لأنّها ثوابت الشریعة ، فلا یمکن تلقّیها خطأ ولا یتطرّق الریب فی کونها جزءاً من الشریعة ، بخلاف النظریّات ، وتشابک المسائل ودقّتها هو الذی یورث مثل هذا الخلط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أمّاالتقریب الثانی للنظریة ، فیلاحظ علیه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البشریّة فی کلّ لغة سارت علی الأخذ بموازین اللغة وقواعد الأدب فی قراءة النصوص الواردة بتلک اللغة ، وهذه الموازین ثابتة متقرّرة فی الأذهان لدی جمیع أفراد البشر ، ومدارج الإنتقال بین بعض هذه المعانی وبعضها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الإنتقال من المعنی الذی استعمل فیه اللفظ إلی المعنی الذی یراد تفهیمه ومنه إلی المعنی الذی یراد بنحو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موازین وقواعد مقرّرة یمکن الاستفادة منها ، کعلم البلاغة وعلوم النقد الأدبیّ المتعدّدة</w:t>
      </w:r>
      <w:r>
        <w:rPr>
          <w:rStyle w:val="FootnoteAnchor"/>
          <w:rtl w:val="true"/>
        </w:rPr>
        <w:footnoteReference w:id="232"/>
      </w:r>
      <w:r>
        <w:rPr>
          <w:rFonts w:ascii="IRNazanin" w:hAnsi="IRNazanin" w:eastAsia="IRNazanin"/>
          <w:color w:val="111111"/>
          <w:sz w:val="28"/>
          <w:sz w:val="28"/>
          <w:szCs w:val="28"/>
          <w:rtl w:val="true"/>
          <w:lang w:bidi="fa-IR"/>
        </w:rPr>
        <w:t xml:space="preserve">وکعلم اصول فقه القانون وضوابط قراءة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جانب العمق فی علوم الحقائق العقلیّة والإنسانیّة والتجریبیّة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 إلی العمق فی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أیضاً الثبات فی وسائل إیصال المعانی والعلوم عبر قوانین الألفاظ وأسالیب استخدامها وتحدید 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تری البشر فی أیّ لغة کانوا یقومون بقراءة النصوص الغابرة لأبناء لغتها قبل قرون سحیقة ، بل تجد خبراء الأدب یقومون بقراءة اللغات المندثرة کاللغة السریانیّة والمسماریّة واللاتینیّة وغیرها ، شریطة الإلمام بتلک اللغة وقواعدها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کلّ ذلک فی جانب التوصیة بالدقّة فی تلک العلوم للعثور علی القرائن الحالیّة والمقالیّة والعقلیّة ، حرصاً علی الوصول إلی الفهم الصحیح فی قراءة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ضوابط ثابتة للبحث العلمیّ تفسح المجال للمتخصّص الموضوعیّ المنصف أن یقرأ النصّ ویفهمه علی حقیقته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تأثیرها فی قراءة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تفرض فی قراءة النصّ القانونیّ الدینیّ‌</w:t>
      </w:r>
      <w:r>
        <w:rPr>
          <w:rStyle w:val="FootnoteAnchor"/>
          <w:rtl w:val="true"/>
        </w:rPr>
        <w:footnoteReference w:id="233"/>
      </w:r>
      <w:r>
        <w:rPr>
          <w:rFonts w:ascii="IRNazanin" w:hAnsi="IRNazanin" w:eastAsia="IRNazanin"/>
          <w:color w:val="111111"/>
          <w:sz w:val="28"/>
          <w:sz w:val="28"/>
          <w:szCs w:val="28"/>
          <w:rtl w:val="true"/>
          <w:lang w:bidi="fa-IR"/>
        </w:rPr>
        <w:t xml:space="preserve">، وإمّا فی نصوص المعارف الدینیّة الاُخری ، وإمّا فی نصوص التأریخ والسیرة ، وإمّا فی النصوص التخصّصیّة العلمیّة ، وإمّا فی باقی النصوص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تأثیرها فی القسم الأوّل ، فإن کان من ناحیة الموضوع للقضیّة القانونیّة المقروءة ، فهو أمر لابدّ منه ، إذ مرجعه إلی تطبیق القضیّة الکلّیّة القانونیّة علی الموضوعات المستجدّة الحدیثة ، وشمول تلک القضیّة للموضوعات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العصریّة والمستقبلیّة ، فالقارئ للنصّ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تعایش ببیئته وارتباط بعصره ومعرفة بخصوصیّات ظروفه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معرفة اندراج ذلک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أیّ الموضوعات ، فملاحظته للرسوبات الذهنیّة عبارة اخری</w:t>
      </w:r>
    </w:p>
    <w:p>
      <w:pPr>
        <w:pStyle w:val="BookText"/>
        <w:rPr/>
      </w:pPr>
      <w:r>
        <w:rPr>
          <w:rFonts w:ascii="IRNazanin" w:hAnsi="IRNazanin" w:eastAsia="IRNazanin"/>
          <w:color w:val="111111"/>
          <w:sz w:val="28"/>
          <w:sz w:val="28"/>
          <w:szCs w:val="28"/>
          <w:rtl w:val="true"/>
          <w:lang w:bidi="fa-IR"/>
        </w:rPr>
        <w:t xml:space="preserve">عن تجسیم موضوع زمانه وتحدید موقعه من الموضوعات الکلّیّة ، لکی یجد المحمول المناسب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فالتفات کلّ قارئ للنصّ إلی محیط زمانه وتطبیقه علی موضوعات النصّ لیس إلّالشمولیّة الشریعة والدین لکلّ الظروف والعصور ، ولأنّ القرآن یجری علی وقائع الزمان مجری الشمس ، وهو لا یؤول إلی اختلاف المعرفة الدینیّة ، بل یکشف عن أبدیّة الشریعة والدین إلی یوم القیامة ، نظیر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عقد من الزمان یحتاج إلی تفسیر القرآن بما یتناسب واستخراج حلول المشاکل المعاصرة لأنّ فی القرآن کنوزاً لا یُلتفت إلیها إلّاعند مسیس الحاجة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تأثیر الرسوبات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المحمول ، فهو لا یتصوّر أصلاً؛ لأنّ الاختلاف فی المحمول یعنی فقدان القواعد والمعاییر ، والمفروض ارتهان قراءة النصّ بموازین أدبیّة محدّدة ، وضوابط من علم اصول الفقه لا تتأثّر باختلاف البیئة ولا بتطوّر المعرفة ، لا فی العلوم التجریبیّة ولا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یحصل التفاوت فی تطبیق تلک الموازین ومقدار الدقّة والعمق فی مراعاتها أو بسبب الإطّلاع علی القرائن العقلیّة المرتبطة بموضوع الحکم ، وهو یمکن علی مسلک التخطئة</w:t>
      </w:r>
      <w:r>
        <w:rPr>
          <w:rStyle w:val="FootnoteAnchor"/>
          <w:rtl w:val="true"/>
        </w:rPr>
        <w:footnoteReference w:id="234"/>
      </w:r>
      <w:r>
        <w:rPr>
          <w:rFonts w:ascii="IRNazanin" w:hAnsi="IRNazanin" w:eastAsia="IRNazanin"/>
          <w:color w:val="111111"/>
          <w:sz w:val="28"/>
          <w:sz w:val="28"/>
          <w:szCs w:val="28"/>
          <w:rtl w:val="true"/>
          <w:lang w:bidi="fa-IR"/>
        </w:rPr>
        <w:t xml:space="preserve">، إلّاأنّ مقتضی الإذعان بمسلک التخطئة هو وحدة المیزان الذی تجب مراعاته من قبل کلّ المستنبطین والقارئین للنصّ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 التأثیر فی نصوص المعارف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فحیث أنّ لها أسراراً وبطوناً ، یتّضح أنّه کلّما اتّسعت وتعمّقت المعرفة الکونیّة للبشر فی الحقول المختلفة ، ازداد عمق الفهم والاستیعاب لتلک المعارف ، إلّاأنّ ذلک لیس تغییراً فی حدود وقوالب المعانی المأخوذة فی تلک النصوص ،</w:t>
      </w:r>
    </w:p>
    <w:p>
      <w:pPr>
        <w:pStyle w:val="BookText"/>
        <w:rPr/>
      </w:pPr>
      <w:r>
        <w:rPr>
          <w:rFonts w:ascii="Amiri" w:hAnsi="Amiri" w:eastAsia="Amiri" w:cs="Amiri"/>
          <w:color w:val="111111"/>
          <w:sz w:val="28"/>
          <w:sz w:val="28"/>
          <w:szCs w:val="28"/>
          <w:rtl w:val="true"/>
          <w:lang w:bidi="ar-SA"/>
        </w:rPr>
        <w:t xml:space="preserve">بل الحدود ثابتة والاختلاف إنّما یکون بنحو التطوّر من الإجمال إلی التفصیل ، ومن الضیق إلی السعة ، ونحو ذلک ، من قبیل الاختلاف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بِغَیْرِ عَمَدٍ تَرَوْنَها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حیث أنّ المنفیّ فی الآیة هو الأعمدة المرئیّة ، ممّا یشیر إلی وجود عمود غیر مرئیّ إجمالاً ، وبتطوّر العلوم التجریبیّة الحدیثة ونظریّة قوی الطاقة ، اتّضح أنّ المراد بها هی هذه القوی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فإنّه بتطوّر العلوم الحدیثة فی الأحیاء والنباتات ، عرف المعنی الدقیق للآیة ، وأنّ الریاح تحمل اللقاح النباتیّ من الذکر إلی الاُنثی ، وکذلک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فإنّ علم الفیزیاء الفلکیّ الحدیث أثبت توسّع السماء ، وأنّ المجرّات فی حال انشطار وتوسّع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التفسیر الحدیث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بما حُرّر أخیراً فی علم النفس الاجتماعیّ من الشخصیّة الواحدة للمجتمع وتأثّر المجموع بالأبعاض ، ودور الجانب التربویّ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سعادة أو شقاء المجتمع ، وکیفیّة تأثیر القسر الاجتماعی علی الإرادة الفردیة فی الأفراد ، وغیر ذلک من الأمثلة التی یجدها المتتبّع فی أسرار الشریعة ، وتطوّر الفهم بتطوّر البحث العلمیّ ، فإنّ کلّ ذلک لا یعنی التبدّل والتغیّر لمتن النصّ الدینیّ ، وإنّما هو انجلاء للإجمال فی حقیقة المعنی ، لا أنّ</w:t>
      </w:r>
    </w:p>
    <w:p>
      <w:pPr>
        <w:pStyle w:val="BookText"/>
        <w:rPr/>
      </w:pPr>
      <w:r>
        <w:rPr>
          <w:rFonts w:ascii="IRNazanin" w:hAnsi="IRNazanin" w:eastAsia="IRNazanin"/>
          <w:color w:val="111111"/>
          <w:sz w:val="28"/>
          <w:sz w:val="28"/>
          <w:szCs w:val="28"/>
          <w:rtl w:val="true"/>
          <w:lang w:bidi="fa-IR"/>
        </w:rPr>
        <w:t xml:space="preserve">اطُر حدود المعانی قد تبدّلت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الأنواع الاُخری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 تعنینا فی 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وأمّاالتقریب الثالث فیلاحظ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التفریق بین التسالم والضرورة ، فالأوّل هو التوافق والتبانی علی أمرٍ مّا ، ولو کان مستنده نظریّاً ، کما أنّ التسالم قد یسود مدّة مدیدة ولو کانت قروناً عدیدة ، ولکنّها لا تتّصل بصاحب الشریعة ، أی أنّها تکون متولّدة بعد عصر النصّ‌بمدّة بخلاف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التمییز بین الضرورة النابعة من الطریق ، أی کون الطریق قطعیّاً ضروریّاً ، وبین ضرورة ذی الطریق ، أی المؤدّی بالطریق؛ فإنّ التواتر فی نقل أمر معیّن لا یوجب واقعیّة ولا یُثبِت حقّاً ، لاحتمال کون المؤدّی باطلاً وإن کان النقل صادقاً والرواة صادقون ، کما لو کان المؤدّی منتسباً إلی غیر من قامت الحجّة علی تصدیق فعله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تری فی کلّ الملل والأدیان منقولات متواترة أو مستفیضة عن غیر المعصوم الذی تحترمه تلک الطائفة ، ولکن ذلک لا یستلزم ضروریّة وحقّانیّة کلّ تلک المعتقدات ، کما ینقله النصاری أو الیهود عن أفعال موسی وعیسی علیهما السلام نقلاً عمّن صاحَبَهم ، وفیها جملة من الأفعال والقصص التی لا تصدر عن مؤمن عادل ، فضلاً عن نبیّ معصوم ، وکذا ما ینقل فی بعض صحاح العامّة من أفعال نبیّنا محمّد صلی الله علیه و آله و سلم عن بعض الصحابة ، فقد یکون السند صحیحاً إلی الصحابیّ ، لا إلی نفس النبیّ صلی الله علیه و آله و سلم ، وهذا بخلاف ضرورة المؤدّی الذی یقطع بصدوره من نفس النبیّ الحقّ صلی الله علیه و آله و سلم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ملاحظة ما تقدّم ، لا بدّ من التفریق بین الضرورة المتّصلة بعصر صاحب</w:t>
      </w:r>
    </w:p>
    <w:p>
      <w:pPr>
        <w:pStyle w:val="BookText"/>
        <w:rPr/>
      </w:pPr>
      <w:r>
        <w:rPr>
          <w:rFonts w:ascii="IRNazanin" w:hAnsi="IRNazanin" w:eastAsia="IRNazanin"/>
          <w:color w:val="111111"/>
          <w:sz w:val="28"/>
          <w:sz w:val="28"/>
          <w:szCs w:val="28"/>
          <w:rtl w:val="true"/>
          <w:lang w:bidi="fa-IR"/>
        </w:rPr>
        <w:t xml:space="preserve">الشریعة وبین ما لا تتّصل حلقاتها إلیه صلی الله علیه و آله و سلم ، کما لابدّ من التفریق فی ضرورات المؤدّی بین ضرورة حدّ اللفظ والدلیل المنقول عن صاحب الشریعة ، وبین التفسیرات والتأویلات للدلیل الصادر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أمّاالتقریب الرابع فنحن لا ننکره إلی حدٍّ مّا کما قرّر فی کتب اللغة والعلوم الأدبیّة ، إلّاأنّ ذلک لا یعنی انقطاع البشریّة عن تراثها المأثور کلّ بحسب لغته ، بحیث یستوجب زوال ضروریّات وبدیهیّات ذلک التراث ، هذا بالإضافة إلی أنّ التغیّرات الطارئة تکون معروفة المنشأ والسبب غالباً ، لا أنّها تضیع وتخفی بانعدام ذلک الجیل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وأمّاالتقریب الخامس لهذه النظریّة ، فلابدّ أوّلاً من الالتفات إلی أنّ المعرفة الدینیّة تنقسم إلی قسمین إجمالاً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بالمعارف والاعتقادات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بالأعمال والوظائف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لابدّ من التنبّه إلی أنّ القضیّة التی تتعلّق بها المعرفة تنقسم إلی موضوع ومحمول ، وبالنسبة إلی القضایا المرتبطة بالأعمال ، وهی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أو القانون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فتبدّل المعرفة الکونیّة للموضوعات لا ینسحب علی معرفة المحمول فی تلک القضایا ، سواء کان حکماً شرعیّاً تکلیفیّاً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حکماً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تبدّل الموضوعات یؤثّر علی تجدّد أفراد جدیدة للموضوع أو زوال أفراد سابقة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ما یرتبط بالمعارف ، فقد تقدّم فی الجواب عن التقریب الثالث أنّ قالب المعنی واللفظ الواصل عن صاحب الشریعة صلی الله علیه و آله و سلم والذی هو من</w:t>
      </w:r>
    </w:p>
    <w:p>
      <w:pPr>
        <w:pStyle w:val="BookText"/>
        <w:rPr/>
      </w:pPr>
      <w:r>
        <w:rPr>
          <w:rFonts w:ascii="IRNazanin" w:hAnsi="IRNazanin" w:eastAsia="IRNazanin"/>
          <w:color w:val="111111"/>
          <w:sz w:val="28"/>
          <w:sz w:val="28"/>
          <w:szCs w:val="28"/>
          <w:rtl w:val="true"/>
          <w:lang w:bidi="fa-IR"/>
        </w:rPr>
        <w:t xml:space="preserve">متن الشریعة وإن کان ضروریّاً ، إلّاأنّ التفسیرات أو التأویلات أو التطبیقات التی یذهب إلیها روّاد العلوم الدینیّة قد لا تکون ضروریّة ، کما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التفسیر السائد لها قائماً علی أساس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ووجود الأفلاک الجسمانیّة فی مجموعتنا الشمسیّة ، وقد ثبت فی علم الهیئة الحدیث خطأ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تفسیر إحدی هذه الآیات عن الرضا علیه السلام أنّ کلّ ما یُری من نجوم وکواکب فهو تحت قبة السماء الدنیا</w:t>
      </w:r>
      <w:r>
        <w:rPr>
          <w:rStyle w:val="FootnoteAnchor"/>
          <w:rtl w:val="true"/>
        </w:rPr>
        <w:footnoteReference w:id="239"/>
      </w:r>
      <w:r>
        <w:rPr>
          <w:rFonts w:ascii="IRNazanin" w:hAnsi="IRNazanin" w:eastAsia="IRNazanin"/>
          <w:color w:val="111111"/>
          <w:sz w:val="28"/>
          <w:sz w:val="28"/>
          <w:szCs w:val="28"/>
          <w:rtl w:val="true"/>
          <w:lang w:bidi="fa-IR"/>
        </w:rPr>
        <w:t xml:space="preserve">، فإنّ التفسیر الأوّل لا یعنی بطلان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 بها الشرع ، بل ولا عدم ضروریّتها وإنّما الذی یبطل تأویلها أو تفسیرها المزبور لأنّه تفسیر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خطؤه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فتطوّر العلوم البشریّة التجریبیّة قد یوجب زیادة القدرة علی تفسیر وتطبیق المعارف الدینیّة القطعیّة ، ولا یوجب بطلان نفس تلک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إلی أنّ الکثیر من النظریّات فی العلوم التجریبیّة الحدیثة هی محض فرضیّات حدسیّة أو ظنّیّة ، ولم یقم علیها البرهان التجریبیّ ، وإنّما هی تصوّرات صیغت متلائمة مع شواهد وآثار محسوسة من دون أن یقوم علیها البرهان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أنّ من معجزات الدین الحنیف عدم التنافی بین الحقائق العلمیّة الیقینیّة وبین العقائد الضروریّة الإسلامیّة ، بل إنّ الأرقام والإحصائیّات العلمیّة تعزّز المفاهیم الدینیّة یوماً بعد یوم ، والأمثلة علی ذلک عدیدة ولسنا هنا بصدد بیانها </w:t>
      </w:r>
      <w:r>
        <w:rPr>
          <w:rFonts w:eastAsia="IRNazanin" w:cs="IRNazanin"/>
          <w:color w:val="111111"/>
          <w:sz w:val="28"/>
          <w:szCs w:val="28"/>
          <w:rtl w:val="true"/>
          <w:lang w:bidi="fa-IR"/>
        </w:rPr>
        <w:t>.</w:t>
      </w:r>
      <w:bookmarkStart w:id="90" w:name="pg5252_44207"/>
    </w:p>
    <w:p>
      <w:pPr>
        <w:pStyle w:val="Heading6"/>
        <w:numPr>
          <w:ilvl w:val="5"/>
          <w:numId w:val="1"/>
        </w:numPr>
        <w:rPr/>
      </w:pPr>
      <w:bookmarkStart w:id="91" w:name="__RefHeading___Toc423019_581953129"/>
      <w:bookmarkStart w:id="92" w:name="_Toc34"/>
      <w:bookmarkEnd w:id="90"/>
      <w:bookmarkEnd w:id="91"/>
      <w:r>
        <w:rPr>
          <w:rtl w:val="true"/>
        </w:rPr>
        <w:t xml:space="preserve">الدلیل الثانی </w:t>
      </w:r>
      <w:r>
        <w:rPr>
          <w:rtl w:val="true"/>
        </w:rPr>
        <w:t xml:space="preserve">: </w:t>
      </w:r>
      <w:r>
        <w:rPr>
          <w:rtl w:val="true"/>
        </w:rPr>
        <w:t>السنّة الشریفة</w:t>
      </w:r>
      <w:bookmarkEnd w:id="92"/>
    </w:p>
    <w:p>
      <w:pPr>
        <w:pStyle w:val="BookText"/>
        <w:rPr/>
      </w:pPr>
      <w:r>
        <w:rPr>
          <w:rFonts w:ascii="IRNazanin" w:hAnsi="IRNazanin" w:eastAsia="IRNazanin"/>
          <w:color w:val="111111"/>
          <w:sz w:val="28"/>
          <w:sz w:val="28"/>
          <w:szCs w:val="28"/>
          <w:rtl w:val="true"/>
          <w:lang w:bidi="fa-IR"/>
        </w:rPr>
        <w:t xml:space="preserve">البحث هنا لیس فی ما أشیر إلیه فی علم الاُصول ، ولا فی ما تعرّضَت له البحوث المتعارفة فی کتب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ینصبّ علی الإشکالات المستجدّة حول الفکر الدینیّ بما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التراث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مسائل </w:t>
      </w:r>
      <w:r>
        <w:rPr>
          <w:rFonts w:eastAsia="IRNazanin" w:cs="IRNazanin"/>
          <w:color w:val="111111"/>
          <w:sz w:val="28"/>
          <w:szCs w:val="28"/>
          <w:rtl w:val="true"/>
          <w:lang w:bidi="fa-IR"/>
        </w:rPr>
        <w:t>:</w:t>
      </w:r>
    </w:p>
    <w:p>
      <w:pPr>
        <w:pStyle w:val="Heading6"/>
        <w:numPr>
          <w:ilvl w:val="5"/>
          <w:numId w:val="1"/>
        </w:numPr>
        <w:rPr/>
      </w:pPr>
      <w:bookmarkStart w:id="93" w:name="__RefHeading___Toc423021_581953129"/>
      <w:bookmarkStart w:id="94" w:name="_Toc35"/>
      <w:bookmarkEnd w:id="93"/>
      <w:r>
        <w:rPr>
          <w:rtl w:val="true"/>
        </w:rPr>
        <w:t xml:space="preserve">المسألة الأولی </w:t>
      </w:r>
      <w:r>
        <w:rPr>
          <w:rtl w:val="true"/>
        </w:rPr>
        <w:t xml:space="preserve">: </w:t>
      </w:r>
      <w:r>
        <w:rPr>
          <w:rtl w:val="true"/>
        </w:rPr>
        <w:t>أقسام الحدیث ومعرفتها</w:t>
      </w:r>
      <w:bookmarkEnd w:id="94"/>
    </w:p>
    <w:p>
      <w:pPr>
        <w:pStyle w:val="BookText"/>
        <w:rPr/>
      </w:pPr>
      <w:r>
        <w:rPr>
          <w:rFonts w:ascii="IRNazanin" w:hAnsi="IRNazanin" w:eastAsia="IRNazanin"/>
          <w:color w:val="111111"/>
          <w:sz w:val="28"/>
          <w:sz w:val="28"/>
          <w:szCs w:val="28"/>
          <w:rtl w:val="true"/>
          <w:lang w:bidi="fa-IR"/>
        </w:rPr>
        <w:t xml:space="preserve">ینقسم سند الحدیث الشریف إلی 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المستفیض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واحد من هذه الأقسام ینقسم بدوره إلی أقسام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الذی نقله أفراد کثیرون بحیث یمتنع اتّفاقهم وتواطؤهم علی الکذب ، ویحصل الیقین بمطابقته للواقع ، إمّا بسبب کثرة العدد کمّاً فقط ، أو بسبب الملابسات الکیفیّة للناقل ، أو للخبر المنقول مع کثرة العدد ، علماً أنّ تولّد الیقین من التواتر ناشئ من قاعدة ریاضیّة فی حساب الاحتمالات یراعی فیها ارتفاع قوّة الاحتمال إلی حدّ الیقین التامّ بسبب العوامل الکمّیة والکیفیّة کما حرّر فی علم الاُصول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بحسب التواتر إلی لفظیّ ومعنویّ وإجمالیّ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اللفظیّ هو الذی حصلت فیه ضابطة التواتر وتکرّر الخبر بلفظ واحد أو عبارة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المعنویّ هو الخبر الذی تعدّدت عباراته ، إلّاأنّ مضمونها ومؤدّاها أو بعض مضامینها واحد ، وحینئذٍ یکون المضمون المتکرّر کثیراً متواتراً ، ولابدّ من الإشارة هنا إلی أنّ أصناف اتّحاد المعنی فی الأخبار لا یتفطّن إلیها کلّ ناظر أو قارئ ، بل تحتاج إلی خبرة وفطنة وعمق نظر کی یلتفت إلی وحدة المعانی الإلتزامیّة بین آحاد الأخبار فی المسائل المختلفة والأبواب المتباعدة ، ولاسیّما المسائل النظریّة العالقة والغامضة ، فهناک کثیر من الحقائق فی المعارف والأحکام الشرعیّة فی الفروع ، تجد الأدلّة العدیدة علیها فی طیّات الروایات ، ولم یتنبّه لها إلّا الأوحدیّ من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الإجمالیّ هو العلم بصدور بعضٍ من مجموعة کبیرة من الأخبار من دون وجود جامع مشترک بینها من جهة اللفظ ولا من جهة المعنی ، وإنّما نعلم بصدور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وللمتواتر تقسیمات اخری ینبغی بیانها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نطاقه واسعاً لجمیع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تواتره فی نطاق أهل اللغة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تواتره فی نطاق أهل الدین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تواتره فی نطاق أهل المذهب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تواتره فی نطاق أهل الفنّ الواحد أو الحرفة الواحدة ، دون سائر شرائح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وجود البلدان المعروفة ، کالقدس ومکّة وباریس ، والوقائع التأریخیّة العالمیّة کالحرب العالمیّة الاُولی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اللغة ومفرداتها عند أهلها ، کتواتر مفردات العربیّة إجمالاً</w:t>
      </w:r>
    </w:p>
    <w:p>
      <w:pPr>
        <w:pStyle w:val="BookText"/>
        <w:rPr/>
      </w:pPr>
      <w:r>
        <w:rPr>
          <w:rFonts w:ascii="IRNazanin" w:hAnsi="IRNazanin" w:eastAsia="IRNazanin"/>
          <w:color w:val="111111"/>
          <w:sz w:val="28"/>
          <w:sz w:val="28"/>
          <w:szCs w:val="28"/>
          <w:rtl w:val="true"/>
          <w:lang w:bidi="fa-IR"/>
        </w:rPr>
        <w:t xml:space="preserve">عند العرب وإن جهلها أبناء لغة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عند المسلمین ، وکذلک واقعة بدر واُحُد والأحزاب ، ومثل عصا موسی عند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لابدّ من الالتفات هنا إلی أنّ التواتر فی النقل والطریق لا یلازم یقینیّة المضمون إلّامع اتّصال حلقات التواتر بشخص المعصوم علیه السلام ، کما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التواتر عند أهل الحِرَف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الخبرات المنقولة عند أهل کلّ علم ، کخصوصیّات اللغة وقواعدها العمیقة ، فإنّها قد لا تکون متواترة عند أهل تلک اللغة ، ولکنّها متواترة عند علماء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أنّ المحقّق للتواتر لیس هو کلّ أبناء اللغة ، بل هو فئة خاصّة من أبنائها وهم علماء اللغة والأدب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لابدّ من الإشارة إلی أنّ الیقین الحاصل من هذه الأقسام لیس علی مستوی واحد ، لأنّ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مشکّک علی درجات ، وبعض هذه الأقسام یوجب الیقین بدرجة عالیة وبعضها بدرجة دانیة أو متوسّطة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أنّ دوائر التواتر تختلف سعة وضیقاً ، وتضیُّق دائرته لا یضرّ بتحقّقه وصدق تعریفه ما دامت ضابطته موجودة ، وکثیراً مّا تحصل الغفلة عن ذلک ، فیری الباحث أنّ التواتر غیر حاصل فی دائرته الوسیعة ، ویظنّ أنّه لا وجود له ، فهناک مثلاً ضرورات متواترة عند الفقهاء ولکنّها لیست متواترة عند باقی المتشرّعة ، کما أنّه یوجد خبر مأثور عن النبیّ صلی الله علیه و آله و سلم متواتر فی کلّ طبقاته وأسناده إلّا أنّه لیس بدائرة کلّ الاُمّة الإسلامیّة ، وإن رواه العدیدون من الطوائف العدیدة بحیث تبلغ عدّتهم التواتر ، وهذا یعنی أنّ الحامل للتواتر فی کلّ جیل ونسل قد یکون محدوداً فی دائرة محدودة فی جملة من الرواة لا کلّهم ، فضلاً عن عموم</w:t>
      </w:r>
    </w:p>
    <w:p>
      <w:pPr>
        <w:pStyle w:val="BookText"/>
        <w:rPr/>
      </w:pPr>
      <w:r>
        <w:rPr>
          <w:rFonts w:ascii="IRNazanin" w:hAnsi="IRNazanin" w:eastAsia="IRNazanin"/>
          <w:color w:val="111111"/>
          <w:sz w:val="28"/>
          <w:sz w:val="28"/>
          <w:szCs w:val="28"/>
          <w:rtl w:val="true"/>
          <w:lang w:bidi="fa-IR"/>
        </w:rPr>
        <w:t xml:space="preserve">الاُمة الإسلامیّة ومع ذلک لا یختلّ التواتر ما دام الشرط محفوظاً ، وهو القطع بعدم تواطئهم علی الکذب بسبب تکرّر الرواة وتعدّد مشاربهم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ولمزید التوضیح نُلفت الإنتباه إلی أنّ الخبر المتواتر قد یتنقّل من دائرة إلی اخری سعةً وضیقاً ، فقد یکون خبراً فی ابتداء أمره ذا دائرة وسیعة جدّاً ثمّ تتضیّق تلک الدائرة بسبب بعض الظروف ، ولکن ضابطة التواتر تبقی موجودة حتّی فی أضیق الدوائر ، وقد تقدّم أنّها ضابطة ریاضیّة نظیر العدید من الأحادیث النبویّة المتّفق علی تواترها ، فإنّها حین صدورها شهدها عشرات الآلاف ، کالتی صدرت عنه صلی الله علیه و آله و سلم فی حجّة الوداع ، إلّاأنّها وصلت إلینا من خلال مئات الطرق ، فإنّها حین صدورها ذات دائرة وسیعة جدّاً ثمّ بدأت بالتناقص علی مرّ الزمان إلی دائرة محدودة ، ولکنّها تحقّق التواتر حتّی بهذا المستوی ، بل إنّ هذا العدد یزید علی ما یحقّق التواتر بأضعاف عدیدة ، ومنشأ هذا التضیُّق فی الدائرة عدّة عوامل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تدوین الحدیث منذ عصر الشیخین إلی قرابة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الأغراض والدواعی السیاسیّة العامّة التی کانت ترمی إلی تحریف الإسلام وقلب حقائقه ، ولذلک کثر الکذّابون وقمع الصادقون من المحدّثین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الأغراض والدواعی الخاصّة ببعض الأحادیث ، کالأحادیث الواردة فی موضوع النصّ علی خلافة أمیر المؤمنین علیه السلام والأئمّة من بعده علیهم السلام ، أو الأحادیث الواردة فی فضح بعض الشخصیّات التی تصدّت للحکم أو مَن یدور فی فلکه ، وغیر ذلک ممّا لا ینسجم مع سیاسة الأمراء والحکّام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تصدّی الکثیرین ممّن سمعوا تلک الأحادیث للروایة ، إمّا لقصور فی الحفظ ودقّة النقل ، أو للخوف من السلطة ، أو لاشتهار الموضوع وشِیاعه بما لا یستدعی نقله وروایته ،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اتّضح ذلک ، فلا مجال حینئذٍ للاستغراب من تفاوت سعة التواتر فی عدّة أحادیث بحسب الطبقات ، لأنّ العدید من الرواة فی بعض الطبقات ممّن لم یحملوا التواتر لتلک الأحادیث ، کانوا جاهلین بها ولم یسمعوا بها ، فإنّ خصوصیّات مسائل العلوم العربیّة لیس الحامل لتواترها جمیع أهل اللغة ، بل شریحة أهل الاختصاص منهم ، وهذا الأمر موجود منذ العهود الاُولی ، وهو لا یضرّ بتواتر تلک الخصوصیّات والقواعد اللغویّة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فإنّ ما یثار من تساؤلات حول حدیث الغدیر وأحادیث النصّ علی الأئمّة الإثنی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یجهله عدّة من الرواة فی الطبقات المختلفة مع فرض تواتره ؟ فإنّ السلطة التی حاربت وقتلت ونکّلت بمن یتولّی علیّاً أو یروی عنه حدیثاً فی الفقه أو التفسیر کیف یمکن أن تسمح بروایة فضائله ؟ ثمّ کیف تسمح بروایة التنصیص علیه بالخلافة والإمامة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بالنسبة إلی تحقّق التواتر من جهة العامل الکمّیّ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تأثیر العامل الکیفیّ مع الکمّیّ فی تحقّق التواتر ، فمثاله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أسناد الطرق من بلدان مختلفة أو من الفرق والأذواق المختلفة ولا سیّما إذا کان الرواة من أتباع مذهب لا توافق معتقداته مضمون الخبر ، ولا یخفی أنّ الإلمام بعلم الرجال والدرایة ینفع الباحث فی الکثیر من هذه الخصوصیّات فی رجال السند وأذواقهم وعقائدهم وحفظهم وضبطهم وتثبّتهم وسائر صفاتهم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یتکوّن الخبر المتواتر من خصوص الأخبار الصحیحة ، أو یتولّد من ضعاف الأخبار أیضاً ؟ فهذا ما سوف نثیره فی ذیل بحث الخبر الضعیف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المقطوع بصدوره ، ولکنّه یطمئنّ بصدوره</w:t>
      </w:r>
    </w:p>
    <w:p>
      <w:pPr>
        <w:pStyle w:val="BookText"/>
        <w:rPr/>
      </w:pPr>
      <w:r>
        <w:rPr>
          <w:rFonts w:ascii="IRNazanin" w:hAnsi="IRNazanin" w:eastAsia="IRNazanin"/>
          <w:color w:val="111111"/>
          <w:sz w:val="28"/>
          <w:sz w:val="28"/>
          <w:szCs w:val="28"/>
          <w:rtl w:val="true"/>
          <w:lang w:bidi="fa-IR"/>
        </w:rPr>
        <w:t xml:space="preserve">بسبب کثرة نقله کمّاً مع توفّر الجانب الکیفیّ الداعم لقوّة احتمال صدوره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أیضاً ینقسم إلی نفس الأقسام الثلاثة الأولی المتقدّمة فی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المستفیض اللفظی والمعنویّ والإجمالیّ ، وینقسم أیضاً إلی درجات من الاستفاضة ، وسیأتی الکلام فی تکوّنه من الخبر الضعیف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الخبر الذی لا یحصل القطع ولا الإطمئنان بصدوره بسبب الکثرة ، وینقسم إلی خبر معتبر شرعاً ، وخبر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یهمّنا بحثه الآن هو خصوص الضعیف ، حیث أنّه قد وقع کثیر من اللغط والاشتباه فی تمییز هذا القسم وفی أحکامه ، حتّی ظهرت دعوات إلی غربلة کتب الحدیث وتنقیتها من ضعاف الأخبار ، والإبقاء علی خصوص الأحادیث المعتبرة فی المجامیع الروائیّة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ذلک بأنّ الأخبار الضعیفة أخبار مدسوسة مجعولة وموضوعة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الخبر الضعیف لا یوزن بجناح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من وصف فی تراجم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فإنّ جمیع أخباره موضوعة ومجعولة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تعالت الأصوات من هنا وهناک قائلة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دام الخبر الضعیف لا أثر ولا شأن له ، فلا وجه لبقائه فی المجامیع الروائیّة ، وغیر ذلک من الطروحات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وذاک ناجم من الخلط فی أقسام الحدیث ، وقلّة الاطّلاع علی أولّیات علم الدرایة والحدیث ، فإنّ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معتبراً علی نحو یشمل الموضوع والمدلّس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معتبراً بمفرده لعدم توثیق رجال السند ، إمّا بعضهم أو کلّهم ، ولکنّه یباین الخبر الموضوع والمدلّس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المدلّس والموضوع والمجعول هو ما علم بوضعه أو جعله وعثر علی قرائن التّدلیس ، بینما الخبر الضعیف هو الخبر الذی لیس بمعتبر فی حدّ نفسه ، إلّاأنّه لا دلیل ولا شواهد علی وضعه أو دسّه ، بل الغالب فیه روایته من قبل الثقة عن غیر الثقة أو مجهول الحال ، إذ لا أقلّ من إیداع الثقة لهذا الخبر فی کتابه ، بل إنّ أصحاب المجامیع المتقدّمة ، ولا سیّما أصحاب الکتب من الرواة کانوا لا یکتبون فی کتبهم إلّاما أمنوا فیه البعد عن شبهة الدسّ والوضع ولا یکتفون بمجرّد عدم العلم بالوضع أو الدسّ ، بل کانوا رحمهم الله علاوة علی ذلک لا ینقلون فی کتبهم إلّاما قامت القرائن لدیهم علی صحّة مضمونه وعدم منافاته للعمومات والقواعد العامّة من القرآن والسنّة القطعیّة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تفصیل الحدیث فی ذلک عند التعرّض لدعوی العلم الإجمالیّ‌بوجود الدسّ والتحریف فی الحدیث ، فمن الخطأ بمکان حسبان کلّ الروایات التی یرویها من وُصِف بالکذب ؛ موضوعة ، لأنّ الکذّاب قد یصدق ، ولابدّ من التفریق بین من یتعمّد الکذب والوضع ومن لا یهتمّ بالصدق والکذب ، بل إنّ العادل قد یکذب فی بعض الأحیان ، فلا یلزم من ثبوت الکذب مرّةً أن یکون کاذباً فی جمیع أقواله وروایاته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عمّن لم یوصف بالکذب وإنّما کان مجهولاً أو ممدوحاً</w:t>
      </w:r>
      <w:r>
        <w:rPr>
          <w:rStyle w:val="FootnoteAnchor"/>
          <w:rtl w:val="true"/>
        </w:rPr>
        <w:footnoteReference w:id="240"/>
      </w:r>
      <w:r>
        <w:rPr>
          <w:rFonts w:ascii="IRNazanin" w:hAnsi="IRNazanin" w:eastAsia="IRNazanin"/>
          <w:color w:val="111111"/>
          <w:sz w:val="28"/>
          <w:sz w:val="28"/>
          <w:szCs w:val="28"/>
          <w:rtl w:val="true"/>
          <w:lang w:bidi="fa-IR"/>
        </w:rPr>
        <w:t xml:space="preserve">، هذا بالإضافة إلی ما أشرنا إلیه من تثبت أصحاب المجامیع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العدید من الأخبار الضعاف المذکورة فی کتبنا الحدیثیّة تکون سلسلة سندها قد وقع فیها عدّة من الثقات أو الأجلّاء الثقات ، فکثیراً ما یکون الضعف لوجود راوٍ أو راویین أو ثلاثة لم یوثّقوا ، لا کلّ سلسلة السند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المهمّ جداً التفطّن إلی نقطة بالغة الأهمّیّة وهی أنّ الخبر الضعیف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p>
    <w:p>
      <w:pPr>
        <w:pStyle w:val="BookText"/>
        <w:rPr/>
      </w:pPr>
      <w:r>
        <w:rPr>
          <w:rFonts w:ascii="IRNazanin" w:hAnsi="IRNazanin" w:eastAsia="IRNazanin"/>
          <w:color w:val="111111"/>
          <w:sz w:val="28"/>
          <w:sz w:val="28"/>
          <w:szCs w:val="28"/>
          <w:rtl w:val="true"/>
          <w:lang w:bidi="fa-IR"/>
        </w:rPr>
        <w:t xml:space="preserve">إلی مباینته للخبر المدسوس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درجات متعدّدة من احتمال الصدور ، فلا ینبغی جعله بدرجة واحدة ، فمثلاً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المرسَل وإن کان بکلّ أصنافه من الضعیف ، إلّاأنّ درجات الإرسال تختلف حیث أنّ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مرسل فی أغلب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الإرسال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مرسل فی طبقة أو طبقتین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المرسِل قد یکون من أکابر الرواة وممّن عُرف بالضبط والدقّة والتثبّت وأنّ الإرسال إنّما طرأ فی روایاته لانمحاء کتبه ، کابن أبی عُمیر الفقیه الضابط النقّاد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المقطوع والمرفوع وأقسامهما فضلاً عن الأحادیث الحسنة والقویّة وأقسامهما إن لم نقل بحجّیتهما کما بنی علی ذلک مشهور روّاد علم الرجال والفقه ، وهو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 ذلک یتّضح خلل الدعاوی السابقة ، إذ حصل لدی القائلین بها الإلتباس والخلط بین الضعیف الاصطلاحیّ والموضوع ، لعدم الاضطلاع بعلم الحدیث والرجال ،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تتّضح خطورة هذه الدعاوی علی التراث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الضعیف المصطلح له عدّة آثار شرعیّة وعلمیّة مهمّة مع افتراض عدم حجّیّته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من تلک الآثار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تولید التواتر منه ، ویتبیّن ذلک جلیّاً من الضابطة الریاضیّة المتقدّمة للتواتر ، فعندما تتکثّر الطرق الضعیفة المتباینة الوسائط فی کلّ طبقاتها مع اختلاف أذواق ومشارب الرواة وتباعد أمکنتهم وغیر ذلک من الخصوصیات الکمّیة والکیفیّة التی تزید من قوّة احتمال الصدور إلی درجة یحصل القطع</w:t>
      </w:r>
    </w:p>
    <w:p>
      <w:pPr>
        <w:pStyle w:val="BookText"/>
        <w:rPr/>
      </w:pPr>
      <w:r>
        <w:rPr>
          <w:rFonts w:ascii="IRNazanin" w:hAnsi="IRNazanin" w:eastAsia="IRNazanin"/>
          <w:color w:val="111111"/>
          <w:sz w:val="28"/>
          <w:sz w:val="28"/>
          <w:szCs w:val="28"/>
          <w:rtl w:val="true"/>
          <w:lang w:bidi="fa-IR"/>
        </w:rPr>
        <w:t xml:space="preserve">بالصدور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ضابطة التواتر ، مع أنّ کلّ فرد من الأخبار لیس حجّة فی حدّ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الضعیف الاصطلاحیّ فی مجامیعنا الروائیّة أشرنا إلی أنّ الأصحاب لا یکتفون فیه بعدم العلم بالوضع ، بل لا ینقلون الخبر حتّی یأمنوا ویضمنوا بُعده عن شبهة الوضع والتحریف ، فهو یتضمّن درجة من الظنّ غیر المعتبر بالصدور ، ومع تراکم الاحتمالات تتصاعد ، حتّی ینعدم احتمال المخالفة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ولابدّ من التنبّه إلی أنّ التواتر لا ینحصر تولّده من الخبر الضعیف ، بل ربّما یتولّد من الأحادیث الصحیحة المتعدّدة أو منها ومن الضعیفة بما یحقّق الضابطة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یستغرب من تولّده من الضعاف المتکثّرة ینبغی له الشکّ فی تولّده من الأخبار الصحیحة ، والحلّ فی المقامین ما ذکرناه من الضابطة الریاضیّة فی کیفیّة تحقّق التواتر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الاستفاضة منه أیضاً بنفس التقریب المتقدّم فی التواتر ، وتقدّم أنّه یکون إمّا بتکرّر الضعاف أو هی مع الصحاح مع اختلاف الحجم الکمّیّ والکیفیّ باختلاف الفرضین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یتبیّن عمق الخطر فی تلک الدعاوی لإسقاط الضعیف ، حیث أنّها تؤدّی إلی ضیاع واندراس الضرورات الدینیّة الناشئة من التواتر واندراس الأحکام المسلّمة الناشئة من الاستفاضة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القائلین بهذه الدعاوی کیف یتحرّجون من الخبر الصحیح مع کونه ظنّیّاً ، ولا یتحرّجون من طرح الأحکام الیقینیّة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المتاخمة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بالإستفاضة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التنبّه إلی أنّ بعض أصناف التواتر المعنویّ یختصّ ببعض</w:t>
      </w:r>
    </w:p>
    <w:p>
      <w:pPr>
        <w:pStyle w:val="BookText"/>
        <w:rPr/>
      </w:pPr>
      <w:r>
        <w:rPr>
          <w:rFonts w:ascii="IRNazanin" w:hAnsi="IRNazanin" w:eastAsia="IRNazanin"/>
          <w:color w:val="111111"/>
          <w:sz w:val="28"/>
          <w:sz w:val="28"/>
          <w:szCs w:val="28"/>
          <w:rtl w:val="true"/>
          <w:lang w:bidi="fa-IR"/>
        </w:rPr>
        <w:t xml:space="preserve">محقّقی علماء الشریعة کما تقدّم فی التواتر المعنویّ ،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المتسالم علیه فی مذهب أهل البیت علیهم السلام حرمة ردّ الخبر الضعیف ؛ وقد وردت روایات کثیرة عنهم علیهم السلام فی إفادة ذلک</w:t>
      </w:r>
      <w:r>
        <w:rPr>
          <w:rStyle w:val="FootnoteAnchor"/>
          <w:rtl w:val="true"/>
        </w:rPr>
        <w:footnoteReference w:id="241"/>
      </w:r>
      <w:r>
        <w:rPr>
          <w:rFonts w:ascii="IRNazanin" w:hAnsi="IRNazanin" w:eastAsia="IRNazanin"/>
          <w:color w:val="111111"/>
          <w:sz w:val="28"/>
          <w:sz w:val="28"/>
          <w:szCs w:val="28"/>
          <w:rtl w:val="true"/>
          <w:lang w:bidi="fa-IR"/>
        </w:rPr>
        <w:t xml:space="preserve">، إذ ربّما یکون الخبر صادراً عنهم واقعاً ، فتکذیبه تکذیب 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یعنی حجّیة الأخبار الضعیفة ، فلا ینبغی مثل هذا التوهّم لأنّ تحریم ردّ ما یحتمل صدوره ، غیر الإلتزام بمفاده والعمل بمضمونه ، وعدم الإلتزام به لا یسوِّغ الحکم ببطلانه والردّ له ، بل یتعیّن التوقّف فیه وانتظار قیام الحجّة الشرعیّة علی 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سبب غفلة هذا القائل عن حرمة الردّ هو اعتقاد مساواة الضعیف للموضوع ونحوه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ماتقدّم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إمکان التعبّد بالظنّ فی‌الأحکام 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أدنی فائدة للخبر الضعیف ولا سیّما فی المعارف والآداب والسنن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منبّهاً للعقل وسبباً لتصوّر المعانی المحتملة والتی قد یغفل الباحث عنها ، فإنّ 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یتعقّبه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نافذة علی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المنسوبة إلی المعصوم ، المحتملة الصدور لا تقلّ أهمّیة عن الأقوال المنسوبة إلی بعض العلماء والمفکّرین مع أنّهم لیسوا معصومین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الحکم بضعف الخبر أو اعتباره ، مختلف باختلاف المبانی</w:t>
      </w:r>
    </w:p>
    <w:p>
      <w:pPr>
        <w:pStyle w:val="BookText"/>
        <w:rPr/>
      </w:pPr>
      <w:r>
        <w:rPr>
          <w:rFonts w:ascii="IRNazanin" w:hAnsi="IRNazanin" w:eastAsia="IRNazanin"/>
          <w:color w:val="111111"/>
          <w:sz w:val="28"/>
          <w:sz w:val="28"/>
          <w:szCs w:val="28"/>
          <w:rtl w:val="true"/>
          <w:lang w:bidi="fa-IR"/>
        </w:rPr>
        <w:t xml:space="preserve">وبحسب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التحقیقات والإجتهادات فی التصحیح والتضعیف ، فإنّ بعض المبانی لا تحصر التوثیق بالأصول الخمسة الرجالیة المتقدّمة</w:t>
      </w:r>
      <w:r>
        <w:rPr>
          <w:rStyle w:val="FootnoteAnchor"/>
          <w:rtl w:val="true"/>
        </w:rPr>
        <w:footnoteReference w:id="242"/>
      </w:r>
      <w:r>
        <w:rPr>
          <w:rFonts w:ascii="IRNazanin" w:hAnsi="IRNazanin" w:eastAsia="IRNazanin"/>
          <w:color w:val="111111"/>
          <w:sz w:val="28"/>
          <w:sz w:val="28"/>
          <w:szCs w:val="28"/>
          <w:rtl w:val="true"/>
          <w:lang w:bidi="fa-IR"/>
        </w:rPr>
        <w:t xml:space="preserve">، بل یعتمد أیضاً علی جمع القرائن والبحث عن حال الرواة والإطّلاع علی خصوصیّاتهم من خلال وقوعهم فی الأسانید المختلفة ، ومضمون ما یروونه ، والتنقیب عنهم فی المصادر التأریخیّة والروائیّة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فلو أغمضنا الطرف عن کلّ ما تقدّم ، فإنّ حذف الروایات الضعیفة فی تشخیصٍ معیّن یعنی تضییع التراث الدینیّ بحسب الأنظار الاُخری التی لا تراها ضعیفة ، وقد یکون الحقّ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التصحیح والتضعیف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النظر الآخر ؛ علماً أنّ الأئمّة علیهم السلام قد نصبوا ضوابط وعلامات لمعرفة حال الخبر الضعیف ، هل هو موضوع أو لا ؟ وهی عرض تلک الروایات علی محکمات الکتاب ومحکمات السنّة والعقل ، ومقتضاه الضمان العلمیّ بعدم الأخذ بالمدسوس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أحصوا فی علم الدرایة القرائن الکثیرة لاستعلام الخبر الصحیح وتمییزه عن المدسوس والموضوع ، وأنهاها الدربندی إلی عشرین قرینة ، من قبیل قوّة المتن ، وعلوّ المضمون العلمیّ عن السطح العلمیّ للرواة آنذاک ، نظیر حلّ مسألة الجبر والتفویض وبیان الاختیار ، بدقّة وببساطة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البلاغة العالیة ، والسلاسة المنطقیّة ، والمعارف العمیقة الدقیقة ، ووجود المضمون متعدّداً حتّی فی کتب العامّة مع کون المضمون لا ینسجم مع مذاقهم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الشهرة أعمّ من الروائیّة والفتوائیّة والعملیّة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روایة بعض الرواة المعروفین بالدقّة والضبط مثل أصحاب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روایة الخبر من قبل شخص لا یعتقد بمفاد الخبر ، کالواقفیّ الذی یروی إمامة الإمام المتأخّر عمّن وقف علیه ، وغیرها من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ولابدّ من الالتفات إلی أنّ هذه القرائن التی یذکرها الرجالیّون ، لا یقصدون کفایة کلّ واحدة منها فی تحقّق الوثوق ، وإنّما یعنون أنّ کلّ واحدة منها ذات قیمة احتمالیّة ، فإذا اجتمع فی مورد واحد أکثر من قرینة ، یوجب تراکم الاحتمال حتّی یحصل الوثوق ، وهذا اسلوب متّبع فی کلّ العلوم ، ولذا فمناقشة السیّد الخوئیّ رحمه الله لها جمیعها مبنیّة علی توّهم اعتماد الرجالیّین علی کلّ واحدة منها منفردة فی تحقّق الوثوق ، وعلی هذا تکون جمیع مناقشاته رحمه الله فی غیر محلّها ، لأنّهم کما قلنا لا یریدون ذلک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إلی مفاد قاعدة تراکم الإحتمال ما دلّ علی علائم العدالة ، فقد تعرّضت لذلک بعض الروایات</w:t>
      </w:r>
      <w:r>
        <w:rPr>
          <w:rStyle w:val="FootnoteAnchor"/>
          <w:rtl w:val="true"/>
        </w:rPr>
        <w:footnoteReference w:id="244"/>
      </w:r>
      <w:r>
        <w:rPr>
          <w:rFonts w:ascii="IRNazanin" w:hAnsi="IRNazanin" w:eastAsia="IRNazanin"/>
          <w:color w:val="111111"/>
          <w:sz w:val="28"/>
          <w:sz w:val="28"/>
          <w:szCs w:val="28"/>
          <w:rtl w:val="true"/>
          <w:lang w:bidi="fa-IR"/>
        </w:rPr>
        <w:t>وذکرت عدّة علامات للعدالة ، مع أنّ کلّ واحدة من تلک</w:t>
      </w:r>
      <w:bookmarkStart w:id="95" w:name="pg5252_44219"/>
    </w:p>
    <w:p>
      <w:pPr>
        <w:pStyle w:val="BookText"/>
        <w:rPr/>
      </w:pPr>
      <w:bookmarkEnd w:id="95"/>
      <w:r>
        <w:rPr>
          <w:rFonts w:ascii="IRNazanin" w:hAnsi="IRNazanin" w:eastAsia="IRNazanin"/>
          <w:color w:val="111111"/>
          <w:sz w:val="28"/>
          <w:sz w:val="28"/>
          <w:szCs w:val="28"/>
          <w:rtl w:val="true"/>
          <w:lang w:bidi="fa-IR"/>
        </w:rPr>
        <w:t xml:space="preserve">العلامات لا تکفی فی تحقّق العدالة ، ولکن اجتماعها أو بعضها یوجب العلم أو الاطمئنان بالعدالة </w:t>
      </w:r>
      <w:r>
        <w:rPr>
          <w:rFonts w:eastAsia="IRNazanin" w:cs="IRNazanin"/>
          <w:color w:val="111111"/>
          <w:sz w:val="28"/>
          <w:szCs w:val="28"/>
          <w:rtl w:val="true"/>
          <w:lang w:bidi="fa-IR"/>
        </w:rPr>
        <w:t>.</w:t>
      </w:r>
    </w:p>
    <w:p>
      <w:pPr>
        <w:pStyle w:val="Heading6"/>
        <w:numPr>
          <w:ilvl w:val="5"/>
          <w:numId w:val="1"/>
        </w:numPr>
        <w:rPr/>
      </w:pPr>
      <w:bookmarkStart w:id="96" w:name="__RefHeading___Toc423023_581953129"/>
      <w:bookmarkStart w:id="97" w:name="_Toc36"/>
      <w:bookmarkEnd w:id="96"/>
      <w:r>
        <w:rPr>
          <w:rtl w:val="true"/>
        </w:rPr>
        <w:t xml:space="preserve">المسألة الثانیة </w:t>
      </w:r>
      <w:r>
        <w:rPr>
          <w:rtl w:val="true"/>
        </w:rPr>
        <w:t xml:space="preserve">: </w:t>
      </w:r>
      <w:r>
        <w:rPr>
          <w:rtl w:val="true"/>
        </w:rPr>
        <w:t>کیفیّة تحقیق الکتب الروائیة</w:t>
      </w:r>
      <w:bookmarkEnd w:id="97"/>
    </w:p>
    <w:p>
      <w:pPr>
        <w:pStyle w:val="BookText"/>
        <w:rPr/>
      </w:pPr>
      <w:r>
        <w:rPr>
          <w:rFonts w:ascii="IRNazanin" w:hAnsi="IRNazanin" w:eastAsia="IRNazanin"/>
          <w:color w:val="111111"/>
          <w:sz w:val="28"/>
          <w:sz w:val="28"/>
          <w:szCs w:val="28"/>
          <w:rtl w:val="true"/>
          <w:lang w:bidi="fa-IR"/>
        </w:rPr>
        <w:t xml:space="preserve">من المؤسّف جدّاً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الروایات الضعیفة لم یقتصر علی آحاد الروایات ، بل تعدّاها لیشمل طرح کتب بأکملها لمجرّد عدم العلم بأسناد صحیحة إلی تلک الکتب ، وإذا ضاع فی الحالة الأولی أخبار آحاد ، فقد ضاع هنا تراث بأکمله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بعض تلک الحالات نشأت من الکسل والتوانی فی تحقیق تلک الکتب الروائیّة ، فی حین أنّ تحقیق الکتب یحتاج إلی علم خاصّ هو علم الدرایة وإن لم یذکر أعلام الفنّ له منهجاً خاصّاً إلّاأنه یمکن تصیّد المنهج والضابطة من طیّات کلامهم 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تلخیص ذلک فی النقاط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هویّة الکتاب من خلال کتب‌الفهارس</w:t>
      </w:r>
      <w:r>
        <w:rPr>
          <w:rStyle w:val="FootnoteAnchor"/>
          <w:rtl w:val="true"/>
        </w:rPr>
        <w:footnoteReference w:id="245"/>
      </w:r>
      <w:r>
        <w:rPr>
          <w:rFonts w:ascii="IRNazanin" w:hAnsi="IRNazanin" w:eastAsia="IRNazanin"/>
          <w:color w:val="111111"/>
          <w:sz w:val="28"/>
          <w:sz w:val="28"/>
          <w:szCs w:val="28"/>
          <w:rtl w:val="true"/>
          <w:lang w:bidi="fa-IR"/>
        </w:rPr>
        <w:t xml:space="preserve">وأخذ ترجمته منها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أسانید أصحاب الفهارس إلیه وکذلک أسانید أصحاب المجامیع الروائیة المتأخّرة إلی ذلک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علی درجة اشتهار الکتاب فی الطبقات المتلاحقة وهی خطوة هامّة جداً وتتمّ بتوسّط مقدّمتین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ملاحظة سلسلة الإجازات ، کإجازات العلّامة الحلّی لابن زهرة ، وإجازات الشهید الثانی لتلامیذه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حسین بن عبدالصمد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خلال مراجعة الکتب المعدّة لذلک ، وکإجازات العلّامة المجلسیّ وطرقه إلی الکتب المستفاد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ملاحظة الکتب الاستدلالیّة عبر الطبقات التأریخیة المختلفة ، سواء کانت فی علم الفقه أو المعارف الاعتقادیّة ، وکذلک الکتب الروائیّة المتعاقبة زماناً فمن خلال استخراج روایاتٍ من ذلک الکتاب فی تلک الکتب ، یکون شاهداً علی توفّر نسخته عند المؤلفین آنذاک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ومراجعة الأسانید والطرق عند أصحاب المجامیع الروائیّة المتأخّرة ، لأنّ هذه الطرق هی التی اعتمدها أصحاب المجامیع فی تألیف کتبهم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السیّد هاشم البحرانی ، فإنّها کلّها اعتمدت علی أسانید وطرق فی روایاتها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وصول الکتاب إلی أربعة أو ثلاثة من روّاد الحدیث الکبار بطرق متّصلة مسندة ، دالّ علی توفّر النسخ ، خصوصاً مع اختلاف طرقهم إلی ذلک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یتّصل سند الکتاب من أصحاب المجامیع المتأخّرة إلی أصحاب الفهارس المتقدّمة ، کالصدوق والطوسیّ والنجاشیّ ، الذین لدیهم أسانید إلی مؤلف الکتاب ، فعندئذ تکتمل سلسلة السند إلینا ویصبح من الکتب المسندة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التعرّف والاطّلاع علی جمیع النسخ المتوفّرة فی المکتبات</w:t>
      </w:r>
    </w:p>
    <w:p>
      <w:pPr>
        <w:pStyle w:val="BookText"/>
        <w:rPr/>
      </w:pPr>
      <w:r>
        <w:rPr>
          <w:rFonts w:ascii="IRNazanin" w:hAnsi="IRNazanin" w:eastAsia="IRNazanin"/>
          <w:color w:val="111111"/>
          <w:sz w:val="28"/>
          <w:sz w:val="28"/>
          <w:szCs w:val="28"/>
          <w:rtl w:val="true"/>
          <w:lang w:bidi="fa-IR"/>
        </w:rPr>
        <w:t xml:space="preserve">الخطّیة فی العصر الحاضر ، فإنّ تکثّر العدد بضمیمة ملاحظة الخطوط التی علیها وتوقیعات العلماء والنسّاخ وأسمائهم ومکان وزمان الإستنساخ ، هذا التکثّر یستشرف بالمتتبّع ویرشده إلی مدی استفاضة النسخ فی الطبقات المتلاحقة ،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العملیّة تنفع فی تحصیل موسوعة عن الکتب الروائیّة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التعرّف علی خطّ الکتاب ومطابقة العدد الموجود فیه من الروایات مع العدد المذکور عن الکتاب فی الکتب الاُخری ، کما یلزم المطابقة بین مضمون روایات النسخة ومضامین روایات الکتب الاُخری المسندة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الأمور التی یجب مراعاتها لتحصیل الإعتماد علی النسخة المذکورة فی علم الدرایة ، بل أنّ تصحیح النسخ أصبح الیوم علماً قائماً برأسه ویعتمد علی مناهج علمیّة مفصّلة ودقیقة ، فلاحظ الکتب المؤلّفة فی هذا الصدد ، حتّی أنّه قد کشف هنا تزویر نُسَخ ادّعی فیها القِدَم الأثریّ وبیعتْ بالأموال الطائلة ، ویضاف إلی ذلک علم جدید ناشئ أیضاً هو علم فهارس الکتب والمکتبات ، ویتعرّف من خلاله علی زمن النسخة وزمن التألیف ، وکذا فهارس المکتبات فی البیئات العلمیّة المختلفة مع اختلاف الأزمنة والأمکنة ، فلاحظ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تمحیص طرق المشیخة إلی الکتب الروائیّة ، والمراد من ذلک عدم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طرق الشیخ مثلاً إلی کتب الرواة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فی مشیخة التهذیبین ولا علی ما ذکره فی الفهرست ، بل یضمّ إلیهما ما یذکره فی کتبه الاُخری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له من طرق مشترکة مع النجاشیّ من طریق شیخ واحد ، وکذا الحال فی الصدوق ، فیلزم التتبّع فی سائر کتبه وعدم الإقتصار علی ما ذکره فی مشیخة الفقیه ، وکذلک الکلینی رحمه الله یلزم التتبّع فی طیّات کتابه وکتاب تلمیذه النعمانی ، بعد الالتفات إلی أنّ ما یذکره</w:t>
      </w:r>
      <w:bookmarkStart w:id="98" w:name="pg5252_44222"/>
    </w:p>
    <w:p>
      <w:pPr>
        <w:pStyle w:val="BookText"/>
        <w:rPr/>
      </w:pPr>
      <w:bookmarkEnd w:id="98"/>
      <w:r>
        <w:rPr>
          <w:rFonts w:ascii="IRNazanin" w:hAnsi="IRNazanin" w:eastAsia="IRNazanin"/>
          <w:color w:val="111111"/>
          <w:sz w:val="28"/>
          <w:sz w:val="28"/>
          <w:szCs w:val="28"/>
          <w:rtl w:val="true"/>
          <w:lang w:bidi="fa-IR"/>
        </w:rPr>
        <w:t xml:space="preserve">فی مبدأ الطریق من رجال السند إنّما هو طریق إلی الکتاب ولیس فقط إلی هذه الروایة وکذا الحال فی غیرهم من مشایخ المتقدّمین ، بالإضافة إلی ما ذکرناه سابقاً من تحصیل طرق أصحاب المجامیع فی العصور المتأخّرة وضَمّها إلی طرق المشایخ المتقدّمین </w:t>
      </w:r>
      <w:r>
        <w:rPr>
          <w:rFonts w:eastAsia="IRNazanin" w:cs="IRNazanin"/>
          <w:color w:val="111111"/>
          <w:sz w:val="28"/>
          <w:szCs w:val="28"/>
          <w:rtl w:val="true"/>
          <w:lang w:bidi="fa-IR"/>
        </w:rPr>
        <w:t>.</w:t>
      </w:r>
    </w:p>
    <w:p>
      <w:pPr>
        <w:pStyle w:val="Heading6"/>
        <w:numPr>
          <w:ilvl w:val="5"/>
          <w:numId w:val="1"/>
        </w:numPr>
        <w:rPr/>
      </w:pPr>
      <w:bookmarkStart w:id="99" w:name="__RefHeading___Toc423025_581953129"/>
      <w:bookmarkStart w:id="100" w:name="_Toc37"/>
      <w:bookmarkEnd w:id="99"/>
      <w:r>
        <w:rPr>
          <w:rtl w:val="true"/>
        </w:rPr>
        <w:t>المسألة الثالثة</w:t>
      </w:r>
      <w:bookmarkEnd w:id="100"/>
    </w:p>
    <w:p>
      <w:pPr>
        <w:pStyle w:val="BookText"/>
        <w:rPr/>
      </w:pPr>
      <w:r>
        <w:rPr>
          <w:rFonts w:ascii="IRNazanin" w:hAnsi="IRNazanin" w:eastAsia="IRNazanin"/>
          <w:color w:val="111111"/>
          <w:sz w:val="28"/>
          <w:sz w:val="28"/>
          <w:szCs w:val="28"/>
          <w:rtl w:val="true"/>
          <w:lang w:bidi="fa-IR"/>
        </w:rPr>
        <w:t>ادّعی وجود علم إجمالیّ بالدسّ والوضع فی مجموع الروایات المنسوبة</w:t>
      </w:r>
    </w:p>
    <w:p>
      <w:pPr>
        <w:pStyle w:val="BookText"/>
        <w:rPr/>
      </w:pPr>
      <w:r>
        <w:rPr>
          <w:rFonts w:ascii="IRNazanin" w:hAnsi="IRNazanin" w:eastAsia="IRNazanin"/>
          <w:color w:val="111111"/>
          <w:sz w:val="28"/>
          <w:sz w:val="28"/>
          <w:szCs w:val="28"/>
          <w:rtl w:val="true"/>
          <w:lang w:bidi="fa-IR"/>
        </w:rPr>
        <w:t>للأئمة علیهم السلام ،</w:t>
      </w:r>
    </w:p>
    <w:p>
      <w:pPr>
        <w:pStyle w:val="BookText"/>
        <w:rPr/>
      </w:pPr>
      <w:r>
        <w:rPr>
          <w:rFonts w:ascii="IRNazanin" w:hAnsi="IRNazanin" w:eastAsia="IRNazanin"/>
          <w:color w:val="111111"/>
          <w:sz w:val="28"/>
          <w:sz w:val="28"/>
          <w:szCs w:val="28"/>
          <w:rtl w:val="true"/>
          <w:lang w:bidi="fa-IR"/>
        </w:rPr>
        <w:t xml:space="preserve">هذه الدعوی وقعت محلّاً للبحث قدیماً ولکنّها طرحت فی الآونة الأخیرة برونق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لها بشواهد 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کتاب الکشّی فی ترجمة المغیرة بن سعید فی ما أسنده عن یونس ابن عبدالرحمن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هشام بن الحکم أنّه سمع أبا عبداللّه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تقبلوا علینا حدیثا إلاما و افق القرآن و السنة ،أو تجدون معه شاهدا من أحادیثنا المتقدمة ، فإن المغیرة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فی کتب أصحاب أبی أحادیث لم یحدث بها أبی، فاتقوا الله و لا تقبلوا علینا ما خالف قول ربنا تعالی و سنة نبینا صلی الله علیه و آله و سلم ،فإنا إذا حدثنا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 و 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وافیت العراق فوجدت بها قطعة من أصحاب أبی جعفر علیه السلام ووجدت أصحاب أبی عبداللّه علیه السلام متوافرین ، فسمعت منهم وأخذت کتبهم ، فعرضتها من بعد علی أبی الحسن الرضا علیه السلام فأنکر منها أحادیث کثیرة أن یکون من أحادیث أبی عبداللّه علیه السلام ، وقال لی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الخطاب کذب علی أبی عبد الله علیه السلام ، لعن الله أبا الخطاب ،وکذلک أصحاب أبی الخطاب یدسون هذه الأحادیث إلی یومنا هذا فی کتب أصحاب أبی عبد الله علیه السلام ، فلا تقبلوا علینا خلاف القرآن ، فإنا إن تحدثنا حدثنا بموافقة القرآن و موافقة السنة ،</w:t>
      </w:r>
    </w:p>
    <w:p>
      <w:pPr>
        <w:pStyle w:val="BookText"/>
        <w:rPr/>
      </w:pPr>
      <w:r>
        <w:rPr>
          <w:rFonts w:ascii="IRNazanin" w:hAnsi="IRNazanin" w:eastAsia="IRNazanin"/>
          <w:color w:val="111111"/>
          <w:sz w:val="28"/>
          <w:sz w:val="28"/>
          <w:szCs w:val="28"/>
          <w:rtl w:val="true"/>
          <w:lang w:bidi="fa-IR"/>
        </w:rPr>
        <w:t xml:space="preserve">إنا عن الله و عن رسوله نحدث و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 فلان ،فیتناقض کلامنا؛ إن کلام آخرنا مثل کلام أولنا و کلام أولنا مصادق لکلام آخرنا؛ فإذا أتاکم من یحدثکم بخلاف ذلک فردوه علیه و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و ما جئت به ، فإن مع کل قول منا حقیقة و علیه نورا، فما لا حقیقة معه و لا نور علیه ، فذلک من قول الشیطان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وبنفس الإسناد عن یونس بن عبدالرحمن ، عن هشام بن الحکم أنّه سمع أبا عبداللّه علیه السلام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المغیرة بن سعید یتعمد الکذب علی أبی و یأخذ کتب أصحابه، و کان أصحابه المستترون بأصحاب أبی یأخذون الکتاب من أصحاب أبی فیدفعونها إلی المغیرة،فکان یدس فیها الکفر و الزندقة و یسندها إلی أبی،ثم یدفعها إلی أصحابه و یأمرهم أن یبثوها فی الشیعة،فکل ما کان فی کتب أصحاب أبی من الغلو فذلک ما دسه المغیرة بن سعید فی کتبهم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حدّث الکشّی أیضاً عن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المغیرة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الفضل بن شاذان ، عن ابن أبی عمیر ، عن حمّاد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عبداللّه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الکوفة قد نزل فیهم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المغیرة فإنه کان یکذب 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 نساء آل محمد إذا حضن قضین الصلاة ، و کذب و الله علیه لعنة الله ، ما کان من ذلک شیء و لاحدثه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الخطاب فکذب علی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أمرته أن لا یصلی هو و أصحابه المغرب حتی یروا کوکب کذا، یقال له القندانی؛ و الله إن ذلک کوکب ما أعرفه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ما ذکروه فی تراجم عدّة من الرواة مثل وهب بن وهب ،</w:t>
      </w:r>
    </w:p>
    <w:p>
      <w:pPr>
        <w:pStyle w:val="BookText"/>
        <w:rPr/>
      </w:pPr>
      <w:r>
        <w:rPr>
          <w:rFonts w:ascii="IRNazanin" w:hAnsi="IRNazanin" w:eastAsia="IRNazanin"/>
          <w:color w:val="111111"/>
          <w:sz w:val="28"/>
          <w:sz w:val="28"/>
          <w:szCs w:val="28"/>
          <w:rtl w:val="true"/>
          <w:lang w:bidi="fa-IR"/>
        </w:rPr>
        <w:t xml:space="preserve">الذی قیل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کذّاب ، وکذلک الستّة الکذّابین ، وغیر ذلک من القرائن التی یمکن الإستشهاد بها للعلم الإجمالی بوجود الدسّ 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مثل هذا العلم الإجمالیّ ، فلابدّ من التوقّف عن العمل بالروایات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هذه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القرائن المذکورة کلّها متضمنّة لشواهد علی تنقیة الأحادیث فی عهد أصحاب الأئمّة علیهم السلام ، ذلک لأنّ تلک الأحادیث مذیّلة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بقرائن رافعة للإشکال ، فمثلاً نجد فی ذیل الروایة الأولی منهجاً للرواة لإیداع الروایات فی کتبهم ، وهو منهج لغربلة الأحادیث وتمییز الصحیح منها عن السقیم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نجد فی الثانیة أنّ الراوی لم یکتف بمجرّد أخذ الکتب من أصحابنا ، بل عرضها علی الإمام الرضا علیه السلام وحَذَفَ السقیم وأبقی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فمفادها أیضاً تصدّی الإمام علیه السلام ومتابعته للروایات وحثّ أصحابه علی تنقیة الروایات من أحادیث الدسّ والغلوّ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الرابعة بإضافة التصریح بالمسائل التی وقع فیها الدسّ والوضع ، وکذلک غیرها ، فتدبّر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العدید من الکتب الروائیّة عرضت بتمامها علی الأئمّة علیهم السلام مثل کتاب الفرائض لمحمّد بن قیس</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الحلبی</w:t>
      </w:r>
      <w:r>
        <w:rPr>
          <w:rStyle w:val="FootnoteAnchor"/>
          <w:rtl w:val="true"/>
        </w:rPr>
        <w:footnoteReference w:id="250"/>
      </w:r>
      <w:r>
        <w:rPr>
          <w:rFonts w:ascii="IRNazanin" w:hAnsi="IRNazanin" w:eastAsia="IRNazanin"/>
          <w:color w:val="111111"/>
          <w:sz w:val="28"/>
          <w:sz w:val="28"/>
          <w:szCs w:val="28"/>
          <w:rtl w:val="true"/>
          <w:lang w:bidi="fa-IR"/>
        </w:rPr>
        <w:t xml:space="preserve">، وقد عقد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کیفیّة القضاء لذکر الکتب المعروضة علیهم علیهم السلام ککتب یونس بن عبدالرحمن التی عرضت علی</w:t>
      </w:r>
    </w:p>
    <w:p>
      <w:pPr>
        <w:pStyle w:val="BookText"/>
        <w:rPr/>
      </w:pPr>
      <w:r>
        <w:rPr>
          <w:rFonts w:ascii="IRNazanin" w:hAnsi="IRNazanin" w:eastAsia="IRNazanin"/>
          <w:color w:val="111111"/>
          <w:sz w:val="28"/>
          <w:sz w:val="28"/>
          <w:szCs w:val="28"/>
          <w:rtl w:val="true"/>
          <w:lang w:bidi="fa-IR"/>
        </w:rPr>
        <w:t>الإمام الرضا علیه السلام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کتاب الفضل بن شاذان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کتاب حریز حیث ذکر فی ترجمته أنّ کتابه عُرِض علی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کتب الحسین بن سعید الأهوازی ، وأخیه الحسن ، وهی ثلاثون کتاباً وقد تضمّنت أکثر الاُصول الأربعمائة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کتاب ظریف</w:t>
      </w:r>
      <w:r>
        <w:rPr>
          <w:rStyle w:val="FootnoteAnchor"/>
          <w:rtl w:val="true"/>
        </w:rPr>
        <w:footnoteReference w:id="253"/>
      </w:r>
      <w:r>
        <w:rPr>
          <w:rFonts w:ascii="IRNazanin" w:hAnsi="IRNazanin" w:eastAsia="IRNazanin"/>
          <w:color w:val="111111"/>
          <w:sz w:val="28"/>
          <w:sz w:val="28"/>
          <w:szCs w:val="28"/>
          <w:rtl w:val="true"/>
          <w:lang w:bidi="fa-IR"/>
        </w:rPr>
        <w:t xml:space="preserve">الذی ذکر فی ترجمته عرض کتابه علی الأئمّة علیهم السلام ، وکذلک عبدالملک بن جریح ، ومنها کتب ابن أبی عزاقر الشلمغانی حیث عرضت علی النائب الثالث أبی القاسم الحسین بن روح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المتتبّع فی تراجم الکتب یری بوضوح عرض الکثیر منها علی الأئمّة علیهم السلام ، ولاسیّما الإمام الرضا علیه السلام فمَن بعده من الأئمّة علیهم السلام ، واستمرّ عرض الکتب إلی الربع الأوّل من القرن الرابع ؛ فقد عرضتْ الکثیر من الروایات علی الإمام الحجّة فی الغیبة الصغری ، فلاحظ ما ذکره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تشدّد القمّیّین وغیرهم فی النقل والروایة ، حتّی أنّهم لا یروون عن الضعاف ، بل یرفضون ویطردون من یروی عن الضعاف ، فضلاً عمّن یروی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قاموا بطرد عدّة من فضلاء الشیعة وأکابرهم عن قم ، لمجرّد روایتهم عن الضعاف أمثال البرقیّ مع جلالته وعلمه قدس سره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طردوا سهل بن زیاد ، لروایته عن الضعاف لا لعدم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علیّ بن الحسن بن فضّال لم یرو عن أبیه مع أنّه أدرک أباه وقرأ علیه کتبه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تثبّته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یروها واعتذر بأنّه عندما قرأها علی أبیه کان حدیث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العدید من الثقات هُجرت روایاتهم ، لمجرّد عدم الإطمئنان لتثبّتهم وضبطهم ، حتّی أنّ ابن الجنید الاسکافی ترکت روایاته لمجرّد اعتماده علی القیاس ، مع أنّ الاعتماد علیه إنّما یکون فی الفقه والفتوی لا فی الروایة ، فترکوا روایاته مع وثاقته ، لخطئه فی الإجتهاد ، وهو کما تری إفراط فی التثبّت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والأشدّ من کلّ ذلک أنّ القمّیین طرحوا روایات یونس التی وصلتهم من طریق تلامذته ، إلّاإذا وصلتهم بسند آخر عن غیره أو عنه من طریق غیر تلامذته ، وما ذلک إلّالاحتمال روایة تلامیذه عنه بعض فتاواه باعتقاد أنّها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التشدّد أیضاً ما نقله الشیخ الطوسی وغیره عن عدّة من الرواة أنّ العصابة أجمعت علی تصحیح ما یصحّ عنهم ، مثل ابن أبی عمیر ، والبزنطی وصفوان ، والفضل بن شاذان ، فإنّهم عرفوا بتجنّب الروایة عن الضعاف ، وکانوا ملتزمین بالمقابلة والتثبّت وعدم الروایة إلّاعن الثقات ، وکان ابن أبی عمیر لا یروی عن العامّة ، وذکر المجلسیّ الأوّل</w:t>
      </w:r>
      <w:r>
        <w:rPr>
          <w:rStyle w:val="FootnoteAnchor"/>
          <w:rtl w:val="true"/>
        </w:rPr>
        <w:footnoteReference w:id="254"/>
      </w:r>
      <w:r>
        <w:rPr>
          <w:rFonts w:ascii="IRNazanin" w:hAnsi="IRNazanin" w:eastAsia="IRNazanin"/>
          <w:color w:val="111111"/>
          <w:sz w:val="28"/>
          <w:sz w:val="28"/>
          <w:szCs w:val="28"/>
          <w:rtl w:val="true"/>
          <w:lang w:bidi="fa-IR"/>
        </w:rPr>
        <w:t xml:space="preserve">أنّه تتبّع أحواله خمسین سنة فلم یجد فی الضبط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حالة فائقة من التثبّت والتشدّد آنذاک ، حتّی رُموا بالإفراط فی التشدّد فی الروایة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 الهائل من کتب الفهارس والرجال ، وقد أحصی الکثیر منها المحقّق الشیخ آغا بزرک الطهرانی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ویذکر هناک أنّ السیّد ابن طاووس قدس سره وحده کَتَبَ مائة مؤلّف ونیّف فی الفهرسة والترجمة لرجال الحدیث ممّا صنّفه المتقدّمون ، وأنّه بدأ ذلک برجال الأزمنة السابقة من زمان</w:t>
      </w:r>
    </w:p>
    <w:p>
      <w:pPr>
        <w:pStyle w:val="BookText"/>
        <w:rPr/>
      </w:pPr>
      <w:r>
        <w:rPr>
          <w:rFonts w:ascii="IRNazanin" w:hAnsi="IRNazanin" w:eastAsia="IRNazanin"/>
          <w:color w:val="111111"/>
          <w:sz w:val="28"/>
          <w:sz w:val="28"/>
          <w:szCs w:val="28"/>
          <w:rtl w:val="true"/>
          <w:lang w:bidi="fa-IR"/>
        </w:rPr>
        <w:t xml:space="preserve">الحسن بن محبوب صاحب کتاب المشیخة ، ولا شکّ فی أنّه نوع من الغربلة والتنقیة والمراقبة الدقیقة حتّی لرجال القرون الأولی ؛ فالحسن بن محبوب من أصحاب القرن الثانی ولم تقتصر التنقیة علی القرون 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الصدوق من خلال کتابة فهرست خاصّ به وذکره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أقدم کتاب رجالیّ وصل إلینا ، وهو دلیل واضح علی الاهتمام بأحوال الرجال وتحقیق الروایات ، وهکذا سائر کتب الرجال ، بل وکتب الفهارس أیضاً لأنّها تبحث فی ترجمة الکتب وطرقها وأسانیدها ممّا یحافظ علی النصوص وناقلیها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دیدن الأصحاب لم یکن مبنیّاً علی الروایة بالوجادة ، بل بالمقابلة والسماع ، وإذا اتّفق أن وجدوا کتاباً وجادة أو أجیز لهم بالوجادة ، فإنّهم لا یستحلّون روایتها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هذا الأسلوب عندهم إلی عهد الشهید الثانی ، حیث نقل المیرزا النوری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إحدی الفوائد التی عقدها هناک فی فضل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المحقّقین رحمه الله 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والده العلّامة الحلّی قدس سره فی تفسیر حدیثٍ فی دورتین من دراسة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ومقتضی کلامه بقاء هذا الاُسلوب إلی زمانه قدس سره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ذکر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مستنسخة بتواقیع من تلامیذ الشهید الثانی ، کتبوا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قرأوا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 ودلالة بإملاء الشهید الثانی رحمه الله ، بل بقی دیدن الفقهاء علی قراءة الکتب متناً وسنداً ودلالة إلی زمان العلّامة ، ولذا ذکر السیّد البروجردیّ قدس سره أنّ الکتب المشهورة کالکتب الأربعة مضبوطة جدّاً لأنها مدروسة متناً وسنداً وإعراباً</w:t>
      </w:r>
    </w:p>
    <w:p>
      <w:pPr>
        <w:pStyle w:val="BookText"/>
        <w:rPr/>
      </w:pPr>
      <w:r>
        <w:rPr>
          <w:rFonts w:ascii="IRNazanin" w:hAnsi="IRNazanin" w:eastAsia="IRNazanin"/>
          <w:color w:val="111111"/>
          <w:sz w:val="28"/>
          <w:sz w:val="28"/>
          <w:szCs w:val="28"/>
          <w:rtl w:val="true"/>
          <w:lang w:bidi="fa-IR"/>
        </w:rPr>
        <w:t xml:space="preserve">ولیست بالوجادة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الأصحاب فی الغیبة الصغری وما بعدها إلی أواخر القرن الرابع بتحقیق وتنقیة الأحادیث بنحو المسح الکامل ، فالکلینی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أجهد نفسه طوال عشرین عاماً فی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ضبط الحدیث ، مع أنّه کان قادراً علی تألیفه فی سنتین أو ثلاث ، وقد صرّح هو بطول المدّة وعلّله بالضبط والدقّة فی ما رواه من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ما ذکره الصدوق فی مقدمة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الشیخ فی مقدمّة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تجد نفس المضمون فی ما ذکره ابن قولویه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علیّ بن إبراهیم القمّی فی مقدّمة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إنّ هذا المنوال الذی تقیّد به أصحاب الکتب الروائیة المتأخّرة ، وما تقدّم من قرائن اخری ، أوجب دعوی القطع بصدور جمیع أخبار الکتب الأربعة ، کما ذهب إلیه الأخباریون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أدّی بالسیّد الخوئی قدس سره وغیره إلی القول بتوثیق جمیع الرواة المذکورین فی 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والإفتاء علی أساس ذلک مدّة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دفع المیرزا النوریّ إلی القول بالاطمئنان بصدور جمیع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ذلک أیضاً إلی المیرزا النائینی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نجد هذه الطریقة عند الطبرسی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شعبة الحرّانیّ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کلّ منهما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 یخرّج روایاتِ کتابه إلّامن المشایخ الثقاة وذوی الکتب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الأئمّة علیهم السلام من ضابطة لتمییز الخبر الموضوع والمدسوس وهو ما تواتر عنهم علیهم السلام من لزوم العرض علی الکتاب والسنّة القطعیّة وترک ما خالفهما ، لا سیّما أنّ بعض الروایات تُقیّدُ العلم الإجمالیّ ببعض المسائل فی المعارف الاعتقادیّة کالغلوّ والتجسیم أو بعض المسائل الفرعیّة المعیّنة التی خالفت فیها الفرق المنحرفة عن الإمامیة کمخالفة الخطّابیة فی وقت الغروب ، ومخالفة أصحاب المغیرة فی نواقض الوضوء ، وکلّها قد علم فیها الضابط من الکتاب أو السنّة القطعیّة ، ومن ثمّ أنکرنا انعقاد العلم الإجمالیّ بوجود الوضع والدسّ فی الکتب المعتبرة لدی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غضضنا الطرف عن الأجوبة السابقة وعن واقع الحال ، وأذعنّا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بتحقّق العلم الإجمالیّ المدّعی ، فإنّ هناک علماً إجمالیاً آخر بصدور مقدار کثیر من الروایات فی نفس الدوائر المدّعی وجود علم إجمالیّ بوجود الوضع والدسّ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الجمع بینهما هو عدم الإعتماد علی الخبر الواحد والروایة الاُحادیة کأمارة معتبرة وحجّة شرعیّة ، ولکن یجب العمل بها من باب الإحتیاط ولزوم تفریغ الذمّة من التکالیف المعلومة بالإجمال ، علی ما حُرّر مبسوطاً فی علم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التنبیه علی الضابطة العقلیّة البرهانیّة التی وردت بها روایات متواترة أو مستفیضة فی میزان القبول للروایات الواردة فی معرفة مقامات الأئمّة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نزهونا عن مقام الربوبیة و قولوا فینا ما شئتم ، و لن تبلغوا</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ضابطة اخری توضّح الصحیح من السقیم فی تلک الروایات ، کما أنّ هنالک ضوابط اخری أسّسوها علیهم السلام فی أبواب المعارف ، مثل النهی عن التشبیه والتعطیل ، والأخذ بالتنزیه فی باب التوحید ، والأخذ بالأمر بین الأمرین فی باب</w:t>
      </w:r>
      <w:bookmarkStart w:id="101" w:name="pg5252_44230"/>
    </w:p>
    <w:p>
      <w:pPr>
        <w:pStyle w:val="BookText"/>
        <w:rPr/>
      </w:pPr>
      <w:bookmarkEnd w:id="101"/>
      <w:r>
        <w:rPr>
          <w:rFonts w:ascii="IRNazanin" w:hAnsi="IRNazanin" w:eastAsia="IRNazanin"/>
          <w:color w:val="111111"/>
          <w:sz w:val="28"/>
          <w:sz w:val="28"/>
          <w:szCs w:val="28"/>
          <w:rtl w:val="true"/>
          <w:lang w:bidi="fa-IR"/>
        </w:rPr>
        <w:t xml:space="preserve">الجبر والتفویض ، وغیرها من الضوابط البرهانیّة المأثورة عنهم علیهم السلام والتی یمکن من خلالها تحقیق الحال فی سائر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وجود هذه المحکمات ، تنجلی غمّة المتشابهات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ما سنح بالخاطر فی باب السنّة </w:t>
      </w:r>
      <w:r>
        <w:rPr>
          <w:rFonts w:eastAsia="IRNazanin" w:cs="IRNazanin"/>
          <w:color w:val="111111"/>
          <w:sz w:val="28"/>
          <w:szCs w:val="28"/>
          <w:rtl w:val="true"/>
          <w:lang w:bidi="fa-IR"/>
        </w:rPr>
        <w:t>.</w:t>
      </w:r>
    </w:p>
    <w:p>
      <w:pPr>
        <w:pStyle w:val="Heading6"/>
        <w:numPr>
          <w:ilvl w:val="5"/>
          <w:numId w:val="1"/>
        </w:numPr>
        <w:rPr/>
      </w:pPr>
      <w:bookmarkStart w:id="102" w:name="__RefHeading___Toc423027_581953129"/>
      <w:bookmarkStart w:id="103" w:name="_Toc38"/>
      <w:bookmarkEnd w:id="102"/>
      <w:r>
        <w:rPr>
          <w:rtl w:val="true"/>
        </w:rPr>
        <w:t xml:space="preserve">الدلیل الثالث </w:t>
      </w:r>
      <w:r>
        <w:rPr>
          <w:rtl w:val="true"/>
        </w:rPr>
        <w:t xml:space="preserve">: </w:t>
      </w:r>
      <w:r>
        <w:rPr>
          <w:rtl w:val="true"/>
        </w:rPr>
        <w:t>العقل</w:t>
      </w:r>
      <w:bookmarkEnd w:id="103"/>
    </w:p>
    <w:p>
      <w:pPr>
        <w:pStyle w:val="BookText"/>
        <w:rPr/>
      </w:pPr>
      <w:r>
        <w:rPr>
          <w:rFonts w:ascii="Amiri" w:hAnsi="Amiri" w:eastAsia="Amiri" w:cs="Amiri"/>
          <w:color w:val="111111"/>
          <w:sz w:val="28"/>
          <w:sz w:val="28"/>
          <w:szCs w:val="28"/>
          <w:rtl w:val="true"/>
          <w:lang w:bidi="ar-SA"/>
        </w:rPr>
        <w:t>قُسّم العقل اصطلاحاً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نظریّ وعملیّ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عرِّفالعقل النظریّ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الإدراکیّة المجرّدة التی یدرک بها المعانی المجرّدة عن المادّة والمقدار ، وهی درجة من درجات وجود الإنسان </w:t>
      </w:r>
      <w:r>
        <w:rPr>
          <w:rFonts w:eastAsia="IRNazanin" w:cs="IRNazanin"/>
          <w:color w:val="111111"/>
          <w:sz w:val="28"/>
          <w:szCs w:val="28"/>
          <w:rtl w:val="true"/>
          <w:lang w:bidi="fa-IR"/>
        </w:rPr>
        <w:t>.</w:t>
      </w:r>
    </w:p>
    <w:p>
      <w:pPr>
        <w:pStyle w:val="Heading6"/>
        <w:numPr>
          <w:ilvl w:val="5"/>
          <w:numId w:val="1"/>
        </w:numPr>
        <w:rPr/>
      </w:pPr>
      <w:bookmarkStart w:id="104" w:name="__RefHeading___Toc423029_581953129"/>
      <w:bookmarkStart w:id="105" w:name="_Toc39"/>
      <w:bookmarkEnd w:id="104"/>
      <w:r>
        <w:rPr>
          <w:rtl w:val="true"/>
        </w:rPr>
        <w:t>مبادؤه الإدراکیّة</w:t>
      </w:r>
      <w:bookmarkEnd w:id="105"/>
    </w:p>
    <w:p>
      <w:pPr>
        <w:pStyle w:val="BookText"/>
        <w:rPr/>
      </w:pPr>
      <w:r>
        <w:rPr>
          <w:rFonts w:ascii="IRNazanin" w:hAnsi="IRNazanin" w:eastAsia="IRNazanin"/>
          <w:color w:val="111111"/>
          <w:sz w:val="28"/>
          <w:sz w:val="28"/>
          <w:szCs w:val="28"/>
          <w:rtl w:val="true"/>
          <w:lang w:bidi="fa-IR"/>
        </w:rPr>
        <w:t xml:space="preserve">هذه القوّة لها رأس مالٍ تستعین به فی مجمل إدراکاتها کمبادئ تصوّریّة أو تصدیقیّة لتحصیل الإدراکات النظریّة الاُخری ، ویعبّر عن رأس المال هذا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البدیهیّات أو الفطرة العقلیّة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إدراکیّة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نسبیة فی حدود دائرة بدیهیّاته وما یقرب منها ، وأمّا المدرکات النظریّة فقد تخطئ وقد تصیب ، لاسیّما إذا تکثرّت المقدّمات بینها وبین البدیهیّات ، ولا خلاف فی وجود دائرة العصمة فی إدراکات الإنسان فی حدودٍ مّا إلّا السوفسطائیین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القدماء منهم والمحدّثین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 یذهبون الآن إلی النسبیّة المطلقة أو القائلین بنظریّة التضادّ الذاتی ونحوهما</w:t>
      </w:r>
      <w:bookmarkStart w:id="106" w:name="pg5252_44231"/>
    </w:p>
    <w:p>
      <w:pPr>
        <w:pStyle w:val="BookText"/>
        <w:rPr/>
      </w:pPr>
      <w:bookmarkEnd w:id="106"/>
      <w:r>
        <w:rPr>
          <w:rFonts w:ascii="IRNazanin" w:hAnsi="IRNazanin" w:eastAsia="IRNazanin"/>
          <w:color w:val="111111"/>
          <w:sz w:val="28"/>
          <w:sz w:val="28"/>
          <w:szCs w:val="28"/>
          <w:rtl w:val="true"/>
          <w:lang w:bidi="fa-IR"/>
        </w:rPr>
        <w:t xml:space="preserve">ممّا سیأتی شرحه ومناقشته فی طیّات البحث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عبّر المحقّق المیرزا القمّی أنّ إدراک العقل نوع من أنواع الإلهام وإن لم یکن وحیاً اصطلاحیّاً</w:t>
      </w:r>
      <w:r>
        <w:rPr>
          <w:rStyle w:val="FootnoteAnchor"/>
          <w:rtl w:val="true"/>
        </w:rPr>
        <w:footnoteReference w:id="256"/>
      </w:r>
      <w:r>
        <w:rPr>
          <w:rFonts w:ascii="IRNazanin" w:hAnsi="IRNazanin" w:eastAsia="IRNazanin"/>
          <w:color w:val="111111"/>
          <w:sz w:val="28"/>
          <w:sz w:val="28"/>
          <w:szCs w:val="28"/>
          <w:rtl w:val="true"/>
          <w:lang w:bidi="fa-IR"/>
        </w:rPr>
        <w:t xml:space="preserve">، وإنّما عبّر بذلک وجعله من الأمور الغیبیة باعتبار أنّ العلم لیس من سنخ المادّیّات ، بل إنّنا من خلال العلم والإدراک للمعانی المجرّدة عن المادّة والمقدار ، نکتشف تجرّد بعض مراتب وجود الإنسان </w:t>
      </w:r>
      <w:r>
        <w:rPr>
          <w:rFonts w:eastAsia="IRNazanin" w:cs="IRNazanin"/>
          <w:color w:val="111111"/>
          <w:sz w:val="28"/>
          <w:szCs w:val="28"/>
          <w:rtl w:val="true"/>
          <w:lang w:bidi="fa-IR"/>
        </w:rPr>
        <w:t>.</w:t>
      </w:r>
    </w:p>
    <w:p>
      <w:pPr>
        <w:pStyle w:val="Heading6"/>
        <w:numPr>
          <w:ilvl w:val="5"/>
          <w:numId w:val="1"/>
        </w:numPr>
        <w:rPr/>
      </w:pPr>
      <w:bookmarkStart w:id="107" w:name="__RefHeading___Toc423031_581953129"/>
      <w:bookmarkStart w:id="108" w:name="_Toc40"/>
      <w:bookmarkEnd w:id="107"/>
      <w:r>
        <w:rPr>
          <w:rtl w:val="true"/>
        </w:rPr>
        <w:t>تعاریف اخری</w:t>
      </w:r>
      <w:bookmarkEnd w:id="108"/>
    </w:p>
    <w:p>
      <w:pPr>
        <w:pStyle w:val="BookText"/>
        <w:rPr/>
      </w:pPr>
      <w:r>
        <w:rPr>
          <w:rFonts w:ascii="IRNazanin" w:hAnsi="IRNazanin" w:eastAsia="IRNazanin"/>
          <w:color w:val="111111"/>
          <w:sz w:val="28"/>
          <w:sz w:val="28"/>
          <w:szCs w:val="28"/>
          <w:rtl w:val="true"/>
          <w:lang w:bidi="fa-IR"/>
        </w:rPr>
        <w:t xml:space="preserve">عرّف العقل النظریّ ، بأنّه قوّة درّاکة یحصل بها إدراک المدارج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الواقعیة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وعرّف أیضاً</w:t>
      </w:r>
      <w:r>
        <w:rPr>
          <w:rStyle w:val="FootnoteAnchor"/>
          <w:rtl w:val="true"/>
        </w:rPr>
        <w:footnoteReference w:id="257"/>
      </w:r>
      <w:r>
        <w:rPr>
          <w:rFonts w:ascii="IRNazanin" w:hAnsi="IRNazanin" w:eastAsia="IRNazanin"/>
          <w:color w:val="111111"/>
          <w:sz w:val="28"/>
          <w:sz w:val="28"/>
          <w:szCs w:val="28"/>
          <w:rtl w:val="true"/>
          <w:lang w:bidi="fa-IR"/>
        </w:rPr>
        <w:t xml:space="preserve">بالقوّة التی تُدرَک بها القضایا التی لا ترتبط بعمل الفاعل المختار وإنّما ترتبط بالکلّیات الواقعیة بما هی واقعیّة ، بخلاف العقل العملیّ وقضایاه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التمییز بین العقل النظریّ والعملیّ إنّما هو بلحاظ المدرَک لا بلحاظ المدرِک ، فإنّه قوّة واحدة ، فیکون تصنیفاً وتقسیماً اعتباریاً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ذلک مذهب الفارابی وفلاسفة الیونان حیث میّزوا العقل النظریّ بأنّه القوّة المدرِکة للقضایا ، سواء ارتبطت بعمل الفاعل المختار أم لم ترتبط ؛ والعملیّ بأنّه قوّة عَمّالة محرّکة باعثة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وستأتی الإشارة إلی ثمرات هذین المنهجین </w:t>
      </w:r>
      <w:r>
        <w:rPr>
          <w:rFonts w:eastAsia="IRNazanin" w:cs="IRNazanin"/>
          <w:color w:val="111111"/>
          <w:sz w:val="28"/>
          <w:szCs w:val="28"/>
          <w:rtl w:val="true"/>
          <w:lang w:bidi="fa-IR"/>
        </w:rPr>
        <w:t>.</w:t>
      </w:r>
      <w:bookmarkStart w:id="109" w:name="pg5252_44232"/>
    </w:p>
    <w:p>
      <w:pPr>
        <w:pStyle w:val="Heading6"/>
        <w:numPr>
          <w:ilvl w:val="5"/>
          <w:numId w:val="1"/>
        </w:numPr>
        <w:rPr/>
      </w:pPr>
      <w:bookmarkStart w:id="110" w:name="__RefHeading___Toc423033_581953129"/>
      <w:bookmarkStart w:id="111" w:name="_Toc41"/>
      <w:bookmarkEnd w:id="109"/>
      <w:bookmarkEnd w:id="110"/>
      <w:r>
        <w:rPr>
          <w:rtl w:val="true"/>
        </w:rPr>
        <w:t>تکامل السیر الإدراکیّ للعقل النظریّ‌</w:t>
      </w:r>
      <w:bookmarkEnd w:id="111"/>
    </w:p>
    <w:p>
      <w:pPr>
        <w:pStyle w:val="BookText"/>
        <w:rPr/>
      </w:pPr>
      <w:r>
        <w:rPr>
          <w:rFonts w:ascii="IRNazanin" w:hAnsi="IRNazanin" w:eastAsia="IRNazanin"/>
          <w:color w:val="111111"/>
          <w:sz w:val="28"/>
          <w:sz w:val="28"/>
          <w:szCs w:val="28"/>
          <w:rtl w:val="true"/>
          <w:lang w:bidi="fa-IR"/>
        </w:rPr>
        <w:t>لقد بقی العقل النظریّ قاصراً عن إدراک العدید من المسائل النظریّة ، إمّا للعجز عن أصل تصوّرها ، أو العجز عن إقامة البرهان علیها تصدیقاً ، ثمّ من خلال تتابع الأبحاث وتطوّر الفکر ، توصّل إلی حلّها وإدراکها ، من قبیل مسألة المعاد الجسمانیّ ، إذ لم یؤثَر عن المدرسة المشّائیّة ولا الإشراقیّة إقامة دلیل عقلیّ نظریّ علیه ، واستمرّ العجز عن البرهنة العقلیّة علیه إلی عصور متأخّرة</w:t>
      </w:r>
      <w:r>
        <w:rPr>
          <w:rStyle w:val="FootnoteAnchor"/>
          <w:rtl w:val="true"/>
        </w:rPr>
        <w:footnoteReference w:id="258"/>
      </w:r>
      <w:r>
        <w:rPr>
          <w:rFonts w:ascii="Amiri" w:hAnsi="Amiri" w:eastAsia="Amiri" w:cs="Amiri"/>
          <w:color w:val="111111"/>
          <w:sz w:val="28"/>
          <w:sz w:val="28"/>
          <w:szCs w:val="28"/>
          <w:rtl w:val="true"/>
          <w:lang w:bidi="ar-SA"/>
        </w:rPr>
        <w:t xml:space="preserve">، حتّی أنّ ابن سینا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إلهیّات الشفاء </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هو منقول من الشرع ، ولا سبیل إلی إثباته إلّا من طریق الشریعة وتصدیق خبر النبوّة ، وهو الذی للبدن عند البعث ؛ وخیرات البدن وشروره معلومة لا تحتاج إلی أن تعلم ، وقد بسطت الشریعة الحقّة التی أتانا بها نبیّنا وسیّدنا ومولانا محمّد صلی الله علیه و آله و سلم حال السعادة والشقاوة التی بحسب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ما هو مدرک بالعقل والقیاس البرهانیّ ، وقد صدّقته النبوّة ، وهو السعادة والشقاوة الثابتتان بالقیاس اللتان للأنفس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العجز عن البرهنة العقلیّة علی المعاد الجسمانیّ حتّی وصلت النوبة إلی الحکیم المجدِّد الملّاصدرا ، حیث استطاع أن یقیم قواعد عقلیّة نظریّة محضة من خلال ما استفاده من الإشارات إلی نکات المعارف فی الآیات وروایات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مسألة الرجعة ، فإنّها ثابتة بالروایات المتواترة ، وقد حکی عن السیّد نعمة اللّه الجزائریّ أنّ الروایات الواردة فی الرجعة ستّمائة حدیث ونیّف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أقام علیها البرهان العقلیّ کلّ من الحکیم الفقیه السیّد أبو الحسن الرفیعی</w:t>
      </w:r>
      <w:r>
        <w:rPr>
          <w:rStyle w:val="FootnoteAnchor"/>
          <w:rtl w:val="true"/>
        </w:rPr>
        <w:footnoteReference w:id="260"/>
      </w:r>
      <w:r>
        <w:rPr>
          <w:rFonts w:ascii="IRNazanin" w:hAnsi="IRNazanin" w:eastAsia="IRNazanin"/>
          <w:color w:val="111111"/>
          <w:sz w:val="28"/>
          <w:sz w:val="28"/>
          <w:szCs w:val="28"/>
          <w:rtl w:val="true"/>
          <w:lang w:bidi="fa-IR"/>
        </w:rPr>
        <w:t>والعلّامة الطباطبائی</w:t>
      </w:r>
      <w:r>
        <w:rPr>
          <w:rStyle w:val="FootnoteAnchor"/>
          <w:rtl w:val="true"/>
        </w:rPr>
        <w:footnoteReference w:id="261"/>
      </w:r>
      <w:r>
        <w:rPr>
          <w:rFonts w:ascii="IRNazanin" w:hAnsi="IRNazanin" w:eastAsia="IRNazanin"/>
          <w:color w:val="111111"/>
          <w:sz w:val="28"/>
          <w:sz w:val="28"/>
          <w:szCs w:val="28"/>
          <w:rtl w:val="true"/>
          <w:lang w:bidi="fa-IR"/>
        </w:rPr>
        <w:t xml:space="preserve">فی بحث الرجعة ، وقد استفادا ذلک من خلال الإشارات العقلیّة فی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فإنّ ظاهرة تکامل الفکر والنشاط العقلیّ مشهودة لا تنکر ، وإن استبشعها البعض جموداً علی دعوی أنّ ما حرّر فی العقلیّات لیس وراءه شیء یمکن التوصّل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الالتفات إلی أنّ الحکماء مهما بلغ مقامهم وعبقریّتهم ودقّتهم وتمحیصهم ، فإنّهم أقلّ من مراتب الأنبیاء ، ولا یمتنع أن یخفی علیهم الکثیر من الحقائق ، ولذا عرّفوا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معرفة الحقائق بحسب الطاقة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سینا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تعلم أنّ فی نفس الأمر طریقاً إلی أن یکون الغرض من هذا العلم تحصیل مبدأ إلّابعد علم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سیتّضح لک فی ما اشارة إلی أنّ لنا سبیلاً إلی إثبات المبدأ الأوّل لا من طریق الاستدلال من الاُمور المحسوسة ، بل من طریق مقدّمات کلّیة عقلیة توجب للوجود مبدأً واجب الوجود ، وتمنع أن یکون متغیّراً أو متکثّراً فی جهةٍ ، وتوجب أن یکون هو مبدأً للکلّ ، وأن یکون الکلّ یجب</w:t>
      </w:r>
    </w:p>
    <w:p>
      <w:pPr>
        <w:pStyle w:val="BookText"/>
        <w:rPr/>
      </w:pPr>
      <w:r>
        <w:rPr>
          <w:rFonts w:ascii="IRNazanin" w:hAnsi="IRNazanin" w:eastAsia="IRNazanin"/>
          <w:color w:val="111111"/>
          <w:sz w:val="28"/>
          <w:sz w:val="28"/>
          <w:szCs w:val="28"/>
          <w:rtl w:val="true"/>
          <w:lang w:bidi="fa-IR"/>
        </w:rPr>
        <w:t xml:space="preserve">عنه ، علی ترتیب الکلّ ؛ لکنّا لعجز أنفسنا لا نقوی علی سلوک ذلک الطریق البرهانی الذی هو سلوک عن المبادئ إلی الثوانی ، وعن العلّة إلی المعلول إلّافی بعض جُمَل مراتب الموجودات دون التفصیل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الملّاصدرا فی حاشیة الشفاء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بذلک هو وجود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بالإستدلال من العلّة إلی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لإستکشاف کلّ الموجودات المخلوقة ومعرفة کلّ الحقائق ، بحیث یغنی عن کلّ العلوم الطبیعیّة والتجریبیّة والریاضیّة وغیرها من العلوم ، وهو علم إلهیّ یستغنی به صاحبه عن بقیّة العلوم ، بل یفوقها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العلم الإلهیّ لا یتحقّق إلّالمن ارتبط بالسماء ، کالأنبیاء دون الآخرین من الفلاسفة ، فإنّ علم الفلاسفة بالإلهیّات یکون من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بالإستدلال من المعلول إلی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والملازمات ، وتعجز عقولهم عن إدراک ذلک الطریق اللمّی ، ولأجل ذلک لم تغنِ فلسفة الإلهیّات عن باقی العلوم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نهج الفطرة العقلیّة البشریّة هو التکامل والرقیّ من خلال استکشاف براهین جدیدة لإثبات حقائق غیر معروفة أو غیر مبرهن علیها سابقاً ، إنّما من المهم للغایة البحث فی صحّة البراهین المذکورة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فظاهرة التنقیب والبحث عن براهین فی المسائل العقلیّة المستحدثة</w:t>
      </w:r>
      <w:bookmarkStart w:id="112" w:name="pg5252_44235"/>
    </w:p>
    <w:p>
      <w:pPr>
        <w:pStyle w:val="BookText"/>
        <w:rPr/>
      </w:pPr>
      <w:bookmarkEnd w:id="112"/>
      <w:r>
        <w:rPr>
          <w:rFonts w:ascii="IRNazanin" w:hAnsi="IRNazanin" w:eastAsia="IRNazanin"/>
          <w:color w:val="111111"/>
          <w:sz w:val="28"/>
          <w:sz w:val="28"/>
          <w:szCs w:val="28"/>
          <w:rtl w:val="true"/>
          <w:lang w:bidi="fa-IR"/>
        </w:rPr>
        <w:t xml:space="preserve">أو القدیمة ، موافقة لصحّة وسلامة سیر الفطرة العقلیّة </w:t>
      </w:r>
      <w:r>
        <w:rPr>
          <w:rFonts w:eastAsia="IRNazanin" w:cs="IRNazanin"/>
          <w:color w:val="111111"/>
          <w:sz w:val="28"/>
          <w:szCs w:val="28"/>
          <w:rtl w:val="true"/>
          <w:lang w:bidi="fa-IR"/>
        </w:rPr>
        <w:t>.</w:t>
      </w:r>
    </w:p>
    <w:p>
      <w:pPr>
        <w:pStyle w:val="Heading6"/>
        <w:numPr>
          <w:ilvl w:val="5"/>
          <w:numId w:val="1"/>
        </w:numPr>
        <w:rPr/>
      </w:pPr>
      <w:bookmarkStart w:id="113" w:name="__RefHeading___Toc423035_581953129"/>
      <w:bookmarkStart w:id="114" w:name="_Toc42"/>
      <w:bookmarkEnd w:id="113"/>
      <w:r>
        <w:rPr>
          <w:rtl w:val="true"/>
        </w:rPr>
        <w:t>الشریعة الحقّة وسط فی البرهان</w:t>
      </w:r>
      <w:bookmarkEnd w:id="114"/>
    </w:p>
    <w:p>
      <w:pPr>
        <w:pStyle w:val="BookText"/>
        <w:rPr/>
      </w:pPr>
      <w:r>
        <w:rPr>
          <w:rFonts w:ascii="IRNazanin" w:hAnsi="IRNazanin" w:eastAsia="IRNazanin"/>
          <w:color w:val="111111"/>
          <w:sz w:val="28"/>
          <w:sz w:val="28"/>
          <w:szCs w:val="28"/>
          <w:rtl w:val="true"/>
          <w:lang w:bidi="fa-IR"/>
        </w:rPr>
        <w:t xml:space="preserve">هذه الحقیقة من مخترعات الفلسفة الإسلامیّة ، فقد برهن الفلاسفة الإسلامیّون علی أنّ کلّ ما ثبت صدوره من الوحی إلی نبیّنا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القطع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یقع وسطاً فی القیاس العقلیّ البرهانیّ ویصلح الاستدلال به فی المباحث العقلیّة کما صرّح بذلک الفارابی فی بعض کتبه ، وابن سینا فی إلهیّات الشفاء</w:t>
      </w:r>
      <w:r>
        <w:rPr>
          <w:rStyle w:val="FootnoteAnchor"/>
          <w:rtl w:val="true"/>
        </w:rPr>
        <w:footnoteReference w:id="264"/>
      </w:r>
      <w:r>
        <w:rPr>
          <w:rFonts w:ascii="Amiri" w:hAnsi="Amiri" w:eastAsia="Amiri" w:cs="Amiri"/>
          <w:color w:val="111111"/>
          <w:sz w:val="28"/>
          <w:sz w:val="28"/>
          <w:szCs w:val="28"/>
          <w:rtl w:val="true"/>
          <w:lang w:bidi="ar-SA"/>
        </w:rPr>
        <w:t xml:space="preserve">وصرّح به الملّاصدرا مراراً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والدلیل علی ذلک علی سبیل الإختصار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ثبوت الشریعة الحقّة بالمعجزات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براهین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یکون جزءاً معلوماً من هذه الشریعة ثابت قطعاً ببرهان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امتازت الفلسفة الإسلامیّة عن غیرها ، وصارت تشترک مع علم الکلام فی بعض الجهات ، وإن اختلفت عنه فی أنّها لا یعتمد فیها إلّاعلی المقدّمات العقلیّة فی ما یعتمد فی علم الکلام علیها وعلی المقدّمات النقلیّة ، وإن کانت ظنّیّة أحیاناً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تسبّب ذلک فی تطویر وتوسعة الفلسفة بحیث أنّ المسائل الجدیدة التی بحثت وزیدت علی المباحث الفلسفیّة ، تفوق فی حجمها وعمقها المسائلَ الفلسفیّة السابقة بعدّة أضعاف</w:t>
      </w:r>
      <w:r>
        <w:rPr>
          <w:rStyle w:val="FootnoteAnchor"/>
          <w:rtl w:val="true"/>
        </w:rPr>
        <w:footnoteReference w:id="265"/>
      </w:r>
      <w:r>
        <w:rPr>
          <w:rFonts w:ascii="IRNazanin" w:hAnsi="IRNazanin" w:eastAsia="IRNazanin"/>
          <w:color w:val="111111"/>
          <w:sz w:val="28"/>
          <w:sz w:val="28"/>
          <w:szCs w:val="28"/>
          <w:rtl w:val="true"/>
          <w:lang w:bidi="fa-IR"/>
        </w:rPr>
        <w:t xml:space="preserve">، فمن هذا القبیل مسألة العدل الإلهیّ ، والنبوّة العامّة ، والنبوّة الخاصّة ، والإمامة ، وأقسام النشآت </w:t>
      </w:r>
      <w:r>
        <w:rPr>
          <w:rFonts w:eastAsia="IRNazanin" w:cs="IRNazanin"/>
          <w:color w:val="111111"/>
          <w:sz w:val="28"/>
          <w:szCs w:val="28"/>
          <w:rtl w:val="true"/>
          <w:lang w:bidi="fa-IR"/>
        </w:rPr>
        <w:t>.</w:t>
      </w:r>
      <w:bookmarkStart w:id="115" w:name="pg5252_44236"/>
    </w:p>
    <w:p>
      <w:pPr>
        <w:pStyle w:val="Heading6"/>
        <w:numPr>
          <w:ilvl w:val="5"/>
          <w:numId w:val="1"/>
        </w:numPr>
        <w:rPr/>
      </w:pPr>
      <w:bookmarkStart w:id="116" w:name="__RefHeading___Toc423037_581953129"/>
      <w:bookmarkStart w:id="117" w:name="_Toc43"/>
      <w:bookmarkEnd w:id="115"/>
      <w:bookmarkEnd w:id="116"/>
      <w:r>
        <w:rPr>
          <w:rtl w:val="true"/>
        </w:rPr>
        <w:t>الإشارات العقلیّة فی الآیات والروایات</w:t>
      </w:r>
      <w:bookmarkEnd w:id="117"/>
    </w:p>
    <w:p>
      <w:pPr>
        <w:pStyle w:val="BookText"/>
        <w:rPr/>
      </w:pPr>
      <w:r>
        <w:rPr>
          <w:rFonts w:ascii="IRNazanin" w:hAnsi="IRNazanin" w:eastAsia="IRNazanin"/>
          <w:color w:val="111111"/>
          <w:sz w:val="28"/>
          <w:sz w:val="28"/>
          <w:szCs w:val="28"/>
          <w:rtl w:val="true"/>
          <w:lang w:bidi="fa-IR"/>
        </w:rPr>
        <w:t>یجد الباحث الکثیر من هذه الإشارات فی الکتاب والسنّة الشریفة فی ضمن ردّ دعاوی الجاحدین أو المشکّکین وغیرها ، ولکن ذلک یتوقّف علی وجود ملَکة علمیّة فی العقلیّات تنبّهه إلی هذه الإشارات وصولاً إلی البراهین والمقدّمات العقلیّة ، وبالتالی یکون الإذعان بتلک المعارف برهانیّاً عقلیّاً لا تعبّدیاً شرعیّاً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نستحصل فوائد علمیّة عقلیّة بحتة من خلال الفحص فی الآثار النقلیّة المشیرة إلی المواد الاستدلالیّة فی البرهان ، وهذا أمر قد یغفل عنه فی البحوث العقلیّة </w:t>
      </w:r>
      <w:r>
        <w:rPr>
          <w:rFonts w:eastAsia="IRNazanin" w:cs="IRNazanin"/>
          <w:color w:val="111111"/>
          <w:sz w:val="28"/>
          <w:szCs w:val="28"/>
          <w:rtl w:val="true"/>
          <w:lang w:bidi="fa-IR"/>
        </w:rPr>
        <w:t>.</w:t>
      </w:r>
    </w:p>
    <w:p>
      <w:pPr>
        <w:pStyle w:val="Heading6"/>
        <w:numPr>
          <w:ilvl w:val="5"/>
          <w:numId w:val="1"/>
        </w:numPr>
        <w:rPr/>
      </w:pPr>
      <w:bookmarkStart w:id="118" w:name="__RefHeading___Toc423039_581953129"/>
      <w:bookmarkStart w:id="119" w:name="_Toc44"/>
      <w:bookmarkEnd w:id="118"/>
      <w:r>
        <w:rPr>
          <w:rtl w:val="true"/>
        </w:rPr>
        <w:t>تعریف العقل العملیّ‌</w:t>
      </w:r>
      <w:bookmarkEnd w:id="119"/>
    </w:p>
    <w:p>
      <w:pPr>
        <w:pStyle w:val="BookText"/>
        <w:rPr/>
      </w:pPr>
      <w:r>
        <w:rPr>
          <w:rFonts w:ascii="IRNazanin" w:hAnsi="IRNazanin" w:eastAsia="IRNazanin"/>
          <w:color w:val="111111"/>
          <w:sz w:val="28"/>
          <w:sz w:val="28"/>
          <w:szCs w:val="28"/>
          <w:rtl w:val="true"/>
          <w:lang w:bidi="fa-IR"/>
        </w:rPr>
        <w:t xml:space="preserve">وقد عُرّف بتعریفین ینسجم کلٌّ منهما مع مذهب القائل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القوّة المدرکة لقضایا العقل العملیّ ، هی نفس قوّة العقل النظریّ ولا شأن لها سوی الإدراک والاکتشاف ، غایة الأمر أنّها تارة تدرک النظریّات واُخری تدرک العملیّات من دون أن تعمل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فالإختلاف بینهما فی الاعتبار بلحاظ المُدرَک ، فیکون المدرَک فی قضایا العقل العملیّ هو ما ینبغی فعله أو ینبغی ترکه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قوّة عَمّالة محرّکة للقوی العملیّة التی دونها ، فهو الواسطة بین القوّة</w:t>
      </w:r>
    </w:p>
    <w:p>
      <w:pPr>
        <w:pStyle w:val="BookText"/>
        <w:rPr/>
      </w:pPr>
      <w:r>
        <w:rPr>
          <w:rFonts w:ascii="Amiri" w:hAnsi="Amiri" w:eastAsia="Amiri" w:cs="Amiri"/>
          <w:color w:val="111111"/>
          <w:sz w:val="28"/>
          <w:sz w:val="28"/>
          <w:szCs w:val="28"/>
          <w:rtl w:val="true"/>
          <w:lang w:bidi="ar-SA"/>
        </w:rPr>
        <w:t xml:space="preserve">المُدرِکة والقوی العملیّة ، ومفاد ذلک تعدّد القوّتین النظریّة والعملیّة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إلی القول الثانی الفارابی وقدماء الفلاسفة ومنهم الیونانیّون ، بل ذهب إلیه ابن سینا أیضاً فی بعض کتبه ، ولکنّه قال بالقول الأوّل فی أکثر أبحاثه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الأوّل علی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کمالات الإنسان أن یکون عقله مسیطراً وحاکماً علی ما دونه من القوی ، وإذا کان کذلک فلابدّ أن یکون فاعلاً فیها ، سواء کانت القوی الدانیة إدراکیّة کالخیالیّة والوهمیّة ، أو عملیّة کالشهویّة والغضبیّة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من کمال القوی الدانیة سیطرة العقل علیها ، فلابدّ من فرض عملٍ للعقل ، لأنّ السلطنة والسیطرة لیست إدراکاً محضاً بل إدراک وعمل وتحکیم لهذا الإدراک ، وإلّا لکانت القوی الدانیة منفلتة عنه عاملة بما تقتضیه فطرتها ، لأنّها لیست عاقلة کی تعمل بما یدرکه العقل ، فتعمل الشهویّة بالشهوات ، والغضبیّة بالغضب ، والوهمیّة بالوهم ، وهکذا ، ویحصل الهرج والمرج فی جهاز 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فرض قوّة عاقلة عَمّالة تفرض سیطرتها وطاعتها علی القوی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سیطرة العقل علی القوی الدانیة لیس دائمیاً فی جمیع الناس ، فربّما تطغی قوّة دانیة أو أکثر علی النفس البشریّة وتسیطر أحیاناً أو دائماً علی سلوک الإنسان کما 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عقل أسیر عند هوی أمیر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بدّ من فرض قوّة عَمّالة تصلح للإمارة والسیطرة فی الإنسان السویّ والنفوس الدارجة إلی الکمال ، ولو کانت محکومةً لقوّة أو أکثر من القوی الدانیة فی النفوس المتسافلة ، ولکن هذه القوّة موجودة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ازداد الإنسان کمالاً ازداد العقل سیطرة وعملاً فی ما دونه ، حتّی تکون جمیع أفعال</w:t>
      </w:r>
    </w:p>
    <w:p>
      <w:pPr>
        <w:pStyle w:val="BookText"/>
        <w:rPr/>
      </w:pPr>
      <w:r>
        <w:rPr>
          <w:rFonts w:ascii="Amiri" w:hAnsi="Amiri" w:eastAsia="Amiri" w:cs="Amiri"/>
          <w:color w:val="111111"/>
          <w:sz w:val="28"/>
          <w:sz w:val="28"/>
          <w:szCs w:val="28"/>
          <w:rtl w:val="true"/>
          <w:lang w:bidi="ar-SA"/>
        </w:rPr>
        <w:t xml:space="preserve">ما دونه تحت إمرة العقل وطاعته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قاعدة عقلیة برهانیة متّبعة ومسلّمة عند الفلاسفة والکلامیّین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تعدّد أفعال النفس یدلّ علی تعدّد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رأینا فی النفس إدراکاً ، عرفنا أنّ فیها قوّة إدراکیّة ، واذا وجدت شهوة عرفنا أنّ فیها قوّة شهویّة ، وإذا وجدنا غضباً عرفنا أنّ فیها قوّة غضبیّة ،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مراتب النفس ودرجاتها یعرف من خلال تعدّد أفعالها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القوی الدانیة تتأثّر بالعقل فلابدّ من وجود قوّة مؤثّرة تؤدّی إلی هذا التأثیر ، لأنّ الإنفعال لا یحصل بدون فعل ، ولا یحصل الفعل بدون فاعل ، وهذا الفاعل لا یمکن أن یکون من القوی الدانیة فلابدّ أنه من جهة العقل ، ولا بدّ أنّ فی العقل قوّة عملیّة تؤثّر فی القوی السافلة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التحقیقات الفلسفیّة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حقّقها العَلمان الحکیمان الملّاصدرا والعلّامة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نقّحت الجدل القائم بین المناطقة والفلاسفة ، فی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التصوّر والتصدیق ؟ وهل الحکم جزء من القضیّة أو لا ؟</w:t>
      </w:r>
    </w:p>
    <w:p>
      <w:pPr>
        <w:pStyle w:val="BookText"/>
        <w:rPr/>
      </w:pPr>
      <w:r>
        <w:rPr>
          <w:rFonts w:ascii="IRNazanin" w:hAnsi="IRNazanin" w:eastAsia="IRNazanin"/>
          <w:color w:val="111111"/>
          <w:sz w:val="28"/>
          <w:sz w:val="28"/>
          <w:szCs w:val="28"/>
          <w:rtl w:val="true"/>
          <w:lang w:bidi="fa-IR"/>
        </w:rPr>
        <w:t xml:space="preserve">فأثبتت هذه التحقیقات أنّ التصدیق لیس إلّاالصورة الموجبة للإذعان ، فهو تصوّر وزیادة ، أمّا التصوّر فهو صورة محضة لا توجب الإذعان حتّی لو کان المتصوّر هو کلّ أجزاء القضیّة من موضوع ومحمول ونسبة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لا یستتبع الإذعان إذا لم یحصل فیه الدمج وتوحید الصورة ، فکلاهما صورة إدراکیّة ، وإنّما الفرق فی أثرهما ، فالإذعان أثر للتصدیق دون التصوّر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وأثبتت هذه التحقیقات أنّ الإذعان فعل من أفعال النفس ، حقیقته أنّ النفس أوّلاً تتصوّر أفراد القضیّة ، فالحالة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التصوّر موجباً للإذعان</w:t>
      </w:r>
    </w:p>
    <w:p>
      <w:pPr>
        <w:pStyle w:val="BookText"/>
        <w:rPr/>
      </w:pPr>
      <w:r>
        <w:rPr>
          <w:rFonts w:ascii="IRNazanin" w:hAnsi="IRNazanin" w:eastAsia="IRNazanin"/>
          <w:color w:val="111111"/>
          <w:sz w:val="28"/>
          <w:sz w:val="28"/>
          <w:szCs w:val="28"/>
          <w:rtl w:val="true"/>
          <w:lang w:bidi="fa-IR"/>
        </w:rPr>
        <w:t xml:space="preserve">صار تصدیقاً ، وهو الصورة المدموجة الموحّدة من الموضوع والمحمول ، وهذه الصورة المدموجة لیست متعدّدة مرکبّة من صورتین ، بل هی صورة واحدة بسیطة منطویة علی صورة الموضوع والمحمول ، ولکن هذا الدمج الذی فی التصدیق لیس مجرّد إدراک ، بل هو فعل من أفعال النفس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یوجد الإذعان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فالتصوّر غیر الدمج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الإذعان وإنّما یکون دور التصوّر لأجزاء القضیّة دور المعِدّ للدمج والإذعان ، ومعنی ذلک أنّ للنفس فعلاً وعملاً غیر التصوّر والإدراک ، وهذا الفعل لمّا کان‌فعلاً مرتبطاً بالمعانی المجرّدة</w:t>
      </w:r>
      <w:r>
        <w:rPr>
          <w:rStyle w:val="FootnoteAnchor"/>
          <w:rtl w:val="true"/>
        </w:rPr>
        <w:footnoteReference w:id="268"/>
      </w:r>
      <w:r>
        <w:rPr>
          <w:rFonts w:ascii="IRNazanin" w:hAnsi="IRNazanin" w:eastAsia="IRNazanin"/>
          <w:color w:val="111111"/>
          <w:sz w:val="28"/>
          <w:sz w:val="28"/>
          <w:szCs w:val="28"/>
          <w:rtl w:val="true"/>
          <w:lang w:bidi="fa-IR"/>
        </w:rPr>
        <w:t xml:space="preserve">فلابدّ أن یکون من فاعلٍ ومتصرّفٍ مجرّد ولا یعقل أن یکون من القوی الدانیة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العقل کما یتصوّر أطراف القضیّة العقلیّة تصوّراً محضاً ثمّ تصوّراً یستتبع الإذعان ، فإنّه هو الذی یحکم ویذعن ویصدِّق ، وبهذا یثبت وجود قوّة عقلیة</w:t>
      </w:r>
      <w:r>
        <w:rPr>
          <w:rStyle w:val="FootnoteAnchor"/>
          <w:rtl w:val="true"/>
        </w:rPr>
        <w:footnoteReference w:id="269"/>
      </w:r>
      <w:r>
        <w:rPr>
          <w:rFonts w:ascii="IRNazanin" w:hAnsi="IRNazanin" w:eastAsia="IRNazanin"/>
          <w:color w:val="111111"/>
          <w:sz w:val="28"/>
          <w:sz w:val="28"/>
          <w:szCs w:val="28"/>
          <w:rtl w:val="true"/>
          <w:lang w:bidi="fa-IR"/>
        </w:rPr>
        <w:t xml:space="preserve">عَمّالة ولا ینحصر العمل بالقوی الدانیة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 فإذا کانت نفس الإنسان سلیمة وقواه الدانیة سلیمة غیر متمرّدة ، فإنّ عقله یکون حاکماً ومسیطراً ومتصرّفاً فی ما دونه من القوی ، وکما 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ما عبد به الرحمن ،و اکتسب به‌الجنان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الفرق بین العقل النظریّ الذی یکون دوره الإدراک للحقائق من دون عمل فی القوی الدانیة والعقل العملیّ ، فدور العقل العملیّ استیعاب ما أدرکه</w:t>
      </w:r>
    </w:p>
    <w:p>
      <w:pPr>
        <w:pStyle w:val="BookText"/>
        <w:rPr/>
      </w:pPr>
      <w:r>
        <w:rPr>
          <w:rFonts w:ascii="IRNazanin" w:hAnsi="IRNazanin" w:eastAsia="IRNazanin"/>
          <w:color w:val="111111"/>
          <w:sz w:val="28"/>
          <w:sz w:val="28"/>
          <w:szCs w:val="28"/>
          <w:rtl w:val="true"/>
          <w:lang w:bidi="fa-IR"/>
        </w:rPr>
        <w:t xml:space="preserve">النظریّ والعمل فی القوی الدانیة بما یتناسب مع ذلک الإدراک ، وهذا هوالفارق الأوّل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مرتبة العقل العملیّ دون مرتبة النظریّ فی مراتب وجود النفس ، لأنّ العقل النظریّ أعلی من القوی الدانیة ، ولا یرتبط بها إلّاعبر العقل العملیّ ، والذی یعمل فیها مباشرة هو العملیّ ، ومن هنا نعلم أنّ العملیّ إنّما یذعن بتوسّط إدراک العقل النظریّ ، وإدراک النظریّ أعمّ من ما یرتبط بالعمل ، وهو ما ینبغی فعله وما ینبغی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یرتبط بالعمل کإدراک استحالة‌اجتماع النقیضین واستحالة ارتفاعهما ، وأنّ الممکن متناهٍ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والعقل العملیّ دوره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الإذعان بتلک المدرکات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تحریک القوی الدانیة إلی ما ینبغی ، والزجر عمّا لا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فکمال العقل العملیّ فی الانصیاع للعقل النظریّ وطاعته وترتیب الأثر علی مدرکاته الصحیحة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من کمال العقل النظریّ ، الانصیاع للعوالم العالیة ، لأنّه إنّما یدرک ما یدرک بتوسّط العوالم العلویّة ، فإنّ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العقل النظریّ بما هو فاقد للعلم ، وفاقد الشیء لا یعطیه ، فلابدّ أنّ العلم من إفاضة ما فوقه علیه ، ولذا یلزمه الارتباط بالعوالم العلویّة وأن یأخذ علومه منها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ونستفید من ذلک فائدة مهمّة هی أنّ الایمان حیث أنّه لیس إدراکاً محضاً</w:t>
      </w:r>
    </w:p>
    <w:p>
      <w:pPr>
        <w:pStyle w:val="BookText"/>
        <w:rPr/>
      </w:pPr>
      <w:r>
        <w:rPr>
          <w:rFonts w:ascii="IRNazanin" w:hAnsi="IRNazanin" w:eastAsia="IRNazanin"/>
          <w:color w:val="111111"/>
          <w:sz w:val="28"/>
          <w:sz w:val="28"/>
          <w:szCs w:val="28"/>
          <w:rtl w:val="true"/>
          <w:lang w:bidi="fa-IR"/>
        </w:rPr>
        <w:t xml:space="preserve">بل هو إذعان ، والإذعان فعل من أفعال العقل العملیّ لا النظریّ ، فإنّه یختلف فی حقیقته عن الفحص والإدراک ، لأنّ الفحص هو استعداد العقل النظریّ وتحرّکه وبحثه لأجل الإستعداد للتلقّی والإستلهام من العوالم العلویّة ، والإدراک هو وصول العقل النظریّ لتلک المعلومات ، بینما الإیمان هو الإذعان بتلک المدرکات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یمکن صدور الأمر الشرعیّ بالإیمان وبالتوحید ونحوهما ولا یستلزم الدور ، لأنّ الإذعان غیر الإدراک</w:t>
      </w:r>
      <w:r>
        <w:rPr>
          <w:rStyle w:val="FootnoteAnchor"/>
          <w:rtl w:val="true"/>
        </w:rPr>
        <w:footnoteReference w:id="272"/>
      </w:r>
      <w:r>
        <w:rPr>
          <w:rFonts w:ascii="IRNazanin" w:hAnsi="IRNazanin" w:eastAsia="IRNazanin"/>
          <w:color w:val="111111"/>
          <w:sz w:val="28"/>
          <w:sz w:val="28"/>
          <w:szCs w:val="28"/>
          <w:rtl w:val="true"/>
          <w:lang w:bidi="fa-IR"/>
        </w:rPr>
        <w:t xml:space="preserve">، فإذا توقّف الاعتقاد والإیمان علی الشریعة ، وتوقّفت الشریعة علی وصولها وإدراکها من العقل النظریّ لم یحصل الدور ، لأنّ نفس الشریعة لا تتوقّف علی الإذعان ، بخلاف ما إذا کان الاعتقاد هو الإدراک فإنّه یلزم الدور ، لأنّ الإدراک متوقّف علی الشریعة ، والشریعة متوقّفة علی إیجاب الشریعة للزوم الاعتقاد بالتوحید مثلاً ، وبهذا یلزم کون وجوب الاعتقاد متوقّفاً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لو کان وجوب الفحص ووجوب الإدراک شرعیّاً ، للزم الدور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تقدّم من تعریف العقل العملیّ والنظریّ والفوارق بینهما ، یقع الکلام فی مدرکات العقل العملیّ </w:t>
      </w:r>
      <w:r>
        <w:rPr>
          <w:rFonts w:eastAsia="IRNazanin" w:cs="IRNazanin"/>
          <w:color w:val="111111"/>
          <w:sz w:val="28"/>
          <w:szCs w:val="28"/>
          <w:rtl w:val="true"/>
          <w:lang w:bidi="fa-IR"/>
        </w:rPr>
        <w:t>.</w:t>
      </w:r>
      <w:bookmarkStart w:id="120" w:name="pg5252_44242"/>
    </w:p>
    <w:p>
      <w:pPr>
        <w:pStyle w:val="Heading6"/>
        <w:numPr>
          <w:ilvl w:val="5"/>
          <w:numId w:val="1"/>
        </w:numPr>
        <w:rPr/>
      </w:pPr>
      <w:bookmarkStart w:id="121" w:name="__RefHeading___Toc423041_581953129"/>
      <w:bookmarkStart w:id="122" w:name="_Toc45"/>
      <w:bookmarkEnd w:id="120"/>
      <w:bookmarkEnd w:id="121"/>
      <w:r>
        <w:rPr>
          <w:rtl w:val="true"/>
        </w:rPr>
        <w:t>الحسن والقبح العقلیّان تمهید فی التعلّق والتجرّد</w:t>
      </w:r>
      <w:bookmarkEnd w:id="122"/>
    </w:p>
    <w:p>
      <w:pPr>
        <w:pStyle w:val="BookText"/>
        <w:rPr/>
      </w:pPr>
      <w:r>
        <w:rPr>
          <w:rFonts w:ascii="IRNazanin" w:hAnsi="IRNazanin" w:eastAsia="IRNazanin"/>
          <w:color w:val="111111"/>
          <w:sz w:val="28"/>
          <w:sz w:val="28"/>
          <w:szCs w:val="28"/>
          <w:rtl w:val="true"/>
          <w:lang w:bidi="fa-IR"/>
        </w:rPr>
        <w:t xml:space="preserve">ذکر الفلاسفة وغیرهم من علماء المعارف أنّ للنفس حالتین متناوبتین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التعلّق والتجرّد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یسمّی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والهبوط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کان توجّهها إلی المادّة والمادّیّات ، کانت أکثر تعلّقاً وهبوطاً ، وکلّما ابتعدت عن المادّة واتّجهت إلی ما وراء عالم المادّة کانت أکثر تجرّداً وصعوداً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الإنسانیة لها أفعال متنوّعة ، فهی تدرک إدراکات متفاوتة وتفعل أفعالاً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جانب الإدراکات مثلاً نجد أنّها تدرک القضایا الحسّیّة والخیالیّة والوهمیّة والعقلیّة ، بل وتدرک المعانی القلبیّة أیضاً ، فالإدراک الحسّیّ هو أدنی المراتب لأنّه أکثر قرباً للمادّة وإن کان مجرّداً عن المادّة الغلیظة ولکنّه یتعلّق بالجزئیّ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ویقاربه ، وله نسبة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والإدراک الخیالی هو ثانی أدنی المراتب لأنّه فوق الإدراک الحسّیّ ودون سائر الإدراکات ، لأنّه لا یتعلّق بالجزئیّ الحقیقیّ ولکنّه یشتمل علی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والعرض والعمق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والإدراک الوهمیّ فوقهما لأنّه لا یشتمل علی المقدار ، ولکنّه یرتبط بالجزئیّ فهو معنی غیر محدّد بالأبعاد الثلاثة ، ولکنّه مضاف إلی الجزئیّات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نعرف أنّ الإدراک الخیالیّ خالٍ من الإضافة إلی الجزئیّات ، ولکنّه ذو مقدار ، والإدراک الوهمیّ بالعکس ، غیر أنّ ارتباط المحدود بالمقدار بالمادّة أکثر من ارتباط المضاف إلی الجزئیّ بالمادّة ، ولذا کان الوهمیّ أرقی من الخیالیّ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والإدراک العقلیّ یکون مجرّداً عن المادّة فی کلّ أصنافها ، حتّی عن المقدار والإضافة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والإدراک القلبیّ یکون مجرّداً أیضاً عن المادّة ، بل یکون فوق الإدراک العقلیّ ، فإذا صقل الإنسان نفسه بمرتبة عالیة فإنّه یتوجّه بقلبه إلی ما فوق عالم العقل لیدرک بالشهود والرؤیة القلبیّة ، وهذا الإدراک القلبیّ نفسه ذو مراتب ثلاثة متفاوتة بحسب آثارها ، ممّا یدلّ علی تعدّد درجاتها الوجودیة</w:t>
      </w:r>
      <w:r>
        <w:rPr>
          <w:rStyle w:val="FootnoteAnchor"/>
          <w:rtl w:val="true"/>
        </w:rPr>
        <w:footnoteReference w:id="273"/>
      </w:r>
      <w:r>
        <w:rPr>
          <w:rFonts w:ascii="IRNazanin" w:hAnsi="IRNazanin" w:eastAsia="IRNazanin"/>
          <w:color w:val="111111"/>
          <w:sz w:val="28"/>
          <w:sz w:val="28"/>
          <w:szCs w:val="28"/>
          <w:rtl w:val="true"/>
          <w:lang w:bidi="fa-IR"/>
        </w:rPr>
        <w:t xml:space="preserve">، وبهذا تکون الدرجات الإدراکیّة سبعة ، وهی فی الحقیقة درجات وجودیّة فی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فی أغلب حالاته یتعاطی بالإدراکات الحسّیّة ، غایته أنّه یدبّرها بالمعانی الوهمیّة ، أی بالإدراک الوهمیّ‌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توجّه الإنسان إلی المدرکات الخیالیّة ، کان فی درجة أرقی من الحسّ وإذا بحث فی المدرکات الوهمیّة ، صعد إلی مرتبة أرقی ، وهکذا ، وإذا انخفض إلی المدرکات الحسّیة أو نزل عن مرتبته التی هو فیها ، کان فی درجة أدنی ممّا کان علیه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للإنسان تجرّداً وتعلّقاً ، وکلّما ازداد صقالةً وابتعاداً عن المادّة کان أکثر تجرّداً وصعوداً ، وکلّما ارتبط بالمادّة أو مارس المادّیّات ، کان أکثر تعلّقاً وهبوطاً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ذکرنا هذه الخصوصیّة لأنّها تنفع فی معرفة درجات النفس ، وبالتالی معرفة جانب من جوانب أکمل المراتب الإنسانیّة وهی مرتبة المعصوم علیه السلام ، کما أنّ هذه المراتب تنفع فی بحث النبوّة والمعاد أیضاً ، فلاحظ </w:t>
      </w:r>
      <w:r>
        <w:rPr>
          <w:rFonts w:eastAsia="IRNazanin" w:cs="IRNazanin"/>
          <w:color w:val="111111"/>
          <w:sz w:val="28"/>
          <w:szCs w:val="28"/>
          <w:rtl w:val="true"/>
          <w:lang w:bidi="fa-IR"/>
        </w:rPr>
        <w:t>.</w:t>
      </w:r>
      <w:bookmarkStart w:id="123" w:name="pg5252_44244"/>
    </w:p>
    <w:p>
      <w:pPr>
        <w:pStyle w:val="Heading6"/>
        <w:numPr>
          <w:ilvl w:val="5"/>
          <w:numId w:val="1"/>
        </w:numPr>
        <w:rPr/>
      </w:pPr>
      <w:bookmarkStart w:id="124" w:name="__RefHeading___Toc423043_581953129"/>
      <w:bookmarkStart w:id="125" w:name="_Toc46"/>
      <w:bookmarkEnd w:id="123"/>
      <w:bookmarkEnd w:id="124"/>
      <w:r>
        <w:rPr>
          <w:rtl w:val="true"/>
        </w:rPr>
        <w:t>تاریخ مسألة الحسن والقبح</w:t>
      </w:r>
      <w:bookmarkEnd w:id="125"/>
    </w:p>
    <w:p>
      <w:pPr>
        <w:pStyle w:val="BookText"/>
        <w:rPr/>
      </w:pPr>
      <w:r>
        <w:rPr>
          <w:rFonts w:ascii="IRNazanin" w:hAnsi="IRNazanin" w:eastAsia="IRNazanin"/>
          <w:color w:val="111111"/>
          <w:sz w:val="28"/>
          <w:sz w:val="28"/>
          <w:szCs w:val="28"/>
          <w:rtl w:val="true"/>
          <w:lang w:bidi="fa-IR"/>
        </w:rPr>
        <w:t xml:space="preserve">علی صعید علم الکلام هناک مذهب ینفی عقلیّة هذه المسألة ، هو مذهب الأشاعرة فی ما تسالم متکلّمونا علی أنّهما عقلیّان بدیهیّان ، وقد بنی متکلّمو الإمامیّة الکثیر من الأدلّة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الفلاسفة ، فهم منذ عهد ابن سینا إلی العلّامة الطباطبائی یرَون أنّ قضایا الحسن والقبح من المشهورات ، وأنّها اعتبارات عقلائیّة لیس لها واقع وراء تطابق العقلاء ، بل إنّ المعروف نسبة هذا المذهب إلی کافّة الفلاسفة ، ولکنّ الصحیح أنّ هذه النسبة من إبن سینا فَمَن بعده ، لأنّ مَن سبقه کالفارابی وفلاسفة الیونان وفارس والعراق والهند</w:t>
      </w:r>
      <w:r>
        <w:rPr>
          <w:rStyle w:val="FootnoteAnchor"/>
          <w:rtl w:val="true"/>
        </w:rPr>
        <w:footnoteReference w:id="275"/>
      </w:r>
      <w:r>
        <w:rPr>
          <w:rFonts w:ascii="IRNazanin" w:hAnsi="IRNazanin" w:eastAsia="IRNazanin"/>
          <w:color w:val="111111"/>
          <w:sz w:val="28"/>
          <w:sz w:val="28"/>
          <w:szCs w:val="28"/>
          <w:rtl w:val="true"/>
          <w:lang w:bidi="fa-IR"/>
        </w:rPr>
        <w:t xml:space="preserve">کلّهم قائلون بذاتیة الحسن والقبح وعقلیّتهما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الخطأ فی نسبة هذا الرأی للفلاسفة مطلقاً هو أنّ ابن سینا طرح هذه النظریّة فی ضمن عرضه لآراء المشّائین ، فإنّ غالب کتبه وضعها کترجمة لآراء الیونانیّین ، ولذلک کانت کتبه مرجعاً فی معرفة آراء الفلاسفة المتقدّمین ، وکانت هذه الکتب محلّ اعتماد من بعده ، حتّی إنّ المتأخّرین عنه أخذوا ما نقله عنهم أخذ المسلّمات ولم یراجعوا کتب الیونانیّین حتّی الکتب المترجمة الموجودة بین أیدیهم ککتب أرسطو وأفلاطون وغیرهما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لما امتاز به من جمع لمبانی المشّائین وترتیبها وتبویبها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بذل فی ذلک جهداً کبیراً وهامّاً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لما عرف عنه من العمق والدقّة العلمیّة والذکاء والعبقریّة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جعله مرجعاً فی معرفة آراء من سلفه ، وضاعت فی ضمن ذلک</w:t>
      </w:r>
      <w:bookmarkStart w:id="126" w:name="pg5252_44245"/>
    </w:p>
    <w:p>
      <w:pPr>
        <w:pStyle w:val="BookText"/>
        <w:rPr/>
      </w:pPr>
      <w:bookmarkEnd w:id="126"/>
      <w:r>
        <w:rPr>
          <w:rFonts w:ascii="IRNazanin" w:hAnsi="IRNazanin" w:eastAsia="IRNazanin"/>
          <w:color w:val="111111"/>
          <w:sz w:val="28"/>
          <w:sz w:val="28"/>
          <w:szCs w:val="28"/>
          <w:rtl w:val="true"/>
          <w:lang w:bidi="fa-IR"/>
        </w:rPr>
        <w:t xml:space="preserve">حقیقة آراء الفلاسفة المتقدّمین ، والظاهر أنّه عدل عن رأیهم وکتب رأیه فی هذه المسألة من دون تنبیه علی آراء الفلاسفة ، مع أنّه فی سائر المسائل کان ینبّه علی آرائهم ویصرّح بعدوله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 عن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لانّه کتب هذا الرأی فی ضمن کتبه التی کانت ترجمة لآرائهم لا فی مؤلفات آرائه ونظریّاته ، فلو کان ما ذکره فی کتاب حکمة المشرقیین ، لکان رأیاً له ، ولکنّه جعله فی ضمن أقوالهم ومبانیهم ممّا أوجب اللبس علی من تأخّر عنه وأوهم أنّ رأی الفلاسفة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سینا نفسه ، فلماذا تبنّی هذا الرأی المخالف للفلاسفة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تأثّر بمغالطة أبی الحسن الأشعریّ ومن تبعه ، ممّا جعلها مغالطة ناضجة ، لأنّ إبن سینا تأخّر عن الأشعریّ بحوالی قرنین ، وکان إبن سینا علی اطّلاع تامّ بآراء المتکلّمین ، ویعتنی بمباحثهم حتّی التی لم تذکر فی الفلسفة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فطرحه لنظریّة الأشعریّ کاملة مع تمام أدلّتها وشواهدها ، یقرّب تأثّره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فإنّ تلبیس آراء الفلاسفة هنا وتضییعها کان بسببه </w:t>
      </w:r>
      <w:r>
        <w:rPr>
          <w:rFonts w:eastAsia="IRNazanin" w:cs="IRNazanin"/>
          <w:color w:val="111111"/>
          <w:sz w:val="28"/>
          <w:szCs w:val="28"/>
          <w:rtl w:val="true"/>
          <w:lang w:bidi="fa-IR"/>
        </w:rPr>
        <w:t>! !</w:t>
      </w:r>
    </w:p>
    <w:p>
      <w:pPr>
        <w:pStyle w:val="Heading6"/>
        <w:numPr>
          <w:ilvl w:val="5"/>
          <w:numId w:val="1"/>
        </w:numPr>
        <w:rPr/>
      </w:pPr>
      <w:bookmarkStart w:id="127" w:name="__RefHeading___Toc423045_581953129"/>
      <w:bookmarkStart w:id="128" w:name="_Toc47"/>
      <w:bookmarkEnd w:id="127"/>
      <w:r>
        <w:rPr>
          <w:rtl w:val="true"/>
        </w:rPr>
        <w:t>أهمّیة مسألة الحسن والقبح</w:t>
      </w:r>
      <w:bookmarkEnd w:id="128"/>
    </w:p>
    <w:p>
      <w:pPr>
        <w:pStyle w:val="BookText"/>
        <w:rPr/>
      </w:pPr>
      <w:r>
        <w:rPr>
          <w:rFonts w:ascii="IRNazanin" w:hAnsi="IRNazanin" w:eastAsia="IRNazanin"/>
          <w:color w:val="111111"/>
          <w:sz w:val="28"/>
          <w:sz w:val="28"/>
          <w:szCs w:val="28"/>
          <w:rtl w:val="true"/>
          <w:lang w:bidi="fa-IR"/>
        </w:rPr>
        <w:t xml:space="preserve">حیث أنّ الکثیر من أدلّة الإمامیّة قد ابتنت علی هذه المسألة ، فقد حظیت بدرجة عالیة من الأهمّیة ، وهذه المسألة وإن بحثت وحقّقت قدیماً ولکنّها تثار الیوم بلغة جدیدة وبلورة حدیثة ،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اعتبارات عقلائیّة لا واقع لها وراء تطابق العقلاء ، لأنّ الموادّ المأخوذة فی أحکام العقل العملیّ مستفادة من المشهورات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یکون الاستدلال بها جدلیّاً لا برهانیّاً ، کما یتولّد علی أساس ذلک إشکال آخر علی استمراریّة الشریعة وخلودها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یردّده الیوم بعض العلمانیین المبطّنین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التشریعات أساسها عقلیّ بمقتضی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ألطاف فی</w:t>
      </w:r>
      <w:bookmarkStart w:id="129" w:name="pg5252_44246"/>
    </w:p>
    <w:p>
      <w:pPr>
        <w:pStyle w:val="BookText"/>
        <w:rPr/>
      </w:pPr>
      <w:bookmarkEnd w:id="129"/>
      <w:r>
        <w:rPr>
          <w:rFonts w:ascii="IRNazanin" w:hAnsi="IRNazanin" w:eastAsia="IRNazanin"/>
          <w:color w:val="111111"/>
          <w:sz w:val="28"/>
          <w:sz w:val="28"/>
          <w:szCs w:val="28"/>
          <w:rtl w:val="true"/>
          <w:lang w:bidi="fa-IR"/>
        </w:rPr>
        <w:t xml:space="preserve">الأحکام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العقل لو علم بملاکاتها ومصالحها لحکم بها ، فهی ألطاف مکمِّلة للإنسان نفسه ولو أدرکها العقل لقضی بها ، کما هو مبنی العدلیّة ، وعلی هذا یتزلزل أساس الالتزام الدینی ووجوب الإطاعة للأحکام الشرعیّة ، لأنّ اعتباریة الأحکام العقلیّة یجعلها تدور مدار الاعتبار ، والاعتبار أمر تحت سلطة المعتبِر وهو العقلاء ، فإذا اختلف إعتبارهم بحسب تغیّر الزمان والمکان اختلفت الشریعة ، وهو ما یعبّرون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الشریعة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تفنیده بعدّة طرق لا تتوقّف علی کون الحسن والقبح عقلیین ، مثل منهج العنایة الفلسفیّة وغیره ، وإن کان الحقّ أنّهما عقلیّان ، وبالتالی یبطل الإشکال بطریق آخر أیضاً </w:t>
      </w:r>
      <w:r>
        <w:rPr>
          <w:rFonts w:eastAsia="IRNazanin" w:cs="IRNazanin"/>
          <w:color w:val="111111"/>
          <w:sz w:val="28"/>
          <w:szCs w:val="28"/>
          <w:rtl w:val="true"/>
          <w:lang w:bidi="fa-IR"/>
        </w:rPr>
        <w:t>.</w:t>
      </w:r>
    </w:p>
    <w:p>
      <w:pPr>
        <w:pStyle w:val="Heading6"/>
        <w:numPr>
          <w:ilvl w:val="5"/>
          <w:numId w:val="1"/>
        </w:numPr>
        <w:rPr/>
      </w:pPr>
      <w:bookmarkStart w:id="130" w:name="__RefHeading___Toc423047_581953129"/>
      <w:bookmarkStart w:id="131" w:name="_Toc48"/>
      <w:bookmarkEnd w:id="130"/>
      <w:r>
        <w:rPr>
          <w:rtl w:val="true"/>
        </w:rPr>
        <w:t>نظرة فی کلمات ابن سینا</w:t>
      </w:r>
      <w:bookmarkEnd w:id="131"/>
    </w:p>
    <w:p>
      <w:pPr>
        <w:pStyle w:val="BookText"/>
        <w:rPr/>
      </w:pPr>
      <w:r>
        <w:rPr>
          <w:rFonts w:ascii="Amiri" w:hAnsi="Amiri" w:eastAsia="Amiri" w:cs="Amiri"/>
          <w:color w:val="111111"/>
          <w:sz w:val="28"/>
          <w:sz w:val="28"/>
          <w:szCs w:val="28"/>
          <w:rtl w:val="true"/>
          <w:lang w:bidi="ar-SA"/>
        </w:rPr>
        <w:t>عرّف مشهور المتأخّرین</w:t>
      </w:r>
      <w:r>
        <w:rPr>
          <w:rStyle w:val="FootnoteAnchor"/>
          <w:rtl w:val="true"/>
        </w:rPr>
        <w:footnoteReference w:id="276"/>
      </w:r>
      <w:r>
        <w:rPr>
          <w:rFonts w:ascii="IRNazanin" w:hAnsi="IRNazanin" w:eastAsia="IRNazanin"/>
          <w:color w:val="111111"/>
          <w:sz w:val="28"/>
          <w:sz w:val="28"/>
          <w:szCs w:val="28"/>
          <w:rtl w:val="true"/>
          <w:lang w:bidi="fa-IR"/>
        </w:rPr>
        <w:t xml:space="preserve">العقل العملیّ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یدرک القضایا ذات الارتباط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ینبغی فعلها أو ترکها ، ولیست خاصّة بالأفعال الجارحیة ، بل تعمّ أیضاً الأفعال الجانحیة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التعریف ناقص ؛ فإنّ للعقل العملیّ عملاً آخر هو الإذعان مع أنه لیس قضیّة ینبغی فعلها أو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المتأخّرین تابعوا واعتمدوا علی ابن سینا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الحق أنّ إبن سینا نفسه قد اضطربت کلماته فی هذا الموضوع ، فنراه یعرّف المشهورات بأنّها القضایا التی تطابق علیها بناء العقلاء ولا واقع لها وراء اعتبارهم ، وحیث أنّها لا واقع لها فلا یمکن إقامة البرهان علیها ولا تصلح أن</w:t>
      </w:r>
    </w:p>
    <w:p>
      <w:pPr>
        <w:pStyle w:val="BookText"/>
        <w:rPr/>
      </w:pPr>
      <w:r>
        <w:rPr>
          <w:rFonts w:ascii="IRNazanin" w:hAnsi="IRNazanin" w:eastAsia="IRNazanin"/>
          <w:color w:val="111111"/>
          <w:sz w:val="28"/>
          <w:sz w:val="28"/>
          <w:szCs w:val="28"/>
          <w:rtl w:val="true"/>
          <w:lang w:bidi="fa-IR"/>
        </w:rPr>
        <w:t>تکون من موادّ القیاس</w:t>
      </w:r>
      <w:r>
        <w:rPr>
          <w:rStyle w:val="FootnoteAnchor"/>
          <w:rtl w:val="true"/>
        </w:rPr>
        <w:footnoteReference w:id="277"/>
      </w:r>
      <w:r>
        <w:rPr>
          <w:rFonts w:ascii="IRNazanin" w:hAnsi="IRNazanin" w:eastAsia="IRNazanin"/>
          <w:color w:val="111111"/>
          <w:sz w:val="28"/>
          <w:sz w:val="28"/>
          <w:szCs w:val="28"/>
          <w:rtl w:val="true"/>
          <w:lang w:bidi="fa-IR"/>
        </w:rPr>
        <w:t xml:space="preserve">، فی حین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الطبیعیّات من نمط النفس</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أنّ قضایا العقل العملیّ یمکن البرهنة علیها ، وأنّ موادّها قد تکون مشهورات وقد تکون أوّلیات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یقینیّات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فیمکن الاستدلال علیها ویکون لها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قابلة للبرهنة علیها</w:t>
      </w:r>
      <w:r>
        <w:rPr>
          <w:rStyle w:val="FootnoteAnchor"/>
          <w:rtl w:val="true"/>
        </w:rPr>
        <w:footnoteReference w:id="279"/>
      </w:r>
      <w:r>
        <w:rPr>
          <w:rFonts w:ascii="IRNazanin" w:hAnsi="IRNazanin" w:eastAsia="IRNazanin"/>
          <w:color w:val="111111"/>
          <w:sz w:val="28"/>
          <w:sz w:val="28"/>
          <w:szCs w:val="28"/>
          <w:rtl w:val="true"/>
          <w:lang w:bidi="fa-IR"/>
        </w:rPr>
        <w:t xml:space="preserve">وأنّها تصیر عقلیّة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 فی 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ما یقرّ به الجمهور فهو حقّ وإنّما یدفعه هؤلاء المتشبّهة بالفلاسفة جهلاً منهم بعلله وأسبابه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مناقض جدّاً لما ذکره أنّ قضایا الحسن والقبح مشهورات ، وأنّ المشهورات لا واقع لها سوی اعتبارها العقلائیّ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فقد تأثّر المتأخّرون بمذهب ابن سینا وإیهامه أنّه مذهب الفلاسفة فذهبوا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اعتباریّة المشهورات ، وأنّها لا یمکن البرهنة علیها أصلاً ونسبوا ذلک إلی الفلاسفة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ذهب الحکیمان الکبیران اللاهیجی والسبزواری إلی أنّ الحسن والقبح تکوینیّان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أنکرا توهّم اعتباریّة الحسن والقبح عند الفلاسفة ، ونسبا إلیهم تکوینیّتهما وفسّرا تمثیل الفلاسفة للمشهورات بالحسن والقبح بأنّ القضیّة الواحدة قد تدخل فی أکثر من واحد من أقسام الموادّ الثمان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تطابق العقلاء علیهما وشیوع الإذعان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w:t>
      </w:r>
    </w:p>
    <w:p>
      <w:pPr>
        <w:pStyle w:val="BookText"/>
        <w:rPr/>
      </w:pPr>
      <w:r>
        <w:rPr>
          <w:rFonts w:ascii="IRNazanin" w:hAnsi="IRNazanin" w:eastAsia="IRNazanin"/>
          <w:color w:val="111111"/>
          <w:sz w:val="28"/>
          <w:sz w:val="28"/>
          <w:szCs w:val="28"/>
          <w:rtl w:val="true"/>
          <w:lang w:bidi="fa-IR"/>
        </w:rPr>
        <w:t xml:space="preserve">المشهورات ، ومن جهة قیام البرهان علیهما تدخل فی الواقعیّات البرهانیّة ومن جهة وضوحهما وبداهتهما لکلّ عقل سلیم تدخل فی البدیهیّات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قضیّة التوحید ؛ فإنّها من جهة التسالم علیها تدخل فی المقبولات ومن جهة قیام البرهان علیها تدخل فی القضایا الواقعیّة البرهانیّة ، والنظر إلی القضیّة من جهةٍ مّا وإدخالها فی صنف من الموادّ الثمان لا یعنی عدم دخولها فی مادّة اخری ، وهذه اللفتة الجمیلة من هذین الحکیمین الجلیلین مهمّة جدّاً فی تفسیر الکثیر من تداخل القضایا بتعدّد النظرة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أن یعزی عدول ابن سینا عن مذهب الفلاسفة قبله إلی عدّة 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تأثّره بمسلک الأشعریّ وتصویره لدعوی اعتباریّة الحسن والقبح ، وقوّة شبهة الأشعریّ من جهة أنّ هذه المسألة لو کانت بدیهیّة لما أنکرها جماعة من المتکلّمین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لابدّ لنا من وقفة عند هذه المغالطة وملاحظة تأریخها ، فهذه المغالطة لیست من ابتکارات الأشعریّ ، بل أوّل من قال بها السوفسطائیّون ، کما صرّح بذلک سقراط ، وقام سقراط بدفعها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کتبه المترجمة المطبوعة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وجود السفسطة وانتشارها آنذاک شدّة الأوضاع الاقتصادیّة وطغیان الأثریاء وسعیهم وراء تحصیل مآربهم وأغراضهم المادّیة الدنیئة ، فحاولوا تضییع القیم والأخلاق وحاربوا الدین ، وأشاعوا فکرة أنّ کلّ المآسی والمشاکل ناتجة من الدین ، فأسّسوا مدارس عدیدة لدراسة الجدل والمغالطة ونشروا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الخُلُق مصلحة نسبیّة بحسب الأشخاص والظروف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یشاع من القیم والأخلاق هو من ابتداع رجال الدین لیتسلّطوا علی الناس ، کما أنّ</w:t>
      </w:r>
    </w:p>
    <w:p>
      <w:pPr>
        <w:pStyle w:val="BookText"/>
        <w:rPr/>
      </w:pPr>
      <w:r>
        <w:rPr>
          <w:rFonts w:ascii="IRNazanin" w:hAnsi="IRNazanin" w:eastAsia="IRNazanin"/>
          <w:color w:val="111111"/>
          <w:sz w:val="28"/>
          <w:sz w:val="28"/>
          <w:szCs w:val="28"/>
          <w:rtl w:val="true"/>
          <w:lang w:bidi="fa-IR"/>
        </w:rPr>
        <w:t xml:space="preserve">الدولة لیست من شؤون الدین ، بل من شؤون المجتمع ، والمجتمع هو صاحب الحقّ والقرار فی وجود هذه الدولة أو تلک واتّخاذ هذا النظام أو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أنکروا تکوینیّة الحسن والقبح وبداهتهما وقالوا باعتباریّتهما من خلال التفکیک بین معانی الحسن والقبح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سقراط عن شبهاتهم بأجمعها بقوّة وبرهان قاطع ، بحیث أنّهم عرفوا أن مآربهم لا تتحقّق مع وقوفه ضدّهم ، ولذا حاولوا إغراءه والمساومة معه لیکون معهم أو علی الأقل یسکت ویدع مناهضتهم ، فلم یوافق ، واستمرّ فی دفع شبهاتهم ومجابهتهم حتّی قُتل فی ذلک السبیل ، ثمّ تابع أفلاطون وأرسطو منهجه وطریقه وأکّدوا تکوینیّة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فالمعروف فی الفلسفة الیونانیة أنّ من ینکر تکوینیّة الحسن والقبح یسمّی سفسطیاً ، لبداهة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ابن سینا إنّما هو رأیه لا رأی الفلاسفة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ابن سینا علی مبنی باطل فی تعریف العقل العملیّ ، فقد ذهب هناک إلی أنّ العقل العملیّ لا یختلف عن النظریّ إلّافی الاعتبار ، ولیس من شأنه إلّاالإدراک دون العمل ، وإنّما یسمّی عملیّاً بلحاظ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أدرک العقل حکماً مرتبطاً بالعمل یسمّی عملیّاً لا أنّه یفعل شیئاً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المبنی أیضاً یختلف عن مبنی الفلاسفة قبله ، فقد ذکر الفارابی للعقل العملیّ عین التعریف الذی ذکرناه ، وأنّ هناک فارقاً تکوینیّاً بین العقل العملیّ والنظریّ ، وأنّ للعملیّ عمل وتأثیر ولیس شأنه محض الإدراک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العقل عَمّالاً لم یکن معنیً لطاعته وعصیانه ، وقد ثبت من الشرع الشریف أنّ العقل یطاع ویعصی ، وأنّ الثواب علی طاعته ، والعقاب علی معصیته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صحیحة محمّد بن مسلم ، عن أبی جعفر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ما خلقت خلقا هو أحب إلی منک و لا أکملتک إلافی من أحب ،أما إنی إیاک آمر، وإیاک أنهی، و إیاک أعاقب ، و إیاک أثیب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سینا ألغی البرهان العیانیّ ، مع أنّ الفلاسفة قبله مثل أرسطو والفارابی قسّموا البرهان إلی نوعین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القیاس المنطقیّ بأنواعه وأقسامه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العیانیّ ، ومحور هذا البرهان هو الفعل الجزئیّ الخارجیّ وإنّما سمّی عیانیّاً باعتبار حضور المبرهَن علیه بنفسه عند المستدِلّ ، وقد ألغاه ابن سینا هو ومَن جاء بعده من المناطقة والفلاسفة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متکلمّی الإمامیة ذکروه وأصرّوا علیه اعتماداً علی مرتکزاتهم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وحیث أنّ المتأخّرین لم یتعرّضوا لذکر هذا البرهان من قریب ولا بعید ، فمن المناسب إلقاء بعض الضوء علیه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 تشکیل النفس لهذا البرهان وإدراکها لنتیجته فی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الکلّیات المبرهنة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 النفس لأحوال الجزئیّات بتوسّط قوّة الفطنة ، فإذا أدرکت الفطنة حال الجزئیّ ، قامت بتطبیق الکلّیات المناسبة علی الجزئیّات ، والفطنة هی قوّة التروّی والتثبّت فی استصدار الأفعال الإرادیة عن داعٍ موافق للحکمة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الجنبة المشرفة علی القوی العملیّة الدانیة فی النفس هی</w:t>
      </w:r>
    </w:p>
    <w:p>
      <w:pPr>
        <w:pStyle w:val="BookText"/>
        <w:rPr/>
      </w:pPr>
      <w:r>
        <w:rPr>
          <w:rFonts w:ascii="IRNazanin" w:hAnsi="IRNazanin" w:eastAsia="IRNazanin"/>
          <w:color w:val="111111"/>
          <w:sz w:val="28"/>
          <w:sz w:val="28"/>
          <w:szCs w:val="28"/>
          <w:rtl w:val="true"/>
          <w:lang w:bidi="fa-IR"/>
        </w:rPr>
        <w:t xml:space="preserve">قوّة الفطنة ، وهی قوّة دون قوّة العقل العملیّ ، مؤتمرة بأوامرها ، ووظیفتها تطبیق الکلّیات علی الجزئیّات الحقیقیّة ، وإدراک ومعرفة نفس هذه الجزئیّات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قوّتی العقل النظریّ والعملیّ یتمّ لهما إدراک الکلّیات والإذعان والحکم بها وإیجاد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وکلّ ذلک لا یکفی فی تحقّق الکمال البشریّ ، ما لم توجد أداة تشخّص الجزئیّات فی مختلف حالات الإنسان وأفعاله ، وعدم تشخیصه لها یوجب التخبّط فی تطبیق الکلّیات علی الجزئیّات ، لأنّ القوّتین النظریّة والعملیّة لیس من شأنهما تشخیص الجزئیّات ، فضلاً عن تطبیق الکلّیات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القوی الدانیة لدی النفس لا مجال للإعتماد علیها فی سلامة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فیلزم وجود أداة للعقل یمیّز من خلالها سلامة هذا التطبیق وصوابه عن خطأه وکذبه ، وصدقُ التطبیق وسلامته لا تتحقّق بنحو دائم إلّالمن خلقه اللّه کاملاً معصوماً من الخطأ والزلل ، کما عبّر بذلک أرسطو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إلی لزوم صدق الکلّیات التی اعتمدها ، ولذا کان المعصوم معصوماً علمیّاً فی إدراک الکلّیات ، وعملیّاً فی تطبیق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فالتأثیر علی القوی الدانیة بحکمة یحتاج إلی صدق الکلّیات وإلی حسن التطبیق علی الجزئیّات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أشیر إلی ذلک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بِالْحَقِّ أَنْزَلْناهُ وَ بِالْحَقِّ نَزَلَ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حیث أنّ ظاهره حقّانیّة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الکلّیات من طرف الحقّ تعالی ومرحلة التنفیذ ؛ 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مرحلة‌الفاعل المنزِل ، ومرحلة القابل‌المنزَل إلیه وهو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ما جعل فی عالم الاعتباریّات ، حیث جعلت القضایا الاعتباریّة فی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التشریع والجعل ، ومرحلة التنفیذ والإیصال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فلابدّ من قوّة عملیّة عقلانیّة تحت سیطرة العقل العملیّ ، یسمّیها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الشهودیّة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إدراک البرهان العملیّ العیانیّ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المثبتون لهذه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هذه القوّة ، فبعضهم یجعلها عین قوّة العقل العملیّ ، وبعضهم یجعلها أداة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وببیان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الوجودات تنقسم إلی مادّیة وغیر مادّیة ، والمادّیة تنقسم إلی نفس المادّة وإلی ما یوجد فیها کالصورة الجوهریة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ما یتعلّق بالمادة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المادّیة فهی مثل العقل المجرّد عن المادّة ، وهی مباینة للمادة ، ولکنّها تدرک المادّة والمادّیات ، فبإمکان غیر المادّی أن یدرک الجزئیّات ، وإدراک شیء لشیء لا یعنی صیروة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کون الأوّل متأثّراً بالثانی ، ولا جریان أحکام الثانی علی الأوّل ، نظیر إدراک الباری سبحانه للجزئیّات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القول أنّ العقل یدرک الجزئیّات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اتّضح ذلک واتّضح وجود قوّة تدرک الجزئیّات ، یُعرف ضرورة وجود میزان للعصمة عن الخطأ ، أی أنّ الحکمة فی الجزئیّات منوطة ببرهان یسمّی البرهان العیانیّ ، وهو میزان تعصِم مراعاتُه الفطنة من الخطأ فی إدراک الجزئیّات وتطبیق الکلّیات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عدم إناطة إدراک الجزئیّات بالعقل النظریّ ولا العملیّ ، یتعیّن وجود قوّةٍ عقلیّة أو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القوی الدانیة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قادرةٍ علی التطبیق الصحیح بواسطة البرهان العیانیّ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والفوارق بین البرهان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الکلاسیکیّ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العیانیّ ،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البرهان المتعارف ، مورده النظریّات والکلّیّات ، ولا یتعرّض للتطبیق علی الجزئیّات خارجاً ، بینما البرهان العیانیّ مورده الجزئیّات الخارجیّة ، وإنّما یستعین بالکلّیّات المبرهنة للتطبیق علی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شرائط البرهان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المادّة مثل أن تکون المادّة کلّیة فی کلّ طرف من أطراف القیاس لا تتأتّی فی مادة البرهان العیانیّ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البرهان النظریّ یحکم به العقل النظریّ ولا یتوقّف علی سواه ، بینما البرهان العیانیّ تطبّقه الفطنة ، ولکنّه یتوقّف علی العقل النظریّ والعملیّ والفطنة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البرهان النظریّ یوجب تکامل القوّة النظریّة ، والعیانیّ یوجب تکامل القوّة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البرهان العیانیّ ، ولکن کیف کان إنکار البرهان العیانیّ منشأ لإنکار تکوینیّة الحسن والقبح وعقلیّتهما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سینا لو اعترف بأنّ الجزئیّات یمکن تطبیقها بحکمة وبرهان للزمه الاعتراف بعقلیّة الحسن والقبح وإنّهما علی وفق الحکمة ؛ إذ تبیّن أنّ تطبیق البرهان العیانیّ یتوقّف علی مدرکات وأحکام العقل النظریّ والعملیّ والفطنة ، ولمّا کان من أهمّ مدرکات العقل العملیّ هو الحسن والقبح ، فلابدّ أنّها تکوینیّة عقلیّة لکی تصلح أن تکون مرجعاً فی البرهان ، لأنّه لا یمکن تطبیق البرهان من قضایا مشهورة أو لا واقع لها ، بل یجب إستناده إلی قضایا عقلیّة تکوینیّة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البرهان العیانیّ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یستند إلّاإلی التکوینیّات والواقعیّات ، وهو یستند إلی مسائل الحسن والقبح جزماً ، فلابدّ أنّها تکوینیّة عقلیّة لا اعتباریة ، ولذلک فقد ألغی ابن سینا هذا البرهان ولم یشر إلیه بتاتاً </w:t>
      </w:r>
      <w:r>
        <w:rPr>
          <w:rFonts w:eastAsia="IRNazanin" w:cs="IRNazanin"/>
          <w:color w:val="111111"/>
          <w:sz w:val="28"/>
          <w:szCs w:val="28"/>
          <w:rtl w:val="true"/>
          <w:lang w:bidi="fa-IR"/>
        </w:rPr>
        <w:t>.</w:t>
      </w:r>
      <w:bookmarkStart w:id="132" w:name="pg5252_44254"/>
    </w:p>
    <w:p>
      <w:pPr>
        <w:pStyle w:val="Heading6"/>
        <w:numPr>
          <w:ilvl w:val="5"/>
          <w:numId w:val="1"/>
        </w:numPr>
        <w:rPr/>
      </w:pPr>
      <w:bookmarkStart w:id="133" w:name="__RefHeading___Toc423049_581953129"/>
      <w:bookmarkStart w:id="134" w:name="_Toc49"/>
      <w:bookmarkEnd w:id="132"/>
      <w:bookmarkEnd w:id="133"/>
      <w:r>
        <w:rPr>
          <w:rtl w:val="true"/>
        </w:rPr>
        <w:t>أدلّة القائلین باعتباریّة الحسن والقبح</w:t>
      </w:r>
      <w:bookmarkEnd w:id="134"/>
    </w:p>
    <w:p>
      <w:pPr>
        <w:pStyle w:val="BookText"/>
        <w:rPr/>
      </w:pPr>
      <w:r>
        <w:rPr>
          <w:rFonts w:ascii="IRNazanin" w:hAnsi="IRNazanin" w:eastAsia="IRNazanin"/>
          <w:color w:val="111111"/>
          <w:sz w:val="28"/>
          <w:sz w:val="28"/>
          <w:szCs w:val="28"/>
          <w:rtl w:val="true"/>
          <w:lang w:bidi="fa-IR"/>
        </w:rPr>
        <w:t xml:space="preserve">استدلّ القائلون باعتباریّتهما بأدلّة عدیدة ، وعلینا استعراضها وتوضیحها ، ثمّ نقدها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والقبح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المدح والذمّ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من الأعراض العینیّة المحسوسة للفعل ، فلیسا موجودَین بوجود نفس الفعل ، کما أنّهما لا یُنزعان من شیء له وجود واقعیّ ، فلا یکون لهما وجود انتزاعیّ أیضاً ، أی إنّهما لیسا من الاعتبارات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المعقولات الثانیة 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یتعیّن أن یکونا من الاعتبارات التخیّلیّة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الجعلیّة التی یضعها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الوجدان حاکم بتفاوت الحسن والقبح بحسب الزمان والمکان والقومیات والطوائف والعادات ، فمثلاً نجد بعض التقالید والعادات حسنة مطلوبة عند بعض الناس ، وفی نفس الوقت قبیحة عند قوم آخرین ، وکذلک نوع الأکل أو الملابس أو المعتقدات أو الأخلاق ، فإنّها قد تتفاوت فی الحسن والقبح من مجتمع لآخر ومن زمان 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التفاوت فی التقییم والتحسین والتقبیح خیر شاهد علی أنّ مسألة الحسن والقبح تابعة لاعتبار العقلاء ، والاعتبار العقلائیّ یختلف باختلاف الأنظار والمصالح والمفاسد بحسب الظروف ، ومعنی ذلک أنّ الحسن والقبح لا واقعیّة لهما وراء الاعتبار العقلائیّ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لو خلّی وطبعه ولم یعرف من العقلاء جعل المحاسن والقبائح ، فإنّه لا یدرکها بعقله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إنساناً ولد فی أرض خالیة من البشر لَمَا وَجَد عقلَه یحکم بحسن العدل وقبح الظلم ، ممّا یدلّ علی أنّهما لیسا ضروریّین عقلیّین ، فإنّ عقل مثل هذا الإنسان یدرک الضروریات</w:t>
      </w:r>
    </w:p>
    <w:p>
      <w:pPr>
        <w:pStyle w:val="BookText"/>
        <w:rPr/>
      </w:pPr>
      <w:r>
        <w:rPr>
          <w:rFonts w:ascii="IRNazanin" w:hAnsi="IRNazanin" w:eastAsia="IRNazanin"/>
          <w:color w:val="111111"/>
          <w:sz w:val="28"/>
          <w:sz w:val="28"/>
          <w:szCs w:val="28"/>
          <w:rtl w:val="true"/>
          <w:lang w:bidi="fa-IR"/>
        </w:rPr>
        <w:t xml:space="preserve">کاستحالة اجتماع النقیضین ، وأنّ الکلّ أکبر من الجزء ونحو ذلک ، فلابدّ أنّ الحسن والقبح جعلیّان اعتباریّان ، ولهذا تجد تجذّرهما ورسوخهما فی المجتمعات ذات العادات والتقالید أکثر من المجتمعات التی لا تؤمن بالموروث ، أو لدیها تقالید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عدّه متمّماً لما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العقلاء إنّما حکموا بهما لأجل مصلحة النظام الاجتماعیّ ، فلو لم یکن مجتمع أو لم یکن للنظام أهمّیة عند العقلاء لَما جعلوهما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المحقّق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کونهما عقلیین لا یخرج عن 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یقال إنّ وجودهما بنحو المسبّب والسبب ، فوجود أحدهما مسبّب والفعل سبب ، فإذا وجد الفعل الملائم حصل الحسن ، وإذا وجد الفعل المنافر حصل القبح ، فالفعل الأوّل علّة والحسن معلول ، والثانی علّة والقبح معلول ، وإمّا أن یقال إنّ وجودهما من قبیل وجود الغایة وذیها ، فإذا کان وجود الغایة لازماً کان وجود ذیها لازماً أیضاً ، والحسن علّة غائیة للفعل تدعو إلی إیجاده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أرادوا الأوّل فهذه السببیّة تامّة وهی تکوینیة لا اعتباریة ولکنّها لیست بحکم العقل ، بل بحکم القوی الدانیة ، ولذا تجد الحیوان ینفعل وینزجر ممّن یؤذیه ، ویألف ویحبّ ویعطف علی من أحسن إلیه ، فهذا الحکم تکوینیّ ناشئ من الطبع لا بحکم العقل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أرادوا الثانی فهو أیضاً مسلّم ، ولکنّه لا یدلّ علی عقلیّتهما ، بل إنّ الکثیر من الغایات غایات اعتباریّة ، ومنها الحسن والقبح ، فإنّهما إنّما یرادان بلحاظ الوصول إلی مصالح المجتمع ونظامهم ، ولذلک تجد العقلاء یحثّ</w:t>
      </w:r>
    </w:p>
    <w:p>
      <w:pPr>
        <w:pStyle w:val="BookText"/>
        <w:rPr/>
      </w:pPr>
      <w:r>
        <w:rPr>
          <w:rFonts w:ascii="IRNazanin" w:hAnsi="IRNazanin" w:eastAsia="IRNazanin"/>
          <w:color w:val="111111"/>
          <w:sz w:val="28"/>
          <w:sz w:val="28"/>
          <w:szCs w:val="28"/>
          <w:rtl w:val="true"/>
          <w:lang w:bidi="fa-IR"/>
        </w:rPr>
        <w:t xml:space="preserve">بعضهم بعضاً علی فعل المحاسن وترک القبائح لأجل مصلحة النظام الاجتماعی وتکامله واستثمار طاقاته علی الوجه الأحسن ، ولکنّ ذلک لا یعنی کون الحسن والقبح عقلیّین ، فإنّ الأحکام الاجتماعیّة الباعثة إلی ذلک النظام أحکام اعتباریّة یجعلها العقلاء لهذا الغرض ، ولیست أحکاماً 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صرّح به المحقّق الإصفهانی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مسائل الحسن والقبح لو کانت بدیهیّة فهی لا تخرج عن أحد الضروریّات الستّ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الأوّلیّات ، وهی التی یحکم بها العقل بمجرّد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الحسن والقبح کذلک وإلّا لما وقع کلّ هذا الخلاف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الفطریّات ، وهی القضایا التی قیاساتها معها ، کزوجیّة الأربعة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التجریبیّات ، وهی القضایا التی یتوصّل إلیها من خلال التجربة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الحسّیّات ، وهی القضایا التی تدرک بالحواسّ الخمس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الحدسیّات ، وهی القضایا التی تدرک بالحدس القطعیّ ، ومن الواضح عدم کونهما من هذه الضروریات الأربعة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الوجدانیّات ، وهی القضایا التی تدرک بالوجدان ، ولا مجال لجعل الحسن والقبح منها لأنّنا لا نجد فی وجداننا الحکم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المدح والذم أمران إنشائیّان عند العقلاء کإنشاء القصیدة والخطبة فی مقام المدح أو الهجاء ، والإنشاء أمر إعتباریّ تابع لاعتبار منشئه ولیس له واقع وراء ذلک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السیّد الشهید الصدر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أنّ قطب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وقطب القبائح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فعلینا معرفة العدل والظلم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والعدل هو إعطاء حقّ الغیر أو إعطاء کلّ ذی حقّ حقّه ؛ والظلم تجاوز حقّ</w:t>
      </w:r>
    </w:p>
    <w:p>
      <w:pPr>
        <w:pStyle w:val="BookText"/>
        <w:rPr/>
      </w:pPr>
      <w:r>
        <w:rPr>
          <w:rFonts w:ascii="IRNazanin" w:hAnsi="IRNazanin" w:eastAsia="IRNazanin"/>
          <w:color w:val="111111"/>
          <w:sz w:val="28"/>
          <w:sz w:val="28"/>
          <w:szCs w:val="28"/>
          <w:rtl w:val="true"/>
          <w:lang w:bidi="fa-IR"/>
        </w:rPr>
        <w:t xml:space="preserve">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فمدار العدل والظلم ، الحقّ ، والحقّ أمر اعتباریّ ، والشیء إذا تقوّم بشیء اعتباریّ کان أمراً اعتباریّاً أیضاً ، وبذلک یثبت أنّ العدل والظلم اعتباریّان ، وبالتالی أنّ جمیع مسائل الحسن والقبح 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العلّامة الطباطبائی قدس سره وهو شبیه بسابقه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الحسن والقبح من سنخ الإهانة والاحترام والتعظیم والتحقیر ، وهی أمور اعتباریّة لا واقعیّة تکوینیّة ، فإنّها تتفاوت وتختلف باختلاف بناء العقلاء ولا واقعیّة لها سوی ذلک ، وعلیه فیکون الحسن والقبح اعتباریین جعلیین لا واقعیین عقلیین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أدّلة القائلین باعتباریّتهما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جمیع ما ذکروه من أدلّة قد توجّه لها قدماء الفلاسفة ، وأجابوا عنها بنحو کافٍ ووافٍ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أنّ الحسن والقبح یتقوّمان بالمادح والذامّ ولا وجود لهما فی حدّ أنفسهما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عنه أرسطو وسقراط والفارابی بنحو یبطل مغالطة السوفسطائیین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والأشعریّ الذی قال بمقالتهم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فکّکوا بین الکمال والنقص من جهة ، والحسن والقبح من جهة اخری ، فأجابوهم من خلال تحقیق الحدّ الماهویّ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فعرّفوا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التوصیف بالکمال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التوصیف بالنقص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التعریف ثابت لهما فی کلّ اللغات ، لأنّه تعریف للمعنی لا للفظ ، فلا یختصّ بلغة دون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التعریف وحده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تکوینیّة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لوضوح أنّ التوصیف بالکمال إنّما یکون لأجل الکمال واقعاً والتوصیف بالنقص لأجل النقص الواقعیّ ، فلا تجد عاقلاً صادقاً یمدح شخصاً من دون اتّصافه بالکمال إلّامع الجهل المرکّب ، ولا عاقلاً صادقاً</w:t>
      </w:r>
    </w:p>
    <w:p>
      <w:pPr>
        <w:pStyle w:val="BookText"/>
        <w:rPr/>
      </w:pPr>
      <w:r>
        <w:rPr>
          <w:rFonts w:ascii="Amiri" w:hAnsi="Amiri" w:eastAsia="Amiri" w:cs="Amiri"/>
          <w:color w:val="111111"/>
          <w:sz w:val="28"/>
          <w:sz w:val="28"/>
          <w:szCs w:val="28"/>
          <w:rtl w:val="true"/>
          <w:lang w:bidi="ar-SA"/>
        </w:rPr>
        <w:t xml:space="preserve">یذمّ من دون نقص واقعیّ إلّامع الجهل 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 فی اللغة مرادف للحمد ، وحمد واجب الوجود یستحیل أن یکون اعتباریّاً ویتعیّن أن یکون تکوینیّاً واقعیّاً أی بلحاظ الکمال الواقعیّ ولا یعقل مدحه اعتباراً وجعلاً ، إذن فالمدح والذم یتقوّمان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بالکمال والنقص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 والذمّ إذا طابقا الواقع سمّیا صادقَین ، وإذا خالفاه سمّیا کاذبَین ، فإذا مدح شخص بما لا یستحقّه کان المدح کاذباً کما فی مدح الظلمة والسلاطین بما لا یستحقّون ، بخلاف مدح الکامل أو الساعی إلی الکمال ، فإنّه صادق ، ولیس الصدق إلّامطابقة الخبر للواقع ، ولا الکذب سوی مخالفته له ممّا یدلّ علی وجود الکمال حقیقة إذا صدق المدح ، ووجود النقص حقیقة إذا صدق الذمّ ، وبهذا نعرف أنّ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بمعنی المدح والذم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تکوینیّان لا اعتباریّان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ذلک بأنّ الصدق والکذب لا یختصّان بالقضایا التکوینیّة ، بل یشملان القضایا الاعتباریّة الفرضیّة من جهة موافقة المعتبَر الجزئیّ للاعتبار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العقلاء أو أیّ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مطابقته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الإشارة الضوئیّة الخضراء علامة جواز العبور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قانون المرور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صدقاً ، لموافقته للاعتبار الکلّی العقلائیّ ، وإلّا کان کذباً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 والکذب فی التکوینیّات مطلق غیر مشروط بفرض فارض ولا وجود مدرک عاقل ، فلو فرض تجرّد القضیّة التکوینیّة فی نفس الأمر عن ذهن أیّ عاقل بمعنی ثبوتها وتقرّرها فی نفس الأمر کمعنیً مفهومیّ وصور حصولیّة کما یقال ذلک فی الأعیان الثابتة الأزلیّة ، فإنّها من شأنها أن تطابق الواقع</w:t>
      </w:r>
    </w:p>
    <w:p>
      <w:pPr>
        <w:pStyle w:val="BookText"/>
        <w:rPr/>
      </w:pPr>
      <w:r>
        <w:rPr>
          <w:rFonts w:ascii="IRNazanin" w:hAnsi="IRNazanin" w:eastAsia="IRNazanin"/>
          <w:color w:val="111111"/>
          <w:sz w:val="28"/>
          <w:sz w:val="28"/>
          <w:szCs w:val="28"/>
          <w:rtl w:val="true"/>
          <w:lang w:bidi="fa-IR"/>
        </w:rPr>
        <w:t xml:space="preserve">أو لا تطابقه ، فتصدق أو تکذب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القضایا الاعتباریّة التخیّلیّة ، فإنّ صدقها وکذبها مشروط بلحاظ ومقایسة القضیّة بالافتراض العامّ والاعتبار العامّ عند مجموع المتطابقین علی ذلک الاعتبار ، وبدون ذلک اللحاظ والمقایسة لا تصلح للاتّصاف بالصدق ولا بالکذب مع أنّ اتّصاف المدح للّه‌سبحانه بالصدق ، والذمّ لأمیر المؤمنین علیه السلام بالکذب لا یتوقّف علی هذه المقایسة ، بل هما فی حدّ أنفسهما وفی نفس الأمر ثابتان متقرّران ، سواء وجد من یلتفت إلی ذلک أو لم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فی المباحث العقلیّة أنّ الوجود الخارجیّ للمخلوقات ، بنفسه مدح للخالق ، لأنّها آیات من آیاته وحاکیة عن وجوده ، وکمالها حاکٍ عن کماله ، وکلّما کان المخلوق أکبر وأکمل دلّ علی عظم الخالق وکماله ، وهذه الدلالة توصیف تکوینیّ بالکمال ، فهی مدح للخالق ونعت تکوینیّ له بالکمال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ماهیّة المدح هی الحکایة عن الکمال الواقعیّ ، فتارة تکون هذه الحکایة من خلال الوجود العینیّ للمخلوق الدالّ علی کمال خالقه ، واُخری من خلال الوجود القولیّ أو الکتبیّ أو نحوهما الدالّ علی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الذمّ تارة یکون من خلال فعل القبیح فإنّه یکشف تکوینیّاً عن نقص الفاعل ، واُخری من خلال القول والکتابة والإشارة ممّا یدلّ ویکشف عن نقص فی المذموم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فالرابطة بین المدح والکمال وبین الذمّ والنقص هی رابطة الحاکی والمحکیّ ، ومن المعلوم أنّ العلاقة بین الحاکی والمحکیّ هی علاقة الاتّحاد فی المفهوم والتغایر فی المصداق ، أو فقل الاتّحاد فی الهویّة والاختلاف فی الوجود ، فلفظة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 الإنسان المسمّی بهذا الإسم بحسب المفهوم ،</w:t>
      </w:r>
    </w:p>
    <w:p>
      <w:pPr>
        <w:pStyle w:val="BookText"/>
        <w:rPr/>
      </w:pPr>
      <w:r>
        <w:rPr>
          <w:rFonts w:ascii="IRNazanin" w:hAnsi="IRNazanin" w:eastAsia="IRNazanin"/>
          <w:color w:val="111111"/>
          <w:sz w:val="28"/>
          <w:sz w:val="28"/>
          <w:szCs w:val="28"/>
          <w:rtl w:val="true"/>
          <w:lang w:bidi="fa-IR"/>
        </w:rPr>
        <w:t xml:space="preserve">ولکن وجود هذه اللفظة غیر وجود ذلک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والخلط بین التفکیک فی الوجود وبین التفکیک فی الهویّة هو الذی أوقع الخصم بدعوی اعتباریّة المدح والذم ، إذ کیف یکون وجود المحکیّ تکوینیّاً ولا یکون وجود الحاکی تکوینیّاً أیضاً مع أنّ المعنی الذهنیّ لا یکون ارتباطه بالخارج وکشفه اعتباریّاً ، بل إنّ إراءة المعنی الذهنیّ لا یمکن أن تکون إلّاإراءة تکوینیّة ، کیف ومجال الاعتبار منحصر فی المحکیّ دون الحکایة والحاکی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لابدّ من الالتفات إلی أنّ الوجود التکوینیّ یمکن إیجاده بوجود آخر اعتباریّ زیادة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أغلب الموجودات التکوینیّة لها وجودات اعتباریّة أیضاً ؛ فهذا الکتاب له وجود تکوینیّ هو الذی بین یدیک ، وله وجود اعتباریّ هو الوجود اللفظی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وجود ثالث هو الکتبیّ إذا کتبت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الوجود اللفظیّ والکتبیّ لهذا الموجود الخارجیّ هو وجود اعتباریّ له ، لا عین وجوده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کلّ ما حولک من أشیاء ، لها وجود تکوینیّ ووجود اعتباریّ بأسمائها ، بل حتّی وجود اللّه سبحانه لا ینافی الوجود الاعتباریّ الجعلیّ للتعبیر عنه سبحانه من خلال الألفاظ والکتابة والإشارة ، لأنّ البشر یحتاجون فی التفاهم إلی إحضار المعانی إمّا بوجودها التکوینیّ أو الاعتباریّ ، ولکن الوجود الاعتباریّ لا یعنی صیرورة التکوینیّ اعتباریّاً ، بل یعنی إضافة وجود آخر له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فنحن لا ننکر إمکان وجود الحسن والقبح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دعت الحاجة</w:t>
      </w:r>
    </w:p>
    <w:p>
      <w:pPr>
        <w:pStyle w:val="BookText"/>
        <w:rPr/>
      </w:pPr>
      <w:r>
        <w:rPr>
          <w:rFonts w:ascii="IRNazanin" w:hAnsi="IRNazanin" w:eastAsia="IRNazanin"/>
          <w:color w:val="111111"/>
          <w:sz w:val="28"/>
          <w:sz w:val="28"/>
          <w:szCs w:val="28"/>
          <w:rtl w:val="true"/>
          <w:lang w:bidi="fa-IR"/>
        </w:rPr>
        <w:t xml:space="preserve">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الموجودات التکوینیّة ، فإنّها تصلح لإیجادها بوجود آخر إعتباریّ ، ولکنّ الذی ننکره هو دعوی انحصار وجودهما بالإعتبار لقیام الدلیل علی وجودهما التکوینیّ ، فمثلاً المدح بقصد الإنشاء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الحمد للّه، له وجود اعتباریّ بلحاظ هذا الإنشاء والاعتبار ، ولکنّه لا ینافی النزاهة الواقعیّة والکمال الإلهیّ الذی أوجب المدح الواقعیّ بإیجاد النعمة والتصرّف بالتدبیر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أنّ وجود المخلوق الحَسَن مدح تکوینیّ لخالقه ، وآیة من آیات کماله ومجده وعظمته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یصحّ اطلاق القول بأنّ المدح والذمّ اعتباریّان لا تکوینیّان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هما تکوینیّان ، وربّما یکون لهما وجود اعتباریّ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للقائلین بالاعتباریّة وهو أنّ الحسن والقبح لو کانا عقلیّین لما وقع الاختلاف فیهما بحسب الزمان والمکان والمعتقدات والتقالید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الاختلاف لا ینافی تکوینیّة وعقلیّة هذه المسألة ، فإنّ کثیراً من الخلافات تقع علی القضایا الحقیقیة التکوینیة کما فی اختلاف الأطبّاء فی العدید من الأدویة ، وأنّها نافعة أو ضارّة ؟ أو أنّ نفعها أکثر من ضررها أو بالعکس ؟ مع أنّ الواقع واحد لا یتغیّر ولا یختلف ، وهو کون الدواء نافعاً أو ضاراً ولو بنسبةٍ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کان الاختلاف لأجل اختلاف الظروف ، فإنّ مرجعه فی الحقیقة إلی اختلاف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عدم الاختلاف مثل أن یقول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الحائط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اختلافاً حقیقة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الکثیر من مسائل الحسن والقبح باختلاف الظروف ، فإنّ الکذب یکون حسناً فی بعض الحالات ، بینما یکون قبیحاً فی حالات اخری ، وهذا لا یعنی الاعتباریة ، بل اختلاف الظرف تکوینیّ ، وبتبعه یختلف الحسن</w:t>
      </w:r>
    </w:p>
    <w:p>
      <w:pPr>
        <w:pStyle w:val="BookText"/>
        <w:rPr/>
      </w:pPr>
      <w:r>
        <w:rPr>
          <w:rFonts w:ascii="IRNazanin" w:hAnsi="IRNazanin" w:eastAsia="IRNazanin"/>
          <w:color w:val="111111"/>
          <w:sz w:val="28"/>
          <w:sz w:val="28"/>
          <w:szCs w:val="28"/>
          <w:rtl w:val="true"/>
          <w:lang w:bidi="fa-IR"/>
        </w:rPr>
        <w:t xml:space="preserve">والقبح التکوینیّان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ممکن حتّی فی البدیهیّات لأنّ فی النفس البشریّة صحّة وسقم فی کلّ مراتبها ، سواء مرتبة القوی الإدراکیّة أو مرتبة القوی العملیّة ، فالشکّ وعدم الإحراز مهما قویت الأدلّة مرض فی الإدراک ، والتشکیک والرفض وعدم الإذعان مرض فی القوی العملیّة ، ولذا أجمع علماء المنطق علی أنّ اللجاج والعناد إذا استمرّ فی الإنسان کان مرضاً فی عقله العملیّ ، وهو ما عبّر عنه القرآن الکریم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القلوب والصمّ والبکم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الحاصل من ذلک لا یضرّ ببداهة البدیهیّ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الاختلاف ناشئ من مراعاة المصالح المادّیة لا من الاختلاف الحقیقیّ فی النظریّة ولا فی التطبیق ، کما هو الملحوظ فی بعض الفلاسفة المادّیّین الذین یقصدون من وراء إشاعة الخلاف الوصول إلی مآربهم السیاسیّة أو المادّیّة ولیسوا مخالفین حقیقة ، فهم مخالفون منکرون لنظریّتنا باللسان وقلوبهم عالمة مذعنة بصحّة ما نقول ، لأنّ عقولهم أسیرة للهوی والقوی الدانیة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عقل أسیر تحت هوی أمیر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الاختلاف لا ینبغی أن یعدّ خلافاً لأنّ الخلاف إنّما یقع فی ما بین العقلاء الذین یعملون بعقولهم ویستنیرون بها ، لا فی ما بین‌العقلاء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به ، فغایة ما یدلّ علیه هو عدم کون الحسن</w:t>
      </w:r>
    </w:p>
    <w:p>
      <w:pPr>
        <w:pStyle w:val="BookText"/>
        <w:rPr/>
      </w:pPr>
      <w:r>
        <w:rPr>
          <w:rFonts w:ascii="IRNazanin" w:hAnsi="IRNazanin" w:eastAsia="IRNazanin"/>
          <w:color w:val="111111"/>
          <w:sz w:val="28"/>
          <w:sz w:val="28"/>
          <w:szCs w:val="28"/>
          <w:rtl w:val="true"/>
          <w:lang w:bidi="fa-IR"/>
        </w:rPr>
        <w:t xml:space="preserve">والقبح أمراً بدیهیّاً لا أنّه لیس حقیقیّاً ، لأنّ النظریّ أیضاً لا یقضی به العقل ابتداءاً ککیفیّة صدور أفعال الباری عنه تعالی ، مع أنّ الحق هو حکم العقل بذلک ولیس حکمه متقوّماً بحالة الإجتماع البشریّ ، بل یقضی فی نفسه بأنّ الصدق حسن أو الکذب قبیح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أنّ قضاء العقل بالحسن والقبح لیس متقوّماً بالمجتمع البشریّ ، ولذلک إنّ الملائکة مع عدم وجود القوی الحیوانیّة فیهم ومع أنّ حیاتهم لیست حیاة اجتماعیّة مدنیّة وإنّما ارتباطهم تکوینیّ ، فإنّها تتأثّر وتتنفرّ من مظالم العباد ، والملک وجود عقلانیّ یتأثّر من الظلم ویستحسن الحسن فکذلک الإنسان یحکم بهما بعقله لا بسبب حالته الاجتماعیّة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ذلک عبّر سبحانه فی کتابه المجید عن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مَذْؤُماً مَدْحُوراً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مع أنّه لا یفترض وجود مجتمع بین اللّه تعالی وإبلیس ، لکی یُذمّ إبلیس من قبل ذلک المجتمع العقلائی ، أو أنّ معرفة إبلیس لذلک الذمّ کان بواسطة اعتبار العقلاء ، کما لا یفترض للملائکة مجتمع عقلائیّ وإنّما هم علیهم السلام وجودات عقلانیّة ، وکلّ ما یصدر هناک فهو تکوینیّ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سَکَتَ عَنْ مُوسَی الْغَضَبُ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فإنّ السکوت فی مقابل النطق وهو أمر عقلیّ ، ولم یعبّر بالسکون الذی هو مقابل الحرکة لأنّها خاصّیة الحیوان ممّا یدلّ علی أنّ غضبه علیه السلام وعدمه کان عقلیّاً إلهیّاً لا حیوانیّاً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ذلک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معونة إنسان کبیر لطفل عاجز لَحَکم عقله بحسن ذلک ، کما أنّه لو رأی ضرب ذلک الکبیر للطفل بلا سبب لحکم عقله</w:t>
      </w:r>
    </w:p>
    <w:p>
      <w:pPr>
        <w:pStyle w:val="BookText"/>
        <w:rPr/>
      </w:pPr>
      <w:r>
        <w:rPr>
          <w:rFonts w:ascii="IRNazanin" w:hAnsi="IRNazanin" w:eastAsia="IRNazanin"/>
          <w:color w:val="111111"/>
          <w:sz w:val="28"/>
          <w:sz w:val="28"/>
          <w:szCs w:val="28"/>
          <w:rtl w:val="true"/>
          <w:lang w:bidi="fa-IR"/>
        </w:rPr>
        <w:t xml:space="preserve">بقبح ذلک ، ممّا یدلّ علی ثبوت الحسن والقبح فطریّاً ، سواء کان الإنسان فی مجتمع أم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ابن سینا یصادم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 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وجدانیّة الحسن والقبح بما لخصّناه فی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دلیلهمالخامس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المحقّق الإصفهانی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مناقشته بأنّ هناک نوع انفعال عقلیّ کالغضب عقلیّاً ، بمعنی أن یکون المحرِّک للقوّة الدانیة هو العقل من قبیل غضب موسی علیه السلام ، وکما قال الأمیر علیه السلام فی بعض الوقائع التی أحدثها معاویة فی بعض أطراف البلاد الإسلامیّة فسلب ونهب وأرعب نساء المسلمین وأطفالهم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امرء مسلما مات من بعد هذا أسفا ما کان به ملوما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الغیظ والأسف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حیوانیّاً غریزیّاً بل عقلانیّ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عقلانیّته أنّ العقل إذا أدرک شیئاً حسناً أو قبیحاً ثمّ حرّک القوی الدانیة کان تحریکه بأمارة عقلیّة وسلطة تکوینیّة علی تلک القوی ، فتکون الحرکة حرکة عقلانیّة ویکون الغضب والرضا ناشئین من تحریک العقل وبعثه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المعلول والمسبّب یسند إلی علّة العلل لوجود السببیّة الحقیقیّة وکون الواسطة أو الوسائط لیست إلّاممرّاً وطریقاً إلی إیجاد المسبّب ولذا نجد القرآن الکریم قد أسند الموت تارة إلی ملک الموت ، واُخری إلی بعض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وثالثة إلی اللّه تعالی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ونشوء الغضب عن العقل وکذا سائر أفعال القوی الدانیة یستوجب نسبتها إلی</w:t>
      </w:r>
    </w:p>
    <w:p>
      <w:pPr>
        <w:pStyle w:val="BookText"/>
        <w:rPr/>
      </w:pPr>
      <w:r>
        <w:rPr>
          <w:rFonts w:ascii="IRNazanin" w:hAnsi="IRNazanin" w:eastAsia="IRNazanin"/>
          <w:color w:val="111111"/>
          <w:sz w:val="28"/>
          <w:sz w:val="28"/>
          <w:szCs w:val="28"/>
          <w:rtl w:val="true"/>
          <w:lang w:bidi="fa-IR"/>
        </w:rPr>
        <w:t xml:space="preserve">العقل ، علماً أنّه کمال لتلک القوی ، کما أنّ من کمال العقل العملیّ تلقّی مدرکاته من العقل النظریّ وکذا کمال النظریّ فی تلقّی العلوم من العوالم العلیا وهکذا حتّی تصل النوبة إلی المشیئة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تفسیر ما ورد مستفیضاً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رضانا أهل البیت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قواهم علیهم السلام الدانیة مؤتمرة بأوامر عقولهم ، وعقولهم مؤتمرة ومستنیرة بالحقائق العلویّة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قلوب الأئمة موردا لإرادته ، فإذا شاء شیئا شاؤه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کلّ رضا وکلّ غضب حیوانیّاً ، بل ولیس کلّ ما عدا الحیوانیّ عقلانیّاً فحسب بل هناک رضا وغضب إلهیّان ، أفلیس الجهاد الخالص فی سبیل اللّه ناشئاً عن غضب ورضاً إلهیّین ، کما فی ضربة علیّ علیه السلام لعمرو بن عبدودّ یوم الخندق ، حیث أنّه لم یقتله لغضب نفسه عندما بصق فی وجهه الشریف بل صبر هنیئة حتّی ملک نفسه ثمّ قتله لمحض الأمر الإلهیّ ، فکان فعله لأجل الغضب الإلهیّ ، وبذلک کانت ضربة علیّ علیه السلام یوم الخندق أفضل من عبادة الثقلین ، ومن هذا القبیل ما روی فی فاطمة علیها السلام من طرق العامّة والخاصّة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یغضب لغضبک ، ویرضی لرضاک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لأنّها لا تغضب ولا ترضی إلّاعن الأمر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یستفاد من الحدیث معنی أرقی من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لا یعرضه الکیف النفسانیّ من غضب أو رضا أو فرح وسرور أو ألم وحزن وغیر ذلک ، بل إذا وجد العقل أنّ إحدی هذه الصفات هی التی تنبغی عرضت تلک الکیفیّة علی النفوس الکاملة فکانت تجلّیاً للرضا أو للغضب أو الفرح أو الحزن الإلهیّ وبذلک یکون رضا فاطمة علیها السلام هو رضا اللّه تعالی وغضبها غضبه ، کما ورد عن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رضانا أهل البیت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له تعالی رضا غیر رضاهم ولا له غضب سوی غضبهم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فحصر الرضا والغضب بالحیوانیّ ، فی غیر محلّه ، بل إنّ ردّ المظلوم علی الظالم قد یکون إنفعالاً حیوانیّاً وقد یکون عقلانیّاً ، وربّما یکون إلهیّاً ، ومن المسلّم فی علوم المعارف الإلهیّة أنّ غضب الکُمّلین لیس حیوانیّاً بل عقلانیّ أو 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ادّعاه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السببیّة فی الظلم والعدل للحسن والقبح تکوینیّة حیوانیّة فی غیر محلّه ، وکذا دعوی أنّ مسببیّة الحسن والقبح تکوینیّة حیوانیّة ، بل هی تکوینیّة عقلانیّة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تبطل دعواه أنّ الغایة وهی الحسن والقبح والمغیّی أی الظلم والعدل اعتباریّان من اعتبارات العقلاء لأجل حفظ النظام ولیسا تکوینیین ، وذلک لأنّ الحدّ الماهویّ للمدح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التوصیف بالکمال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الاعتبارات النفس الأمریّة وهی الاعتبارات المنتزعة من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اعتباراً تخیُّلیاً ویکون الاعتبار المنتزع منه لغایة الوصول إلی ذلک الحدّ الماهویّ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غایة اخری هی تذکیر النفس بالکمال أو النقص الذی فی الفعل</w:t>
      </w:r>
    </w:p>
    <w:p>
      <w:pPr>
        <w:pStyle w:val="BookText"/>
        <w:rPr/>
      </w:pPr>
      <w:r>
        <w:rPr>
          <w:rFonts w:ascii="IRNazanin" w:hAnsi="IRNazanin" w:eastAsia="IRNazanin"/>
          <w:color w:val="111111"/>
          <w:sz w:val="28"/>
          <w:sz w:val="28"/>
          <w:szCs w:val="28"/>
          <w:rtl w:val="true"/>
          <w:lang w:bidi="fa-IR"/>
        </w:rPr>
        <w:t xml:space="preserve">فیکون نوع تکمیل وتزکیة للنفس من خلال تربیتها علی حُبّ الکمال والتقرّب إلیه ، وبغض النقص والابتعاد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وتلقین لها بالقضایا الحقیقیّة التکوینیّة ، لأنّ خاصیّة الفاعل الإرادیّ الإرادة والجزم المنبعثان عن الإذعان الإدراکیّ ، وهذا التلقینُ للنفوس ومتعلّقُه لیس اعتباریّاًتخیّلیّاً ، بل تکمیل تکوینیّ وتربیة للنفوس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عنالإشکال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 لأنّه حیث أخذ فی ماهیّة المدح التوصیف بالکمال ، فالکمال الذی هو منشأ التوصیف هو أمر عینیّ ومن أعراض الفعل ، غایة الأمر الأفعال تارة تتّصف بکمال متوسّط واُخری ابتدائیّ وثالثة نهائیّ وهذا بحث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فالتوصیف أمر نفس الأمریّ لا اعتباریّ ، نعم ، هو من سنخ الوجود لا من سنخ الماهیّات المقولیّة ، لأنّه توصیف بالکمال لا توصیف بمقولة خاصّة ، فمنشأ المدح وهو الکمال من سنخ الوجود لا من سنخ المقولات وهو عینیّ لا تخیّلیّ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ظهر أنّ المدح هو التوصیف بالکمال ، والذمّ هو التوصیف بالنقص ، یظهر أنّه لا ینحصر بقسم من أقسام القضایا السّتّة ، بل هو تارة من الوجدانیّات کما فی الأخلاقیّات ، واُخری قابل للإندراج فی عدّة من تلک المقولات ، فبعض کمالات الأفعال قد تکون محسوسة ونقائضها کذلک ، وبعضها قد تکون وجدانیّة نفسانیّة کحسن الظنّ أو سوء الظنّ أو غیر ذلک ، فحیث إنّ الکمال من سنخ الوجود أی التوصیف بالکمال ، فهو قابل للاندراج فی عدّة من أقسام البدیهیّات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الجواب عنالوجه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الاحترام نوع إنشاء لأنّ وضع وحرکة البدن باعتبار العقلاء یدلّ علی الاحترام أو الإهانة ، فالتلازم بین حرکة البدن والاحترام نوع من الاعتبار ، ولکن هذا الإنشاء یسمّی صادقاً إذا کان داعی المدح</w:t>
      </w:r>
    </w:p>
    <w:p>
      <w:pPr>
        <w:pStyle w:val="BookText"/>
        <w:rPr/>
      </w:pPr>
      <w:r>
        <w:rPr>
          <w:rFonts w:ascii="IRNazanin" w:hAnsi="IRNazanin" w:eastAsia="IRNazanin"/>
          <w:color w:val="111111"/>
          <w:sz w:val="28"/>
          <w:sz w:val="28"/>
          <w:szCs w:val="28"/>
          <w:rtl w:val="true"/>
          <w:lang w:bidi="fa-IR"/>
        </w:rPr>
        <w:t xml:space="preserve">هو الکمال التکوینی ، وإلّا یسمّی کذباً ودَجلاً ، حیث إنّ الاحترام منطوٍ ومتضمّن لنحوٍ من الإخبار ، فإذا لم یکن الطرف کاملاً لا یکون الاحترام توصیفاً حقیقیّاً صادقاً ، فالداعی الموجب له إن کان صادقاً حقیقیّاً یحکی عن الواقع فیکون صادقاً وإلّا کان کاذباً ، وغایة من یحترم الکبار داعیه تقدیس الکمال والحثّ علی الکمال ، لأنّ تقدیسه للصفات الحقیقیّة العلیا فی العالم ، لا لبدن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تلک الموارد لیس الحسن بلحاظ الإنشاء فی التعظیم ، بل بلحاظ الداعی فی التعظیم ، والفعل دلالة إنشائیّة علی ذلک بلحاظ الداعی ، فهو نوع کمال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خشع قلب المصلّی فی صلاته خشعت جوارحه ، فخضوع القلب الذی هو لازم خضوع العقل وهو مستلزم لخضوع الجوارح ، فهذا تقدیس للکمال وحثّ نحو الکمال ؛ نعم القدسیّة للأباطیل سجن وأغلال یجب أن تکسر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دعوی أن کلّ قدسیّ فیجب أن یصطدم معه لأنّ التقدیس والتعظیم تحجیر لمسیر التکامل ، فدعوی زائفة ، لأنّ القدسیّة أی الخضوع والإنقیاد صفة مهمّة کمالیّة وبرهنت کمالیّتها فی کلّ الفلسفات عدا السفسطة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القدسیّة رهینة الحقیقة یعنی الإنقیاد ، والتسلیم إنّما هو للحقیقة لا لشیء آخر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الإنشاء وإن کان مجرّد اعتبار یوجده المنشئ ، إلّاأنّه لا یکون إلّاعن داعٍ تکوینیّ ، ولذا قسّموا الإنشاء بحسب الداعی والغرض إلی ثمانیة أقسام ، والداعی فی موارد إنشاء المدح أو الذمّ هو إظهار کمال الممدوح ونقص المذموم ، وأمّا إذا لم یکن لهذا الداعی ، کما إذا کان لأجل مجرّد التصوّر والتخیّل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یلاحظ فی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یصدق علیه عنوان المدح والذمّ ، فإذا کان بذلک الداعی وتطابق ما أنشأه مع الواقع أی الکمال والنقص الواقعی المتصف به ذلک الموصوف ، فإنّه یقال عن المادح أو الذامّ أنّه صادق ، وإلّا کان کاذباً ، ولذا کان الکثیر من المدح والهجاء معدوداً فی قسم الکذب والزور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یبالغ المادح أو الذامّ فی مدحه أو هجائه ، وهذه المبالغة تکون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یرید من هذه التفاصیل التی یذکرها إنشاء إرادة جدّیة إنشائیّة بداعی إظهار الواقع ، فحینئذ تکون الزیادة التی قصدها من قسم الکذب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تکون الزیادة مرادة بالإرادة الجدّیّة ، بل بالإرادة الاستعمالیّة فقط ویرید بذلک الکنایة عن مراد جدّیّ إجمالیّ ، فهو بهذه التفاصیل التی یذکرها لا یرید إظهار الواقع بها بتفاصیلها ، وإنّما یرید أنّ هذه التفاصیل تحاکی فی درجتها درجة الواقع ، فالمعنی الجدّیّ المکنّی عنه هو الدرجة الإجمالیّة لا تفاصیل ما ذکره ، والمنشأ حقیقة هو هذا المعنی الکنائیّ المطابق للواقع ، فلا یکون کاذباً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الإنشاء الذی یصدق علیه عنوان المدح أو الذمّ لا یکون إلّابالداعی المزبور ، بل أنّ الإنشاء مع کونه وجوداً فرضیّاً اعتباریّاً فإنّه نحو إخبار وحکایة عن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قسم المدح والذم فی الإنشائیّات هو حاجة إلی إفتراض اعتباریّ مع کون المفترض إعتباراً ذا وجود تکوینیّ خارجیّ لوجوده وذهنیّ لمعناه ، وإنّما دعت الحاجة إلی افتراضه اعتباراً کما فی الکثیر من الموجودات التکوینیّة التی تحتاج أحیاناً إلی وجود آخر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الدلیلالثامن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لیس أمراً اعتباریّاً بل هی أمر حقیقیّ لأنّ حدّها هو وصول کلّ موجود إلی کماله المنشود من دون إعاقة غیره له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فالعدالة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وصول جمیع أفراد المجتمع إلی کمالهم المطلوب من دون إعاقة شریحة لاُخری ، وحینئذ فإعاقة جماعة أو فرد لکمال الغیر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والعدالة الاقتصادیّة هی قدرة أفراد المجتمع علی الإنتفاع والوصول إلی المنابع الطبیعیّة علی نحو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تکافؤ الفرص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والعدالة الفردیّة هی اتّزان قوی الفرد وأخذ کلّ قوّة موقعها المناسب لشأنها فی الفعل ، وکذا سائر أقسام العدالة ، فإنّها أجمع ترجع إلی التعریف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والتشریع والتقنین وإن کان مبیّناً للعدالة ولکن لا بمعنی أنّه یوجدها بل هو کاشف عن الکمال والنقص التکوینیّین وعن الکمال المناسب لکلّ موجود وعن النقص کذلک ، فهو یکشف عن تکافؤ الفرص فی واقع التکوین وعن موارد ممانعة موجود لآخر عن إدراک کماله المنشود ، ومن ثمّ یعرّف الحقّ الاعتباریّ بأنّه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یکون کاشفاً عن الکمال الطبیعیّ الممکن التحصیل للموجود ، وتبیّن بذلک أنّ أساس العدل والظلم هو الکمال والنقص ، وهما تکوینیّان لا اعتباریّان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الدلیلالتاسع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أشیر إلیه من خلال الإجابات السابقة وللتفصیل راجع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الاعتبار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للّه‌ربّ العالمین</w:t>
      </w:r>
      <w:bookmarkStart w:id="135" w:name="pg5252_44272"/>
    </w:p>
    <w:p>
      <w:pPr>
        <w:pStyle w:val="Heading2"/>
        <w:numPr>
          <w:ilvl w:val="1"/>
          <w:numId w:val="1"/>
        </w:numPr>
        <w:rPr/>
      </w:pPr>
      <w:bookmarkStart w:id="136" w:name="__RefHeading___Toc423051_581953129"/>
      <w:bookmarkStart w:id="137" w:name="_Toc50"/>
      <w:bookmarkEnd w:id="135"/>
      <w:bookmarkEnd w:id="136"/>
      <w:r>
        <w:rPr>
          <w:rtl w:val="true"/>
        </w:rPr>
        <w:t>القسم الثانی</w:t>
      </w:r>
      <w:r>
        <w:rPr>
          <w:rtl w:val="true"/>
        </w:rPr>
        <w:t>:</w:t>
      </w:r>
      <w:r>
        <w:rPr>
          <w:rtl w:val="true"/>
        </w:rPr>
        <w:t>الاصول القانونیّة فی التراث الدینی مصطفی الإسکندری</w:t>
      </w:r>
      <w:bookmarkEnd w:id="1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423053_581953129"/>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الحمد للّه‌رب العالمین ،</w:t>
      </w:r>
    </w:p>
    <w:p>
      <w:pPr>
        <w:pStyle w:val="BookText"/>
        <w:rPr/>
      </w:pPr>
      <w:r>
        <w:rPr>
          <w:rFonts w:ascii="IRNazanin" w:hAnsi="IRNazanin" w:eastAsia="IRNazanin"/>
          <w:color w:val="111111"/>
          <w:sz w:val="28"/>
          <w:sz w:val="28"/>
          <w:szCs w:val="28"/>
          <w:rtl w:val="true"/>
          <w:lang w:bidi="fa-IR"/>
        </w:rPr>
        <w:t>والصلاة والسلام علی سیّد المرسلین ،</w:t>
      </w:r>
    </w:p>
    <w:p>
      <w:pPr>
        <w:pStyle w:val="BookText"/>
        <w:rPr/>
      </w:pPr>
      <w:r>
        <w:rPr>
          <w:rFonts w:ascii="IRNazanin" w:hAnsi="IRNazanin" w:eastAsia="IRNazanin"/>
          <w:color w:val="111111"/>
          <w:sz w:val="28"/>
          <w:sz w:val="28"/>
          <w:szCs w:val="28"/>
          <w:rtl w:val="true"/>
          <w:lang w:bidi="fa-IR"/>
        </w:rPr>
        <w:t>وخاتم النبیّین صلی الله علیه و آله و سلم وآله الطیّبین الطاهرین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ولعنة اللّه علی أعدائهم أجمعین </w:t>
      </w:r>
      <w:r>
        <w:rPr>
          <w:rFonts w:eastAsia="IRNazanin" w:cs="IRNazanin"/>
          <w:color w:val="111111"/>
          <w:sz w:val="28"/>
          <w:szCs w:val="28"/>
          <w:rtl w:val="true"/>
          <w:lang w:bidi="fa-IR"/>
        </w:rPr>
        <w:t>.</w:t>
      </w:r>
      <w:bookmarkStart w:id="140" w:name="pg5252_44276"/>
    </w:p>
    <w:p>
      <w:pPr>
        <w:pStyle w:val="Heading3"/>
        <w:numPr>
          <w:ilvl w:val="2"/>
          <w:numId w:val="1"/>
        </w:numPr>
        <w:rPr/>
      </w:pPr>
      <w:bookmarkStart w:id="141" w:name="__RefHeading___Toc423055_581953129"/>
      <w:bookmarkStart w:id="142" w:name="_Toc52"/>
      <w:bookmarkEnd w:id="140"/>
      <w:bookmarkEnd w:id="141"/>
      <w:r>
        <w:rPr>
          <w:rtl w:val="true"/>
        </w:rPr>
        <w:t>نظام المعارف والأحکام وضابطة العرض علی الکتاب والسنّة</w:t>
      </w:r>
      <w:bookmarkEnd w:id="142"/>
    </w:p>
    <w:p>
      <w:pPr>
        <w:pStyle w:val="Heading4"/>
        <w:numPr>
          <w:ilvl w:val="3"/>
          <w:numId w:val="1"/>
        </w:numPr>
        <w:rPr/>
      </w:pPr>
      <w:bookmarkStart w:id="143" w:name="__RefHeading___Toc423057_581953129"/>
      <w:bookmarkStart w:id="144" w:name="_Toc53"/>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 xml:space="preserve">إنّه قد تکاثرت الجهود والبحوث فی الآونة الأخیرة علی طرق الأحادیث وأسانیدها ، والبحث فی شرائط حجیّة الصدور صغرویّاً وکبرویّاً ، واُهمل البحث فی المضمون ودرایة فقه مضمون الحدیث ، مع أنّ درایة مضامین الحدیث بحسب محکمات الکتاب والسنّة وموافقته لهما ومخالفته ، أعظم خطورةً وأسبق رتبةً فی بحث الحجیّة عن البحث الصدوری ، وحجّیته وشرائطه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کَثُر الترکیز علی الدلیل ، سواء فی جهة الدلالة التصوّریة کما فی مباحث الألفاظ ، أو التصدیقیّة کما فی مباحث الحجج ، واُهمل البحث عن ذات المدلول ومتن الحکم وواقع المضمون فی نفسه ، وهذه الظاهرة متفشّیة فی الآونة الأخیرة فی جملة من العلوم النقلیّة ، کالفقه والتفسیر والکلام ، مع أنّ اللازم وواقع الحال هو الترکیز الجهد أوّلاً علی المضمون ، ثمّ تصل النوبة إلی البحث عن الصدور وحجّیته وشرائطه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الظاهرة السقیمة هی فی الأصل منبثقة من مسلک الحشویّة فی الحدیث ، حیث أنّه کان المهمّ لدیهم البحث فی طرق الحدیث واعتبار الکُتُب وضبط الرواة ، ولم یکونوا یُولُون أهمّیة للمضمون ، ومن ثمّ شدّد النکیر علیهم ذَوُو المنهج الفقهیّ والمنهج التحلیلیّ الکلامیّ ، وکان اسم الحشویّة رمزاً</w:t>
      </w:r>
    </w:p>
    <w:p>
      <w:pPr>
        <w:pStyle w:val="BookText"/>
        <w:rPr/>
      </w:pPr>
      <w:r>
        <w:rPr>
          <w:rFonts w:ascii="IRNazanin" w:hAnsi="IRNazanin" w:eastAsia="IRNazanin"/>
          <w:color w:val="111111"/>
          <w:sz w:val="28"/>
          <w:sz w:val="28"/>
          <w:szCs w:val="28"/>
          <w:rtl w:val="true"/>
          <w:lang w:bidi="fa-IR"/>
        </w:rPr>
        <w:t xml:space="preserve">لهذا المنهج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أنّ المنهج الصحیح من ترکیز الأهمّیة والعنایة بالمضمون ، ثمّ البحث عن الصدور ، یُرمی فی هذا العصر بالحشویّة ، واستُعیر له هذا الإسم ، وهذه الظاهرة والتسمیة المغلوطة هی فی الحقیقة إماتة للبصیرة العلمیّة ولمنهج الدراسة فی فقه الدین لا بمعنی تحکیم الآراء العقلیّة للعقول المحدودة البشریّة علی التراث المنقول وتحکیم الذوق السلیقی والقرائح النفسیّة علی المتون الدینیّة ، فإنّ دین اللّه لا یُصاب بالعقول ، بل المراد تحکیم المحکم من الکتاب والسنّة والعقل علی المتشابه بنحو منضبط فی اصول وقواعد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لیس المراد من هذا المنهج إلغاء البحث فی الصدور وشرائطه بتاتاً ، بل المراد هو التنبیه علی أنّ رتبة البحث فی الصدور متأخّرة عن البحث فی درایة المضمون وحجّیته فی نفسه بالمعنی الأعمّ ، وکذا التنبیه علی أنّ حجّیة الصدور لیست هی تمام أجزاء الحجّیة ، بل هی جزء من مجموع أجزاء ، کالحال فی لزوم والافتقار إلی حجّیة الدلالة وحجّیة جهة الصدور لاستکمال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والتنبیه علی أنّ حجّیة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من مجموع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الرکن الرکین فی مجموع الحجّیة ، بل هو الأقلّ فی الأهمیّة وإن لم ینتفِ دوره ولم ینتفِ لزومه وضرورته ، حتّی أنّه قد عبّر البعض من المتقدِّمین فی بیان دور الصدور فی مجموع الحجّیة بأنّه بمثابة إحدی القرائن لترکیب الحجّیة أو واحدة من القرائن التی یتألّف منها الکاشف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ینبّه علی أنّ الإقتصار فی الترکیز علی الصدور هو من مسلک الحشویّة المفتقد للموازین العلمیّة ، هو تشدّد المذهب السلفیّ والوهابیّ علی البحث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ومتارکتهم للبحث المضمونیّ ؛ لکون منهجهم فی الأصل هو</w:t>
      </w:r>
    </w:p>
    <w:p>
      <w:pPr>
        <w:pStyle w:val="BookText"/>
        <w:rPr/>
      </w:pPr>
      <w:r>
        <w:rPr>
          <w:rFonts w:ascii="IRNazanin" w:hAnsi="IRNazanin" w:eastAsia="IRNazanin"/>
          <w:color w:val="111111"/>
          <w:sz w:val="28"/>
          <w:sz w:val="28"/>
          <w:szCs w:val="28"/>
          <w:rtl w:val="true"/>
          <w:lang w:bidi="fa-IR"/>
        </w:rPr>
        <w:t xml:space="preserve">مسلک أهل الحدیث فی الاتّجاه الحشویّ ومن ثمّ لا یُقیمون لبحث المضمون وزناً ولا یتعمّقون فی دراسة متن الحدیث وعرضه التحلیلیّ علی الکتاب والسنّة بل هم یُشعلون نائرتهم علی السند والطریق کوسیلة لجحود المضمون الذی لا تستهویه نفوسهم ولا تنقاد له عقائدهم وآراؤهم ، ومن ثمّ یکیِّفون الجرح والتعدیل وتصحیح الحدیث حسب ما یتبنّوه من آراء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ولرفع الغطاء عن وجه البحث لابدّ من التمعُّن والتدبُّر فی عدّة نقاط نقدّمها لکم بعونه تعالی </w:t>
      </w:r>
      <w:r>
        <w:rPr>
          <w:rFonts w:eastAsia="IRNazanin" w:cs="IRNazanin"/>
          <w:color w:val="111111"/>
          <w:sz w:val="28"/>
          <w:szCs w:val="28"/>
          <w:rtl w:val="true"/>
          <w:lang w:bidi="fa-IR"/>
        </w:rPr>
        <w:t>.</w:t>
      </w:r>
      <w:bookmarkStart w:id="145" w:name="pg5252_44279"/>
    </w:p>
    <w:p>
      <w:pPr>
        <w:pStyle w:val="BookText"/>
        <w:rPr/>
      </w:pPr>
      <w:bookmarkEnd w:id="145"/>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6" w:name="__RefHeading___Toc423059_581953129"/>
      <w:bookmarkStart w:id="147" w:name="_Toc54"/>
      <w:bookmarkEnd w:id="146"/>
      <w:r>
        <w:rPr>
          <w:rtl w:val="true"/>
        </w:rPr>
        <w:t>تقدّم البحث المضمونیّ علی البحث الصدوریّ</w:t>
      </w:r>
      <w:bookmarkEnd w:id="147"/>
    </w:p>
    <w:p>
      <w:pPr>
        <w:pStyle w:val="BookText"/>
        <w:rPr/>
      </w:pPr>
      <w:r>
        <w:rPr>
          <w:rFonts w:ascii="IRNazanin" w:hAnsi="IRNazanin" w:eastAsia="IRNazanin"/>
          <w:color w:val="111111"/>
          <w:sz w:val="28"/>
          <w:sz w:val="28"/>
          <w:szCs w:val="28"/>
          <w:rtl w:val="true"/>
          <w:lang w:bidi="fa-IR"/>
        </w:rPr>
        <w:t xml:space="preserve">إنّ البحث عن ضوابط صحّة المضمون والمناهج المتّبعة فیه ، والقواعد والآلیّات للفحص عن صحّته وعدمه بتوسّط العرض علی محکمات الکتاب وسُنّة المعصومین القطعیّة ، لهی أهمّ من البحث فی حجّیة خبر الواحد ، أی حجّیة صدوره ؛ لأنّ غایة ما أثاره الاُصولیّون فی ذلک المبحث هو بحث الصدور وشرائطه ودلالة الأدلّة علیه ، وهو بحث إثباتیّ أکثر منه ثبوتیّاً ، أی من شؤون الإستنباط الذی هو استکشاف عالم الدلالة التصوّریة والتصدیقیة ، بینما البحث فی صحّة المضمون هو من البحث فی اصول واُسس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المسألة من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البحث فی اسس واُصول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البحث فی المسائل الاعتقادیّة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فالبحث فی صحّة المضمون یرجع إلی البحث فی متن الثبوت ومنظومة ذات القانون أو منظومة ذات المعارف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کان البحث فی ضوابط صحّة المضمون من المسائل المرتبطة باُصول القانون </w:t>
      </w:r>
      <w:r>
        <w:rPr>
          <w:rFonts w:eastAsia="IRNazanin" w:cs="IRNazanin"/>
          <w:color w:val="111111"/>
          <w:sz w:val="28"/>
          <w:szCs w:val="28"/>
          <w:rtl w:val="true"/>
          <w:lang w:bidi="fa-IR"/>
        </w:rPr>
        <w:t>.</w:t>
      </w:r>
      <w:bookmarkStart w:id="148" w:name="pg5252_44280"/>
    </w:p>
    <w:p>
      <w:pPr>
        <w:pStyle w:val="BookText"/>
        <w:rPr/>
      </w:pPr>
      <w:bookmarkEnd w:id="148"/>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9" w:name="__RefHeading___Toc423061_581953129"/>
      <w:bookmarkStart w:id="150" w:name="_Toc55"/>
      <w:bookmarkEnd w:id="149"/>
      <w:r>
        <w:rPr>
          <w:rtl w:val="true"/>
        </w:rPr>
        <w:t>دور معرفة صحّة المضمون فی الاستنباط</w:t>
      </w:r>
      <w:bookmarkEnd w:id="150"/>
    </w:p>
    <w:p>
      <w:pPr>
        <w:pStyle w:val="BookText"/>
        <w:rPr/>
      </w:pPr>
      <w:r>
        <w:rPr>
          <w:rFonts w:ascii="IRNazanin" w:hAnsi="IRNazanin" w:eastAsia="IRNazanin"/>
          <w:color w:val="111111"/>
          <w:sz w:val="28"/>
          <w:sz w:val="28"/>
          <w:szCs w:val="28"/>
          <w:rtl w:val="true"/>
          <w:lang w:bidi="fa-IR"/>
        </w:rPr>
        <w:t xml:space="preserve">إنّ البحث فی صحّة المضمون علی ضوء النقطة السابقة یتوقّف علی عارضة فقهیّة وإحاطة بالأبواب ، وإلمام بالمنظومة الفقهیّة وترابطها ، وتوالد الأبواب والأحکام بعضها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کان المتن فی الفروع وکذلک الحال فی ما کان المتن فی الاعتقادیّات ، فتتحقّق القدرة علی معرفة صحّة المضمون وضوابطه علی قوّة الملکة والدرایة بمسائل علم الفقه الأکبر والأصغر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البحث فی حجّیة الصدور ؛ فإنّه یتوقّف علی الإلمام بعلم الرجال ، ودرایة طرق الحدیث والطبقات ، فهو جانب تراجمیّ تاریخیّ ، ومن ثمّ لم یعدّه جملة من الأُصولیین من شرائط الفقاهة والاجتهاد وإن کان الصحیح اعتباره ، إلّاأنّه لم یعدّ الإلمام به رُکنیّ محوریّ فی ملکة الفقاهة والاجتهاد وهذا ممّا یعکس الفارق البنیوی بین البحث فی صحّة المضمون عن البحث فی صحّة الصدور </w:t>
      </w:r>
      <w:r>
        <w:rPr>
          <w:rFonts w:eastAsia="IRNazanin" w:cs="IRNazanin"/>
          <w:color w:val="111111"/>
          <w:sz w:val="28"/>
          <w:szCs w:val="28"/>
          <w:rtl w:val="true"/>
          <w:lang w:bidi="fa-IR"/>
        </w:rPr>
        <w:t>.</w:t>
      </w:r>
      <w:bookmarkStart w:id="151" w:name="pg5252_44281"/>
    </w:p>
    <w:p>
      <w:pPr>
        <w:pStyle w:val="BookText"/>
        <w:rPr/>
      </w:pPr>
      <w:bookmarkEnd w:id="151"/>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2" w:name="__RefHeading___Toc423063_581953129"/>
      <w:bookmarkStart w:id="153" w:name="_Toc56"/>
      <w:bookmarkEnd w:id="152"/>
      <w:r>
        <w:rPr>
          <w:rtl w:val="true"/>
        </w:rPr>
        <w:t>التحلیل المضمونیّ وجذوره</w:t>
      </w:r>
      <w:bookmarkEnd w:id="153"/>
    </w:p>
    <w:p>
      <w:pPr>
        <w:pStyle w:val="BookText"/>
        <w:rPr/>
      </w:pPr>
      <w:r>
        <w:rPr>
          <w:rFonts w:ascii="IRNazanin" w:hAnsi="IRNazanin" w:eastAsia="IRNazanin"/>
          <w:color w:val="111111"/>
          <w:sz w:val="28"/>
          <w:sz w:val="28"/>
          <w:szCs w:val="28"/>
          <w:rtl w:val="true"/>
          <w:lang w:bidi="fa-IR"/>
        </w:rPr>
        <w:t xml:space="preserve">إنّ البرهان الصناعیّ علی رُکنیة صحّة المضمون فی الحجّیة وفرعیّة حجّیة الصدور فی منظومة الحجّیة یُمکن أن یقرّر بالنحو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البحث فی صحّة المضمون إذا قرّر فیه عدم الصحّة فی مورد معیّن ، فیلزم منه انعدام ثمرة الروایة من رأس ولَغویّة البحث فی الصدور تماماً وهذا بخلاف العکس ، فإنّه مع صحّة المضمون لوانتفت حجّیة الصدور فإنّه لا تنعدم ولا ترتفع الثمرة العلمیّة والشرعیّة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مع إنتفاء حجّیة الصدور لا ینتفی احتمال الصدور ، ویظلّ احتمال الصدور قائماً ؛ فإذا اعتضد بالدرجة الأقوی من صحّة المضمون والتی هی بمعنی الموافقة القریبة من المحکمات والعمومات ، فإنّ هذا یُقوّی درجة احتمال الصدور ویستلزم معالجة مضمونه بالإضافة إلی العمومات بأن یُبذل الجهد فی تحلیل مضمونه ومضمون العموم والفحص عن القدرة فی استخراج مضمونه من مضمون العموم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وبالتالی یکون المعتمد علی العموم الفوقانیّ ویکون الخبرُ المحتملُ الصدور الصحیحُ المضمون ، بمثابة القرینة المنضمّة إلی دلالة العموم ، الکاشفة عن دلالة العموم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هذا من العکس ؟ فإنّه مع مخالفة المضمون للکتاب والسنّة لا یبقی مجال لاحتمال الصدور </w:t>
      </w:r>
      <w:r>
        <w:rPr>
          <w:rFonts w:eastAsia="IRNazanin" w:cs="IRNazanin"/>
          <w:color w:val="111111"/>
          <w:sz w:val="28"/>
          <w:szCs w:val="28"/>
          <w:rtl w:val="true"/>
          <w:lang w:bidi="fa-IR"/>
        </w:rPr>
        <w:t>.</w:t>
      </w:r>
      <w:bookmarkStart w:id="154" w:name="pg5252_44282"/>
    </w:p>
    <w:p>
      <w:pPr>
        <w:pStyle w:val="BookText"/>
        <w:rPr/>
      </w:pPr>
      <w:bookmarkEnd w:id="154"/>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5" w:name="__RefHeading___Toc423065_581953129"/>
      <w:bookmarkStart w:id="156" w:name="_Toc57"/>
      <w:bookmarkEnd w:id="155"/>
      <w:r>
        <w:rPr>
          <w:rtl w:val="true"/>
        </w:rPr>
        <w:t>تحلیل المضمون بحث فی المتشابه</w:t>
      </w:r>
      <w:bookmarkEnd w:id="156"/>
    </w:p>
    <w:p>
      <w:pPr>
        <w:pStyle w:val="BookText"/>
        <w:rPr/>
      </w:pPr>
      <w:r>
        <w:rPr>
          <w:rFonts w:ascii="IRNazanin" w:hAnsi="IRNazanin" w:eastAsia="IRNazanin"/>
          <w:color w:val="111111"/>
          <w:sz w:val="28"/>
          <w:sz w:val="28"/>
          <w:szCs w:val="28"/>
          <w:rtl w:val="true"/>
          <w:lang w:bidi="fa-IR"/>
        </w:rPr>
        <w:t xml:space="preserve">إنّ البحث فی حجّیة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بحث فی المتشابه صدوراً فیرجع فی رفع متشابهه إلی ما هو محکم صدوراً ، فإنّ البحث الصدوریّ هو بحث فی درجات الإحتمال ، بینما البحث فی صحّة المضمون هو بحث فی المتشابه معنیً فیرجع إلی المحکم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التقدیرین وکلا القسمین فی المتشابه ، فاللازم فی‌المتشابه ، إرجاعه إلی المحکم لا معالجته بنحو مبتور عن المحکم ، فلا یعالج مستقلّاً عن المحکم ولا یُحکم به ولا علیه بعیداً عن المحکم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 الروایة الضعیفة صدوراً من دون معالجة مضمونها بتوسّط دلالات المحکمات ، خروج عن القاعدة فی المتشابه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تُسمّی هذا ، أنّ المنهج المنطقیّ والفطریّ فی مسائل العلوم هو البحث عن المسألة فی ضمن مجموع نظام ذلک العلم ومسائله ومجموع قضایاه وأمّا المعالجة التجزیئیّة المنقطعة عن المجموعة ، فهی منهج أبتر لایعقّب الوصول إلی الحقیقة ، وهذا المیزان المنطقیّ من المنهج یُحتِّم معالجة الروایة فی صحّة مضمونها أوّلاً کی یکون تقییماً ووزناً لحجّیة الروایة فی ضمن مجموع نظام الدّین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لزوم النظر المجموعیّ فی مجموع طرق الصدور وعدم معالجة السنّة وطریق الروایة بنحو منعزل عن بقیّة الطرق </w:t>
      </w:r>
      <w:r>
        <w:rPr>
          <w:rFonts w:eastAsia="IRNazanin" w:cs="IRNazanin"/>
          <w:color w:val="111111"/>
          <w:sz w:val="28"/>
          <w:szCs w:val="28"/>
          <w:rtl w:val="true"/>
          <w:lang w:bidi="fa-IR"/>
        </w:rPr>
        <w:t>.</w:t>
      </w:r>
      <w:bookmarkStart w:id="157" w:name="pg5252_44283"/>
    </w:p>
    <w:p>
      <w:pPr>
        <w:pStyle w:val="BookText"/>
        <w:rPr/>
      </w:pPr>
      <w:bookmarkEnd w:id="157"/>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58" w:name="__RefHeading___Toc423067_581953129"/>
      <w:bookmarkStart w:id="159" w:name="_Toc58"/>
      <w:bookmarkEnd w:id="158"/>
      <w:r>
        <w:rPr>
          <w:rtl w:val="true"/>
        </w:rPr>
        <w:t>قاعدة حرمة ردّ الأحادیث</w:t>
      </w:r>
      <w:bookmarkEnd w:id="159"/>
    </w:p>
    <w:p>
      <w:pPr>
        <w:pStyle w:val="BookText"/>
        <w:rPr/>
      </w:pPr>
      <w:r>
        <w:rPr>
          <w:rFonts w:ascii="IRNazanin" w:hAnsi="IRNazanin" w:eastAsia="IRNazanin"/>
          <w:color w:val="111111"/>
          <w:sz w:val="28"/>
          <w:sz w:val="28"/>
          <w:szCs w:val="28"/>
          <w:rtl w:val="true"/>
          <w:lang w:bidi="fa-IR"/>
        </w:rPr>
        <w:t xml:space="preserve">إنّه قد ورد جملة من الأحادیث ، قد استفاد منها کلّ من الأُصولیین والأخباریّین حُرمة ردِّ الحدیث الذی لم تتوفّر فیه شرائط حجّیة الصدور ؛ والروایات الدالّة علی ذلک جملة متظافرة من الروایات وینبغی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تحلیل هذا الحکم الذی اتّفقوا علیه ، صناعیّاً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نُبذ من الروایات الدالّة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تحلیل قاعدة حرمة الردِّ للأحادیث المحتملة الصدور ، فهذا الحکم له قیود وموضوع ومحمول ومتعلّق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فأمّاموضوعه ، فهو الحدیث والخبر الوارد المحتمل للصدور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وأمّاقیوده ، فهو صحّة مضمون ذلک الحدیث ، أی عدم مخالفته للکتاب والسنّة القطعیّة أو موافقته القریبة للعمومات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یتبیّن أهمّیة صحّة المضمون ، وإنّه یترتّب علی صحّة المضمون بمفردها حکم شرعیّ إلزامیّ وهو حرمة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درجة من الحجّیة ، إذ معنی المحمول فی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حرمة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الحکم علی مضمونه بالبطلان ، بل التوقّف والتریُّث والتدبُّر والفحص لاستکشاف مطابقة مضمونه مع المحکمات والفحص فی الشُبهات الحکمیّة ؛ ملزم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یتجلّی أنّ احتمال الصدور المنضمّ إلی صحّة المضمون أو الذی</w:t>
      </w:r>
    </w:p>
    <w:p>
      <w:pPr>
        <w:pStyle w:val="BookText"/>
        <w:rPr/>
      </w:pPr>
      <w:r>
        <w:rPr>
          <w:rFonts w:ascii="IRNazanin" w:hAnsi="IRNazanin" w:eastAsia="IRNazanin"/>
          <w:color w:val="111111"/>
          <w:sz w:val="28"/>
          <w:sz w:val="28"/>
          <w:szCs w:val="28"/>
          <w:rtl w:val="true"/>
          <w:lang w:bidi="fa-IR"/>
        </w:rPr>
        <w:t xml:space="preserve">هو وصف لصحّة المضمون یکون منجِّزاً ملزِماً للفحص وللمراعاة ، وهذا معنی أنّ لصحّة المضمون واحتمال الصدور درجة من الحجّیة وإن لم تکن بمقدار حجّیة الصدور عند توفّر شرائط صحّة الطریق والصدور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ذلک بوضوح بالإلتفات إلی ما مرّ من أنّ المضمون الصحیح المحتمل صدوره فی معرض تشکیل قرینة علی مفاد المستخلص من العمومات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متعلّق هذه القاعدة ، فهو الردّ ، والردُّ یقع علی معنیین وبنحوین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بمعنی الحکم ، من البطلان والإنکار لمضمون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بمعنی الإعراض وعدم الاکتراث بالمضمون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المعنی الثانی فحرمة الردِّ تقتضی لزوم الإعتناء والإهتمام فی الفحص عن صحّة مضمون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یکون للخبر المحتمل صدوره معنیً من الحجّیة یُغایر الحجّیة المصطلحة وینطبق علی معنی حرمة 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الدالّة علی ذلک ، فنشیر إلی بعض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أبی عبیدة الحذّاء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أحب أصحابی إلی أورعهم و أفقههم و أکتمهم لحدیثنا، و إن أسوأ هم عندی حالا و أمقتهم للذی إذا سمع الحدیث ینسب إلینا و یروی عنا، فلم یقبله ، اشمأز منه و جحده و کفر من دان به و هو لا یدری لعل الحدیث من عندنا خرج و إلینا أسند، فیکون بذلک خارجا من و لا یتنا</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الکلینی بطریق صحیح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ابن إدریس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مشیخة الحسن بن محبوب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البیّن أنّ موردها فی الروایة التی لم تتوفّر علی شرائط حجّیة الصدور وإلّا لما کان الراوی لا یدری أنّها صدرت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أنّه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نزلت بکم حادثة لا تعلمون حکمها فی ما ورد عنا،فانظروا إلی ما رووه عن علی علیه السلام فاعملوا به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وأبو عبداللّه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تصدق علینا إلاما و افق کتاب الله و سنته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عهد أمیر المؤمنین علیه السلام وکتابه إلی مالک الأشتر ، الذی رواه کلّ من الشیخ والنجاشیّ بطریق معتبر ،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واردد إلی الله و رسوله ما یضلعک من الخطوب ، و یشتبه علیک من الأمور،فقد قال الله سبحانه لقوم أحب إرشادهم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فالراد إلی الله الآخذ بمحکم کتابه ،و الراد إلی الرسول الآخذ بالسنة الجامعة غیر المتفرقة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یُشیر إلی قاعدة علمیّة عامّة فی المعارف الاعتقادیّة وفی استنباط الحکم الشرعیّ من أنّ اللازم فیها تحکیم محکمات الکتاب والسنّة وإنّ أمره تعالی بالردِّ إلی اللّه والرسول هو إشارة إلی هذا المنهج المنطقیّ من أنّ کلّ شیء</w:t>
      </w:r>
    </w:p>
    <w:p>
      <w:pPr>
        <w:pStyle w:val="BookText"/>
        <w:rPr/>
      </w:pPr>
      <w:r>
        <w:rPr>
          <w:rFonts w:ascii="IRNazanin" w:hAnsi="IRNazanin" w:eastAsia="IRNazanin"/>
          <w:color w:val="111111"/>
          <w:sz w:val="28"/>
          <w:sz w:val="28"/>
          <w:szCs w:val="28"/>
          <w:rtl w:val="true"/>
          <w:lang w:bidi="fa-IR"/>
        </w:rPr>
        <w:t xml:space="preserve">یکون أقلّ إحکاماً فی الحجّیة والدلالة بالإضافة والقیاس إلی ما هو أشد إحکاماً وإتقاناً ، فاللازم إرجاع الأدنی إلی الأعلی ؛ کما أنّ اللازم تحکیم المحکم علی الأقلّ إحکاماً ، إذ الأقلّ إحکاماً یُعدّ مشتبهاً بالقیاس إلی ما هو أتقن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فالشیء الذی هو حجّة فی نفسه وحجّیته ذات رتبة معیّنة لا یعنی ذلک إطلاق سعة حجّیته ، بل اللازم الأخذُ فی حجّیته شرطیّة موافقته ومطابقته لما هو أمتن حجّیةً منه ، فلا یقتضی اعتبار الحجّیة له إرسالُ حجّیته عن قیدیّة تحکیم الحجج العُلیا علیه ؛ فنظام تسلسل الحجج بذاته یقتضی تحکیم الأعلی علی الأدنی وما هو کالأصل علی ما هو کالفرع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کثُر عند المتقدِّمین فی کتبهم الکلامیّة والفقهیّة کعبائر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المرتضی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رسائله ، واُستاذهم الشیخ المفید وکذا الحلبیّین وابن حمزة وابن إدریس وغیرهم ، التعبیر بأنّ هذا الخبر أشبه بأُصول المذهب وقواعده ، أو أنّ ذاک الخبر مخالف لأُصول المذهب وقواعده أو لضروریّ المذهب أو لما تسالموا علیه أو نحو ذلک ، مع أنّ الموافقة والمخالفة نظریّة مستنبطة ولیست ضروریّة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هذا التعبیر أیضاً فی کلمات المتأخِّرین فی کُتبهم الکلامیّة والفقهیّة أیضاً کالمحقّق الحلّی والعلّامة والشهیدین والکرکیّ والمقدّس الأردبیلیّ وصاحب المدارک ، والملحوظ فی جملة من الطبقتین أنّ جماعة منهم لا یعملون بالخبر إلّاإذ أولد علماً ، ومع ذلک اشترطوا فی الخبر أن یکون موافقاً لأُصول وقواعد المذهب ، أی موافقاً لمحکمات الکتاب والسنّة النبویّة القطعیّة ولمحکمات سنّة المعصومین علیهم السلام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صحیح جمیل بن درّاج ، عن أبی عبداللّه علیه السلام ، 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w:t>
      </w:r>
    </w:p>
    <w:p>
      <w:pPr>
        <w:pStyle w:val="BookText"/>
        <w:rPr/>
      </w:pPr>
      <w:r>
        <w:rPr>
          <w:rFonts w:ascii="IRNazanin" w:hAnsi="IRNazanin" w:eastAsia="IRNazanin"/>
          <w:color w:val="111111"/>
          <w:sz w:val="28"/>
          <w:sz w:val="28"/>
          <w:szCs w:val="28"/>
          <w:rtl w:val="true"/>
          <w:lang w:bidi="fa-IR"/>
        </w:rPr>
        <w:t xml:space="preserve">الشبهة خیر من الاقتحام فی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کل حق حقیقة ، و علی کل صواب نورا، فما و افق کتاب الله فخذوه ،و ما خالف کتاب الله فدعوه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مسائل الرجال ، عن علیّ بن محمّد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 ما لم تعلموا فردوه إلینا</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جابر عن أبی جعفر علیه السلام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أمرنا و ما جاءکم عنا، فإن وجدتموه من القرآن موافقا فخذوا به ، و إن لم تجدوه موافقا فردوه ،و إن اشتبه الأمر علیکم فقفوا عنده وردوه إلینا حتی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160" w:name="pg5252_44288"/>
    </w:p>
    <w:p>
      <w:pPr>
        <w:pStyle w:val="BookText"/>
        <w:rPr/>
      </w:pPr>
      <w:bookmarkEnd w:id="160"/>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61" w:name="__RefHeading___Toc423069_581953129"/>
      <w:bookmarkStart w:id="162" w:name="_Toc59"/>
      <w:bookmarkEnd w:id="161"/>
      <w:r>
        <w:rPr>
          <w:rtl w:val="true"/>
        </w:rPr>
        <w:t>مبنی الحجّیة فی خبر الواحد</w:t>
      </w:r>
      <w:bookmarkEnd w:id="162"/>
    </w:p>
    <w:p>
      <w:pPr>
        <w:pStyle w:val="BookText"/>
        <w:rPr/>
      </w:pPr>
      <w:r>
        <w:rPr>
          <w:rFonts w:ascii="IRNazanin" w:hAnsi="IRNazanin" w:eastAsia="IRNazanin"/>
          <w:color w:val="111111"/>
          <w:sz w:val="28"/>
          <w:sz w:val="28"/>
          <w:szCs w:val="28"/>
          <w:rtl w:val="true"/>
          <w:lang w:bidi="fa-IR"/>
        </w:rPr>
        <w:t xml:space="preserve">إنّه قد اختلفت فی مبنی الحجّیة فی خبر الواحد وأبرزُ القولین فی المسألة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حجّیة خبر الموثوق بصدوره والمطمئنّ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وحجّیة خبر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أو الأشهر عند الفقهاء والرجالیین والمتکلّمین هو القول الأوّل ، بل قد شدّد جملة من المتقدّمین کالمفید والمرتضی والطوسیّ النکیر علی حجّیة خبر الواحد لمجرّد کونه ثقة ، واشترطوا فی العمل بالخبر کونه مفیداً للعلم والإطمئنان ، وکذا ابن إدریس والحلبیّین وجملة المتقدّمین ، بل وجملة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خصوص العلم بمعنی الیقین ، بل مرادهم هو الظنّ المتاخم للعلم الذی یورِّث الإطمئنان وإنّ کثیراً من الأدلّة التی اقیمت علی حجّیة الخبر هی بلحاظ الوثوق والإطمئنان بالصدور ، بل إنّ توصیف خبر الواحد بخبر الثقة یُراد من هذا الوصف ، الراوی الذی یحصل من کلامه الوثوق والإطمئنان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صرف عدالة الراوی وحُسن سلوکه وصدق لسانه لا یوجب الوثوق بالصدور ، إذ حیثیّة الإشتباه والضبط والقدرة العلمیّة فی التلقّی والاستیعاب وقوّة الحافظة وقوّة البیان ، کلّ هذه الأُمور هی عوامل مؤثّرة</w:t>
      </w:r>
    </w:p>
    <w:p>
      <w:pPr>
        <w:pStyle w:val="BookText"/>
        <w:rPr/>
      </w:pPr>
      <w:r>
        <w:rPr>
          <w:rFonts w:ascii="IRNazanin" w:hAnsi="IRNazanin" w:eastAsia="IRNazanin"/>
          <w:color w:val="111111"/>
          <w:sz w:val="28"/>
          <w:sz w:val="28"/>
          <w:szCs w:val="28"/>
          <w:rtl w:val="true"/>
          <w:lang w:bidi="fa-IR"/>
        </w:rPr>
        <w:t xml:space="preserve">للوثوق بالصدور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ثمّ کان صفات الراوی هی أحد أسباب الوثوق لا تمامها ، وإنّ أسباب الوثوق قد تنتظم فی قوالب معیّنة فَتُضْبَط وتوصف بالحجّیة ، مع أنّ المراد لیس إنّها تمام موضوع الحجّیة ، بل جزؤه وبعض أسباب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جملة من أسباب الوثوق الأُخری التی قد لا تَنضبط فی جامع معیّن لتوصف بالحجّیة لقالبها بالخصوص ، لکنّها تأتلف وتتراکم کیفاً وکمّاً بقانون حساب الإحتمالات فینتج ضریبها الوثوق والاطمئنان ، وقانون تراکم الإحتمالات قاعدة ریاضیّة مسلّمة وإن لم تنضبط مؤدّاها فی امور معیّنة مُقَوْلَبة مُؤطّرة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یتّضح أنّ صفات الراوی هی أحد أسباب الوثوق ، وبعضها لا تمامها ، وإنّ صحّة المضمون فضلاً عن قوّته هو من الأسباب القویّة جدّاً لتکوّن الإطمئنان بالصدور ، کما أنّ ضعف المضمون ومنافاته لمحکمات الکتاب والسنّة هو من العوامل المهمّة لضعف الوثوق بالصدور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اتّضح أنّ المنشأ الأصلیّ والبُنیة الأساسیّة لحجّیة الخبر هی فی الوثوق بالصدور یتبیّن أنّ الوثوق بالصدور فی الخبر فی جملة من المسائل والأبواب الخطیرة ، یتوقّف علی موجبات أقوی کمّاً وکیفاً فی تکوین الوثوق من مجرّد صفات الراوی ، وإنّ ما یُعرف من إطلاق حجّیة خبر الواحد إنّما یُعَوّل علیه فی دائرة محدودة من تفاصیل المسائل ، وأمّا إذا ازدادت المسألة المبحوثة وحکمها خطورةً ، فإنّ ذلک یستلزم موجبات وقرائن الوثوق أکثر متناسبةً من أهمّیة المسألة والحکم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الحجّیة لابدّ أن تتناسب طرداً مع أهمّیة المورد والمُدّعی ، المراد إثباته بتلک الحجّة ، وذلک لأنّ الحکمة قاضیة ، والبرهان قائم بأنّ إثبات کلّ شیء لابدّ أن یتناسب مع حجم ثبوته ودائرة أهمّیته ؛ إذ لو جُعل الأهمّ ثبوتاً أضعف إحرازاً وجُعل الأقلّ أهمّیة أقوی إحرازاً ، لکان ذلک خلاف الحکمة ، وضرورة الإحراز نابعة من درجة أهمّیة الشیء الذی یُراد إحرازه ، إذ الإحراز طریق للوصول والتحفّظ علی واقع الشیء ، فیشتدّ التحفّظ طرداً لشدّة أهمّیة مایُراد 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یُری أنّ أدلّة التوحید أکثر کمّاً وبیاناً وجلاءً من أدلّة النبوّة والإمامة والمعتنقین التوحید والمدرکین لأدلّته أکثر دائرة من المعتنقین للإیمان بالسفراء الإلهیّین ، أی أتباعهم فی الدائرة البشریّة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وبمقتضی ذلک ، فإنّ حجّیة الصدور لخبر الواحد بلحاظ صفات الراوی لا تنهض بمجرّدها لإیجاد وتکوین الوثوق بالصدور والإطمئنان فی ما کان فی المسائل ذات‌الأهمّیة والخطورة الشدیدة أی فلا یُستغنی عن البحث فی صحّة وقوّة المضمون وارتباطه بالمحکمات من الکتاب والسنّة </w:t>
      </w:r>
      <w:r>
        <w:rPr>
          <w:rFonts w:eastAsia="IRNazanin" w:cs="IRNazanin"/>
          <w:color w:val="111111"/>
          <w:sz w:val="28"/>
          <w:szCs w:val="28"/>
          <w:rtl w:val="true"/>
          <w:lang w:bidi="fa-IR"/>
        </w:rPr>
        <w:t>.</w:t>
      </w:r>
      <w:bookmarkStart w:id="163" w:name="pg5252_44291"/>
    </w:p>
    <w:p>
      <w:pPr>
        <w:pStyle w:val="BookText"/>
        <w:rPr/>
      </w:pPr>
      <w:bookmarkEnd w:id="163"/>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164" w:name="__RefHeading___Toc423071_581953129"/>
      <w:bookmarkStart w:id="165" w:name="_Toc60"/>
      <w:bookmarkEnd w:id="164"/>
      <w:r>
        <w:rPr>
          <w:rtl w:val="true"/>
        </w:rPr>
        <w:t>الفرق بین حجّیة الصدور وحجّیة المضمون</w:t>
      </w:r>
      <w:bookmarkEnd w:id="165"/>
    </w:p>
    <w:p>
      <w:pPr>
        <w:pStyle w:val="BookText"/>
        <w:rPr/>
      </w:pPr>
      <w:r>
        <w:rPr>
          <w:rFonts w:ascii="IRNazanin" w:hAnsi="IRNazanin" w:eastAsia="IRNazanin"/>
          <w:color w:val="111111"/>
          <w:sz w:val="28"/>
          <w:sz w:val="28"/>
          <w:szCs w:val="28"/>
          <w:rtl w:val="true"/>
          <w:lang w:bidi="fa-IR"/>
        </w:rPr>
        <w:t xml:space="preserve">إنّ الفرق بین حجّیة الصدور وحجّیة المضمون هو بعینه الفرق بین سنخیْ حیثیّتَیْ بابَیْ علم الاُصول ، أی باب الدلالة الأعمّ من التصوّر والتصدیق من مباحث الألفاظ والحجج ، وباب علم اصول القانون ، فإنّ صحّة المضمون لاسیّما بمعنی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عدم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الوفاق البعید مع اصول التشریع واُسس الأحکام مُؤشِّر علی انحدار المضمون من تلک الاُصول التقنینیّة وبیانٌ علی الارتباط العضویّ بین المضمون وتلک الاُصول ، فهو من البحث فی متن الأحکام الشرعیّة ومنظومتها وترابطها وکیفیّة تفرّعها ، فهو من الدرایة والتفقّه للأحکام بخلاف البحث فی الصدور وشرائط حجّیته ، فهو أقرب ببحث علم الرجال والحدیث ومن ثمّ عدُّوه من مقدّمات علم الفقه والإستنباط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فالترکیز علی هذا الجانب الثانی ونُضُوب وتضاؤل البحث فی الجانب الأوّل ظاهرة خطیرة فی الفقه وعلوم المعارف الدینیّة ، لأنّه مؤشِّر یُؤذِن بسطحیّة البحث والإعتماد علی سطح الدلالة وهو من انقلاب علم الفقه وعلوم المعارف الدینیّة إلی علم الرجال والدرایة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فالترکیز علی الجانب الثانی وتقلیل الجهد فی الجانب الأوّل هو من التشاغل بالمقدّمات وإغفال ذی المقدّمة والغایة الأصلیّة </w:t>
      </w:r>
      <w:r>
        <w:rPr>
          <w:rFonts w:eastAsia="IRNazanin" w:cs="IRNazanin"/>
          <w:color w:val="111111"/>
          <w:sz w:val="28"/>
          <w:szCs w:val="28"/>
          <w:rtl w:val="true"/>
          <w:lang w:bidi="fa-IR"/>
        </w:rPr>
        <w:t>.</w:t>
      </w:r>
      <w:bookmarkStart w:id="166" w:name="pg5252_44292"/>
    </w:p>
    <w:p>
      <w:pPr>
        <w:pStyle w:val="BookText"/>
        <w:rPr/>
      </w:pPr>
      <w:bookmarkEnd w:id="166"/>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167" w:name="__RefHeading___Toc423073_581953129"/>
      <w:bookmarkStart w:id="168" w:name="_Toc61"/>
      <w:bookmarkEnd w:id="167"/>
      <w:r>
        <w:rPr>
          <w:rtl w:val="true"/>
        </w:rPr>
        <w:t xml:space="preserve">تفسیر </w:t>
      </w:r>
      <w:r>
        <w:rPr>
          <w:rtl w:val="true"/>
        </w:rPr>
        <w:t xml:space="preserve">« </w:t>
      </w:r>
      <w:r>
        <w:rPr>
          <w:rtl w:val="true"/>
        </w:rPr>
        <w:t xml:space="preserve">الحجّیة </w:t>
      </w:r>
      <w:r>
        <w:rPr>
          <w:rtl w:val="true"/>
        </w:rPr>
        <w:t>»</w:t>
      </w:r>
      <w:bookmarkEnd w:id="168"/>
    </w:p>
    <w:p>
      <w:pPr>
        <w:pStyle w:val="BookText"/>
        <w:rPr/>
      </w:pPr>
      <w:r>
        <w:rPr>
          <w:rFonts w:ascii="IRNazanin" w:hAnsi="IRNazanin" w:eastAsia="IRNazanin"/>
          <w:color w:val="111111"/>
          <w:sz w:val="28"/>
          <w:sz w:val="28"/>
          <w:szCs w:val="28"/>
          <w:rtl w:val="true"/>
          <w:lang w:bidi="fa-IR"/>
        </w:rPr>
        <w:t xml:space="preserve">إنّ الحجّیة الشرعیّة التی تبحث فی علم الاُصول والکلام وبقیّة علوم المعارف الدینیّة تختلف عن الحجّیة فی نظام المعرفة البشریّة ، حیث إنّها فی المعرفة البشریّة تأخذ طابع معنی فعل العقل النظریّ أی دلیل الکاشف والإراءة العلمیّة المحضة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فی المعرفة الدینیّة الحجّة الشرعیّة معنی یندمج فیه کلّ من معنی الحجّیة فی العقل النظریّ والحجّیة فی العقل العملیّ ، وبالأحری المهمّ فیه هی الحجّیة فی العقل العملیّ وهی تبتنی وترتبط بالحجّیة فی العقل النظریّ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وخاصیّة الحجّیة فی العقل العملیّ لیست فقط الکشف والاستنتاج ، بل التسلیم والإذعان والتصدیق والإنقیاد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الحجّیة فی المعرفة الدینیّة وهی الحجّیة الشرعیّة فیها جنبة الإلتزام والإنقیاد والتسلیم والطاعة ، وهذا الذی یخالف بینها وبین الحکمة النظریّة والبرهان الذی یعتمد علی العقل النظریّ ، بخلاف البرهان الذی فی الحکمة العملیّة ، فإنّه یطابق معنی الحجّیة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کان معتمداً عند الحکماء وقبل ابن سینا ، حیث خالفهم وسلک مسلک الأشعریّة فی التفرقة بین البابین وعدم الإعتماد علی البرهان الآتی من العقل العملیّ ، وإلی ذلک الإشارة فی قول الصادق علیه السلام فی حدیث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 به الرحمن و اکتسب به الجنان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ذلک لم یکن الإیمان بتوحید الذات والصفات والأفعال صِرف إدراک ، بل تسلیم وإذعان وتصدیق ، کما فی قول الصادق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الإیمان عمل کله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إنّ الإذعان والتصدیق من العقل العملیّ فعلٌ له ، وهی عبادة من العقل أیضاً ، فإنّ تفسیر العبادة بالمعرفة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کما جاء فی النصوص</w:t>
      </w:r>
      <w:r>
        <w:rPr>
          <w:rStyle w:val="FootnoteAnchor"/>
          <w:rtl w:val="true"/>
        </w:rPr>
        <w:footnoteReference w:id="308"/>
      </w:r>
      <w:r>
        <w:rPr>
          <w:rFonts w:ascii="IRNazanin" w:hAnsi="IRNazanin" w:eastAsia="IRNazanin"/>
          <w:color w:val="111111"/>
          <w:sz w:val="28"/>
          <w:sz w:val="28"/>
          <w:szCs w:val="28"/>
          <w:rtl w:val="true"/>
          <w:lang w:bidi="fa-IR"/>
        </w:rPr>
        <w:t>واعتمده أکثر المفسِّرین ، یُشیر إلی ذلک من أنّ المعرفة من العقل والروح والقلب ، لیست مجرّد إدراک صرف ، فإنّ تلک لیست معرفة إیمانیّة ، بل فی ما تضمّنت تلک المعرفة والإدراک واستتبعها إیمان وتسلیم وانقیاد وهو مایُعبّر عنه فی المنطق بالحکم فی القضیّة ، واُسس</w:t>
      </w:r>
    </w:p>
    <w:p>
      <w:pPr>
        <w:pStyle w:val="BookText"/>
        <w:rPr/>
      </w:pPr>
      <w:r>
        <w:rPr>
          <w:rFonts w:ascii="IRNazanin" w:hAnsi="IRNazanin" w:eastAsia="IRNazanin"/>
          <w:color w:val="111111"/>
          <w:sz w:val="28"/>
          <w:sz w:val="28"/>
          <w:szCs w:val="28"/>
          <w:rtl w:val="true"/>
          <w:lang w:bidi="fa-IR"/>
        </w:rPr>
        <w:t xml:space="preserve">العبادة هی الطاعة والخضوع ، فإذا انقاد وسلّم العقل وصدّق فقد خضع وأطاع وعَبَد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تبیّن ذلک یُعلم أنّ الإکتفاء فی تفسیر الحجّیة فی علم الاُصول والکلام بالکاشف ، تفسیر ناقص مبتور ، بل لابدّ أن یتضمّن معنی التسلیم والإنقیاد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لا تکون حجّیة الصدور هی تمام معنی الحجّیة ؛ لأنّ حجّیة الصدور هی تمام حقیقةِ حجّیة قول الراوی ، وهی متمحّضة فی جانب وجهة الکشف والإراءة المحضة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فإنّ التنجیز والتعذیر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استحقاق العقوبة والمثوبة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یترتّب علیها مباشرة ، لأنّه لا مولویّة حقیقةً لحجّیة قول الراوی ، وإنّما المولویّة هی لقول المعصوم وحجّیته لولایته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طول ولایة اللّه ورسوله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فحجّیة قول الراوی الثقة بمثابة مقدّمات الاستدلال من الصغری والکبری ، أی الحجّیة النظریّة ، وأمّا حجّیة قول المعصوم فهی بمنزلة الحکم والتصدیق بالنتیجة ، أی الحجّیة فی العقل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فحجّیة قول الراوی منزّلة من باب العقل النظریّ والإراءة والکشف والإدراک وأمّا حجّیة قول المعصوم فهی من حجّیة قول اللّه ورسوله وهی حجّیة من باب العقل العملیّ ، أی التی فیها تصدیق وطاعة وإذعان وإنقیاد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ثمّ مَن یُشبِّه حجّیةَ قول المعصومین بحجّیة قول الرواة وبأنّهم رواة ، یتضمّن ذلک إنکار ولایتهم ومولویّتهم ، ومن الغریب تفسیر حدیث الثقلین ومرجعیّة الأئمّة فی مفاده بأنّهم مجرّد مبیِّنین للأحکام ، والحال أنّ مفاده فی صدد إمامتهم وولایتهم ، إذ التمسّک بهم لیس مجرّد استرشاد ، بل اتّباع وانقیاد أیضاً ومن باب الطاعة لهم واستحقاق العقوبة علی مخالفتهم لا مجرّد البیان والتبیین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فحجّیتهم من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لا مجرّد من قبیل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یُشیر إلی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وغیرها من آیات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ورد التأکید فی الروایات المستفیضة علی لزوم التسلیم لروایاتهم ، کما 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الحسین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دین الله عز و جل لا یصاب بالعقول الناقصة ، و الآراء الباطلة ، و المقاییأس الفاسدة ،ولا یصاب إلا بالتسلیم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سلم لنا سلم ، و من اقتدی بنا هدی، و من کان یعمل بالقیاس و الرأی هلک ، و من وجد فی نفسه شیئا مما نقوله أو نقضی به حرجا کفر بالذی أنزل السبع المثانی و القرآن العظیم و هو لا یعلم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معتبرة المیثمی عن الرضا علیه السلام ، وفیها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لم یکن لیحرم ما أحل الله ، و لا لیحلل ما حرم الله ، و لا لیغیر فرائض الله و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ذلک کله متبعا مسلما مؤدیا عن الله و ذلک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فکان علیه السلام متبعا لله ، مؤدیا عن الله ما أمره به من تبلیغ 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قد نهی رسول الله صلی الله علیه و آله و سلم عن أشیاء </w:t>
      </w:r>
      <w:r>
        <w:rPr>
          <w:rFonts w:eastAsia="IRNazanin" w:cs="IRNazanin"/>
          <w:color w:val="111111"/>
          <w:sz w:val="28"/>
          <w:szCs w:val="28"/>
          <w:rtl w:val="true"/>
          <w:lang w:bidi="fa-IR"/>
        </w:rPr>
        <w:t>.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لا نرخص فی ما لم یرخص فیه رسول الله و لا نأمر بخلاف ما أمر به رسول الله إلا لعلة خوف ضرورة، فأما أن نستحل ما حرم رسول الله أو نحرم ما حلائل رسول الله</w:t>
      </w:r>
    </w:p>
    <w:p>
      <w:pPr>
        <w:pStyle w:val="BookText"/>
        <w:rPr/>
      </w:pPr>
      <w:r>
        <w:rPr>
          <w:rFonts w:ascii="Amiri" w:hAnsi="Amiri" w:eastAsia="Amiri" w:cs="Amiri"/>
          <w:color w:val="111111"/>
          <w:sz w:val="28"/>
          <w:sz w:val="28"/>
          <w:szCs w:val="28"/>
          <w:rtl w:val="true"/>
          <w:lang w:bidi="ar-SA"/>
        </w:rPr>
        <w:t xml:space="preserve">فلا یکون ذلک أبدا، لأنا تابعون لرسول الله ،مسلمون له کما کان رسول الله صلی الله علیه و آله و سلم تابعا لأمر ربه مسلما له ، و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ورد علیکم عنا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الخبران صحیحین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الأخذ بأحدهما أو بهما جمیعا أو بأیهما شئت و أحببت ، موسع ذلک لک من باب التسلیم لرسول الله صلی الله علیه و آله و سلم و الرد إلیه و إلینا، و کان تارک ذلک من باب العناد و الإنکار و ترک التسلیم لرسول الله صلی الله علیه و آله و سلم مشرکا بالله العظیم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الحسین بن خالد عن الرضا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المسلمون لأمرنا، الآخذون بقولنا ، المخالفون لأعدا انا ، فمن لم یکن کذلک فلیس منا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الحسن بن الجهم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 ما ورد علینا منکم إلّاالتسلیم لکم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 لا یسعکم إلاالتسلیم لنا</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مکاتبة الحمیری إلی صاحب الزمان علیه السلام فی الخبرین المتعارضین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وبأیهما أخذت من باب التسلیم کان صوابا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رواها الشیخ بسند معتبر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حجّاج بن الصباح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نحدّث عنک</w:t>
      </w:r>
    </w:p>
    <w:p>
      <w:pPr>
        <w:pStyle w:val="BookText"/>
        <w:rPr/>
      </w:pPr>
      <w:r>
        <w:rPr>
          <w:rFonts w:ascii="IRNazanin" w:hAnsi="IRNazanin" w:eastAsia="IRNazanin"/>
          <w:color w:val="111111"/>
          <w:sz w:val="28"/>
          <w:sz w:val="28"/>
          <w:szCs w:val="28"/>
          <w:rtl w:val="true"/>
          <w:lang w:bidi="fa-IR"/>
        </w:rPr>
        <w:t xml:space="preserve">بالحدیث ، فیقول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ترید ؟ أترید أن تکون إماما یقتدی 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القول إلینا فقد سلم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عمیرة عن أبی عبداللّه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بمعرفتنا و الرد إلینا و التسلیم 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صاموا و صلوا و شهدوا أن لا إله إلا الله و جعلوا فی أنفسهم أن لا یردوا إلینا کانوا بذلک مشرکین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وفی موثق سدیر عن أبی جعفر علیه السلام قال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کلف الناس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الأئمة و التسلیم لهم فی ما ورد علیهم و الرد إلیهم فی ما اختلفوا فیه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ابن اذینة ، عن غیر واحد ، عن أحدهما علیهما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مؤمنا حتی یعرف الله و رسوله و الأئمة علیهم السلام کلهم و إمام زمانه و یرد إلیه و یسلم له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الروایات الکثیرة فی تلک الأبواب </w:t>
      </w:r>
      <w:r>
        <w:rPr>
          <w:rFonts w:eastAsia="IRNazanin" w:cs="IRNazanin"/>
          <w:color w:val="111111"/>
          <w:sz w:val="28"/>
          <w:szCs w:val="28"/>
          <w:rtl w:val="true"/>
          <w:lang w:bidi="fa-IR"/>
        </w:rPr>
        <w:t>.</w:t>
      </w:r>
      <w:bookmarkStart w:id="169" w:name="pg5252_44298"/>
    </w:p>
    <w:p>
      <w:pPr>
        <w:pStyle w:val="BookText"/>
        <w:rPr/>
      </w:pPr>
      <w:bookmarkEnd w:id="169"/>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170" w:name="__RefHeading___Toc423075_581953129"/>
      <w:bookmarkStart w:id="171" w:name="_Toc62"/>
      <w:bookmarkEnd w:id="170"/>
      <w:r>
        <w:rPr>
          <w:rtl w:val="true"/>
        </w:rPr>
        <w:t>ثمرات التحلیل المضمونی</w:t>
      </w:r>
      <w:bookmarkEnd w:id="171"/>
    </w:p>
    <w:p>
      <w:pPr>
        <w:pStyle w:val="BookText"/>
        <w:rPr/>
      </w:pPr>
      <w:r>
        <w:rPr>
          <w:rFonts w:ascii="IRNazanin" w:hAnsi="IRNazanin" w:eastAsia="IRNazanin"/>
          <w:color w:val="111111"/>
          <w:sz w:val="28"/>
          <w:sz w:val="28"/>
          <w:szCs w:val="28"/>
          <w:rtl w:val="true"/>
          <w:lang w:bidi="fa-IR"/>
        </w:rPr>
        <w:t xml:space="preserve">إنّ من ثمرات البحث فی المضمون وإثبات صحّته بغضّ النظر عن صحّة الصدور هو أنّ المضمون یُحدث تصوّراً واحتمالاً فی ذهن الباحث لم یکن لیتوصّل إلیه لولا ورود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والتصوّر کما سیأتی له درجة من الحجّیة لا بمعنی الحجّیة التصدیقیّة المعهودة بل بمعنی أنّ اکتشاف الوسط البرهانیّ إنّما یَتمّ بتوسّط باب التعریفات والحدود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والحدودُ والتعریفات وإن کانتا حقائق الأشیاء بعد أن تُقرّر أو یُبرهن علی وجودها ، ولکن تعریف الأشیاء ولو فی مرتبة شرح الإسم أو ما الشارحة تُزیل الجهل المرکّب وتوجد وتُحدِثُ أوّل درجة من العلم وهو التصوّر وتمهِّد الطریق إلی البرهان الاستدلالیّ بالإلفات إلی إدراک وتصوّر الوسط الذی یقوم علیه البرهان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هناک ثمرة أکبر لصحّة المضمون وهو الإقتراب من الاستدلال بالعمومات واُصول التشریع واُصول الحکم الشرعی ؛ فإنّ عمومات محکمات الکتاب والسنّة القطعیّة هی من اصول التشریع العامّة وهو ما یُعبّر عنه بالأدلّة الإجمالیّة فی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واستفادةُ تفاصیل التشریع وتفریعاته لا یتمکّن منهما إلّا المعصوم حیث یرشد إلی کیفیّة تفرّع وتولّد تفاصیل الأحکام وتنزّلها من تلک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وقوف الباحث المستنبط عن المعارف أو الأحکام الشرعیّة علی صحّة المضمون ، یتمکّن بعد التدبّر فی المضمون من استنباطه من الأصل التشریعیّ الفوقانیّ ، حیث أنّ فی کثیر من الموارد التی یقرّر فیها صحّة المضمون ، تتضمّن تلک المضامین فی الغالب الإشارة إلی الوجوه والشواهد الدالّة علی کیفیّة انتزاع التفصیل من أدلّة اصول التشریع والمعارف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غایة الأمر لا یتمّ ذلک إلّابالتدبّر الصناعیّ والعارضة الفقهیّة أو التضلُّع فی بحوث المعارف ، ومن ثمّ یتنبّه إلی أنّ البحث فی مضامین الروایات وصحّتها متضمّن لوجود علم إجمالیّ بوجود مقدّمات الاستدلال واستنباط المعارف والأحکام فیها ، وهذا العلم الإجمالیّ ملزم بالفحص والتمعّن والتدبّر فی مضامین الروایات وإن کانت من جهة الصدور ضعافاً لاسیّما بعد تقریر صحّة مضمونها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ینتهی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یُقیم الوزن ویکترث بأقوال الفقهاء أو بأقوال الحکماء فی المعارف بغیة الوقوف والوصول إلی مقدّمات الاستدلال وموادّه ومعطیاته فی خضمِّ أقوالهم ، فیری لنفسه الفحص فی تلک الأقوال ملزماً له لصواب الاستنتاج ، وهذا الأمر وإن کان صحیحاً منطقیّاً ، لأنّ أعقل الناس من جمع عقول الناس إلی عقله وأعلم الناس من جمع علوم الناس إلی علمه ، إلّاأنّ الکلام هو أنّه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یُسوّغ جماعة لأنفسهم الإقرار بهذا النهج صناعیّاً فی حین أنّهم 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الإکتراث بالروایات الضعیفة والإعراض عنها وعدم الوقوف وإطالة المکث فی التدبّر فی مضامینها ، بل یزیدون فی الطنبور نغمة وفی الطّین بلّة بدعوة تصفیة کُتُب الحدیث عن الروایات الضعیفة ، وهذه الدعوة الأخیرة تنطوی علی محاذیر مَهُولة وتهریج صناعیّ کبیر ستأتی الإشارة إلیها فی المقام</w:t>
      </w:r>
    </w:p>
    <w:p>
      <w:pPr>
        <w:pStyle w:val="BookText"/>
        <w:rPr/>
      </w:pPr>
      <w:r>
        <w:rPr>
          <w:rFonts w:ascii="IRNazanin" w:hAnsi="IRNazanin" w:eastAsia="IRNazanin"/>
          <w:color w:val="111111"/>
          <w:sz w:val="28"/>
          <w:sz w:val="28"/>
          <w:szCs w:val="28"/>
          <w:rtl w:val="true"/>
          <w:lang w:bidi="fa-IR"/>
        </w:rPr>
        <w:t xml:space="preserve">الثانی إلّاأنّ اللازم فی المقام الإشارة إلی هذه الغفلة أو التغافل العمدیّ من الجهة الصناعیّة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صحّة مضامین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 الشواهد علی استنباط التفاصیل من الاُصول التشریعیّة بنحو لا تصل إلیه العقول ولا أفهام ذوی الألباب ؛ إذ المضمون الذی یبیّنه ویبرزه المعصوم وإن لم یصل إلینا بطریق صحیح إلّاأنّه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تَوَشُّحِهِ لموافقة الکتاب والسنّة القطعیّة ولَمْحِهِ بعلائم الحقیقة فی المضمون وأنوار الصواب فی المعنی لوجود أنحاء التناسب القواعدیّ فی المدلول والمعنیّ مع محکمات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بمحاولة الفقهاء أو الحکماء وجهودهم فی الوصول إلی الاستنتاج والنتیجة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فالتدافع والعَجَب لا ینقضی بین هذین القولین من قائل واحدٍ ، وهذا بعد التسلیم بعصمة أئمّة أهل البیت علیهم السلام وإنّ علمهم لدُنّیّ إحاطیّ ولیس فی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البحث فی صحّة المضمون فی جملة الروایات والتمعّن والتدبّر فیه والعنایة بدراسة المضمون بنحو مُرَکّز وعدم الإقتصار علی شرائط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إلی السطحیّة فی الاستدلال أو إلی مسلک الحشویّة فی التمسّک بالحدیث ، بل هذا المنهج أقرب إلی العمق منه إلی السطحیّة وأقرب إلی الصناعة والبرهان منه إلی الحشویّة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لأنّه یدعو إلی البحث فی القواعد والاُصول والتناسب الاستدلالیّ فی ما بینها وبین التفاصیل ، ممّا یتوقّف علی ملکة علمیة وتضلّع یستلزم الإحاطة بمنظومة ومجموعة القواعد واُصول التشریع واُسس العمومات الفوقانیّة وطبقاتها ودرجاتها مبتنیاً فی تقریر المناسبات علی دلالات برهانیّة لا ذوقیّة اقتراحیّة ممّا یتطلّب عارضة فقهیّة متینة ، وتضلّع ومهارة فی أبواب المعرفة ، وبصیرة</w:t>
      </w:r>
    </w:p>
    <w:p>
      <w:pPr>
        <w:pStyle w:val="BookText"/>
        <w:rPr/>
      </w:pPr>
      <w:r>
        <w:rPr>
          <w:rFonts w:ascii="Amiri" w:hAnsi="Amiri" w:eastAsia="Amiri" w:cs="Amiri"/>
          <w:color w:val="111111"/>
          <w:sz w:val="28"/>
          <w:sz w:val="28"/>
          <w:szCs w:val="28"/>
          <w:rtl w:val="true"/>
          <w:lang w:bidi="ar-SA"/>
        </w:rPr>
        <w:t xml:space="preserve">بمرام الأدلّة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کان هذا المنهج أکثر جُهداً فی إعمال الصناعة والاستدلال من المنهج الذی یجعل من بحث الصدور وشرائطه هو العمدة فی تقریر الحجّیة فی الاستدلال </w:t>
      </w:r>
      <w:r>
        <w:rPr>
          <w:rFonts w:eastAsia="IRNazanin" w:cs="IRNazanin"/>
          <w:color w:val="111111"/>
          <w:sz w:val="28"/>
          <w:szCs w:val="28"/>
          <w:rtl w:val="true"/>
          <w:lang w:bidi="fa-IR"/>
        </w:rPr>
        <w:t>.</w:t>
      </w:r>
      <w:bookmarkStart w:id="172" w:name="pg5252_44302"/>
    </w:p>
    <w:p>
      <w:pPr>
        <w:pStyle w:val="BookText"/>
        <w:rPr/>
      </w:pPr>
      <w:bookmarkEnd w:id="172"/>
      <w:r>
        <w:rPr>
          <w:rFonts w:eastAsia="Times New Roman" w:cs="Times New Roman" w:ascii="Times New Roman" w:hAnsi="Times New Roman"/>
          <w:color w:val="111111"/>
          <w:sz w:val="28"/>
          <w:szCs w:val="28"/>
          <w:lang w:val="en-US" w:bidi="en-US"/>
        </w:rPr>
        <w:t>10</w:t>
      </w:r>
    </w:p>
    <w:p>
      <w:pPr>
        <w:pStyle w:val="Heading4"/>
        <w:numPr>
          <w:ilvl w:val="3"/>
          <w:numId w:val="1"/>
        </w:numPr>
        <w:rPr/>
      </w:pPr>
      <w:bookmarkStart w:id="173" w:name="__RefHeading___Toc423077_581953129"/>
      <w:bookmarkStart w:id="174" w:name="_Toc63"/>
      <w:bookmarkEnd w:id="173"/>
      <w:r>
        <w:rPr>
          <w:rtl w:val="true"/>
        </w:rPr>
        <w:t>طرق استعلام صحّة المضمون</w:t>
      </w:r>
      <w:bookmarkEnd w:id="174"/>
    </w:p>
    <w:p>
      <w:pPr>
        <w:pStyle w:val="BookText"/>
        <w:rPr/>
      </w:pPr>
      <w:r>
        <w:rPr>
          <w:rFonts w:ascii="IRNazanin" w:hAnsi="IRNazanin" w:eastAsia="IRNazanin"/>
          <w:color w:val="111111"/>
          <w:sz w:val="28"/>
          <w:sz w:val="28"/>
          <w:szCs w:val="28"/>
          <w:rtl w:val="true"/>
          <w:lang w:bidi="fa-IR"/>
        </w:rPr>
        <w:t xml:space="preserve">إنّ استعلام صحّة المضمون تتوقّف علی ملکة علمیّة مُلِمّة بالفقه فی أحکام الفروع ومُلِمّة بالمعارف فی المسائل الاعتقادیّة ، وهذا بخلاف استعلام صحّة الصدور ، فإنّه یتوقّف علی الإلمام بعلم الرجال وکُتُب الحدیث والدرایة ، إلّاأنّ الفارق لا یقف عند هذا الحدّ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صحّة المضمون لیس یکفی فیها مجرّد الفقاهة والمهارة فی المعارف ، بل تتوقّف علی إحاطة بالأبواب والتفات إلی امّهات القواعد والاُصول المنحدرة عنها وکیفیّة تشعّبها والالتفات إلی المناسبات فی ما بینها القائمة علی روابط صناعیّة وضوابط قواعدیّة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أشار إلیه جملة من الفقهاء من صعوبة تشخیص ما وافق کتاب اللّه والسنّة القطعیّة عمّا خالفهما ؛ وذلک لأنّ هذه الموافقة لیست علی نحو الإنطباق والتفصیل ، بل هو من التوافق الذی لا یستنبط إلّابالتحلیل والتبیین العمیق الدقیق لمؤدّی کلّ من الأصل التشریعیّ ومراتب الاُصول الأُخری النازلة ومفاد المضمون للخبر الخاصّ ، ونظیر هذه الصعوبة لاقاها الفقهاء فی معرفة الشرط فی العقود ، المخالف للکتاب والسنّة عمّا هو موافق لهما ، وکذا البحث فی النذر وأخویه والصلح الموافق لهما عمّا هو مخالف لهما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تحکیم المحکمات من الکتاب والسنّة علی مجموع</w:t>
      </w:r>
    </w:p>
    <w:p>
      <w:pPr>
        <w:pStyle w:val="BookText"/>
        <w:rPr/>
      </w:pPr>
      <w:r>
        <w:rPr>
          <w:rFonts w:ascii="IRNazanin" w:hAnsi="IRNazanin" w:eastAsia="IRNazanin"/>
          <w:color w:val="111111"/>
          <w:sz w:val="28"/>
          <w:sz w:val="28"/>
          <w:szCs w:val="28"/>
          <w:rtl w:val="true"/>
          <w:lang w:bidi="fa-IR"/>
        </w:rPr>
        <w:t xml:space="preserve">تفاصیل التشریع ، یعنی ویقتضی أنّ هناک مجموع نظام واحد یهیمن علیه مراتب اصول التشریع وهذه الهیمنة والتحکیم توجد رابطة مؤلِّفة لمجموع التشریعات والأحکام وهذا النظام المتّسق لیس خاصّاً بالأحکام فی الفروع ، بل وحدة النظام والترابط حاکمة فی باب المعارف أیضاً ؛ فإنّ لأُصول العقیدة والمعارف ارتباطاً مع تفصیل المسائل الاعتقادیّة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کان الأمر بالعرض علی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عرض الأخبار علی محکمات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خاصّاً بالروایات الواردة فی أحکام الفروع ، بل شامل للروایات الواردة فی المعارف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والإحاطة بضوابط هذه القواعد الحاکمة علی مراتب الأحکام ومدارجها المنحدرة والمنشعبة من اصول التشریع أو اصول المعارف لا یُحیط بها بنحو التمام إلّاالمعصوم ، إلّاأنّ غیره یتمکّن من استکشاف جملة منها ، وما لا یُدرک کلّه لا یُترک کلّه بعد أن کان المقدار المتوصّل إلیه منها هو علی طبق القواعد والموازین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درایة هذه النقاط العشر نلقی الضوء علی زوایا اخری من تلک القاعدة فی ثلاثة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الدالّة علی لزوم مراعاة حال المضمون مقدّماً علی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تأثیر رُکنیّة المضمون علی دائرة الحجّیة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ضوابط العرض علی الکتاب والسُّنّة </w:t>
      </w:r>
      <w:r>
        <w:rPr>
          <w:rFonts w:eastAsia="IRNazanin" w:cs="IRNazanin"/>
          <w:color w:val="111111"/>
          <w:sz w:val="28"/>
          <w:szCs w:val="28"/>
          <w:rtl w:val="true"/>
          <w:lang w:bidi="fa-IR"/>
        </w:rPr>
        <w:t>.</w:t>
      </w:r>
      <w:bookmarkStart w:id="175" w:name="pg5252_44304"/>
    </w:p>
    <w:p>
      <w:pPr>
        <w:pStyle w:val="Heading3"/>
        <w:numPr>
          <w:ilvl w:val="2"/>
          <w:numId w:val="1"/>
        </w:numPr>
        <w:rPr/>
      </w:pPr>
      <w:bookmarkStart w:id="176" w:name="__RefHeading___Toc423079_581953129"/>
      <w:bookmarkStart w:id="177" w:name="_Toc64"/>
      <w:bookmarkEnd w:id="175"/>
      <w:bookmarkEnd w:id="176"/>
      <w:r>
        <w:rPr>
          <w:rtl w:val="true"/>
        </w:rPr>
        <w:t xml:space="preserve">المقام الأوّل </w:t>
      </w:r>
      <w:r>
        <w:rPr>
          <w:rtl w:val="true"/>
        </w:rPr>
        <w:t>:</w:t>
      </w:r>
      <w:r>
        <w:rPr>
          <w:rtl w:val="true"/>
        </w:rPr>
        <w:t>تقدّم صحّة المضمون علی حجّیة الصدورورُکنیّة المضمون وفرعیّة حجّیة الصدور ،والوجوه الدالّة علی لزوم مراعاة حال المضمون مقدّماً علی الصدور</w:t>
      </w:r>
      <w:bookmarkEnd w:id="177"/>
    </w:p>
    <w:p>
      <w:pPr>
        <w:pStyle w:val="BookText"/>
        <w:rPr/>
      </w:pPr>
      <w:r>
        <w:rPr>
          <w:rFonts w:ascii="IRNazanin" w:hAnsi="IRNazanin" w:eastAsia="IRNazanin"/>
          <w:color w:val="111111"/>
          <w:sz w:val="28"/>
          <w:sz w:val="28"/>
          <w:szCs w:val="28"/>
          <w:rtl w:val="true"/>
          <w:lang w:bidi="fa-IR"/>
        </w:rPr>
        <w:t xml:space="preserve">الوجه الأوّل إنّ البحث فی المضمون بمثابة البحث فی الثبوت ، والبحث عن الصدور بمثابة البحث عن الإثبات ، ولا ریب فی تقدُّم مرتبة الثبوت علی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ویُصاغ هذا الوجه ببیان آخر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عن الإمکان مقدّم علی البحث عن الوقوع والفعلیّة ، إذ لوامتنع المضمون لأوجب محالیّة‌التصدیق بالصدور ، فإمکان المضمون بمنزلة الموضوع لحجّیة الصدور ، فکیف یبحث فی المحمول من دون إحراز الموضوع ؟</w:t>
      </w:r>
    </w:p>
    <w:p>
      <w:pPr>
        <w:pStyle w:val="BookText"/>
        <w:rPr/>
      </w:pPr>
      <w:r>
        <w:rPr>
          <w:rFonts w:ascii="IRNazanin" w:hAnsi="IRNazanin" w:eastAsia="IRNazanin"/>
          <w:color w:val="111111"/>
          <w:sz w:val="28"/>
          <w:sz w:val="28"/>
          <w:szCs w:val="28"/>
          <w:rtl w:val="true"/>
          <w:lang w:bidi="fa-IR"/>
        </w:rPr>
        <w:t xml:space="preserve">ویُصاغ ببیان ثالث أیضاً ، وهو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التصوّر مقدّم علی التصدیق ، کما قُرّر فی المنطق أنّ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علی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تَعقُّل التصوّر وتقرّر ذات الشیء مقدّم علی الإذعان به کتقدُّم الموضوع علی المحمول وتقدُّم المعروض علی العرض وتقدُّم الأجزاء الذاتیّة علی المرکّب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p>
    <w:p>
      <w:pPr>
        <w:pStyle w:val="BookText"/>
        <w:rPr/>
      </w:pPr>
      <w:r>
        <w:rPr>
          <w:rFonts w:ascii="IRNazanin" w:hAnsi="IRNazanin" w:eastAsia="IRNazanin"/>
          <w:color w:val="111111"/>
          <w:sz w:val="28"/>
          <w:sz w:val="28"/>
          <w:szCs w:val="28"/>
          <w:rtl w:val="true"/>
          <w:lang w:bidi="fa-IR"/>
        </w:rPr>
        <w:t xml:space="preserve">إنّ للتصوّر مرتبة من الحجّیة وهی مقدمّة علی حجّیة التصدیق ، حیث أنّ أجزاء الحدّ لتعریف الشیء وتصوّره هی التی تقع أوساطاً فی أقیسة البرهان ، فالبرهان متقوّم تماماً بالحدود ، کما قُرّر ذلک فی علم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فتقرّر الحدّ والتعریف للشیء هو بنفسه نمط من الثبوت والتصدیق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فالتصوّر فی الحقیقة تصدیق مَطْویّ بنحو إجمالیّ إندماجیّ ، والتصدیق إذعان بنحو تفصیلیّ منبسط ، فتقرّر أجزاء الحدّ وثبوتهاللمحدود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بالغ الأهمّیة ومقدّم رتبة علی البحث عن وجود الشیء ووقوعه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فإنّ تصوّر المضمون له مرتبة من الحجّیة مقدّماً علی حجّیة الصدور ، وهذا البحث وإن لم یتوسّع فیه فی علم الاُصول بالمقدار اللازم إلّاأنّه من الضوابط الصناعیّة البالغة فی الأهمّیة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ascii="IRNazanin" w:hAnsi="IRNazanin" w:eastAsia="IRNazanin"/>
          <w:color w:val="111111"/>
          <w:sz w:val="28"/>
          <w:sz w:val="28"/>
          <w:szCs w:val="28"/>
          <w:rtl w:val="true"/>
          <w:lang w:bidi="fa-IR"/>
        </w:rPr>
        <w:t xml:space="preserve">ما ورد فی جملة من الروایات المستفیضة من عرض الحدیث الوارد عنهم علی الکتاب والسنّة ، فما وافق منه الکتاب والسنّة الثابتة القطعیّة اخذ ، وما خالَفهما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لیست فی مقام تعارض الروایات وإنّما تشترط فی صحّة الحدیث ذلک ابتداء</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کموثّقة السکونیّ عن أبی عبداللّه علیه السلام ، قال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 و علی کل صواب نورا ، فما و افق کتاب الله فخذوه ، و ما خالف کتاب</w:t>
      </w:r>
    </w:p>
    <w:p>
      <w:pPr>
        <w:pStyle w:val="BookText"/>
        <w:rPr/>
      </w:pPr>
      <w:r>
        <w:rPr>
          <w:rFonts w:ascii="IRNazanin" w:hAnsi="IRNazanin" w:eastAsia="IRNazanin"/>
          <w:color w:val="111111"/>
          <w:sz w:val="28"/>
          <w:sz w:val="28"/>
          <w:szCs w:val="28"/>
          <w:rtl w:val="true"/>
          <w:lang w:bidi="fa-IR"/>
        </w:rPr>
        <w:t xml:space="preserve">الله فدعوه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هشام بن الحکم ، عن أبی عبداللّه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النبی صلی الله علیه و آله و سلم بمنی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ما جاءکم عنی یوافق کتاب الله فأنا قلته ، و ما جاءکم یخالف کتاب الله فلم أقله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أیّوب بن الحُرّ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مردود إلی الکتاب و السنة ، 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 جمیل بن درّاج</w:t>
      </w:r>
      <w:r>
        <w:rPr>
          <w:rStyle w:val="FootnoteAnchor"/>
          <w:rtl w:val="true"/>
        </w:rPr>
        <w:footnoteReference w:id="328"/>
      </w:r>
      <w:r>
        <w:rPr>
          <w:rFonts w:ascii="IRNazanin" w:hAnsi="IRNazanin" w:eastAsia="IRNazanin"/>
          <w:color w:val="111111"/>
          <w:sz w:val="28"/>
          <w:sz w:val="28"/>
          <w:szCs w:val="28"/>
          <w:rtl w:val="true"/>
          <w:lang w:bidi="fa-IR"/>
        </w:rPr>
        <w:t xml:space="preserve">وغیرها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الطائفة الأُخری من الروایات الواردة فی مورد التعارض ، جملة منها لیست فی صدد الترجیح ، بل فی صدد تمییز الحجّة عن اللاحجّة وإنّ الخبر الذی یُخالف الکتاب والسنّة لیس واجداً لشرائط الحجّیة وقد أحصی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الباب ما یقرب من خمسین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ویتحصّل من هذه الروایات اشتراط صحّة المضمون فی حجّیة الخبر وإنّ من شرائط حجّیة الخبر صحّة المضمون ، ومن الواضح أنّ هذا الشرط فی الحجّیة بمثابة الموضوع لحجّیة الصدور والطریق ، وإنّ حجّیة الصدور لا ثمرة لها من دون صحّةِ المضمون ، وصحّةُ المضمون کما تقدّم إنّما تُحرز وتُقرّر بمحکمات الکتاب والسنّة لا بالرأی والأقیسة الظنّیة والظنون الأُخری والذوق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الصحّة لها مرتبتان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فمرتبة منها هی بمعنی عدم المخالفة مع الکتاب</w:t>
      </w:r>
    </w:p>
    <w:p>
      <w:pPr>
        <w:pStyle w:val="BookText"/>
        <w:rPr/>
      </w:pPr>
      <w:r>
        <w:rPr>
          <w:rFonts w:ascii="IRNazanin" w:hAnsi="IRNazanin" w:eastAsia="IRNazanin"/>
          <w:color w:val="111111"/>
          <w:sz w:val="28"/>
          <w:sz w:val="28"/>
          <w:szCs w:val="28"/>
          <w:rtl w:val="true"/>
          <w:lang w:bidi="fa-IR"/>
        </w:rPr>
        <w:t xml:space="preserve">والسنّة ، سواء بنحو المباینة أم بنحو العموم والخصوص من وجه ، کما هو الحال فی بحث الشروط فی العقود وعقد الصلح والنذر ؛ وهذه المرتبة تُعرف بالموافقة بالمعنی الأعمّ ، حیث قد ورد فی لسان دلیل هذا الشرط کلٌّ من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الکتاب والسنّة فهو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وافق الکتاب والسنّة فخذه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والمرتبة الثانیة هی الموافقة بالمعنی الأخصّ ، حیث یکون فی الکتاب والسنّة شاهد یوافق مضمون الخبر ولو من قبیل موافقة الأصل للفرع أو جنس الأجناس للنوع 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بعض الروایات الواردة علی هذا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جاءکم عنی یوافق کتاب الله فأنا قلته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 افق کتاب الله فخذوه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عز و جل و أحادیثنا،فإن کان یشبههما فهو منا</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علینا إلافی ما و افق الکتاب و سنة نبیه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جملة من هذه الروایات الصحاح والمعتبرة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بالأخذ فیها وإن لم یکن بمعنی إغفال بقیّة الشرائط ، بل الأخذ بها مع توفّر بقیة الشرائط إلّاأنّ مشابهة المضمون لمفاد الکتاب والسنّة ولو بنحو العموم</w:t>
      </w:r>
    </w:p>
    <w:p>
      <w:pPr>
        <w:pStyle w:val="BookText"/>
        <w:rPr/>
      </w:pPr>
      <w:r>
        <w:rPr>
          <w:rFonts w:ascii="IRNazanin" w:hAnsi="IRNazanin" w:eastAsia="IRNazanin"/>
          <w:color w:val="111111"/>
          <w:sz w:val="28"/>
          <w:sz w:val="28"/>
          <w:szCs w:val="28"/>
          <w:rtl w:val="true"/>
          <w:lang w:bidi="fa-IR"/>
        </w:rPr>
        <w:t xml:space="preserve">یکون بمثابة القرینة من قرائن الوثوق بالصدور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p>
    <w:p>
      <w:pPr>
        <w:pStyle w:val="BookText"/>
        <w:rPr/>
      </w:pPr>
      <w:r>
        <w:rPr>
          <w:rFonts w:ascii="IRNazanin" w:hAnsi="IRNazanin" w:eastAsia="IRNazanin"/>
          <w:color w:val="111111"/>
          <w:sz w:val="28"/>
          <w:sz w:val="28"/>
          <w:szCs w:val="28"/>
          <w:rtl w:val="true"/>
          <w:lang w:bidi="fa-IR"/>
        </w:rPr>
        <w:t xml:space="preserve">توقّف الجرح والتعدیل علی المضمون ، وبالتالی توقّف صغری شرائط حجّیة الصدور علی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یبدو هذا التوقّف فی الوهلة الأُولی أنّه من الدور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الحقیقة أنّه لا دور فی البین ، فإنّ حجّیة الصدور وصغراه متوقّف علی ثبوت المضمون ولو بنحو الإحتمال وإن لم یکن بدرجة التصدیق والذی یتوقّف علی حجّیة الصدور هو ثبوت المضمون بدرجة الثبوت التصدیقیّ ومن ثمّ مرّ أنّ صحّة المضمون شرط فی موضوع حجّیة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کیفیّة توقّف شرائط حجّیة الصدور علی المضمون وصحّته فقد بنی عُلماء الرجال فی شرح أحوال الرواة علی معرفة الراوی بتوسّط مضامین الروایات التی یرویها ، فإنّها تکون بمنزلة العلامة والمؤشِّر علی اتّجاه الراوی فی العقیدة والمدرسة الکلامیّة التی ینتمی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هذا الاستعلام حتّی فی المضامین التی تتعرّض للفروع الفقهیّة ، فإنّ معالم الإنتماء تستظهر من کلّ من الفروع والمسائل الاعتقادیّة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کان المضمون بمثابة صغری منطبعة عن شخصیّة الراوی ، فتراهم یعبِّرون فی ترجمة الراوی أنّه نقیّ الحدیث ، أو أنّ حدیثه یُعرَف ویُنکَر ، أو أنّه فیه تخلیط وغُلوّ ، أو أنّه یحتمل الحدیث الغریب ، أو أنّ حدیثه شاذّ ، أو أنّ حدیثه معروف أی أنّ مضامینه واردة فی طُرق اخری ، أو حدیثه مُنکَر ، وغیرها من أوصاف مضمون الأحادیث ؛ فیقرّروها أوصافاً للراوی نفسه للعلاقة الوثیقة بین المضمون وصفات الراوی ، بل إنّ أوصاف المضمون هی من عمدة القرائن</w:t>
      </w:r>
    </w:p>
    <w:p>
      <w:pPr>
        <w:pStyle w:val="BookText"/>
        <w:rPr/>
      </w:pPr>
      <w:r>
        <w:rPr>
          <w:rFonts w:ascii="IRNazanin" w:hAnsi="IRNazanin" w:eastAsia="IRNazanin"/>
          <w:color w:val="111111"/>
          <w:sz w:val="28"/>
          <w:sz w:val="28"/>
          <w:szCs w:val="28"/>
          <w:rtl w:val="true"/>
          <w:lang w:bidi="fa-IR"/>
        </w:rPr>
        <w:t xml:space="preserve">وأمتنها فی تحدید اعتبار شخصیّة الراوی ، ومن ذلک یظهر أنّ صحّة المضمون مؤثِّرة ومتقدّمة علی الجرح والتعدیل فضلاً عن حجّیة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ینجلی أمر هامّ بالغ الأهمّیة وهو أنّ تحدید المبانی الکلامیّة بالغ التأثیر علی قول الرجالیّ وأرباب الجرح والتعدیل ، کما أنّ له تأثیراً فی فتح باب العلم والاجتهاد فی علم الرجال ، وسیأتی توضیحه فی المقام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p>
    <w:p>
      <w:pPr>
        <w:pStyle w:val="BookText"/>
        <w:rPr/>
      </w:pPr>
      <w:r>
        <w:rPr>
          <w:rFonts w:ascii="IRNazanin" w:hAnsi="IRNazanin" w:eastAsia="IRNazanin"/>
          <w:color w:val="111111"/>
          <w:sz w:val="28"/>
          <w:sz w:val="28"/>
          <w:szCs w:val="28"/>
          <w:rtl w:val="true"/>
          <w:lang w:bidi="fa-IR"/>
        </w:rPr>
        <w:t xml:space="preserve">ما ذکره غیر واحد من الأُصولیین من تقدیم المرجّح الدلالیّ والمضمونیّ عند التعارض علی المرجّح فی الصدور وجهة الصدور ، کما ذهب إلیه الشیخ الأنصاری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خالفه المیرزا حبیب اللّه الرشتی ، فذهب إلی تقدیم الجهتیّ علی کلّ من المضمون وحجّیة الصدور ، وهو علی أیِّ تقدیر یصبُّ فی المضمون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فتقدیم المضمون هو الظاهر من المشهور ، کما هو ظاهر الأخبار العلاجیّة للترجیح ، بل وما ذکروه قاطبتهم من تقدیم الجمع العُرفیّ علی الترجیح بأقسامه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الترتیب وإن ذکروه فی مقام التعارض والترجیح ، إلّاأنّ الترجیح فی الواقع یرجع إلی توفّر شرائط الحجّیة فی الخبر الراجح ولو بامتیازٍ اشتُرط فی حالة مُعیّنة وهی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حجّیة الصدور لمّا کانت جزء من أجزاء مجموع حجّیة خبر الواحد ، وحجّیةُ خبر الواحد هی حجّیة الظنّ واعتباره ؛ فهی من جهة الرتبة متأخّرة عن الحجج القطعیّة ، وبالتالی فإنّ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متفرّعة علی</w:t>
      </w:r>
    </w:p>
    <w:p>
      <w:pPr>
        <w:pStyle w:val="BookText"/>
        <w:rPr/>
      </w:pPr>
      <w:r>
        <w:rPr>
          <w:rFonts w:ascii="IRNazanin" w:hAnsi="IRNazanin" w:eastAsia="IRNazanin"/>
          <w:color w:val="111111"/>
          <w:sz w:val="28"/>
          <w:sz w:val="28"/>
          <w:szCs w:val="28"/>
          <w:rtl w:val="true"/>
          <w:lang w:bidi="fa-IR"/>
        </w:rPr>
        <w:t xml:space="preserve">الحجج القطعیّة ومأخوذ فیها لحاظ الحجج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بمثابة موضوع الموضوع أو من قیوده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قد یُعبّر عنه بأنّ الحجج الظنّیّة فی ظلّ الحجج القطعیّة وأنّ الحجج القطعیّة لها الإشراف علی الحجج الظنّیّة والهیمنة ؛ وهی بمثابة الأُسس والاُصول القانونیّة لها ، نظیر تفرُّع المسائل النظریّة علی القضایا البدیهیّة ، أی من عرض النظریّ علی البدیهیّ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یُعبّر عنه من ردّ المتشابه للمحکم وهیمنة المحکم علی المتشابه ولیس المراد من المتشابه ما یکون متشابهاً فی نفسه ، بل المراد ما یکون متشابهاً بالقیاس إلی ما هو أمتن منه دلیلاً وأحکم منه استدلالاً ، لأنّ الذی یضبط النظریّ هو البدیهیّ ، والذی یزنُ المتشابه هو المحکم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ضابطة وقاعدة منطقیّة تُراعی فی الاستنتاج فی کلِّ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ذلک فلا محالة توزن الحجّیة الظنّیّة من الحجج القطعیّة وإنّه من ردّ المتشابه إلی المحکم والبحث فی صحّة المضمون هو بحث فی مفاد مضمون الخبر بعرضه علی محکمات الکتاب والسنّة القطعیّة الثابتة ، ولا ریب فی لزوم ملاءمة مضمون الخبر الظنّیّ للمحکمات ولو بمعنی عدم مخالفته لها ؛ لأنّه مع فرض المخالفة یختلّ إمکان حجّیة الظنّ ، بخلاف ما إذا لم یخالف أو کانت هناک ملاءمة قریبة وتَناسبٌ فی 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یتّضح أنّ حجّیة الصدور لیست هی تمام مدار الحجّیة ، بل ویظهر أنّ صحّة المضمون هو الرکن الرکین فی الحجّیة وإنّ البحث فی صحّة المضمون هو ردّ المتشابه إلی المحکم الذی هو قاعدة ضروریّة فی العمل بالأدلّة الشرعیّة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فإغفالها وعدم مراعاة العمل بها علی الدوام یکون من التأکید علی الجهة الأضعف</w:t>
      </w:r>
    </w:p>
    <w:p>
      <w:pPr>
        <w:pStyle w:val="BookText"/>
        <w:rPr/>
      </w:pPr>
      <w:r>
        <w:rPr>
          <w:rFonts w:ascii="IRNazanin" w:hAnsi="IRNazanin" w:eastAsia="IRNazanin"/>
          <w:color w:val="111111"/>
          <w:sz w:val="28"/>
          <w:sz w:val="28"/>
          <w:szCs w:val="28"/>
          <w:rtl w:val="true"/>
          <w:lang w:bidi="fa-IR"/>
        </w:rPr>
        <w:t xml:space="preserve">من الحجّیة وترک الجهة الأقوی ، کما یظهر من ذلک إمکان الإستعاضة عن حجّیة الصدور بقرائن فی المضمون وشواهد تورث الوثوق بالصدور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حجّیة المضمون هی غایة حجّیة الصدور ، فمَع امتناع حجّیة المضمون لا إمکان لحجّیة الصدور ؛ لأنّه لا ثمرة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فحجّیة المضمون وإن کانت مؤخّرة إثباتاً إلّاأنّها مقدّمة ثبوتاً ، نظیر تأخُّر المدلول الجدّی إثباتاً ، وتقدّمه ثبوتاً </w:t>
      </w:r>
      <w:r>
        <w:rPr>
          <w:rFonts w:eastAsia="Amiri" w:cs="Amiri" w:ascii="Amiri" w:hAnsi="Amiri"/>
          <w:color w:val="111111"/>
          <w:sz w:val="28"/>
          <w:szCs w:val="28"/>
          <w:rtl w:val="true"/>
          <w:lang w:bidi="ar-SA"/>
        </w:rPr>
        <w:t>.</w:t>
      </w:r>
      <w:bookmarkStart w:id="178" w:name="pg5252_44312"/>
    </w:p>
    <w:p>
      <w:pPr>
        <w:pStyle w:val="Heading3"/>
        <w:numPr>
          <w:ilvl w:val="2"/>
          <w:numId w:val="1"/>
        </w:numPr>
        <w:rPr/>
      </w:pPr>
      <w:bookmarkStart w:id="179" w:name="__RefHeading___Toc423081_581953129"/>
      <w:bookmarkStart w:id="180" w:name="_Toc65"/>
      <w:bookmarkEnd w:id="178"/>
      <w:bookmarkEnd w:id="179"/>
      <w:r>
        <w:rPr>
          <w:rtl w:val="true"/>
        </w:rPr>
        <w:t xml:space="preserve">المقام الثانی </w:t>
      </w:r>
      <w:r>
        <w:rPr>
          <w:rtl w:val="true"/>
        </w:rPr>
        <w:t>:</w:t>
      </w:r>
      <w:r>
        <w:rPr>
          <w:rtl w:val="true"/>
        </w:rPr>
        <w:t>فی بیان تأثیر رُکنیّة المضمون علی دائرة الحجّیّة الثمرة الاُولی</w:t>
      </w:r>
      <w:bookmarkEnd w:id="180"/>
    </w:p>
    <w:p>
      <w:pPr>
        <w:pStyle w:val="Heading4"/>
        <w:numPr>
          <w:ilvl w:val="3"/>
          <w:numId w:val="1"/>
        </w:numPr>
        <w:rPr/>
      </w:pPr>
      <w:bookmarkStart w:id="181" w:name="__RefHeading___Toc423083_581953129"/>
      <w:bookmarkStart w:id="182" w:name="_Toc66"/>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إنّ من الآثار المهمّة لدراسة المضمون ودرایته والبناء علی رُکنیّة صحّة المضمون فی حجّیة الخبر هو التأثیر علی الحکم باعتبار الأخبار وعدمها بنحو یکون السهم الأوفر للتأثیر ، فاعتبار الخبر أو إسقاطه عن الاعتبار هو للمضمون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بعد أن اتّضح أنّ صحّة المضمون شرط فی موضوع حجّیة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فتحدید المحکم والقواعد الدینیّة التی تُعدّ من المحکم سواء فی المسائل الاعتقادیّة أم فی المسائل الفرعیّة أمر بالغ التأثیر فی تحدید المیزان الذی یوزن به صحّة المدلول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تختلف الأنظار فی صحّة المضمون وفساده وأنّه مستقیم أو منکر ، شاذّ أو مألوف ، غُلوّ أو تحقیق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الغریب ما یُشاهد فی الآونة الأخیرة من بعض المؤلّفات والکُتُب التی تجعل المدار فی اعتبار الروایات علی نوعیّة السند وصفته ، وتغفل جانب المضمون تماماً ، بل تنادی بإسقاط ما لا اعتبار بصدورهاعن کُتُب الحدیث والدعوة إلی إجراء تغییرات فی الکُتُب الحدیثیّة واستبدالها بمثل الصحیح من الکافی أو مشرعة بحار الأنوار ، وهذه الدعوة فیها جملة من الغَفَلات الخطیرة علی التراث بدرجة بالغة الحساسیّة ، ویُسجّل علیها جملة من النقاط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العمدة ، أنّه اعتمد علی محوریّة ورُکنیّة حجّیة الصدور وأغفل البحث فی صحّة المضمون ، مع أنّه ما هو رکن فی الحجّیة هو صحّة المضمون ، کما مرّ ، وحجّیة الصدور لیست إلّابمثابة أحد أجزاء الحجّیة الممکن الاستعاضة عنها بقرائن توثِّق الصدور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الجرح والتعدیل فی الرجال لا تقلید فیه عند المحقّقین ، بل اللازم فیه فتح باب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وإعمالُ الإجتهاد لیس بالإضافة إلی متأخّری علم الرجال فقط ، بل یشمل قُدماءهم أیضاً کالکشیّ والشیخ والنجاشیّ والبرقیّ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نصوصهم فی الجرح والتعدیل بعد أن لم تکن مسندة فی 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حجّیتها إلّامن باب الرجوع إلی أهل الخبرة أو لحصول الإنسداد وکلا الأمرین لا یتحقّق موضوعه مع کون الفقیه أو الباحث فی المعارف هو بنفسه لدیه الملکة والخبرة فی علم الرجال وبعد کون مواد الفحص فی المفردات الرجالیة لا تنحصر فی کتاب الرجال للنجاشی والشیخ وفهرست الشیخ ورجال البرقی ، بل کُتُب الحدیث کلّها من الکُتُب الأربعة وغیرها مخزن ثَرّ لموادّ الجرح والتعدیل عَبْرَ علم الطبقات وتجرید الأسانید وتبویب مضامین الروایات التی یرویها الراوی وغیرها من المناهج الرجالیّة التی تعتمد علی الاستقراء المیدانیّ للقرائن وموادّ ترجمة المفرد الرجالیة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علم الرجال فی الحقیقة شُعبة من علم التاریخ ، وقد تجتمع لدی الباحث المتتبّع المستقصی المتأخِّر شواهد وقصاصات وقرائن وموادّ لم یَقِف علیها المتقدِّم ولم یظفر بها ولم تجتمع لدیه ، فکَم لم تُکْشَف حقائق تاریخیّة ثمّ کُشِفَت بعد ذلک بقرونٍ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فی أمثلة ونماذج فی المفردات الرجالیّة کثیرة ؛ کإبراهیم بن</w:t>
      </w:r>
    </w:p>
    <w:p>
      <w:pPr>
        <w:pStyle w:val="BookText"/>
        <w:rPr/>
      </w:pPr>
      <w:r>
        <w:rPr>
          <w:rFonts w:ascii="IRNazanin" w:hAnsi="IRNazanin" w:eastAsia="IRNazanin"/>
          <w:color w:val="111111"/>
          <w:sz w:val="28"/>
          <w:sz w:val="28"/>
          <w:szCs w:val="28"/>
          <w:rtl w:val="true"/>
          <w:lang w:bidi="fa-IR"/>
        </w:rPr>
        <w:t xml:space="preserve">هاشم ، فإنّه مضت قرون علی الرّجالیین لم یتبنّوا توثیقه ، ثمّ وقف المتأخِّرون فی هذه الأعصار علی قرائن ودلالات دالة علی أنّه من أجلّاء الکبار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حصل لنا مع عمر بن حنظلة ، فإنّا قد وقفنا علی قرائن مُسندة متعدّدة فی کُتُب الحدیث دالّة علی أنّه من أتراب محمّد بن مسلم وزرارة وأنّه کان بمنزلة من الجلالة مقدّم لدی الشیعة فی الکوفة کمفزع یُلجأ إلیه فی المسائل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الإجتهاد مقدّم علی التقلید فی علم الرجال مع القدرة حتّی بالإضافة إلی تقلید النجاشیّ والشیخ والبرقیّ والکشّیّ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کیف یُحتکم إلی رأی فی الجرح والتعدیل ویُفرض علی الطائفة والحال أنّ الآراء مختلفة فی الجرح والتعدیل ولیس من سُنن المذهب حصر المذاهب العلمیّة فی مذهب 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عمدة طرق الجرح والتعدیل هو حال المضامین التی یرویها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فمعرفة الراوی بأنّه غال أو فاسد المذهب أو مقصِّر أو ناصبیّ أو منتمی إلی أحد الفرق أو بقیّة صفاته وأحواله إنّما تستکشف فی الغالب بتوسّط مضامین الروایات التی یرویها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علی حال تلک المضامین إنّما یتمّ بتوسّط دراسة المضمون ودراسةُ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تتوقّف علی الإحاطة بالمبانی العلمیّة فی الفقه الأکبر والأصغر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یتبیّن أنّ هذه الدعوة لتصفیة الأحادیث بتوسّط الأسانید فقط دعوی ذات طابع حشویّة شدیدة </w:t>
      </w:r>
      <w:r>
        <w:rPr>
          <w:rFonts w:eastAsia="IRNazanin" w:cs="IRNazanin"/>
          <w:color w:val="111111"/>
          <w:sz w:val="28"/>
          <w:szCs w:val="28"/>
          <w:rtl w:val="true"/>
          <w:lang w:bidi="fa-IR"/>
        </w:rPr>
        <w:t>.</w:t>
      </w:r>
      <w:bookmarkStart w:id="183" w:name="pg5252_44315"/>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الجارح من الرجالیین وطعنه العقائدیّ لا یُقبل إلّابعد معرفة مشربه فی المسائل الاعتقادیّة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یتبیّن أنّ الجرح من قول الرجالیّ مهما کان مقدّماً فی علم الرجال ، کالنجاشیّ ، من دون معرفة مبانیه فی المعارف وفی جملة من الأبواب الفقهیّة لا یمکن الرکون إلی قوله ، لأنّ فی أغلب الموارد یکون حکم الرجالیّ علی وفق مبانیه وقناعاته وآرائه فی المعارف ، فیعبّر عن الراوی بأنّه فاسد المذهب أو ضعیف فی مذهبه ، أو أحادیثه منکرة ، أو أنّه من الغُلاة ، أو غیر ذلک من الطعون والأحکام التی یطلقها الرجالیّ ، فلا یمکن الإسترسال معهم فی أقوالهم ما لم یتبیّن البُنیة التحتانیّة فی دراسة المضمون ، التی علی ضوئها یحکمون علی المفرد الرجالیّ </w:t>
      </w:r>
      <w:r>
        <w:rPr>
          <w:rFonts w:eastAsia="IRNazanin" w:cs="IRNazanin"/>
          <w:color w:val="111111"/>
          <w:sz w:val="28"/>
          <w:szCs w:val="28"/>
          <w:rtl w:val="true"/>
          <w:lang w:bidi="fa-IR"/>
        </w:rPr>
        <w:t>.</w:t>
      </w:r>
    </w:p>
    <w:p>
      <w:pPr>
        <w:pStyle w:val="Heading4"/>
        <w:numPr>
          <w:ilvl w:val="3"/>
          <w:numId w:val="1"/>
        </w:numPr>
        <w:rPr/>
      </w:pPr>
      <w:bookmarkStart w:id="184" w:name="__RefHeading___Toc423085_581953129"/>
      <w:bookmarkStart w:id="185" w:name="_Toc67"/>
      <w:bookmarkEnd w:id="184"/>
      <w:r>
        <w:rPr>
          <w:rtl w:val="true"/>
        </w:rPr>
        <w:t>شواهد لاعتماد الرجالیّین فی الجرح والتعدیل علی المضمون وأنّه العمدة لدیهم فی ذلک</w:t>
      </w:r>
      <w:bookmarkEnd w:id="185"/>
    </w:p>
    <w:p>
      <w:pPr>
        <w:pStyle w:val="BookText"/>
        <w:rPr/>
      </w:pPr>
      <w:r>
        <w:rPr>
          <w:rFonts w:ascii="IRNazanin" w:hAnsi="IRNazanin" w:eastAsia="IRNazanin"/>
          <w:color w:val="111111"/>
          <w:sz w:val="28"/>
          <w:sz w:val="28"/>
          <w:szCs w:val="28"/>
          <w:rtl w:val="true"/>
          <w:lang w:bidi="fa-IR"/>
        </w:rPr>
        <w:t xml:space="preserve">من لاحظ کُتُب الجرح والتعدیل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عدی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للعقیلی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 وغیرها من کُتُب أهل سُنّة الخلافة یظهر له بوضوح أنّ دیدَن الرجالیین وعادتهم فی الطعن والجرح والتوفیق یکون غالباً اعتماداً علی مضمون الروایات التی یرویها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هو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یحیی بن الحسن بن جعفر بن عبیداللّه بن الحسین بن زین العابدین علیّ بن الشهید الحسین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کاذب رافضیّ لمجرّد روایته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w:t>
      </w:r>
    </w:p>
    <w:p>
      <w:pPr>
        <w:pStyle w:val="BookText"/>
        <w:rPr/>
      </w:pPr>
      <w:r>
        <w:rPr>
          <w:rFonts w:ascii="IRNazanin" w:hAnsi="IRNazanin" w:eastAsia="IRNazanin"/>
          <w:color w:val="111111"/>
          <w:sz w:val="28"/>
          <w:sz w:val="28"/>
          <w:szCs w:val="28"/>
          <w:rtl w:val="true"/>
          <w:lang w:bidi="fa-IR"/>
        </w:rPr>
        <w:t xml:space="preserve">فمن أبی فقد کفر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الخطیب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أشناس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رافضیّ خبیث کان یقرأ علی الشیعة مثالب الصحابة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ابن النجّار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فاسد العقیدة ینالُ من الصحابة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أبی عمر بن حیویه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یملی مثالب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الشیخین فترکتُ حدیثه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السریّ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رافضیّ کذّاب ؛ لأنّه کان أکثر ما یقرأ علیه المثالب ویقرأ علیه أنّ عمر رفس فاطمة حتّی أسقطت بمحسن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المتناهیة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حیّان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فُتن بحبّ علیّ بن أبی طالب علیه السلام فأتی بالطامّات فی الروایات فاستحقّ من أجلها الترک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ابن عدی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یحدّث بأحادیث مناکیر عن قوم لا بأس بهم ، وهو فی نفسه رجل صالح إلّاأنّ</w:t>
      </w:r>
    </w:p>
    <w:p>
      <w:pPr>
        <w:pStyle w:val="BookText"/>
        <w:rPr/>
      </w:pPr>
      <w:r>
        <w:rPr>
          <w:rFonts w:ascii="IRNazanin" w:hAnsi="IRNazanin" w:eastAsia="IRNazanin"/>
          <w:color w:val="111111"/>
          <w:sz w:val="28"/>
          <w:sz w:val="28"/>
          <w:szCs w:val="28"/>
          <w:rtl w:val="true"/>
          <w:lang w:bidi="fa-IR"/>
        </w:rPr>
        <w:t xml:space="preserve">الصالحین شبّه علیهم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هو ممّن یحتجّ بحدیثه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فی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الأسود أبی عبیدة 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أری فی حدیثه من المنکر ما یستحقّ به الکذب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عند الرجالیین من الشیعة ، وننظر کأنموذج إلی ما ذکره النجاشیّ فی کتابه الرجالی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یحیی بن الحسن بن جعفر المعروف بابن أخی طاهر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المجاهیل أحادیث منکرة رأیت أصحابنا یضعّفونه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الرقّی ضعیف جدّاً ، والغلاة تروی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رأیت له حدیثاً سدیداً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زکریّا الورّاق طعن علیه بالغلوّ ، له کتاب ، فیه تخلیط‌</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زاذویه أبو محمّد القمّی ، ثقة ، جیّد الحدیث ، نقیّ الروایة ، معتمد علیه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سلمة الکندیّ السجستانیّ ، حدیثه لیس بنقیّ وإن کنّا لا نعرف منه إلّاخیراً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کثیر الهاشمی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ضعیفاً ، غمز أصحابنا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له کتاب فدک ، وکتاب الأظلّة ، کتاب فاسد مختلط‌</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أبو الصلت الهرویّ ، ثقة ، صحیح الحدیث</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بن کثیر الهاشمی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جدّاً ، ذکره بعض أصحابنا فی الغلاة ، فاسد الاعتقاد ، له کتاب تفسیر الباطن ، تخلیط کلّه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شیرة القاسانیّ کان فقیهاً مکثراً من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غمز علیهأحمد بن محمّد بن عیسی وذکر أنّه سمع منه مذاهب منکرة ولیس فی کتبه ما یدلّ علی ذلک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سهل حاتم بن أبی حاتم القزوینیّ ثقة من أصحابنا فی نفسه ، یروی عن الضعفاء ، سمع فأکثر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الثمرة الثانیة</w:t>
      </w:r>
    </w:p>
    <w:p>
      <w:pPr>
        <w:pStyle w:val="BookText"/>
        <w:rPr/>
      </w:pPr>
      <w:r>
        <w:rPr>
          <w:rFonts w:ascii="IRNazanin" w:hAnsi="IRNazanin" w:eastAsia="IRNazanin"/>
          <w:color w:val="111111"/>
          <w:sz w:val="28"/>
          <w:sz w:val="28"/>
          <w:szCs w:val="28"/>
          <w:rtl w:val="true"/>
          <w:lang w:bidi="fa-IR"/>
        </w:rPr>
        <w:t xml:space="preserve">ومن الثمرات المهمّة الأُخری البالغة فی الأهمّیة أیضاً فی دراسة المضمون وتحلیله وموازنته بمحکمات الکتاب والسنّة ، هو اکتشاف أقسام التواتر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التواتر غیر اللفظیّ ، وهی أقسام التواتر المعنویّ الذی قد یُسمّی بعضها بالتواتر الإجمالیّ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وأنّ جملة من أقسام التواتر المعنویّ لا یستکشف فی الوهلة الأُولی</w:t>
      </w:r>
    </w:p>
    <w:p>
      <w:pPr>
        <w:pStyle w:val="BookText"/>
        <w:rPr/>
      </w:pPr>
      <w:r>
        <w:rPr>
          <w:rFonts w:ascii="IRNazanin" w:hAnsi="IRNazanin" w:eastAsia="IRNazanin"/>
          <w:color w:val="111111"/>
          <w:sz w:val="28"/>
          <w:sz w:val="28"/>
          <w:szCs w:val="28"/>
          <w:rtl w:val="true"/>
          <w:lang w:bidi="fa-IR"/>
        </w:rPr>
        <w:t xml:space="preserve">من ظاهر اللفظ ، بل هی من قبیل المدالیل الإلتزامیّة بوسائط متعدّدة للمدلول المطابقیّ ، فاستکشافها یتوقّف علی ملکة علمیّة محیطة بالمعانی والقواعد والترابط فی ما بینها ، فإنّ بعض المعانی الإلتزامیّة إنّما تکتشف بالاستدلال النظریّ البرهانیّ وإن لم یکن الاستدلال متوغِّلاً فی النظریّة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واکتشافُ ذلک والوقوف علیه ذو فائدة مدرکیّة جمّة ، کما أنّ ذلک مؤشِّر وشاهد علی تکوّن علم إجمالیّ بوجود طوائف من التواتر المعنویّ فی جملة من الروایات الضعیفة ، فضلاً عن الروایات الحسنة والموثّقة والصحیحة ، وهذا ممّا یُنجِّز عملیّة الفحص ویمنع من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روی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نزهونا عن الربوبیة ، و ارفعوا عنا حظوظ البشریة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اجعلوا لنا ربا نؤب إلیه ، و قولوا فینا ما شئتم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المضمون بهذه الألفاظ وما یقرب منها قد روی بما یزید علی ثمانیة طرق بحسب التتبّع الناقص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للحلّی وفی الکشّیّ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هناک طوائف اخری من الروایات لیست بهذه الألفاظ ، لکنّها تدلّ بالإلتزام علی نفس هذا المعنی ؛ نظیر روایات خلقة أنوارهم وإنّها أوّل ما خلَق اللّه ، مرویّة عند الفریقین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الطائفة بمقتضی البراهین العقلیّة دالّة علی أنّ الصوادر الأُولی حیث تکون علل متوسّطة لما بعدها ، فإنّ ذلک یقتضی عدم إحاطة مابعدها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یصدر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لمقتضی عدم إحاطة المعلول بالعلّة وإن کانت العلّة بمعنی ما به الوجود</w:t>
      </w:r>
    </w:p>
    <w:p>
      <w:pPr>
        <w:pStyle w:val="BookText"/>
        <w:rPr/>
      </w:pPr>
      <w:r>
        <w:rPr>
          <w:rFonts w:ascii="IRNazanin" w:hAnsi="IRNazanin" w:eastAsia="IRNazanin"/>
          <w:color w:val="111111"/>
          <w:sz w:val="28"/>
          <w:sz w:val="28"/>
          <w:szCs w:val="28"/>
          <w:rtl w:val="true"/>
          <w:lang w:bidi="fa-IR"/>
        </w:rPr>
        <w:t xml:space="preserve">لا ما منه الوجود وبمقتضی أنّ الصادر الأوّل متوفِّر علی کلّ ما أمکن أن یکون متوفِّراً من المخلوق الممکن ، فلا تحصی کمالاته لاسیّما بلحاظ أنّ خلقته فعل اللّه وفعلهُ تعالی تتجلّی فیه صفاته اللامتناهیة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هذه المدالیل الإلتزامیّة التی تتظافر فی الأدلّة لا یکتشفها إلّاالحکیم الماهر فی بحوث المعارف أو صاحب الذوق القلبیّ المبرهن ، لا بمعنی تحمیل المدلول قرائح الذوق وآراء الفکر ، بل توظیف الملکة علی هذه المعانی فی استکشاف معانی النصّ المترامیة ترابطاً ، کما أنّ ذلک لا یعنی أنّ ما یتوصّل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وتعزّزه بالبراهین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منتهی افق مدلول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یتّضح أنّ استکشاف التواتر الوارد فی أبواب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الوارد فی أبواب الفروع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بعلم الحدیث والرجال والدرایة فقط ، فإنّ المستکشف بهذه العلوم الثلاثة هو التواتر اللفظیّ أو المعنویّ القریب من مدلول الظاهر ، وأمّا بقیّة أقسام التواتر المعنویّ ذات الشواهد النظریّة لا یستکشفها إلّا الحکیم أو المتکلِّم من أهل المعرفة أو الفقیه الملِمِّ بأبواب الفروع ، المتضلِّع فی العلوم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ذلک یومی قولهم بوجود قسم من الضرورات والمتسالمات التی لا یتفطّن إلیها إلّاالعرف الخاصّ من الفقهاء والحکماء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الضرورات والتسالمات سواء فی أبواب المعارف أو أبواب فروع الفقه لیست ناشئة إلّامن استکشاف التواتر المعنویّ فی أقسامه النظریّة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لیس خاصّاً بالتواتر فقط ، بل کذلک الحال فی المستفیض بعین ما تقدّم فی المتواتر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وکذا الحال فی الوثوق بالصدور من غیر الثقة ، فإنّ قرائن الوثوق بالصدور</w:t>
      </w:r>
      <w:bookmarkStart w:id="186" w:name="pg5252_44321"/>
    </w:p>
    <w:p>
      <w:pPr>
        <w:pStyle w:val="BookText"/>
        <w:rPr/>
      </w:pPr>
      <w:bookmarkEnd w:id="186"/>
      <w:r>
        <w:rPr>
          <w:rFonts w:ascii="IRNazanin" w:hAnsi="IRNazanin" w:eastAsia="IRNazanin"/>
          <w:color w:val="111111"/>
          <w:sz w:val="28"/>
          <w:sz w:val="28"/>
          <w:szCs w:val="28"/>
          <w:rtl w:val="true"/>
          <w:lang w:bidi="fa-IR"/>
        </w:rPr>
        <w:t xml:space="preserve">فی جملة کثیرة من مواردها هی قرائن نظریّة لا یقف علیها ولا یستکشفها ولا یتفطّن إلیها إلّابصناعة الإجتهاد أو البحث الحِکَمی والکلامی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تصحیح التراث وتقییم اعتباره إلی مجرّد البحث الرجالیّ والبحث الدرائیّ والحدیثیّ </w:t>
      </w:r>
      <w:r>
        <w:rPr>
          <w:rFonts w:eastAsia="IRNazanin" w:cs="IRNazanin"/>
          <w:color w:val="111111"/>
          <w:sz w:val="28"/>
          <w:szCs w:val="28"/>
          <w:rtl w:val="true"/>
          <w:lang w:bidi="fa-IR"/>
        </w:rPr>
        <w:t>.</w:t>
      </w:r>
    </w:p>
    <w:p>
      <w:pPr>
        <w:pStyle w:val="Heading4"/>
        <w:numPr>
          <w:ilvl w:val="3"/>
          <w:numId w:val="1"/>
        </w:numPr>
        <w:rPr/>
      </w:pPr>
      <w:bookmarkStart w:id="187" w:name="__RefHeading___Toc423087_581953129"/>
      <w:bookmarkStart w:id="188" w:name="_Toc68"/>
      <w:bookmarkEnd w:id="187"/>
      <w:r>
        <w:rPr>
          <w:rtl w:val="true"/>
        </w:rPr>
        <w:t>الثمرة الثالثة</w:t>
      </w:r>
      <w:bookmarkEnd w:id="188"/>
    </w:p>
    <w:p>
      <w:pPr>
        <w:pStyle w:val="BookText"/>
        <w:rPr/>
      </w:pPr>
      <w:r>
        <w:rPr>
          <w:rFonts w:ascii="IRNazanin" w:hAnsi="IRNazanin" w:eastAsia="IRNazanin"/>
          <w:color w:val="111111"/>
          <w:sz w:val="28"/>
          <w:sz w:val="28"/>
          <w:szCs w:val="28"/>
          <w:rtl w:val="true"/>
          <w:lang w:bidi="fa-IR"/>
        </w:rPr>
        <w:t xml:space="preserve">ومن الثمار المهمّة لاعتماد دراسة المضمون فی تصحیح الحدیث أنّ الفقیه أو الباحث فی المعرفة یضطرّ إلی اعتماد منهج الوفاق بین تفاصیل الأحکام واُسس التشریع فی عمومات الکتاب والسنّة وممّا فیها من اصول الأحکام والتوفیق بین الأحکام فی الأبواب المختلفة ، والجمع بینها وبین اصول وقواعد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استکشاف جهة التوفیق بین الأحکام وتفرُّع بعضها عن البعض الآخر ورجوع بعضها إلی بعض ، یجعل من منظومة مجموع الأحکام کُتلة متّسقة ویکون من تحکیم المحکمات علی غیرها ویکون امتثالاً لأوامر العرض علی الکتاب والسنّة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الأمر المتواتر</w:t>
      </w:r>
      <w:r>
        <w:rPr>
          <w:rStyle w:val="FootnoteAnchor"/>
          <w:rtl w:val="true"/>
        </w:rPr>
        <w:footnoteReference w:id="354"/>
      </w:r>
      <w:r>
        <w:rPr>
          <w:rFonts w:ascii="IRNazanin" w:hAnsi="IRNazanin" w:eastAsia="IRNazanin"/>
          <w:color w:val="111111"/>
          <w:sz w:val="28"/>
          <w:sz w:val="28"/>
          <w:szCs w:val="28"/>
          <w:rtl w:val="true"/>
          <w:lang w:bidi="fa-IR"/>
        </w:rPr>
        <w:t>هو أمر بالتوفیق بین تفاصیل الأحکام واُصول التشریع ، بمعنی استکشاف التنسیق فیما بینها ، وظاهر هذا الأمر أنّه من الشرائط العامّة فی ماهیّة الأحکام التفصیلیّة فضلاً عن تنجیزها ؛ إذ هذا الشرط یرجع</w:t>
      </w:r>
    </w:p>
    <w:p>
      <w:pPr>
        <w:pStyle w:val="BookText"/>
        <w:rPr/>
      </w:pPr>
      <w:r>
        <w:rPr>
          <w:rFonts w:ascii="IRNazanin" w:hAnsi="IRNazanin" w:eastAsia="IRNazanin"/>
          <w:color w:val="111111"/>
          <w:sz w:val="28"/>
          <w:sz w:val="28"/>
          <w:szCs w:val="28"/>
          <w:rtl w:val="true"/>
          <w:lang w:bidi="fa-IR"/>
        </w:rPr>
        <w:t xml:space="preserve">فی مآله إلی وجود وحدة انتظام فیما بین تفاصیل الأحکام واُصول التشریع وقواعده ؛ إذ لیست التفاصیل مبتورة ومقطوعة الصلة عن القواعد واُصول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یُعَزِّز هذه الحقیقة والضابطة فی شرائط الأحکام أنّ هذا الأمر بعینه قد ورد فی قاعدة الشروط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فی ما و افق کتاب الله عز و جل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إلاکل شرط خالف کتاب الله عز و جل فلا یجوز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إلاشرطا حرم حلالا أو أحل حراما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وهو بمعنی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إلاشرطا فیه معصیة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حکم فقهیّ أخذ فی ماهیّته هذا الشرط ولیس هو من الطرق والأمارات الکاشفة ممّا یدلل ویشهد علی أنّ هذا الشرط والضابطة لا تقتصر شرطیّته علی التنجیز والتعذیر الذی هو حقیقة الحکم فی الطرق والإمارات ، بل یشمل ماهیّة الأحکام الواقعیّة ، إذ الشروط لا تقتصر علی أبواب المعاملات بالمعنی الأخصّ ، بل بالمعنی الأعمّ الشامل للمالیّة والسیاسیّة والایقاعات وغیرها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ورد هذا الشرط والضابطة فی الصلح والنذر والیمین والعهد والطلاق أیضاً ممّا یدلّل علی أنّ المراد من الشروط هو مطلق الإلتزام والتعهّد ، سواء کان مع اللّه تعالی أم مع البشر ، وسواء کان إیقاعاً أم عقداً ، مالیّاً أم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الفارق بین ما ورد فی اعتبار هذا الشرط فی الأخبار والطرق عمّا ورد فی الشرط ونحوها ، أنّ مضمون الأخبار کما فی حدیث الرضا علیه السلام إنّ هذا الشرط یرجع إلی تقریر الدلالة وتنجیز الصدور ، لأنّ الحکم علی تقدیر صدوره عن المعصوم یمتنع أن یخالف محکمات الکتاب والسنّة ، إذ المعصوم فی تشریعاته تابع لَدُنّیّاً للاُصول التی شرّعها اللّه ورسوله صلی الله علیه و آله و سلم وتشریعات النبیّ صلی الله علیه و آله و سلم تابعة لَدُنّیّاً أیضاً لاُصول تشریعات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الشروط فی العقود والإلتزامات فی المعاملات والإیقاعات ، فإنّها من إنشاء البشر ، فلابدّ أن تنضبط بهذه الضابطة لعدم العصمة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 فإنّ هذه الضابطة وهذا المنهج فی اکتشاف التوفیق بین مضامین تفاصیل الأحکام واُصول التشریع لابدّ منها ، والذی یتکفّله هو دراسة المضمون وهو البحث الفقهیّ بالحمل الشائع أو الذی یصدق علیه بحث المعارف فی ما کانت فی المسائل الاعتقادیّة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البحث الرجالیّ فهو بحث مقدّمی إعدادیّ ، والبحث المقدّمی وإن کان لابدّ منه إلّاأنّه من غیر الصحیح الإکتفاء به عن البحث الأصلیّ ، بل من غیر الصحیح المساواة والمکافأة بین البحثین من حیث العمق وبذل الجهد </w:t>
      </w:r>
      <w:r>
        <w:rPr>
          <w:rFonts w:eastAsia="IRNazanin" w:cs="IRNazanin"/>
          <w:color w:val="111111"/>
          <w:sz w:val="28"/>
          <w:szCs w:val="28"/>
          <w:rtl w:val="true"/>
          <w:lang w:bidi="fa-IR"/>
        </w:rPr>
        <w:t>.</w:t>
      </w:r>
      <w:bookmarkStart w:id="189" w:name="pg5252_44324"/>
    </w:p>
    <w:p>
      <w:pPr>
        <w:pStyle w:val="Heading3"/>
        <w:numPr>
          <w:ilvl w:val="2"/>
          <w:numId w:val="1"/>
        </w:numPr>
        <w:rPr/>
      </w:pPr>
      <w:bookmarkStart w:id="190" w:name="__RefHeading___Toc423089_581953129"/>
      <w:bookmarkStart w:id="191" w:name="_Toc69"/>
      <w:bookmarkEnd w:id="189"/>
      <w:bookmarkEnd w:id="190"/>
      <w:r>
        <w:rPr>
          <w:rtl w:val="true"/>
        </w:rPr>
        <w:t xml:space="preserve">المقام الثالث </w:t>
      </w:r>
      <w:r>
        <w:rPr>
          <w:rtl w:val="true"/>
        </w:rPr>
        <w:t>:</w:t>
      </w:r>
      <w:r>
        <w:rPr>
          <w:rtl w:val="true"/>
        </w:rPr>
        <w:t>فی بیان ضوابط العرض علی الکتاب والسنّة ومیزان المخالفة والموافقة لهما</w:t>
      </w:r>
      <w:bookmarkEnd w:id="191"/>
    </w:p>
    <w:p>
      <w:pPr>
        <w:pStyle w:val="Heading4"/>
        <w:numPr>
          <w:ilvl w:val="3"/>
          <w:numId w:val="1"/>
        </w:numPr>
        <w:rPr/>
      </w:pPr>
      <w:bookmarkStart w:id="192" w:name="__RefHeading___Toc423091_581953129"/>
      <w:bookmarkStart w:id="193" w:name="_Toc70"/>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ولأجل بیان الضابطة للعرض علی الکتاب والسنّة أو معرفة ضابطة المخالفة والموافقة لهما کی لا تکون الموازنة بین مضامین تفاصیل الأحکام والمعارف فی الروایات وبین محکمات الکتاب والسنّة بتوسّط السلیقة والذوق والقریحة ، بل منضبطة بقالب صناعیّ یُعوّل علیه ویضطرّ إلی إعماله بتدبّر وإمعان ، وکاُنموذج لتطبیق هذه الضابطة ، نشرع فی دراسة قاعدة مهمّة وهی قاعدة عدم نفوذ الشرط المخالف للکتاب والسُّنة </w:t>
      </w:r>
      <w:r>
        <w:rPr>
          <w:rFonts w:eastAsia="IRNazanin" w:cs="IRNazanin"/>
          <w:color w:val="111111"/>
          <w:sz w:val="28"/>
          <w:szCs w:val="28"/>
          <w:rtl w:val="true"/>
          <w:lang w:bidi="fa-IR"/>
        </w:rPr>
        <w:t>.</w:t>
      </w:r>
    </w:p>
    <w:p>
      <w:pPr>
        <w:pStyle w:val="Heading4"/>
        <w:numPr>
          <w:ilvl w:val="3"/>
          <w:numId w:val="1"/>
        </w:numPr>
        <w:rPr/>
      </w:pPr>
      <w:bookmarkStart w:id="194" w:name="__RefHeading___Toc423093_581953129"/>
      <w:bookmarkStart w:id="195" w:name="_Toc71"/>
      <w:bookmarkEnd w:id="194"/>
      <w:r>
        <w:rPr>
          <w:rtl w:val="true"/>
        </w:rPr>
        <w:t>عدم نفوذ الشرط المخالف للکتاب والسنّة</w:t>
      </w:r>
      <w:bookmarkEnd w:id="195"/>
    </w:p>
    <w:p>
      <w:pPr>
        <w:pStyle w:val="BookText"/>
        <w:rPr/>
      </w:pPr>
      <w:r>
        <w:rPr>
          <w:rFonts w:ascii="IRNazanin" w:hAnsi="IRNazanin" w:eastAsia="IRNazanin"/>
          <w:color w:val="111111"/>
          <w:sz w:val="28"/>
          <w:sz w:val="28"/>
          <w:szCs w:val="28"/>
          <w:rtl w:val="true"/>
          <w:lang w:bidi="fa-IR"/>
        </w:rPr>
        <w:t xml:space="preserve">وهذه القاعدة وإن جری تداولها فی المعاملات کضابطة فی الشروط الضمنیّة المعاملیّة ، إلّاأنّ الصحیح عموم هذه القاعدة لأبواب الفقه السیاسیّ والحکم ، کما أنّها ذات أهمّیة کبیرة فی البحث المتداول فی هذا العصر ، وهو الثابت والمتغیّر فی الشریعة ، والذی یضفی بظلاله علی کیفیّة تغطیة الشریعة لکلّ الحوادث المستجدّة ولکلّ أصعدة الحیاة الحدیثة ، کما سیتبیّن فی ما یأتی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هذه القاعدة قد نبّه علیها کلّ مَن خاض فیها من الأساطین علی وَعُورة وصعوبة البحث فیها ، وأنّ ما یذکر من ضوابط فی تفسیرها غیر مطّرد</w:t>
      </w:r>
    </w:p>
    <w:p>
      <w:pPr>
        <w:pStyle w:val="BookText"/>
        <w:rPr/>
      </w:pPr>
      <w:r>
        <w:rPr>
          <w:rFonts w:ascii="IRNazanin" w:hAnsi="IRNazanin" w:eastAsia="IRNazanin"/>
          <w:color w:val="111111"/>
          <w:sz w:val="28"/>
          <w:sz w:val="28"/>
          <w:szCs w:val="28"/>
          <w:rtl w:val="true"/>
          <w:lang w:bidi="fa-IR"/>
        </w:rPr>
        <w:t xml:space="preserve">ولا منعکس ، مضافاً إلی أنّها لا تنقّح الصغریات العدیدة التی وقع الخلاف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التحدید فی الشرط ورد أیضاً فی الصلح والنذر وأخویه ، وطاعة الوالدین وغیرها ، وسیتبیّن الجهة المشترکة بین هذه العناوین فی هذا التحدید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ولأهمّیة هذه القاعدة خاض فیها المحقّق النراقیّ قدس 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تعرّض لکلامه تلمیذه الشیخ المحقّق الأنصاریّ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تعرّض لکلامه کلّ من کتب فی هذه القاعدة ، ومن‌الموارد الفریدة التی یعبّر الشیخ الأنصاریّ قدس سره عن استاذه النراقیّ قدس سره بالمشیخة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مشایخنا 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کلامه فی موضعین ، وهو الوحید الذی نوّه باسمه من بین مَن نقل عنهم فی هذا المبحث ، ممّا یدل علی حداثة بلورة هذا البحث عند النراقیّ قدس سره ، وهذه الصفة مطّردة فی تحقیقات النراقیّ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تابع الشیخ الأنصاریّ قدس سره استاذه المحقّق فی إثارتها فی مواطنها المختلفة ، ممّا یدلّ علی تأثّر الشیخ بالمحقّق النراقیّ قدس سره أکثر من بقیّة مشایخه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فی العائدة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عقدها لبیان حکم الشرط فی ضمن العقد ، بعد بیان معنی الشرط وجملة من ضوابط وشرائط صحّة الشرط الضمنیّ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یجوز من الشرط وما لا یجوز ، وجملة ما ذکروا عدم جوازه ، ووقع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عباراتهم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المخالف للکتاب والسنّة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الذی أحلّ حراماً أو حرّم حلالاً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والشرط المنافی لمقتضی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والشرط المؤدّی إلی جهالة أحد العوضین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الإعتداد به مجمع علیه ، وفی المستفیضة 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إلی الأخبار الواردة فی المقام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المراد بشرطٍ خالف الکتاب أو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مخالفاً لما ثبت من الکتاب والسنّة ، عموماً أو خصوصاً ، مناقضاً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حکم فی الکتاب أو السنّة ، وهو یشترط ضدّ ذلک الحکم خلافه ، أی یکون المشروط أمراً مخالفاً لما ثبت فی أحدهما ، سواء کان من الأحکام الطلبیّة أو الوضعیّة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وأمّا اشتراط أن لا یتصرّف المشتری فی المبیع مدّة معلومة ، فهو لیس مخالفاً للکتاب أو السنّة ، إذ لم یثبت فیهما تصرّفه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بل إنّما ثبت جواز تصرّفه ، والمخالف له عدم جواز تصرّفه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 ، إیجاب الشارع للعمل بالشرط یستلزم عدم جواز التصرّف ، ولیس المستثنی فی الأخبار شرطاً خالف إیجابه أو وجوبه کتاب اللّه والسنّة ، بل شرط خالف الکتاب والسنّة ؛ والشرط هو عدم التصرّف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نعلم أنّ التزام عدم التصرّف یخالف جواز التصرّف ما لم یثبت وجوب ما یلتزم به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شرط فعل شیء ثبتت حرمته من الکتاب والسنّة أو ترک شیء ثبت وجوبه أو جوازه منهما ، فهو لیس شرطاً مخالفاً للکتاب والسنّة ، إذ لم یثبت من الکتاب والسنّة فعله أو ترکه ، بل حرمة فعله أو ترکه ، ولکن یحصل التعارض حینئذ بین ما دلّ علی حرمة الفعل</w:t>
      </w:r>
    </w:p>
    <w:p>
      <w:pPr>
        <w:pStyle w:val="BookText"/>
        <w:rPr/>
      </w:pPr>
      <w:r>
        <w:rPr>
          <w:rFonts w:ascii="IRNazanin" w:hAnsi="IRNazanin" w:eastAsia="IRNazanin"/>
          <w:color w:val="111111"/>
          <w:sz w:val="28"/>
          <w:sz w:val="28"/>
          <w:szCs w:val="28"/>
          <w:rtl w:val="true"/>
          <w:lang w:bidi="fa-IR"/>
        </w:rPr>
        <w:t xml:space="preserve">أو الترک ، وبین أدلّة وجوب الوفاء بالشرط ، فیجب العمل بمقتضی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التعرُّض إلی باقی کلمات الأصحاب فی هذه القاعدة ، نستعرض الروایات الواردة ثمّ نتبعه بتحریر حقیقة موضوع ومحمول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وإن کانت علی طوائف بحسب ألسنتها ، إلّاأنّه سنذکرها بحسب أبواب مواردها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الشرط فی الإماء لا تباع ولا توارث ولا توهب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غیر المیراث،فإنها تورث،فکل شرط خالف کتاب الله فهورد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ابن سنان</w:t>
      </w:r>
      <w:r>
        <w:rPr>
          <w:rStyle w:val="FootnoteAnchor"/>
          <w:rtl w:val="true"/>
        </w:rPr>
        <w:footnoteReference w:id="361"/>
      </w:r>
      <w:r>
        <w:rPr>
          <w:rFonts w:ascii="IRNazanin" w:hAnsi="IRNazanin" w:eastAsia="IRNazanin"/>
          <w:color w:val="111111"/>
          <w:sz w:val="28"/>
          <w:sz w:val="28"/>
          <w:szCs w:val="28"/>
          <w:rtl w:val="true"/>
          <w:lang w:bidi="fa-IR"/>
        </w:rPr>
        <w:t xml:space="preserve">إلّاأنّ فی ذیلها فهو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عبداللّه بن سنان عن أبی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اشترط شرطا مخالفا لکتاب الله فلا یجوز له ، و لا یجوز علی الذی اشترط علیه ، والمسلمون عند شروطهم مما و افق کتاب الله عز و جل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صحیحه الآخر عنه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إلاکل شرط خالف کتاب الله عز و جل فلا یجوز</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الثانی صحیح الحلبی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إسحاق بن عمّار عن جعفر عن أبیه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 فإن المسلمین عند شروطهم إلا شرطا حرم حلالا أو أحل حراما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منصور بن بزرج ، عن عبد صالح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تزوّج امرأة ثمّ طلّقها فبانت منه فأراد أن یراجعها فأبت علیه إلّاأن یجعل للّه‌علیه أن لا یُطلّقها ولا یتزوّج علیها ، فأعطاها ذلک ثمّ بدا له فی التزویج بعد ذلک فکیف یصنع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 ما صنع ، و ما کان یدریه ما یقع فی قلبه باللیل و النهار،قل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 للمرأة بشرطها ، فإن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عند شروطهم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العیّاشیّ ، عن ابن مسلم ، عن أبی جعفر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امرأة تزوجها رجل و شرط علیها و علی أهلها إن تزوج علیها امرأة أو هجرها أو اتخذ علیها سریة فإنها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الله قبل شرطکم ، إن شاء و فی بشرطه و إن شاء أمسک امرأته و نکح علیها و تسری علیها و هجرها إن أتت بسبیل ذلک ، قال اللّه تعالی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لَکُمْ مِنَ النِّساءِ مَثْنی وَ ثُلاثَ وَ رُباعَ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قیس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قضی فی رجل تزّوج امرأة وأصدقته هی واشترطت علیه أنّ بیدها الجماع والطلاق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خالفت السنة و و لیت حقا لیست بأهله ، فقضی أن علیه الصداق و بیده الجماع و الطلاق ،ذلک السنة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وصحیحه الآخر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تزوّج امرأة وشرط لها إن تزوّج علیها امرأة أو هجرها أو اتّخذ علیها سریّة فهی طالق ، فقضی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شرط الله قبل شرطکم فإن شاء و فی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أمسکها و اتخذ علیها و نکح علیها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صحیح عبداللّه بن سنان إلّاأنّ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و 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اشترط شرطا سوی کتاب الله فلا یجوز ذلک له و لا علیه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إبراهیم بن محرز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وأنا عنده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بیدک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یکون هذا، و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لیس هذا بشیء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العبّاس ، 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یتزوّج المرأة</w:t>
      </w:r>
    </w:p>
    <w:p>
      <w:pPr>
        <w:pStyle w:val="BookText"/>
        <w:rPr/>
      </w:pPr>
      <w:r>
        <w:rPr>
          <w:rFonts w:ascii="IRNazanin" w:hAnsi="IRNazanin" w:eastAsia="IRNazanin"/>
          <w:color w:val="111111"/>
          <w:sz w:val="28"/>
          <w:sz w:val="28"/>
          <w:szCs w:val="28"/>
          <w:rtl w:val="true"/>
          <w:lang w:bidi="fa-IR"/>
        </w:rPr>
        <w:t xml:space="preserve">ویشترط أن لا یخرجها من بلدها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یفی لها بذلک ، أو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یلزمه ذلک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عبداللّه علیه السلام أنّه 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بریرة کانت عند زوج لها و هی مملوکة ، فاشترتها عائشة فأعتقتها،فخیرها رسول الله صلی الله علیه و آله و سلم إن شاءت تقر عند زوجها، و إن شاءت فارقته و کان موالیها الذین باعوها اشترطوا و لا ءها علی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لا ء لمن أعتق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إلی ابن أبی عمیر عن عمرو صاحب الکرابیس ، 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کاتَب مملوکه ، واشترط علیه أنّ میراثه له فرفع ذلک إلی علیّ علیه السلام فأبطل شرطه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الله قبل شرطک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عن رجل کانت له ام مملوکة فلمّا حضرته الوفاة انطلق رجل من أصحابنا فاشتری امّه ، اشترط علیها أنّی أشتریک وأعتقکِ فإذا مات ابنک فلان ابن فلان فورثتیه أعطیتینی نصف ما ترثینه علی أن تعطینی بذلک عهد اللّه وعهد رسوله ، فرضیت بذلک ، أعطته عهد اللّه وعهد رسوله لتفینّ له بذلک ، فاشتراها الرجل وأعتقها علی ذلک الشرط ، ومات ابنها بعد ذلک فورثته ، ولم یکن له وارث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أحسن إلیها،وأجر فیها،إن هذا لفقیه ،و المسلمون عند شروطهم،وعلیها أن تفی بما عاهدت الله و رسوله علیه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سلمة بن کهیل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علیّاً علیه السلام یقول لشریح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w:t>
      </w:r>
      <w:bookmarkStart w:id="196" w:name="pg5252_44331"/>
    </w:p>
    <w:p>
      <w:pPr>
        <w:pStyle w:val="BookText"/>
        <w:rPr/>
      </w:pPr>
      <w:bookmarkEnd w:id="196"/>
      <w:r>
        <w:rPr>
          <w:rFonts w:ascii="IRNazanin" w:hAnsi="IRNazanin" w:eastAsia="IRNazanin"/>
          <w:color w:val="111111"/>
          <w:sz w:val="28"/>
          <w:sz w:val="28"/>
          <w:szCs w:val="28"/>
          <w:rtl w:val="true"/>
          <w:lang w:bidi="fa-IR"/>
        </w:rPr>
        <w:t>أن الصلح جائز بین المسلمین إلاصلحا حرم حلالا،أو أحل حراما</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الحدیث مرسل عند الصدوق رحمه الله</w:t>
      </w:r>
      <w:r>
        <w:rPr>
          <w:rStyle w:val="FootnoteAnchor"/>
          <w:rtl w:val="true"/>
        </w:rPr>
        <w:footnoteReference w:id="381"/>
      </w:r>
      <w:r>
        <w:rPr>
          <w:rFonts w:ascii="IRNazanin" w:hAnsi="IRNazanin" w:eastAsia="IRNazanin"/>
          <w:color w:val="111111"/>
          <w:sz w:val="28"/>
          <w:sz w:val="28"/>
          <w:szCs w:val="28"/>
          <w:rtl w:val="true"/>
          <w:lang w:bidi="fa-IR"/>
        </w:rPr>
        <w:t>ومن هذا الباب ما ورد من أنّه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نذر و لا یمین فی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لا تجوز یمین فی تحلیل حرام ولا تحریم حلال</w:t>
      </w:r>
      <w:r>
        <w:rPr>
          <w:rStyle w:val="FootnoteAnchor"/>
          <w:rtl w:val="true"/>
        </w:rPr>
        <w:footnoteReference w:id="382"/>
      </w:r>
      <w:r>
        <w:rPr>
          <w:rFonts w:ascii="Amiri" w:hAnsi="Amiri" w:eastAsia="Amiri" w:cs="Amiri"/>
          <w:color w:val="111111"/>
          <w:sz w:val="28"/>
          <w:sz w:val="28"/>
          <w:szCs w:val="28"/>
          <w:rtl w:val="true"/>
          <w:lang w:bidi="ar-SA"/>
        </w:rPr>
        <w:t>ومنه أیضاً ما ورد من أنّه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معصیة الخالق ولا لغیرهما، فإنه لا طاعة لمخلوق فی معصیة الخالق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423095_581953129"/>
      <w:bookmarkStart w:id="198" w:name="_Toc72"/>
      <w:bookmarkEnd w:id="197"/>
      <w:r>
        <w:rPr>
          <w:rtl w:val="true"/>
        </w:rPr>
        <w:t>حقیقة البحث سواء فی طرف موضوع القاعدة أو محمولها أو متعلّقها</w:t>
      </w:r>
      <w:bookmarkEnd w:id="198"/>
    </w:p>
    <w:p>
      <w:pPr>
        <w:pStyle w:val="BookText"/>
        <w:rPr/>
      </w:pPr>
      <w:r>
        <w:rPr>
          <w:rFonts w:ascii="IRNazanin" w:hAnsi="IRNazanin" w:eastAsia="IRNazanin"/>
          <w:color w:val="111111"/>
          <w:sz w:val="28"/>
          <w:sz w:val="28"/>
          <w:szCs w:val="28"/>
          <w:rtl w:val="true"/>
          <w:lang w:bidi="fa-IR"/>
        </w:rPr>
        <w:t xml:space="preserve">ولنذکر المحتملات تباعاً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کلّ من شرط الفعل والنتیجة ، وعلی کلا التقدیرین المخالفة تارة بلحاظ الشرط أی التعهّد والإلتزام ، أو بلحاظ المشروط وهو المتعلِّق أو المنشأ المتعهّد به ، وهو ملکیّة الفعل فی شرط الفعل ، أو وجود النتیجة کمعنی وضعیّ فی شرط النتیجة ، وسیأتی تعیین أحد هذه المحتملات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حکم الشرط والمشروط ونسبته مع الأحکام الأولیّة باعتبار کونه عنواناً ثانویّاً ، وهکذا قد یُقال الحال فی الصلح والنذر وأخویه ، وطاعة الوالدین ، وطاعة کلّ ولیّ ووالی من غیر المعصومین علیهم السلام أنّها عناوین</w:t>
      </w:r>
    </w:p>
    <w:p>
      <w:pPr>
        <w:pStyle w:val="BookText"/>
        <w:rPr/>
      </w:pPr>
      <w:r>
        <w:rPr>
          <w:rFonts w:ascii="IRNazanin" w:hAnsi="IRNazanin" w:eastAsia="IRNazanin"/>
          <w:color w:val="111111"/>
          <w:sz w:val="28"/>
          <w:sz w:val="28"/>
          <w:szCs w:val="28"/>
          <w:rtl w:val="true"/>
          <w:lang w:bidi="fa-IR"/>
        </w:rPr>
        <w:t xml:space="preserve">ثانویّة تلحظ نسبتها مع الأحکام الأولیّة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فی معرفة الأحکام الطبعیّة الاقتضائیّة وافتراقها عن الأحکام الفعلیّة المطلقة الباتّة فی الأحکام الأولیّة ، وإنّ الثانیة تُعارض الأحکام الثانویّة بخلاف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بحث عن علم وکیفیّة معرفة الاُصول القانونیّة فی الشریعة ، وهو حقیقة واقع البحث فی الثابت والمتغیّر الدینیّ ، حیث أنّ الأصل القانونیّ هو الموادّ الأُولی الفوقیّة للتقنین والأحکام ، ومنها تنشعب بقیّة القوانین والأحکام بنحو هرمیّ تنزّلیّ ، نظیر الموادّ الدستوریّة بالنسبة إلی المصوّبات القانونیّة للمجالس النیابیّة ، وهی بنوبتها بالنسبة إلی المقرّرات القانونیّة الوزاریة وإن کانت منظومة الأحکام والقوانین الأدیانیّة لا تنحصر فی الأحکام الاجتماعیة کالدساتیر بل ذلک باب من أبوابها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أنّ هذا البحث هو فی ذکر الضابطة فی التزاحم الملاکیّ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الإمتثالیّ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الأحکام وقد صرّح الشیخ الأنصاریّ قدس سره بوحدة مناط البحث مع موارد صیرورة المحلّل مقدّمة بنحو العلّیّة للمحرّم ، ومن ثمّ الفرق بینه وبین موارد المصالح المرسلة وسدّ الذرائع ، والفرق بینهما وبین جملة من فتاوی الأعلام فی جواز التشریع مع توقّف الإنقاذ المستقبلیّ علیه لا الحالیّ ، وکذلک تجویز ارتکاب بعض‌المحظورات لأجل تجنّب‌الضرر المستقبلیّ البعید أو القریب لا الحالیّ الفعلیّ ، وکذلک الحال فی بعض موارد الحرج التقدیریّ المستقبلیّ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المشترکة والسمة المتّحدة فی بحث الشروط والصلح والنذر وأخویه وطاعة الوالدین ممّا قد قُیِّد بأن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یخالف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تحدید ولایة الفرد وسلطنته ، فلا ثبوت لها مع</w:t>
      </w:r>
    </w:p>
    <w:p>
      <w:pPr>
        <w:pStyle w:val="BookText"/>
        <w:rPr/>
      </w:pPr>
      <w:r>
        <w:rPr>
          <w:rFonts w:ascii="IRNazanin" w:hAnsi="IRNazanin" w:eastAsia="IRNazanin"/>
          <w:color w:val="111111"/>
          <w:sz w:val="28"/>
          <w:sz w:val="28"/>
          <w:szCs w:val="28"/>
          <w:rtl w:val="true"/>
          <w:lang w:bidi="fa-IR"/>
        </w:rPr>
        <w:t xml:space="preserve">مخالفتها لولایة اللّه تعالی وولایة رسوله التشریعیّة وغیرهما ، وبالتالی لا یمکن له أن یلتزم أو یتعهّد بما هو خارج عن ولایته وسلطنته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فمورد قدرة الفرد وولایته هو فی التصرّف الذی لم یمنع شرعاً ، أی فی إرادة اللّه تعالی ورسوله ، وهذه الضابطة لا تختص بولایة الفرد وسلطنته وتحدید التزاماته ، سواء فی لون الشرط أو الصلح أو النذر وأخویه أو حقّ طاعته کوالد لا تختص هذه الضابطة بولایة الفرد ، بل تعم کلّ والی سواء فی الولایات العامّة ، کالنیابة العامّة عن المعصوم فی القضاء والحکم وبیان الأحکام ، أو الولایة والنیابة الخاصّة فی الأُمور الثلاثة ، أو فی الولایات المتوسّطة کالأوقاف والحسبیّات العامّة والوصایا ، فإنّ الوالی فی کلّ أقسام الولایات محدودة ولایته بعدم مخالفة التشریعات الإلهیّة من الکتاب والسنّة ، سواء سنّة النّبی صلی الله علیه و آله و سلم وسنّة أهل بیته علیهم السلام فإنّ الطاعة والولایة أوّلاً للّه‌تعالی ، ثمّ لرسوله ، ثمّ لأُولی الأمر من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فهذه القاعدة لیست میزاناً للحکم فی باب الفتیا وفقه الفرد ، بل میزانٌ للحکم فی باب الحکومة السیاسیّة وفقه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 عموم القاعدة أنّ عموم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بالشروط علی النطاق الفردیّ فی المعاملات المادّیّة والإیقاعات فی الأحوال الشخصیّة ، بل یشمل الشروط فی باب العهود التی تجریها الحکومة الإسلامیّة ، الوالی مع الأطراف الأُخری الإسلامیّة أو غیرها فی المعاملات المالیّة أو السیاسیّة أو العسکریة والأمنیّة وغیرها ، فإنّ العموم شامل لذلک فی ما ثبتت ولایته للوالی ، وکذلک فی عقد الصلح ، فإنّه لیس خاصّاً بالنطاق الفردیّ بل شامل لعهود الدولة والحاکم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تتبلور أهمّیة هذه القاعدة وعمومها للأبواب ولمختلف أقسام شرط الصلح فی مختلف ضروب الحکم وأنّ ولایة وسلطنة الفرد أو الولاة هی محدودة بولایة اللّه ورسوله والأئمّة من أهل بیته ، أی الحکم التشریعیّ والقضائیّ</w:t>
      </w:r>
    </w:p>
    <w:p>
      <w:pPr>
        <w:pStyle w:val="BookText"/>
        <w:rPr/>
      </w:pPr>
      <w:r>
        <w:rPr>
          <w:rFonts w:ascii="IRNazanin" w:hAnsi="IRNazanin" w:eastAsia="IRNazanin"/>
          <w:color w:val="111111"/>
          <w:sz w:val="28"/>
          <w:sz w:val="28"/>
          <w:szCs w:val="28"/>
          <w:rtl w:val="true"/>
          <w:lang w:bidi="fa-IR"/>
        </w:rPr>
        <w:t xml:space="preserve">التنفیذیّ ، وسیترتّب من هذا التحریر لحقیقة البحث رفع الإبهام فی کثیر من جهات دلالة الروایات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البحث فی القاعدة یظهر منطقة السعة للحاکم فی تخیّر الأوفق من السیاسات والتدبیرات للوصول إلی الأغراض الشرعیّة مادام ذلک فی حدود الموافق للاُصول الأوّلیّة ولم یخالفها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بعض الأعلام أنّ مفاد البحث فی القاعدة هو للتنبیه علی أنّ الشرط وبقیّة العناوین المستثنی منها المخالفة ، لیست علی حذو العناوین الثانویّة الأُخری کالضرر والحرج ، وعناوین الرفع الأُخری ممّا یتقدّم علی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لجهة أهمّیتها فی التزاحم الملاکیّ ، کما هو الضابطة فی العناوین الثانویّة ولکون عناوین الرفع رافعة للتنجیز والعزیمة دون أصل الحکم ، بینما الشرط والصلح ونحوهما موجب لتبدّل الحکم ، کما أنّ عناوین الرفع ناشئة من مصلحة التسهیل الملزمة وترخیصها ، أمّا عناوین العهد والإلتزام فناشئة من مصلحة الوفاء بالعهد المقترح المبتدأ ، أو ولایة بعض الموالی ، وقد أشار إلی وجود الفرق إجمالاً الشیخ الأنصاری قدس سره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مباحث الألفاظ إلی أنّ العناوین الثانویة حاکمة صورة ، أی بحسب عالم الدلالة ، ومزاحمة لبّاً ، وقد یظهر ذلک من الشیخ کما فی تنافی الضررین وغیرهما ، وهو ممشی مشهور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مشهور هذا العصر البناء علی أنّها حاکمة صورةً ومخصّصة لبّاً ، ولا یخفی خطورة وأهمّیة الفرق بین المسلکین فی موارد عدیدة ، والمسلک الأوّل هو المتعیّن کما حرّر فی محلّه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ذلک فیکون تقدّم العنوان الثانویّ علی الأوّلیّ هو لأهمّیّته ملاکاً ،</w:t>
      </w:r>
    </w:p>
    <w:p>
      <w:pPr>
        <w:pStyle w:val="BookText"/>
        <w:rPr/>
      </w:pPr>
      <w:r>
        <w:rPr>
          <w:rFonts w:ascii="IRNazanin" w:hAnsi="IRNazanin" w:eastAsia="IRNazanin"/>
          <w:color w:val="111111"/>
          <w:sz w:val="28"/>
          <w:sz w:val="28"/>
          <w:szCs w:val="28"/>
          <w:rtl w:val="true"/>
          <w:lang w:bidi="fa-IR"/>
        </w:rPr>
        <w:t xml:space="preserve">کما تقدّمت الإشارة إلی ذلک ، وعلیه فیکون محصّل الاستثناء فی المقام هو أنّ الشرط والصلح ونحوهما من العهود والإلتزامات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الولایات الفردیّة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تزاحم الأحکام الأوّلیّة الإقتضائیّة ملاکاً ، بخلاف عناوین الرفع الستّة ونحوها ، لاسیّما وإنّ عناوین الرفع کما تقدّم لا تغیِّر الأحکام الأوّلیّة عمّا هی علیه ، کما هو مسلک مشهور طبقات الفقهاء عدا هذه الأعصار ، بل غایة الأمر ، هی ترفع تنجیزها کما هو شأن المتزاحمین بخلاف المخصّص أو الوارد ، کما هو الحال فی عنوان الشرط والصلح ، والنذر وأخویه ، وطاعة الوالدین والموالی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فلابدّ فی الإلتزامات والعهود الداخلة تحت ولایة الفرد والأفراد أن تکون غیر منافیة للأحکام الأوّلیّة والتی هی من ولایة اللّه تعالی ورسوله ، بل ملائمة معها من باب جمع الملاکین ، فیعود هذا النمط من العناوین الثانویّة ، کنمط عناوین الرفع ، غیر مخصّص ولا وارد علی الأحکام الأوّلیّة ، بل مجتمع معها من دون تنافی لا فی الملاک فضلاً عن الجعل والإنشاء ، بل ولا فی الأثر وهو التحریک والبعث والتنجیز والترخیص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ارتکز فی کلماتهم حول القاعدة ، أنّ مورد الشروط والصلح ونحوهما هو فی تمییز الأحکام الطبعیّة الاقتضائیّة عن الفعلیّة الباتّة وغیر ذلک ممّا قیل فی ضابطة کیفیّة التعرُّف علی عدم منافاة الأحکام الأوّلیّة مع ولایة الفرد والأفراد والتزاماتهم وعهودهم الداخلة تحت سلطنتهم کما سیأتی البحث فی ذلک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المحقّق النراقی وجماعة أنّ المخالفة فی المقام تختلف عن المخالفة فی باب التعارض ؛ فإنّ العموم والخصوص المطلق یعدّ مخالفة فی المقام بخلاف باب التعارض ؛ وکذا الحال فی الإطلاق والتقیید ، وکذلک حمل العامّ والمطلق علی الخاصّ والمقیّد ، بل وکذلک کلّ وجوه الجمع العرفیّ الاُخری</w:t>
      </w:r>
    </w:p>
    <w:p>
      <w:pPr>
        <w:pStyle w:val="BookText"/>
        <w:rPr/>
      </w:pPr>
      <w:r>
        <w:rPr>
          <w:rFonts w:ascii="IRNazanin" w:hAnsi="IRNazanin" w:eastAsia="IRNazanin"/>
          <w:color w:val="111111"/>
          <w:sz w:val="28"/>
          <w:sz w:val="28"/>
          <w:szCs w:val="28"/>
          <w:rtl w:val="true"/>
          <w:lang w:bidi="fa-IR"/>
        </w:rPr>
        <w:t xml:space="preserve">من حمل الظهور الأضعف علی الأقوی علی اختلاف أنواع وضروب القرینیّة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جامعة لا یرفع التنافی فی المقام بما یرفع فی باب التعارض بالتصرّف فی دلالة أحد الطرفین ، ففی المقام لا تغیّر دلالة أدلّة الأحکام عمّا هی علیه ، ولا یلاحظ التوفیق بین دلالتها ودلالة نفوذ الشروط والصلح والنذر ونحوها من الإلتزامات ، وفی الحقیقة أنّ أدلّة الأحکام الثانویّة مطلقاً سواء کانت رافعة مثبتة من النمطین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تقدّمت الإشارة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یتصرّف بها فی دلالة الأحکام الأوّلیّة ، بخلاف أدلّة الأحکام الأوّلیّة فیما بین بعضها مع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 فالعناوین الثانویّة بکلا النمطین حالات وأطوار للحکم الأوّلیّ من دون أن تتصرّف فی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یظهر تفسیر آخر للموافقة للکتاب والسنّة المأخوذة فی ألسنة بعض روایات القاعدة ، المقابل لأخذ عدم المخالفة لها ؛ أنّه نفی لمطلق المخالفة ، وبالتالی تکون موافقة مع طبیعة الحکم الأوّلی ولا تنافی شؤونه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بطلان الإلتزام المخالف للکتاب والسنّة سواء بنحو الشرط أو الصلح ، والنذر وأخویه ، وغیرها ، مطرّد حتّی للإلتزام والعهد للّه‌تعالی ، فلا یصحّ النذر وأخویه مع کونه عهداً والتزاماً له تعالی ، فالإتّباع والطاعة لأحکامه تعالی مقیّدة لسلطان عبیده فی ما یلتزمونه ویتعهّدونه علی أنفسهم 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فالشروط مبتدأة منه تعالی علیهم لا منهم له علی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 الحکم الثانویّ کالعناوین العذریّة الستّة ، فضلاً عن المثبتة من الشرط وبقیّة الإلتزامات ، لیس هو الدوام والثبات ، بل ذلک شأن الأحکام الأوّلیّة ، بل شأنها هو الطروّ الإتّفاقی المؤقّت ، والزوال من دون استمرار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قد عرفنا أنّ العناوین الثانویّة العذریّة مزاحمة لبّاً للأوّلیّة</w:t>
      </w:r>
      <w:bookmarkStart w:id="199" w:name="pg5252_44337"/>
    </w:p>
    <w:p>
      <w:pPr>
        <w:pStyle w:val="BookText"/>
        <w:rPr/>
      </w:pPr>
      <w:bookmarkEnd w:id="199"/>
      <w:r>
        <w:rPr>
          <w:rFonts w:ascii="IRNazanin" w:hAnsi="IRNazanin" w:eastAsia="IRNazanin"/>
          <w:color w:val="111111"/>
          <w:sz w:val="28"/>
          <w:sz w:val="28"/>
          <w:szCs w:val="28"/>
          <w:rtl w:val="true"/>
          <w:lang w:bidi="fa-IR"/>
        </w:rPr>
        <w:t xml:space="preserve">والتزاحم لا یکون حالة دائمیّة بین الأحکام بل الحالة الطبیعیّة هی الوفاق بینها فی التدبیر الفردیّ أو الاجتماعیّ ، ومن ذلک یکون الحال أجلی فی الثانویّة المثبتة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لمّا کان مورد المثبتة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اللااقتضائیّة کما فی أکثر المباحات کان فیها البقاء الحیثیّ أطول مدّة </w:t>
      </w:r>
      <w:r>
        <w:rPr>
          <w:rFonts w:eastAsia="IRNazanin" w:cs="IRNazanin"/>
          <w:color w:val="111111"/>
          <w:sz w:val="28"/>
          <w:szCs w:val="28"/>
          <w:rtl w:val="true"/>
          <w:lang w:bidi="fa-IR"/>
        </w:rPr>
        <w:t>.</w:t>
      </w:r>
    </w:p>
    <w:p>
      <w:pPr>
        <w:pStyle w:val="Heading4"/>
        <w:numPr>
          <w:ilvl w:val="3"/>
          <w:numId w:val="1"/>
        </w:numPr>
        <w:rPr/>
      </w:pPr>
      <w:bookmarkStart w:id="200" w:name="__RefHeading___Toc423097_581953129"/>
      <w:bookmarkStart w:id="201" w:name="_Toc73"/>
      <w:bookmarkEnd w:id="200"/>
      <w:r>
        <w:rPr>
          <w:rtl w:val="true"/>
        </w:rPr>
        <w:t>فقه الروایات</w:t>
      </w:r>
      <w:bookmarkEnd w:id="201"/>
    </w:p>
    <w:p>
      <w:pPr>
        <w:pStyle w:val="Heading5"/>
        <w:numPr>
          <w:ilvl w:val="4"/>
          <w:numId w:val="1"/>
        </w:numPr>
        <w:rPr/>
      </w:pPr>
      <w:bookmarkStart w:id="202" w:name="__RefHeading___Toc423099_581953129"/>
      <w:bookmarkStart w:id="203" w:name="_Toc74"/>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 xml:space="preserve">وأمّا تقریب دلالة الروایات والتی مواردها بمثابة تطبیقات لهذه القاعدة ویظهر من خلالها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 الحلبیّ المتقدّم ، وهی مطابقة فی المورد مع صحیحه الآخر وهی الروایة السابعة المتقدّمة ، وکذا مع الروایة الثامنة </w:t>
      </w:r>
      <w:r>
        <w:rPr>
          <w:rFonts w:eastAsia="IRNazanin" w:cs="IRNazanin"/>
          <w:color w:val="111111"/>
          <w:sz w:val="28"/>
          <w:szCs w:val="28"/>
          <w:rtl w:val="true"/>
          <w:lang w:bidi="fa-IR"/>
        </w:rPr>
        <w:t>.</w:t>
      </w:r>
    </w:p>
    <w:p>
      <w:pPr>
        <w:pStyle w:val="Heading5"/>
        <w:numPr>
          <w:ilvl w:val="4"/>
          <w:numId w:val="1"/>
        </w:numPr>
        <w:rPr/>
      </w:pPr>
      <w:bookmarkStart w:id="204" w:name="__RefHeading___Toc423101_581953129"/>
      <w:bookmarkStart w:id="205" w:name="_Toc75"/>
      <w:bookmarkEnd w:id="204"/>
      <w:r>
        <w:rPr>
          <w:rtl w:val="true"/>
        </w:rPr>
        <w:t xml:space="preserve">الفائدة الاُولی </w:t>
      </w:r>
      <w:r>
        <w:rPr>
          <w:rtl w:val="true"/>
        </w:rPr>
        <w:t xml:space="preserve">: </w:t>
      </w:r>
      <w:r>
        <w:rPr>
          <w:rtl w:val="true"/>
        </w:rPr>
        <w:t>الفرق بین الحقّ والحکم</w:t>
      </w:r>
      <w:bookmarkEnd w:id="205"/>
    </w:p>
    <w:p>
      <w:pPr>
        <w:pStyle w:val="BookText"/>
        <w:rPr/>
      </w:pPr>
      <w:r>
        <w:rPr>
          <w:rFonts w:ascii="IRNazanin" w:hAnsi="IRNazanin" w:eastAsia="IRNazanin"/>
          <w:color w:val="111111"/>
          <w:sz w:val="28"/>
          <w:sz w:val="28"/>
          <w:szCs w:val="28"/>
          <w:rtl w:val="true"/>
          <w:lang w:bidi="fa-IR"/>
        </w:rPr>
        <w:t xml:space="preserve">وقد فرّق فی الروایة بین اشتراط عدم البیع وعدم الهبة من جانب وبین عدم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عبّر عنه بالروایتین الاُخریین بعدم ولاء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 والفرق بحسب الظاهر أنّ البیع والهبة تصرّف موکول فی الشرع إلی سلطنة المالک فله أن لا یقدم علیه ، ومن ثمّ له أن لا یلتزم علی نفسه بعدم الإقدام علیه ، لیس مودّی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ما وقع اشتراطه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تحریم التصرّف علی نفسه ، وهذا بخلاف الإرث ، فإنّه حکم شرعیّ لا ینطوی تحت تصرّف المکلّف کی یتشارط علی عدمه ، ومثله جعل الولاء لغیر مَن اعتق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صحیح عبداللّه بن سنان بین التقیید بعدم المخالفة وبلزوم الموافقة ، بخلاف صحیحه الآخر وصحیح الحلبیّ ثمّة ، فإنّهما اقتصرا</w:t>
      </w:r>
      <w:bookmarkStart w:id="206" w:name="pg5252_44338"/>
    </w:p>
    <w:p>
      <w:pPr>
        <w:pStyle w:val="BookText"/>
        <w:rPr/>
      </w:pPr>
      <w:bookmarkEnd w:id="206"/>
      <w:r>
        <w:rPr>
          <w:rFonts w:ascii="IRNazanin" w:hAnsi="IRNazanin" w:eastAsia="IRNazanin"/>
          <w:color w:val="111111"/>
          <w:sz w:val="28"/>
          <w:sz w:val="28"/>
          <w:szCs w:val="28"/>
          <w:rtl w:val="true"/>
          <w:lang w:bidi="fa-IR"/>
        </w:rPr>
        <w:t xml:space="preserve">علی نفوذ وإمضاء کلّ شرط إلّاالمخالف </w:t>
      </w:r>
      <w:r>
        <w:rPr>
          <w:rFonts w:eastAsia="IRNazanin" w:cs="IRNazanin"/>
          <w:color w:val="111111"/>
          <w:sz w:val="28"/>
          <w:szCs w:val="28"/>
          <w:rtl w:val="true"/>
          <w:lang w:bidi="fa-IR"/>
        </w:rPr>
        <w:t>.</w:t>
      </w:r>
    </w:p>
    <w:p>
      <w:pPr>
        <w:pStyle w:val="Heading5"/>
        <w:numPr>
          <w:ilvl w:val="4"/>
          <w:numId w:val="1"/>
        </w:numPr>
        <w:rPr/>
      </w:pPr>
      <w:bookmarkStart w:id="207" w:name="__RefHeading___Toc423103_581953129"/>
      <w:bookmarkStart w:id="208" w:name="_Toc76"/>
      <w:bookmarkEnd w:id="207"/>
      <w:r>
        <w:rPr>
          <w:rtl w:val="true"/>
        </w:rPr>
        <w:t xml:space="preserve">الفائدة الثانیة </w:t>
      </w:r>
      <w:r>
        <w:rPr>
          <w:rtl w:val="true"/>
        </w:rPr>
        <w:t xml:space="preserve">: </w:t>
      </w:r>
      <w:r>
        <w:rPr>
          <w:rtl w:val="true"/>
        </w:rPr>
        <w:t>فی معنی الموافقة</w:t>
      </w:r>
      <w:bookmarkEnd w:id="208"/>
    </w:p>
    <w:p>
      <w:pPr>
        <w:pStyle w:val="BookText"/>
        <w:rPr/>
      </w:pPr>
      <w:r>
        <w:rPr>
          <w:rFonts w:ascii="IRNazanin" w:hAnsi="IRNazanin" w:eastAsia="IRNazanin"/>
          <w:color w:val="111111"/>
          <w:sz w:val="28"/>
          <w:sz w:val="28"/>
          <w:szCs w:val="28"/>
          <w:rtl w:val="true"/>
          <w:lang w:bidi="fa-IR"/>
        </w:rPr>
        <w:t xml:space="preserve">وقد تقدّم أنّ الأقرب فی معنی الموافقة هو الملاءمة مع الأحکام الأوّلیّة ، وهو یتطابق مع نفی مطلق المخالفة من رأس ، فمثلاً اشتراط عدم البیع وعدم الهبة یتوافق مع تشریع البیع والهبة وإیکالهما إلی سلطنة المالک ، فإنّ الإشتراط المزبور یتماشی مع طبیعة الجعل الشرعیّ الأوّلی فی باب البیع والهبة ، فیکون وفقاً وموافقاً له ولا یتنافی معه کی یکون مخالفاً له ولو بنحو العموم والخصوص المطلق وغیرهما من أنحاء التنافی ولو غیر المستقرّ فی الأدلّة المتعارضة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التصرّف المأذون فیه ، سواء کان بنحو الفعل أو النتیجة الوضعیة بالإذن التکلیفیّ الوضعیّ ؛ هو موافق للکتاب والسنّة ، فالترخیص فی التصرّف من الکتاب والسنّة یوجب کون الاشتراط لذلک التصرّف عملاً بالجعل الأوّلیّ فی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موثّقة إسحاق ، فموردها یتطابق مع الرابعة وما یتلوها ، إلّا أنّ اللفظ فیها عامّ ؛ لأنّ وجه التعرّض لما یشترط الزوج علی نفسه لزوجته هو دفع توهّم منافاة ذلک لقوّامیّة الرجال علی النساء ، وقد تمیّزت هذه الموثّقة بتقیید الشرط بعدم تحریم الحلال أو تحلیل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التعبیر فی العاشرة کروایة سلمة فی الصلح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صلحا حرم حلالا ، أو أحل حراما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ما ورد فی الیمین من أنّها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فی تحلیل حرام ، و لا تحریم حلال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الکلام فی مفاد هذا اللسان من دلیل القاعدة هل أنّه مغایر لعنوان المخالفة والموافقة وفی تفسیر التحلیل والتحریم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النراقی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الشرط الذی أحلّ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الإعتداد به أیضاً منصوص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إنّما الإشکال فی فهم المراد منه ، حیث أنّ کلّ شرط یوجب تحریم حلال أو تحلیل حرام فإنّ اشتراط عدم الفسخ یوجب تحریم الفسخ الحلال ، وکذا اشتراط عدم إخراج الزوجة من بلدها ، واشتراط خیار الفسخ یوجب تحلیل الحرام ، فإنّ الفسخ لولا الشرط کان حراماً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تری أنّه قد وقع کثیر من الأصحاب فی حیص وبیص من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حکم بإجماله ، ومنهم من فسّر تحریم الحلال وتحلیل الحرام بالتحریم الظاهریّ للحلال الواقعی والتحلیل الظاهری للحرام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بالحلال والحرام فی المستثنی ما هو کذلک بأصل الشرع من دون توسّط العقد </w:t>
      </w:r>
      <w:r>
        <w:rPr>
          <w:rFonts w:eastAsia="IRNazanin" w:cs="IRNazanin"/>
          <w:color w:val="111111"/>
          <w:sz w:val="28"/>
          <w:szCs w:val="28"/>
          <w:rtl w:val="true"/>
          <w:lang w:bidi="fa-IR"/>
        </w:rPr>
        <w:t>.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تعلُّق الحکم بالحلّ أو الحرمة مثلاً بفعل من الأفعال علی سبیل العموم من دون النظر إلی خصوصیّة فرد ، فتحریم الخمر معناه منع المکلّف عن شرب جمیع ما یصدق علیه هذا الکلّی وهکذا حلّیّة البیع ، فالتزوّج والتسرّی مثلاً أمر کلّی حلال والتزام ترکه مستلزم لتصریحه ، بل وکذلک جمیع أحکام الشرع من الطلبیّة والوضعیّة وغیرها ، وإنّما یتعلّق الحکم بالجزئیّات باعتبار تحقق الکلّی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تحلیل الحرام وتحریم الحلال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تحدث قاعدة کلّیة ، ویبدع حکماً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أخطأوا الطریق فی فهم الحدیث مع أنّه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فهمی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الظهور کما یظهر ممّا ذکرنا فی بیان مخالف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عبارة الإمام علیه السلام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عند شروطهم إلا شرطا حرم حلالا أو أحل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فالمستثنی شرطٌ حرّم ذلک الشرط الحلال أو أحلّ الحرام ، وهذا إنّما یتحقّق مع اشتراط حرمة حلال أو حلّیّة حرام ، لا مع اشتراط عدم فعل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إلّاشرطاً حرّم إیجابه حلالاً </w:t>
      </w:r>
      <w:r>
        <w:rPr>
          <w:rFonts w:eastAsia="IRNazanin" w:cs="IRNazanin"/>
          <w:color w:val="111111"/>
          <w:sz w:val="28"/>
          <w:szCs w:val="28"/>
          <w:rtl w:val="true"/>
          <w:lang w:bidi="fa-IR"/>
        </w:rPr>
        <w:t>. . .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ویکون الشرط فی ذلک کالنذر والعهد والیمین ، فإنّه إذا نذر أحد أو عاهد أو حلف أن یکون المال المشتبه علیه حراماً شرعاً أو یحرّم ذلک علی نفسه شرعاً ، لم ینعقد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لو شرط فعل ما ثبتت مرجوحّیّته بالکتاب أو السنّة تحریماً کراهةً ، أو ترک ما ثبت رجحانه بهما وجوباً أو استحباباً ، یحصل التعارض بین ما دلّ علی ذلک من الکتاب والسنّة ، وبین دلیل وجوب الوفاء بالشرط ، واللازم فیه الرجوع إلی مقتضی التعارض والترجیح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لو جعل هذا الشرط أیضاً من أقسام المخالف للکتاب والسنّة کما یطلق علیه عرفاً أیضاً ؛ لم یکن بعیداً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209" w:name="pg5252_44341"/>
    </w:p>
    <w:p>
      <w:pPr>
        <w:pStyle w:val="Heading5"/>
        <w:numPr>
          <w:ilvl w:val="4"/>
          <w:numId w:val="1"/>
        </w:numPr>
        <w:rPr/>
      </w:pPr>
      <w:bookmarkStart w:id="210" w:name="__RefHeading___Toc423105_581953129"/>
      <w:bookmarkStart w:id="211" w:name="_Toc77"/>
      <w:bookmarkEnd w:id="209"/>
      <w:bookmarkEnd w:id="210"/>
      <w:r>
        <w:rPr>
          <w:rtl w:val="true"/>
        </w:rPr>
        <w:t xml:space="preserve">الفائدة الثالثة </w:t>
      </w:r>
      <w:r>
        <w:rPr>
          <w:rtl w:val="true"/>
        </w:rPr>
        <w:t xml:space="preserve">: </w:t>
      </w:r>
      <w:r>
        <w:rPr>
          <w:rtl w:val="true"/>
        </w:rPr>
        <w:t>معانی التحلیل والتحریم</w:t>
      </w:r>
      <w:bookmarkEnd w:id="211"/>
    </w:p>
    <w:p>
      <w:pPr>
        <w:pStyle w:val="BookText"/>
        <w:rPr/>
      </w:pPr>
      <w:r>
        <w:rPr>
          <w:rFonts w:ascii="IRNazanin" w:hAnsi="IRNazanin" w:eastAsia="IRNazanin"/>
          <w:color w:val="111111"/>
          <w:sz w:val="28"/>
          <w:sz w:val="28"/>
          <w:szCs w:val="28"/>
          <w:rtl w:val="true"/>
          <w:lang w:bidi="fa-IR"/>
        </w:rPr>
        <w:t xml:space="preserve">المحصّل من الأقوال التی ذکرها فی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المبنیّة علی اجتهاد أو تقلید سابق ، ثمّ تبدّل إلی خلافه ؛ وهو أقرب الوجوه للتحلیل والتحریم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ما یخالف الحرام أو الحلال بحسب التشریع الأوّلی للأشیاء ، أی ما لم یجعل تحت ولایة وسلطة الفرد والأفراد کما هو الحال فی المعاملات والإیقاعات التی هی تصرّفات وأفعال اعتباریّة ؛ وهو یطابق أحد التفاسیر المتقدّمة لشرط المخالف للکتاب والسنّة ، وقد تقدّم قوله </w:t>
      </w:r>
      <w:r>
        <w:rPr>
          <w:rFonts w:eastAsia="IRNazanin" w:cs="IRNazanin"/>
          <w:color w:val="111111"/>
          <w:sz w:val="28"/>
          <w:szCs w:val="28"/>
          <w:rtl w:val="true"/>
          <w:lang w:bidi="fa-IR"/>
        </w:rPr>
        <w:t>.</w:t>
      </w:r>
    </w:p>
    <w:p>
      <w:pPr>
        <w:pStyle w:val="Heading5"/>
        <w:numPr>
          <w:ilvl w:val="4"/>
          <w:numId w:val="1"/>
        </w:numPr>
        <w:rPr/>
      </w:pPr>
      <w:bookmarkStart w:id="212" w:name="__RefHeading___Toc423107_581953129"/>
      <w:bookmarkStart w:id="213" w:name="_Toc78"/>
      <w:bookmarkEnd w:id="212"/>
      <w:r>
        <w:rPr>
          <w:rtl w:val="true"/>
        </w:rPr>
        <w:t xml:space="preserve">الفائدة الرابعة </w:t>
      </w:r>
      <w:r>
        <w:rPr>
          <w:rtl w:val="true"/>
        </w:rPr>
        <w:t xml:space="preserve">: </w:t>
      </w:r>
      <w:r>
        <w:rPr>
          <w:rtl w:val="true"/>
        </w:rPr>
        <w:t>الجزئیّة طابع الحکم الثانویّ‌</w:t>
      </w:r>
      <w:bookmarkEnd w:id="213"/>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ذهب إلیه المحقّق القمّی قدس سره من أنّه المنع عن المحلل علی نحو الکلّیة أو فعل المحرّم کذلک ؛ ولا یخفی شدّة ظهور المخالفة من الشرط علی هذا التقدیر لانحصار مورد المخالفة بذلک ، لأنّ کلّیة التصرّف تصّاعد به إلی التقنین العامّ الذی هو مرتبة الجعل الشرعیّ ، بخلاف المنافاة مع موارد التطبیق والمصادیق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المنافاة حینئذ بنحو البینونة ، بخلاف موارد التطبیق فإنّ المنافاة بنحو التخصیص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فی الاشتراط الکلّیّ والإلتزام العامّ والصلح بذلک تکون علی درجة التشریع العامّ ، ومن ثمّ عبّر عنها بإبداع القاعدة الکلّیة ، وقد ورد فی باب الیمین والنذر والعهد إبطال هذا النحو من الإلتزام ، نظیر ما ورد</w:t>
      </w:r>
      <w:r>
        <w:rPr>
          <w:rStyle w:val="FootnoteAnchor"/>
          <w:rtl w:val="true"/>
        </w:rPr>
        <w:footnoteReference w:id="387"/>
      </w:r>
      <w:bookmarkStart w:id="214" w:name="pg5252_44342"/>
    </w:p>
    <w:p>
      <w:pPr>
        <w:pStyle w:val="BookText"/>
        <w:rPr/>
      </w:pPr>
      <w:bookmarkEnd w:id="214"/>
      <w:r>
        <w:rPr>
          <w:rFonts w:ascii="Amiri" w:hAnsi="Amiri" w:eastAsia="Amiri" w:cs="Amiri"/>
          <w:color w:val="111111"/>
          <w:sz w:val="28"/>
          <w:sz w:val="28"/>
          <w:szCs w:val="28"/>
          <w:rtl w:val="true"/>
          <w:lang w:bidi="ar-SA"/>
        </w:rPr>
        <w:t xml:space="preserve">فی سبب نزول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فی مَن حلف أن لا ینام أبداً والآخر حلف أن لا یفطر النهار أبداً والثالث حلف أن لا ینکح أبداً وإنّ ذلک من تحریم الطیّبات ولا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شأن العنوان الثانویّ سواء کان رافعاً کالعناوین العذریّة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المثبت کالشروط والإلتزامات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الدوام والثبات والذی هو شأن الحکم الأوّلیّ بل الطروّ الاتّفاقی أو الحیثیّ کما مرّ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مختاره من کون المراد من الشرط فی القاعدة هو نفس الإلتزام لا الفعل المشروط </w:t>
      </w:r>
      <w:r>
        <w:rPr>
          <w:rFonts w:eastAsia="IRNazanin" w:cs="IRNazanin"/>
          <w:color w:val="111111"/>
          <w:sz w:val="28"/>
          <w:szCs w:val="28"/>
          <w:rtl w:val="true"/>
          <w:lang w:bidi="fa-IR"/>
        </w:rPr>
        <w:t>.</w:t>
      </w:r>
    </w:p>
    <w:p>
      <w:pPr>
        <w:pStyle w:val="Heading5"/>
        <w:numPr>
          <w:ilvl w:val="4"/>
          <w:numId w:val="1"/>
        </w:numPr>
        <w:rPr/>
      </w:pPr>
      <w:bookmarkStart w:id="215" w:name="__RefHeading___Toc423109_581953129"/>
      <w:bookmarkStart w:id="216" w:name="_Toc79"/>
      <w:bookmarkEnd w:id="215"/>
      <w:r>
        <w:rPr>
          <w:rtl w:val="true"/>
        </w:rPr>
        <w:t xml:space="preserve">الفائدة الخامسة </w:t>
      </w:r>
      <w:r>
        <w:rPr>
          <w:rtl w:val="true"/>
        </w:rPr>
        <w:t xml:space="preserve">: </w:t>
      </w:r>
      <w:r>
        <w:rPr>
          <w:rtl w:val="true"/>
        </w:rPr>
        <w:t>حقیقة الشرط والاشتراط‌</w:t>
      </w:r>
      <w:bookmarkEnd w:id="216"/>
    </w:p>
    <w:p>
      <w:pPr>
        <w:pStyle w:val="BookText"/>
        <w:rPr/>
      </w:pPr>
      <w:r>
        <w:rPr>
          <w:rFonts w:ascii="IRNazanin" w:hAnsi="IRNazanin" w:eastAsia="IRNazanin"/>
          <w:color w:val="111111"/>
          <w:sz w:val="28"/>
          <w:sz w:val="28"/>
          <w:szCs w:val="28"/>
          <w:rtl w:val="true"/>
          <w:lang w:bidi="fa-IR"/>
        </w:rPr>
        <w:t xml:space="preserve">لکنّ الأظهر إرادة المحقّق النراقیّ قدس سره ما استظهرناه فی ما سبق من إرادة المنشأ بالشرط والإلتزام ، وهو المعنی الوضعیّ ، سواء فی شرط النتیجة أو فی شرط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الفعل لیس الإلتزام بالفعل ، بل الإلتزام بتملیک واستحقاق الفعل ، فالمشروط فی الحقیقة ذلک المعنی الوضعیّ ، غایة الأمر الإلتزام یتمّ به کما فی العقود ، والفعل متعلّق له ، لا أنّ ذات الفعل یتعلّق بها الإلتزام مباشرة کما هو فی التزام الفعل فی الإجارة ، فإنّ الملتزم به بالذات تملیک الفعل ، والفعل متعلّق متعلّق الإلتزام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فقد جعل النراقیّ قدس سره أنّ مورد المخالفة هو مالو کان المنشأ عنوان الحرمة للحلال الشرعیّ أو عنوان الحلّیّة للحرام الشرعیّ لا ما إذا جعل</w:t>
      </w:r>
      <w:bookmarkStart w:id="217" w:name="pg5252_44343"/>
    </w:p>
    <w:p>
      <w:pPr>
        <w:pStyle w:val="BookText"/>
        <w:rPr/>
      </w:pPr>
      <w:bookmarkEnd w:id="217"/>
      <w:r>
        <w:rPr>
          <w:rFonts w:ascii="IRNazanin" w:hAnsi="IRNazanin" w:eastAsia="IRNazanin"/>
          <w:color w:val="111111"/>
          <w:sz w:val="28"/>
          <w:sz w:val="28"/>
          <w:szCs w:val="28"/>
          <w:rtl w:val="true"/>
          <w:lang w:bidi="fa-IR"/>
        </w:rPr>
        <w:t xml:space="preserve">متعلّق الإلتزام والشرط عدم فعل الحلال أو فعل الحرام </w:t>
      </w:r>
      <w:r>
        <w:rPr>
          <w:rFonts w:eastAsia="IRNazanin" w:cs="IRNazanin"/>
          <w:color w:val="111111"/>
          <w:sz w:val="28"/>
          <w:szCs w:val="28"/>
          <w:rtl w:val="true"/>
          <w:lang w:bidi="fa-IR"/>
        </w:rPr>
        <w:t>.</w:t>
      </w:r>
    </w:p>
    <w:p>
      <w:pPr>
        <w:pStyle w:val="Heading5"/>
        <w:numPr>
          <w:ilvl w:val="4"/>
          <w:numId w:val="1"/>
        </w:numPr>
        <w:rPr/>
      </w:pPr>
      <w:bookmarkStart w:id="218" w:name="__RefHeading___Toc423111_581953129"/>
      <w:bookmarkStart w:id="219" w:name="_Toc80"/>
      <w:bookmarkEnd w:id="218"/>
      <w:r>
        <w:rPr>
          <w:rtl w:val="true"/>
        </w:rPr>
        <w:t xml:space="preserve">الفائدة السادسة </w:t>
      </w:r>
      <w:r>
        <w:rPr>
          <w:rtl w:val="true"/>
        </w:rPr>
        <w:t xml:space="preserve">: </w:t>
      </w:r>
      <w:r>
        <w:rPr>
          <w:rtl w:val="true"/>
        </w:rPr>
        <w:t>المختار فی معنی التحلیل والتحریم</w:t>
      </w:r>
      <w:bookmarkEnd w:id="219"/>
    </w:p>
    <w:p>
      <w:pPr>
        <w:pStyle w:val="BookText"/>
        <w:rPr/>
      </w:pPr>
      <w:r>
        <w:rPr>
          <w:rFonts w:ascii="Amiri" w:hAnsi="Amiri" w:eastAsia="Amiri" w:cs="Amiri"/>
          <w:color w:val="111111"/>
          <w:sz w:val="28"/>
          <w:sz w:val="28"/>
          <w:szCs w:val="28"/>
          <w:rtl w:val="true"/>
          <w:lang w:bidi="ar-SA"/>
        </w:rPr>
        <w:t xml:space="preserve">وما ذکره وإن کان من موارد المخالفة الجلیّة جدّاً ، کما هو الحال فی مختار المحقّق القمّی قدس سره إلّاأنّه لا تنحصر موارد التحلیل والتحریم والمخالفة بذلک ، قد استعمل التحریم للحلال أو التحلیل للحرام فی المنع عن فعل الحلال أو التزام فعل الحرام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لِمَ تُحَرِّمُ ما أَحَلَّ اللّهُ لَکَ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وکان صلی الله علیه و آله و سلم قد حلف أن لا یقرب ماریة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التحریم لیس إلّاالمنع ، والتحلیل لیس إلّاالإطلاق والإرسال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طَیِّباتِ ما أَحَلَّ اللّهُ لَکُمْ </w:t>
      </w:r>
      <w:r>
        <w:rPr>
          <w:rStyle w:val="FootnoteAnchor"/>
          <w:rtl w:val="true"/>
        </w:rPr>
        <w:footnoteReference w:id="390"/>
      </w:r>
      <w:r>
        <w:rPr>
          <w:rFonts w:ascii="IRNazanin" w:hAnsi="IRNazanin" w:eastAsia="IRNazanin"/>
          <w:color w:val="111111"/>
          <w:sz w:val="28"/>
          <w:sz w:val="28"/>
          <w:szCs w:val="28"/>
          <w:rtl w:val="true"/>
          <w:lang w:bidi="fa-IR"/>
        </w:rPr>
        <w:t xml:space="preserve">وکان أمیر المؤمنین علیه السلام حلف أن لا ینام باللّیل أبداً إلّاما شاء اللّه ، وبلال حلف أن لا یفطر بالنهار أبداً ، وعثمان بن مظعون حلف أن لا ینکح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یشکل علیه من أنّ التحریم للحلال الشرعیّ لیس بید الشارط کی یحرّم أو یحلّل ، فهو من اشتراط غیر المقدور الممتنع ، مخدوش بأنّ المراد اعتبار الشارط والمشروط علیه ذلک فی اعتبارهما البنائیّ لا فی اعتبار الشارع </w:t>
      </w:r>
      <w:r>
        <w:rPr>
          <w:rFonts w:eastAsia="IRNazanin" w:cs="IRNazanin"/>
          <w:color w:val="111111"/>
          <w:sz w:val="28"/>
          <w:szCs w:val="28"/>
          <w:rtl w:val="true"/>
          <w:lang w:bidi="fa-IR"/>
        </w:rPr>
        <w:t>.</w:t>
      </w:r>
    </w:p>
    <w:p>
      <w:pPr>
        <w:pStyle w:val="Heading5"/>
        <w:numPr>
          <w:ilvl w:val="4"/>
          <w:numId w:val="1"/>
        </w:numPr>
        <w:rPr/>
      </w:pPr>
      <w:bookmarkStart w:id="220" w:name="__RefHeading___Toc423113_581953129"/>
      <w:bookmarkStart w:id="221" w:name="_Toc81"/>
      <w:bookmarkEnd w:id="220"/>
      <w:r>
        <w:rPr>
          <w:rtl w:val="true"/>
        </w:rPr>
        <w:t xml:space="preserve">الفائدة السابعة </w:t>
      </w:r>
      <w:r>
        <w:rPr>
          <w:rtl w:val="true"/>
        </w:rPr>
        <w:t xml:space="preserve">: </w:t>
      </w:r>
      <w:r>
        <w:rPr>
          <w:rtl w:val="true"/>
        </w:rPr>
        <w:t>العلاقة بین التقنین الشرعیّ والعقلائیّ‌</w:t>
      </w:r>
      <w:bookmarkEnd w:id="2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یجدر التنبیه والإلفات إلی ما راج أخیراً فی عدّة من الکلمات من أنّ التقیید والعمل بالقوانین الوضعیّة البشریّة العصریّة فی المجالات العدیدة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کأنظمة للتدبیر فی النظام الاجتماعیّ والسیاسیّ والمالیّ والأُسریّ والفردیّ والأحوال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لیس تشریعاً فی الدین وإبداعاً للأحکام الشرعیّة</w:t>
      </w:r>
    </w:p>
    <w:p>
      <w:pPr>
        <w:pStyle w:val="BookText"/>
        <w:rPr/>
      </w:pPr>
      <w:r>
        <w:rPr>
          <w:rFonts w:ascii="IRNazanin" w:hAnsi="IRNazanin" w:eastAsia="IRNazanin"/>
          <w:color w:val="111111"/>
          <w:sz w:val="28"/>
          <w:sz w:val="28"/>
          <w:szCs w:val="28"/>
          <w:rtl w:val="true"/>
          <w:lang w:bidi="fa-IR"/>
        </w:rPr>
        <w:t xml:space="preserve">فلا ضیر فی التقیّد والإلتزام بها وإن لم تدلّ علیها التشریعات الإلهیّة ، مادام أنّ هذا التقنین لیس بعنوان وإسم ونسبة فیه إلی الشرع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البعض الإلزام والإلتزام العرفیّ الدارج فی بعض المعاملات غیر المصحّحة من الشرع ، ألحق ذلک بالدعوی المزبورة فی الجواز بعد تبانی المتعاملین علی کون ذلک فی اعتبارهما الثنائیّ لا فی الاعتبار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مخدوش بأنّ الفساد والمنع والبطلان فی اعتبار الشرع لأُمور وأشیاء أو لمعاملات لیس بمعنی أن یظلّ ذلک بنحو الوجود النظریّ الذی لا یجد له طریقاً فی عمل المکلّفین ، بل هو لغایة تقیّدهم باعتبارات ومقرّرات الشارع الإلهیّ ، وترکهم لاعتبارات ومقرّرات أنفسهم ؛ وهو معنی ما مرّ من أنّ المراد فی هذه القاعدة هو تقدّم طاعة اللّه وولایته وطاعة رسوله واُولی الأمر وولایتهم علی ولایة الفرد علی نفسه ، والأفراد علی أنفسهم ، سواء ولایته تعالی فی صورة التشریع أو القضاء أو الحکم التدبیریّ الجزئیّ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فنهی الشارع ناظر إلی المنع عن بناء المکلّف والمکلّفین علی فعل معیّن فی اعتبار أنفسهم ، لا الردع عن البناء علیه بعنوان أنّه من اعتبار الشارع ، وإلّا لآل الحال فی جمیع النواهی الشرعیّة إلی النهی فی خصوص التشریع فی الدین ، وهو کما تری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فالصحیح أنّ المنع عن الفعل والإرسال له تحریم وتحلیل ، وإن لم یکن بلفظ التحریم والتحلیل ، نعم الظاهر عدم صدقه بمجرّد اشتراط ترک فرد من الفعل المحلّل أو فعل فرد من المحرّم وإن صدقت المخالفة علی شرط فعل فرد من المحرّم ، لکنّه لیس من تحریم الحلال أو تحلیل الحرام ، بل من شرط الحرام ، بل لابدّ من کلّیة الترک أو الفعل ولو النسبیّة بنحو یکون کالمقرّر والقانون الکلّیّ </w:t>
      </w:r>
      <w:r>
        <w:rPr>
          <w:rFonts w:eastAsia="IRNazanin" w:cs="IRNazanin"/>
          <w:color w:val="111111"/>
          <w:sz w:val="28"/>
          <w:szCs w:val="28"/>
          <w:rtl w:val="true"/>
          <w:lang w:bidi="fa-IR"/>
        </w:rPr>
        <w:t>.</w:t>
      </w:r>
      <w:bookmarkStart w:id="222" w:name="pg5252_44345"/>
    </w:p>
    <w:p>
      <w:pPr>
        <w:pStyle w:val="BookText"/>
        <w:rPr/>
      </w:pPr>
      <w:bookmarkEnd w:id="222"/>
      <w:r>
        <w:rPr>
          <w:rFonts w:ascii="IRNazanin" w:hAnsi="IRNazanin" w:eastAsia="IRNazanin"/>
          <w:color w:val="111111"/>
          <w:sz w:val="28"/>
          <w:sz w:val="28"/>
          <w:szCs w:val="28"/>
          <w:rtl w:val="true"/>
          <w:lang w:bidi="fa-IR"/>
        </w:rPr>
        <w:t xml:space="preserve">ومن ذلک وغیره یتّضح أنّ عنوان المخالفة أعمّ من عنوان التحریم أو التحلیل ، إن کان العنوانان لا یختصّان بالتکلیف ، بل یعمّان الحرمة والحلّ الوضعیّین لعموم مادّة الحرمة والحلّ لکلّ من المنع التکلیفیّ والوضعیّ ، سواء بلحاظ ما یضاف إلیه من فعل تکوینیّ ، أو اعتباریّ معاملیّ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المحقّق النراقی قدس سره من عدم إسناد التحریم والتحلیل إلی حکم الشرط وهو الإیجاب ، فهو متین ، لکنّه عند اشتراط ترک الفعل المحلّل بنحو کلّیّ أو فعل المحرم بنحو کلّیّ ولو إضافیّ ، یأخذ عنوان استحقاق ذلک ، والذی هو المنشأ وضعاً ، وهو معنی متوسّط بین الإلتزام الشرطیّ والفعل المشروط ، طابع المنع والإرسال وهو التحریم والتحلیل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قدس سره من وقوع التعارض وإعمال الترجیح ، فضعیف غایته ، بعد ما عرفت من تقیید نفوذ الشرط ونحوه من الإلتزامات بعدم المخالفة وصدقها علی ذلک للتعارض </w:t>
      </w:r>
      <w:r>
        <w:rPr>
          <w:rFonts w:eastAsia="IRNazanin" w:cs="IRNazanin"/>
          <w:color w:val="111111"/>
          <w:sz w:val="28"/>
          <w:szCs w:val="28"/>
          <w:rtl w:val="true"/>
          <w:lang w:bidi="fa-IR"/>
        </w:rPr>
        <w:t>.</w:t>
      </w:r>
    </w:p>
    <w:p>
      <w:pPr>
        <w:pStyle w:val="Heading5"/>
        <w:numPr>
          <w:ilvl w:val="4"/>
          <w:numId w:val="1"/>
        </w:numPr>
        <w:rPr/>
      </w:pPr>
      <w:bookmarkStart w:id="223" w:name="__RefHeading___Toc423115_581953129"/>
      <w:bookmarkStart w:id="224" w:name="_Toc82"/>
      <w:bookmarkEnd w:id="223"/>
      <w:r>
        <w:rPr>
          <w:rtl w:val="true"/>
        </w:rPr>
        <w:t xml:space="preserve">الفائدة الثامنة </w:t>
      </w:r>
      <w:r>
        <w:rPr>
          <w:rtl w:val="true"/>
        </w:rPr>
        <w:t xml:space="preserve">: </w:t>
      </w:r>
      <w:r>
        <w:rPr>
          <w:rtl w:val="true"/>
        </w:rPr>
        <w:t>توقّف معرفة المخالفة والموافقة فی القاعدة علی الصناعة التحلیلیّة لحقیقة الأحکام والمباحث القانونیّة البحتة</w:t>
      </w:r>
      <w:bookmarkEnd w:id="224"/>
    </w:p>
    <w:p>
      <w:pPr>
        <w:pStyle w:val="BookText"/>
        <w:rPr/>
      </w:pPr>
      <w:r>
        <w:rPr>
          <w:rFonts w:ascii="IRNazanin" w:hAnsi="IRNazanin" w:eastAsia="IRNazanin"/>
          <w:color w:val="111111"/>
          <w:sz w:val="28"/>
          <w:sz w:val="28"/>
          <w:szCs w:val="28"/>
          <w:rtl w:val="true"/>
          <w:lang w:bidi="fa-IR"/>
        </w:rPr>
        <w:t xml:space="preserve">ثمّ إنّ فی روایة العیّاشی تعلیل بطلان شرط الزوج للزوجة عدم التزوّج علیها أو عدم هجرها أو عدم التسرّی علیها ، بینما فی معتبرة منصور بن بزرج صحّة شرط عدم التزویج علیها ، ولا یخفی أنّ ظاهر روایة العیّاشی بدواً ولفظها وإن کان هو شرط الطلاق المعلّق علی فعل التزویج والهجر والتسرّی ؛ إلّاأنّ المتعارف والمتبادر من مثل هذه الشروط هو التزامان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ترک المعلّق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المعلّق فی صورة عدم الوفاء بالأوّل وأنّ الثانی هو للردع عن عدم الوفاء بالأوّل لا مجرّد الردع عنه من دون التزام بترکه ، نظیر من یتعاقد ویشترط علی الآخر أن یغرم مقداراً من المال إن لم یخط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ذلک موثّق زرارة فی الباب المزبور</w:t>
      </w:r>
      <w:r>
        <w:rPr>
          <w:rStyle w:val="FootnoteAnchor"/>
          <w:rtl w:val="true"/>
        </w:rPr>
        <w:footnoteReference w:id="391"/>
      </w:r>
      <w:r>
        <w:rPr>
          <w:rFonts w:ascii="IRNazanin" w:hAnsi="IRNazanin" w:eastAsia="IRNazanin"/>
          <w:color w:val="111111"/>
          <w:sz w:val="28"/>
          <w:sz w:val="28"/>
          <w:szCs w:val="28"/>
          <w:rtl w:val="true"/>
          <w:lang w:bidi="fa-IR"/>
        </w:rPr>
        <w:t xml:space="preserve">ومفادها مطابق 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الآخر لمحمّد بن قیس ، وصحیح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ولروایات اخری فی الباب المزبور</w:t>
      </w:r>
      <w:r>
        <w:rPr>
          <w:rStyle w:val="FootnoteAnchor"/>
          <w:rtl w:val="true"/>
        </w:rPr>
        <w:footnoteReference w:id="392"/>
      </w:r>
      <w:r>
        <w:rPr>
          <w:rFonts w:ascii="IRNazanin" w:hAnsi="IRNazanin" w:eastAsia="IRNazanin"/>
          <w:color w:val="111111"/>
          <w:sz w:val="28"/>
          <w:sz w:val="28"/>
          <w:szCs w:val="28"/>
          <w:rtl w:val="true"/>
          <w:lang w:bidi="fa-IR"/>
        </w:rPr>
        <w:t xml:space="preserve">ومن ثمّ حمل الشیخ معتبرة ابن برزج علی الاستحباب أو التقیّة ، ورجّح جمع من الأعلام مفاد المعتبرة علی بقیّة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لأنّ مفاد الشرط الإلتزام بالفعل أو الترک المجرّد ، ولیس هو مفاداً وضعیّاً لیتنافی مع الجعل الوضعیّ الأوّلیّ ، کما أنّ المشروط لیس المنع بعنوان التحریم کی یتنافی مع الجعل التکلیفیّ الأوّلیّ ، ومن ثمّ حملوا بقیّة الروایات علی ما لو کان الشرط متعلقاً بمفاد وضعیّ أو بعنوان المنع التحریمیّ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الحمل المزبور أنّ مقتضی الاشتراط کما عرفت هو ثبوت استحقاق وضعیّ للمشروط له علی المشروط علیه ، مضافاً إلی اللزوم التکلیفیّ ، وبالتالی تستحقّ علیه عدم الطلاق وعدم التزویج وعدم التسرّی علیها وعدم هجرها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المفاد الوضعیّ ینافی الأحکام الأوّلیّة فی باب الزوج ، لأنّها لیست تکلیفیّة محضة ؛ بل مفادها حقّ الزوج فی ولایة الطلاق والهجر فی المضاجع إن أتت المرأة بسبیل ذلک ، وفی التزویج والتسرّی ولو بلحاظ التأبید فی المنع المشروط فی الأخیرین وإن کان هذا الحقّ غیر قابل للإسقاط </w:t>
      </w:r>
      <w:r>
        <w:rPr>
          <w:rFonts w:eastAsia="IRNazanin" w:cs="IRNazanin"/>
          <w:color w:val="111111"/>
          <w:sz w:val="28"/>
          <w:szCs w:val="28"/>
          <w:rtl w:val="true"/>
          <w:lang w:bidi="fa-IR"/>
        </w:rPr>
        <w:t>.</w:t>
      </w:r>
      <w:bookmarkStart w:id="225" w:name="pg5252_44347"/>
    </w:p>
    <w:p>
      <w:pPr>
        <w:pStyle w:val="BookText"/>
        <w:rPr/>
      </w:pPr>
      <w:bookmarkEnd w:id="225"/>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التکلیفیّ النفعیّ لطرف ، ینتزع منه ثبوت حقّ له ، وعلی هذا ففی مثل هذه الموارد التی لا یکون الحقّ قابلاً للإسقاط ولا للانتقال لا یشرع جعل الاستحقاق للغیر بتوسّط الشرط </w:t>
      </w:r>
      <w:r>
        <w:rPr>
          <w:rFonts w:eastAsia="IRNazanin" w:cs="IRNazanin"/>
          <w:color w:val="111111"/>
          <w:sz w:val="28"/>
          <w:szCs w:val="28"/>
          <w:rtl w:val="true"/>
          <w:lang w:bidi="fa-IR"/>
        </w:rPr>
        <w:t>.</w:t>
      </w:r>
    </w:p>
    <w:p>
      <w:pPr>
        <w:pStyle w:val="Heading5"/>
        <w:numPr>
          <w:ilvl w:val="4"/>
          <w:numId w:val="1"/>
        </w:numPr>
        <w:rPr/>
      </w:pPr>
      <w:bookmarkStart w:id="226" w:name="__RefHeading___Toc423117_581953129"/>
      <w:bookmarkStart w:id="227" w:name="_Toc83"/>
      <w:bookmarkEnd w:id="226"/>
      <w:r>
        <w:rPr>
          <w:rtl w:val="true"/>
        </w:rPr>
        <w:t xml:space="preserve">الفائدة التاسعة </w:t>
      </w:r>
      <w:r>
        <w:rPr>
          <w:rtl w:val="true"/>
        </w:rPr>
        <w:t xml:space="preserve">: </w:t>
      </w:r>
      <w:r>
        <w:rPr>
          <w:rtl w:val="true"/>
        </w:rPr>
        <w:t>عموم القاعدة لکلّ إنشاء من عقد أو إیقاع</w:t>
      </w:r>
      <w:bookmarkEnd w:id="227"/>
    </w:p>
    <w:p>
      <w:pPr>
        <w:pStyle w:val="BookText"/>
        <w:rPr/>
      </w:pPr>
      <w:r>
        <w:rPr>
          <w:rFonts w:ascii="IRNazanin" w:hAnsi="IRNazanin" w:eastAsia="IRNazanin"/>
          <w:color w:val="111111"/>
          <w:sz w:val="28"/>
          <w:sz w:val="28"/>
          <w:szCs w:val="28"/>
          <w:rtl w:val="true"/>
          <w:lang w:bidi="fa-IR"/>
        </w:rPr>
        <w:t>أو لکلّ التزام</w:t>
      </w:r>
    </w:p>
    <w:p>
      <w:pPr>
        <w:pStyle w:val="BookText"/>
        <w:rPr/>
      </w:pPr>
      <w:r>
        <w:rPr>
          <w:rFonts w:ascii="IRNazanin" w:hAnsi="IRNazanin" w:eastAsia="IRNazanin"/>
          <w:color w:val="111111"/>
          <w:sz w:val="28"/>
          <w:sz w:val="28"/>
          <w:szCs w:val="28"/>
          <w:rtl w:val="true"/>
          <w:lang w:bidi="fa-IR"/>
        </w:rPr>
        <w:t xml:space="preserve">بل لا یختص ذلک بالشرط ، بل یعمّ کلّ إیقاع أو عقد أو التزام واعتبار یخالف حکم الکتاب والسنّة واعتبارهما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موثّق سماعة بن مهران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ثلاثاً فی مجلس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 سلم رد علی عبد الله بن عمر امرأته ، طلقها ثلاثا و هی حائض فأبطل رسول الله صلی الله علیه و آله و سلم ذلک الطلاق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خالف کتاب الله و السنة رد إلی کتاب الله و السنة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الحلبیّ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خالف کتاب الله و السنة رد إلی کتاب الله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کتاب الله رد إلی کتاب الله </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فی ذلک الباب </w:t>
      </w:r>
      <w:r>
        <w:rPr>
          <w:rFonts w:eastAsia="IRNazanin" w:cs="IRNazanin"/>
          <w:color w:val="111111"/>
          <w:sz w:val="28"/>
          <w:szCs w:val="28"/>
          <w:rtl w:val="true"/>
          <w:lang w:bidi="fa-IR"/>
        </w:rPr>
        <w:t>.</w:t>
      </w:r>
    </w:p>
    <w:p>
      <w:pPr>
        <w:pStyle w:val="Heading5"/>
        <w:numPr>
          <w:ilvl w:val="4"/>
          <w:numId w:val="1"/>
        </w:numPr>
        <w:rPr/>
      </w:pPr>
      <w:bookmarkStart w:id="228" w:name="__RefHeading___Toc423119_581953129"/>
      <w:bookmarkStart w:id="229" w:name="_Toc84"/>
      <w:bookmarkEnd w:id="228"/>
      <w:r>
        <w:rPr>
          <w:rtl w:val="true"/>
        </w:rPr>
        <w:t xml:space="preserve">الفائدة العاشرة </w:t>
      </w:r>
      <w:r>
        <w:rPr>
          <w:rtl w:val="true"/>
        </w:rPr>
        <w:t xml:space="preserve">: </w:t>
      </w:r>
      <w:r>
        <w:rPr>
          <w:rtl w:val="true"/>
        </w:rPr>
        <w:t>الاُصول القانونیّة معیار المخالفة والموافقة</w:t>
      </w:r>
      <w:bookmarkEnd w:id="22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 فالجدیر بالإنتباه أنّ فی روایة العیّاشی وغیرها تعلیل فساد</w:t>
      </w:r>
    </w:p>
    <w:p>
      <w:pPr>
        <w:pStyle w:val="BookText"/>
        <w:rPr/>
      </w:pPr>
      <w:r>
        <w:rPr>
          <w:rFonts w:ascii="IRNazanin" w:hAnsi="IRNazanin" w:eastAsia="IRNazanin"/>
          <w:color w:val="111111"/>
          <w:sz w:val="28"/>
          <w:sz w:val="28"/>
          <w:szCs w:val="28"/>
          <w:rtl w:val="true"/>
          <w:lang w:bidi="fa-IR"/>
        </w:rPr>
        <w:t>الشرط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شرط الله قبل شرطکم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فأطلق علی حکم اللّه بالشرط وهو کما ذکر السیّد الیزدی قدس سره فی أوّل مبحث الشروط فی تفسیر معنی الشرط لغة واستعمالاً وبالنظر إلی عدّة من الروایات الواردة فی تفسیر الشرط کروایات اخری واردة فی تفسیر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بأنّها العهود التی للّه‌تعالی علی خلقه وأنّ العقد لیس إلّاربط الإلتزام من الطرفین ، فهو تشارط متقابل ، وإنّ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لمثل النذر أو العهد والیمین ، کما هو شامل للإلتزام بین الخلق والمکلّفین بعضهم 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فالإقرار بالشهادتین ، والإلتزام بالدین ، التزام وتعهّد بمجمل الأحکام والأوامر الشرعیّة ، وحقّ اللّه تعالی وولایته مقدّمة علی کلّ حقّ وولایة لغیره بعد تأخّر تلک العهود والولایات من کلّ وجه عن عهد اللّه تعالی وولایته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المعنی أصل مفاد القاعدة کما مرّ وعلی ذلک فذکر تعلیل بطلان تلک الشروط فی روایة العیّاشی بمخالفتها لمفاد الأحکام الثلاثة فی الآیات بعدما مرّ بیانه أنّ مفادها لیس الإباحة الصرفة کما مرّ أو دیمومة المنع فی التزویج والتسرّی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الأکثر وضوحاً فی الدلالة علی التعلیل روایة إبراهیم بن محرز ، حیث علّل فساد شرط کون الطلاق بیدها ، بأنّه مخالف بجعل قوّامیّة الرجال علی النساء ، فلم یعلّل علیه السلام بمخالفة الشرط لجعل الطلاق بید الرجل ، بل علّل بمخالفة عموم فوقانیّ کأصل قانونیّ فوقیّ قد شرع منه الکثیر من التشریعات المتنزّلة ، وهو لیس من العمومات المتعارفة التی تتنزّل بطبعها علی المصادیق ، بل تنزّلها وتطبیقها یحتاج إلی جعل وتشریع تنزّلی ، نظیر الاُصول القانونیّة فی الدساتیر ، فإنّها تتنزّل بتوسّط التشریعات للمجالس النیابیّة ، ولا یصحّ التمسّک بها مباشرة ، بل الحال</w:t>
      </w:r>
      <w:bookmarkStart w:id="230" w:name="pg5252_44349"/>
    </w:p>
    <w:p>
      <w:pPr>
        <w:pStyle w:val="BookText"/>
        <w:rPr/>
      </w:pPr>
      <w:bookmarkEnd w:id="230"/>
      <w:r>
        <w:rPr>
          <w:rFonts w:ascii="IRNazanin" w:hAnsi="IRNazanin" w:eastAsia="IRNazanin"/>
          <w:color w:val="111111"/>
          <w:sz w:val="28"/>
          <w:sz w:val="28"/>
          <w:szCs w:val="28"/>
          <w:rtl w:val="true"/>
          <w:lang w:bidi="fa-IR"/>
        </w:rPr>
        <w:t xml:space="preserve">فی التشریعات العامّة للمجالس النیابیّة ، فإنّه لا تنفّذ ولا تمضی ولا یعمل بها من دون التشریعات الوزاریّة التی هی تنزل للتشریعات النیابیّة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فالعمومات الفوقانیّة التی هی بمثابة اصول قانونیّة لا تتنزّل ولا تنطبق علی المصادیق إلّابتشریعات اخری متنزّلة ، وهذا یرسم لنا أنّ معیار المخالفة والموافقة هو ما لا یقتصر علی التشریعات التفصیلیّة للأحکام المتنزّلة بل التشریعات الإجمالیّة الاُصولیّة الفوقیّة هی روح ولبّ المخالفة والموافقة </w:t>
      </w:r>
      <w:r>
        <w:rPr>
          <w:rFonts w:eastAsia="IRNazanin" w:cs="IRNazanin"/>
          <w:color w:val="111111"/>
          <w:sz w:val="28"/>
          <w:szCs w:val="28"/>
          <w:rtl w:val="true"/>
          <w:lang w:bidi="fa-IR"/>
        </w:rPr>
        <w:t>.</w:t>
      </w:r>
    </w:p>
    <w:p>
      <w:pPr>
        <w:pStyle w:val="Heading5"/>
        <w:numPr>
          <w:ilvl w:val="4"/>
          <w:numId w:val="1"/>
        </w:numPr>
        <w:rPr/>
      </w:pPr>
      <w:bookmarkStart w:id="231" w:name="__RefHeading___Toc423121_581953129"/>
      <w:bookmarkStart w:id="232" w:name="_Toc85"/>
      <w:bookmarkEnd w:id="231"/>
      <w:r>
        <w:rPr>
          <w:rtl w:val="true"/>
        </w:rPr>
        <w:t xml:space="preserve">الفائدة الحادیة عشر </w:t>
      </w:r>
      <w:r>
        <w:rPr>
          <w:rtl w:val="true"/>
        </w:rPr>
        <w:t xml:space="preserve">: </w:t>
      </w:r>
      <w:r>
        <w:rPr>
          <w:rtl w:val="true"/>
        </w:rPr>
        <w:t>السلطنة علی الشیء لا یسوّغ نفیها عن</w:t>
      </w:r>
      <w:bookmarkEnd w:id="232"/>
    </w:p>
    <w:p>
      <w:pPr>
        <w:pStyle w:val="BookText"/>
        <w:rPr/>
      </w:pPr>
      <w:r>
        <w:rPr>
          <w:rFonts w:ascii="IRNazanin" w:hAnsi="IRNazanin" w:eastAsia="IRNazanin"/>
          <w:color w:val="111111"/>
          <w:sz w:val="28"/>
          <w:sz w:val="28"/>
          <w:szCs w:val="28"/>
          <w:rtl w:val="true"/>
          <w:lang w:bidi="fa-IR"/>
        </w:rPr>
        <w:t>موضوعها</w:t>
      </w:r>
    </w:p>
    <w:p>
      <w:pPr>
        <w:pStyle w:val="BookText"/>
        <w:rPr/>
      </w:pPr>
      <w:r>
        <w:rPr>
          <w:rFonts w:ascii="IRNazanin" w:hAnsi="IRNazanin" w:eastAsia="IRNazanin"/>
          <w:color w:val="111111"/>
          <w:sz w:val="28"/>
          <w:sz w:val="28"/>
          <w:szCs w:val="28"/>
          <w:rtl w:val="true"/>
          <w:lang w:bidi="fa-IR"/>
        </w:rPr>
        <w:t xml:space="preserve">وأمّا الروایة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دالّة علی أنّ السلطنة والملک والحقّ ونحوها وإن کان مقتضاها اختیار صاحبها فی التصرّف ، إلّاأنّه لیس مقتضاها تسلّطه علی سلطنة ملکه فی نفیه وإزالته مع وجود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تمکن الإزالة بإزالته للموضوع وللسبب ، وهذا نظیر ما أفاده المحقّق الشیخ الأنصاریّ قدس سره فی مفاد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السلطنة مجعولة علی التصرّف فی الأموال لا علی نفس السلطنة ولا علی أحکام الأموال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الروایة الثامنة والتاسعة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فالتقابل بین المشروط لیس فی کون مورد الثامنة هو شرط النتیجة ومورد التاسعة هو شرط الفعل ، بل الأهم هو کون مورد الأُولی مضادّ للحکم الشرعیّ من إرث ذوی الأرحام ، بخلاف مورد الثانیة ، فإنّه عمل بمقتضی الحکم الشرعیّ ومترتّب علیه کما لا یخفی </w:t>
      </w:r>
      <w:r>
        <w:rPr>
          <w:rFonts w:eastAsia="IRNazanin" w:cs="IRNazanin"/>
          <w:color w:val="111111"/>
          <w:sz w:val="28"/>
          <w:szCs w:val="28"/>
          <w:rtl w:val="true"/>
          <w:lang w:bidi="fa-IR"/>
        </w:rPr>
        <w:t>.</w:t>
      </w:r>
      <w:bookmarkStart w:id="233" w:name="pg5252_44350"/>
    </w:p>
    <w:p>
      <w:pPr>
        <w:pStyle w:val="Heading4"/>
        <w:numPr>
          <w:ilvl w:val="3"/>
          <w:numId w:val="1"/>
        </w:numPr>
        <w:rPr/>
      </w:pPr>
      <w:bookmarkStart w:id="234" w:name="__RefHeading___Toc423123_581953129"/>
      <w:bookmarkStart w:id="235" w:name="_Toc86"/>
      <w:bookmarkEnd w:id="233"/>
      <w:bookmarkEnd w:id="234"/>
      <w:r>
        <w:rPr>
          <w:rtl w:val="true"/>
        </w:rPr>
        <w:t>ضوابط المخالفة فی الکلمات</w:t>
      </w:r>
      <w:bookmarkEnd w:id="235"/>
    </w:p>
    <w:p>
      <w:pPr>
        <w:pStyle w:val="BookText"/>
        <w:rPr/>
      </w:pPr>
      <w:r>
        <w:rPr>
          <w:rFonts w:ascii="IRNazanin" w:hAnsi="IRNazanin" w:eastAsia="IRNazanin"/>
          <w:color w:val="111111"/>
          <w:sz w:val="28"/>
          <w:sz w:val="28"/>
          <w:szCs w:val="28"/>
          <w:rtl w:val="true"/>
          <w:lang w:bidi="fa-IR"/>
        </w:rPr>
        <w:t xml:space="preserve">ثمّ أنّه ینبغی التعرّض لکلمات الأعلام فی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 xml:space="preserve">ما ذهب إلیه الشیخ الأنصاریّ قدس سره من أنّ ضابطة المخالفة هو مخالفة الحکم المطلق والفعلیّ ، بخلاف مخالفة الحکم الطبعیّ الاقتضائیّ ، ثمّ خاض قدس سره فی ضابطة الحکم المطلق والحکم الطبعیّ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فالوضعیّ فی الغالب مطلق فعلیّ ، بخلاف التکلیفیّ لا سیّما غیر الإلزامی ، ثمّ ألحق بالتکلیفیّات الأحکام الوضعیّة التی بعنوان الملک والحقّ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یخدش فی هذه الضابطة أنّ مخالفة الوضعیّات فی الملتزم به وذات المشروط ماهیّة ، ومخالفة التکلیفیّات فی الإلتزام والتعهّد ، یرجع ویؤول إلی طبیعة وسنخ الحکم الوضعیّ والتکلیفیّ ، ففی ماهیّة المشروط بما هی هی کما فی الأحکام الوضعیّة بما أنّها ماهیّة مقرّرة بغضّ النظر عن فعل المکلّف والذی انیط الحکم التکلیفیّ به کما هو الحال فی الإلتزام والتعهّد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قدس سره نبّه علی أنّ بعض الرخص والمباحات اقتضائیة لا تتغیّر ، وقد ذکر بعض المحقّقین أنّ ضابطة الحلّ والرخصة الاقتضائیّة هو الجواز والحلّ المترتّبة علی الحکم الوضعیّ ، دون الحلّ والإباحة المجرّدة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نبّه الشیخ قدس سره أنّ عنوان الضرر والحرج یختلف عن بقیّة العناوین الثانویّة فیقدّمان مطلقاً بخلافها ، وقد ذکرنا وجه التفرقة فی الأُمور التی ذکرنا فی حقیقة موضوع البحث ،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 xml:space="preserve">ما ذهب إلیه جملة من الأعلام من أنّ الإطلاق اللفظیّ للحکم الشرعیّ هو ضابطة مخالفة الشرط ، وعدمه یزیل عنوان المخالفة ، وبعبارة اخری الإطلاق أو العموم اللفظیّ لحکم الشیء ولو بلحاظ الحالات الطارئة المختلفة وتارة لحکم الشیء من حیث هو ، إمّا لأنّه لا إطلاق له ، أو لدلالة الدلیل علی أنّ الحکم للشیء من حیث هو وفی حدّ نفسه أو مقیّد بعدم الطوارئ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الشکّ فی عنوان المخالفة لا یصحّح الشرط عند فرض تعارضه مع عموم الوفاء بالشرط ومع عموم الحکم الأوّلی بل یکون عموم الوفاء موروداً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 xml:space="preserve">ما مال إلیه المحقّق النراقیّ قدس سره لکنّه لم یستقرّ علیه ، وهو إجراء مرجّحات التعارض بین إطلاق وعموم الحکم الأوّلیّ وعموم الشروط فالراجح یقدّم ، بخلاف ما إذا کان تنافی الشرط بما هو مع الکتاب فإنّ المخالفة صادقة مطلقاً حینئذ دون مخالفة الإلتزام للإلزامیّات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بعض من أنّ الضابطة ورود الحکم فی الکتاب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 xml:space="preserve">ما ذهب إلیه السیّد الیزدیّ قدس سره أنّ ضابطة التحریم والتحلیل المفسدة للشرط هو مخالفة الکتاب ، لکن لا مطلق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المنافی الدائم فی غیر الإلزامیّات مخالف ، وکذلک المنع عن المباح بلفظ النفی ، أو المنع والتحریم عنواناً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الأحکام الإلزامیّة فالمنافاة لها ولو فی الحکم الجزئیّ مخالفة فضلاً عن الحکم الکلّی فیها ، کذلک الواجب أو فعل الحرام ، وکذلک تصدق المخالفة فی الحکم الوضعیّ إذا جعل فی الشرط لغیر من جعله اللّه تعالی له ، دون ما لو کان بنحو شرط الفعل المتعلّق بالحکم الوضعیّ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الذی یذکر فی هذا التفصیل هو أنّ الفارق بین الحکم الإطلاقیّ والطبعیّ هو فی نکتة التزاحم ، حیث لا یزاحم المباح اللزوم الطارئ بخلاف اللزوم الأوّلی ، فإنّه لا یدفع باللزوم الطارئ إلّاإذا کان فی غایة القوّة کالضرر والحرج فلیس الطارئ والثانویّ علی وتیرة واحدة فی التکلیفیّات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 xml:space="preserve">نبّه بعض الأعلام علی أنّ المخالفة کما قد تکون بالإضافة إلی العمومات الأوّلیّة کذلک قد تکون بالإضافة إلی العمومات الثانویّة ولو الظاهریّة کالاُصول العملیّة الظاهریّة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ممّا مرّ من المختار أنّ ضابطة الحکم المطلق الفعلیّ هو الحکم المتنزّل من أصل قانونیّ فوقیّ ، وأنّ العبرة بذلک فی المخالفة دون سائر الأحکام التی</w:t>
      </w:r>
    </w:p>
    <w:p>
      <w:pPr>
        <w:pStyle w:val="BookText"/>
        <w:rPr/>
      </w:pPr>
      <w:r>
        <w:rPr>
          <w:rFonts w:ascii="IRNazanin" w:hAnsi="IRNazanin" w:eastAsia="IRNazanin"/>
          <w:color w:val="111111"/>
          <w:sz w:val="28"/>
          <w:sz w:val="28"/>
          <w:szCs w:val="28"/>
          <w:rtl w:val="true"/>
          <w:lang w:bidi="fa-IR"/>
        </w:rPr>
        <w:t xml:space="preserve">لا تعتضد بذلک کما هو الحال فی غیر الإلزامیّات من المباحات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أنّ ما ذکر فی کلمات الأعلام من التفاصیل کاللوازم والعلامات الإنّیة ومنشؤها هو وجود الاُصول القانونیّة الفوقیّة وهی تأبی التخصیص بطبعها کما ذکرنا لاختلافه عن العموم المتعارف فإنّ المخصّص لابدّ أن یکون من رتبة العامّ کی یقوی علی التصرّف فیه دون ما إذا اختلفت الرتبة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 xml:space="preserve">فی تحریر الأصل العملیّ بتقریر أصالة العدم فی عنوان المخالفة ولو بنحو العدم 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بلحاظ وجود الشرط حیث لم یکن ، فلم تکن صفة المخالفة أو بلحاظ ما قبل الشرع بلحاظ تقرّر ماهیّة نفس المشروط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علی تقدیر عدم تمامیّة الأصل الموضوعیّ تصل النوبة إلی الأصل الحکمیّ ، وهی أصالة عدم نفوذ الشرط وعدم وجوب الوفاء به ، کما ذهب إلی ذلک المحقّق النائینیّ قدس سره حیث بنی علی أنّ الأصل العدم الأزلیّ لا یجری فی موارد الشکّ فی انطباق عنوان المخصّص لکون العدم المأخوذ فی العموم بسببه هو العدم النعتیّ ، وإن کان الصحیح هو جریان الأصل فی العدم الأزلیّ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جریان الأصل لا یخلو من إشکال مع إطلاق دلیل الحکم الأوّلی وإن شکّ فی کونه طبعیّاً أو فعلیّاً وحصول التعارض کاف فی إسقاط عموم الوفاء بالشرط ونحوه من عمومات الإلتزام الأُخری ، نعم مع عدم الإطلاق یتمّ جریانه وإمّا مع مجرّد الشکّ فی طبعیّته نحوها ، فلا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أَنْتَ مُنْذِرٌ وَ 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قالَتِ الْیَهُودُ یَدُ اللّهِ مَغْلُولَةٌ غُلَّتْ أَیْدِیهِمْ وَ لُعِنُوا بِما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عَجِبْتُمْ أَنْ جاءَکُمْ ذِکْرٌ مِنْ رَبِّکُمْ عَلی رَجُلٍ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أَعْلَمُ حَیْثُ یَجْعَلُ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أَیَّدْناهُ بِرُوحِ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رَبُّکَ یَخْلُقُ ما یَشاءُ وَ یَخْتارُ ما کانَ لَهُمُ الْخِیَرَةُ سُبْحانَ اللّهِ وَ تَعالی عَمّا یُشْرِکُونَ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ما حقّق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الکلام والتفسیر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للشرک مراتب من أشدّها ما یخرج‌عن الإسلام کشرک الوثنیّة ، ومنها ما لا یخرج عن الإسلام کالریاء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علی شرط الشیخین ، وذکره الذهبی أیضاً وصحّحه علی شرطهما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کالحکمة والعدالة والتحسین والتقبیح والصفات الإنسانیّة النبیلة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قرّر فی الفلسفة واُقیم علیه البرهان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الأحادیث الأربعمائة فی الخصال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یعلم أنّ الیقین فی کلمات الشارع لا یراد منه حالة الجزم وسرعة القناعة ، وإن نشأ عمّا لا یصلح للدلیلیّة والحجّیّة ، بل هی النتیجة المستفادة من مقدّمات تامّة سلیمة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المقصود من العبارة المذکورة لیس خصوص الاستصحاب ، بل النهی عن التعویل علی الشکّ مع وجود الحجّة ، والاستصحاب قاعدة متفرّعة عن قاعدة فوقیّة أوسع منها ، وقد حقّق شیخنا الاُستاذ هذا المطلب فی علم الاُصول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أفاده بعض الأکابر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والأعراف والإسراء والکهف وطه والحجر وص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33406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الظنّ ، تنبیهات دلیل الإنسداد ، الأمر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إعتبار الظنّ فی اصول الدین‌والأقوال المستفادة من تتبّع کلمات العلماء فی هذه المسألة من حیث وجوب مطلق المعرفة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قدس سره عن الشیخ الطوسی فی العدّة ، مسألة حجّیة أخبار الآحاد وفی آخر العدّة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للأصفهانی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للبهسودی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قدّمنا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المقدّمات والبراهین لیست علّة تامّة لحصول الیقین بالنتیجة ، لتوقّف‌الیقین علی خلوّ النفس من الهیئات الردیئة والصفات المَرَضیّة ، وإنّما یفاض الیقین علی النفس الطاهرة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موجب لذکر هذه 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لا یتوهّم أحد وجوب البیان علی المکلّف ، بل البیان لطف للمکلّف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التعریف والبیان والحجّة والهدایة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التعریف والبیان والحجّة والهدایة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یعترض علی هذا المطلب من جهتین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التشکیک فی التفکیک بین الإذعان من جهة والتصوّر والتصدیق من جهة اخری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التسلیم بالتفکیک المذکور ، فالتکلیف بالإیمان إن ارید به الإرشادیّ ، فلا ممانعة منه ، لکن لا أظنّ أن یمنعه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ارید به المولویّ ، فإنّ الحکم العقلیّ بلزوم دفع الضرر المحتمل یغنی عنه فلا أثر له ، لأنّ داعویّته ومحرّکیّته تکتمل بحکم العقل ، وبدونه لا محرّکیّة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حکم العقل لا أثر له إلّاالتذکیر زائداً علی الإرشاد إلی حکم العقل ، ولا دلالة فیما ذکر من الآیات والروایات علی أکثر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الجواب عن کلتا المناقشتین ، أمّا الاُولی فتندفع بالتأمّل فی الأدلّة السابقة التی ذکرها شیخنا الاُستاذ علی التفکیک المذکور ، ولا معنی للتشکیک من دون دفع تلک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الثانیة فقد اشیر للجواب عنها فی ما تقدّم ، وتوضیح دفعها بالنقض والحلّ ، کما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النقض ، فهو أنّ وجوب شکر المنعم وحده کافٍ لحکم العقل بلزوم طاعة اللّه تعالی وامتثال أوامره ، لکن حکمة اللّه تعالی اقتضت أن یضاف إلی ذلک ، الترغیب بالجنّة وأنواع الثواب علی الطاعة ، والترهیب بالنار وأنواع العقاب علی المعصیة ، فهل یصحّ القول بأنّ هذا الترغیب والترهیب بلا ثمرة ما دام وجود شکر المنعم کافیاً للمحرّکیّة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 هو أنّ الحکم العقلیّ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الاُصولیّین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لا آمر ولا ناهٍ ، ومن 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إدراکه یتطابق مع الحکم الشرعیّ ، لأنّه عند إدراکه العقوبة علی المخالفة أو الترک ویدرک المثوبة علی الفعل ، فقد أدرک المولویّة ، ولا معنی للمولویّة غیر ذلک؛ لأنّ قوام المولویّة بإرادة المولی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التکوینیّة التی تترتّب علیها المثوبة والعقوبة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هذا ، فما یدرکه العقل هو نفس المولویّة الشرعیّة التی لیس المدار فیها علی الاعتبار الشرعیّ ومجرّد الإنشاء ، بل مبادئ ذلک الاعتبار والإنشاء ، وهی الإرادة المولویّة المترتّب علیها المثوبة والعقوبة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فالإرشاد إنّما یکون فی موارد مثل وجوب الطاعة ووجوب العلم بالامتثال ، وهی الأحکام الشرعیّة التی تکون معلولة للحکم المولویّ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أفاده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للأمر فائدة فوق ذلک کزیادة الترغیب فی تحریک المکلّف إلی الطاعة فلا یکون إرشادیّاً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إذا طابق الحکم الشرعیّ الحکم العقلیّ یکون من قبیل إدراک العقل لنفس مفاد ذلک الحکم المولویّ ، ولا یقلب ذلک الحکم عن کونه مولویّاً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والملحوظ أنّ الشارع المقدّس لم یقتصر علی محرّک واحد للامتثال والإطاعة ، وإلّا فإنّ وجوب شکر المنعم کافٍ للبعث والتحریک ، لکنّ الشارع جعل معه الترهیب من العذاب الألیم ، وهذا محرّک کافٍ للبعث لوجوب دفع الضرر المحتمل ، ولم یکتف الشارع بذلک بل جعل الترغیب بالجنّة وأنواع الثواب ، ولم یقتصر الشارع علی ذلک أیضاً ، بل 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 علی کلّ مقدّمة من مقدّمات الواجب أو المستحبّ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مع أنّ الاُصولیّین صرّحوا بأنّ الأصل فی الأمر ، المولویّة لا الإرشاد ، ومع احتمال وجود الداعی المولویّ للبعث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لأجل اهتمام الشارع بتحریک العباد إلی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یتعیّن حمل الأوامر علی المولویّة ، إلّامع قیام الدلیل علی خلاف ذلک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إن شاء اللّه فی نهایة الفصل ذکر العلاقة بین الوحی والرسول الباطن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الجالثة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الجالثة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بأنّکم فی لیلة القدر کما ذکرت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النصّ لزوم الوثوق إذا کان الناقل للمسألة العقائدیّة ثقة ، ولا معنی لکون الوثوق بمعنی مجرّد الإدراک ، لأنّه حاصل ، بل بمعنی التسلیم والقبول والإذعان ، وإن لم یقبل فهو کافر بالمعنی الأعمّ للکفر ، وهو الجحود لا الکفر المخرج عن الإسلام ،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 الکفر والإرتداد بجحود بعض الضروریات وغیرها ممّا تقوم الحجّة فیه بنقل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المستضعف ،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وللمزید راجع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علی الناس عند مضیّ الإمام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مورد هذه الآیات ذلک ، لکنّ المورد لا یخصّص الوارد ، وأجابنی سماحة الشیخ حفظه اللّه بأنّ المورد بنوعه یخصّص الوارد ، وإن لم یخصّصه بشخصه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غیر دقیق ، فإنّ الکثیر من تفاصیل العقائد ثابتة بالیقین من خلال القرآن أوالروایات المتواترة ، وغیر ذلک من الأدلّة القطعیّة ، ولا ینحصر الیقین باُصول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المقصود عدم الیقین بجمیع التفاصیل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 المقصود نفی الیقین ببعضها ، فلا مانع منه ، ولا یجب علی المکلّف الاعتقاد بجمیع التفاصیل ، بل اللازم هو الاعتقاد بما قامت الحجّة علیه ، والقدر المتیقّن من الحجّة هو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سماحة الشیخ بأنّ جملة الموارد وهی أکثر تفصیلاً حیث لا یوجد دلیل یقینی علیه فتخرج عن موضوع النهی وتعیّن الرکون إلی الحجّة الظنّیّة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کفتنا ذلک بالدلیل القطعی من القرآن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دفع المصادرة بمصادرة اخری مثلها أو أضعف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وصدق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الظنّ أو محض التصوّر مجاز لغة وعرفاً ویحتاج إلی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الشکّ فی سعة المفهوم یقتصر فیه علی القدر المتیقّن ، کما قرّر فی علم الاُصول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للخصم أن یختار الأوّل بقرینة أنّ الآیة نسبت العبادة إلی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بتقدیر یاء المتکلّم ووضع الکسرة علامةً علیها ، وقد فسّرت العبادة فی الروایات بالمعرفة ، فالمقصود هو معرفته تعالی لا معرفة سائر العقائد ، غایة الأمر أنّ أدلّة اخری دلّت علی أنّ معرفة اللّه تعالی لا تتمّ إلّابشرطها وشروطها ، فلا بدّ معها من معرفة اصول العقائد الاُخری ، ولا دلیل علی إرادة معرفة جمیع المعارف حتّی التفاصیل بحیث یجب التعرّف علیها لا یقیناً ولا ظنّاً أیضاً ، فالآیة الکریمة لا تصلح للاستدلال بها علی عموم وجوب الاعتقاد لتفاصیل العقائد لأنّها لیست فی صددها ، ولا یصحّ الدلیل السادس من الخصم ، کما لا یصحّ الاستدلال بها علی حجّیّة الظنّ فی العقائد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حجّیة أخبار الثقاة ،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الأشاعرة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الروایات وحیاً أنّ منبع علم الأئمّة علم النبیّ وهو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یصل إلی تسعمائة مسألة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تسییر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حدوث العالم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التعمیم لا یخلو من إشکال ، بل منع ، فلاحظ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مسألتان اصولیّتان ، کما إنّ العلّامة الطباطبائی قدس سره فی رسالة الاعتباریّات وفی کتاب اسس الفلسفة والمذهب الواقعی فی فصل الاعتباریّات ، عندما بیّن أهمّیة البحث عن الاعتباریّات ، وأنّه فصل قد أغفله الفلاسفة المتقدّمون ، کانت جلّ المباحث التی ذکرها فیهما ممّا نقّحه علماء الاُصول ، أمثال المحقّق النائینی والعراقی والإصفهانی رحمهم الله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المغالطة هی الاستدلال المفید تصدیقاً جازماً یجعل المطلوب فی صورة الحقّ مع أنّه لیس بحقّ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وصناعة الخطابة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یفید تصدیقاً غیر جازم لأجل إقناع الجمهور ،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یفید التخیّل والتعجّب ونحوهما دون التصدیق ، والغرض منه حصول الانفعالات النفسیّة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الفصول التی ذکرها فی المقدّمة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القساوسة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مدرسة المیرزا مهدی الإصفهانی قدس سره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مدرسة المحقّق الملّا هادی الطهرانی ، من تلامیذ الشیخ الأنصاری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صحّت دعوی هذا التعبیر ، لأنّ الملحوظ فی العلم المذکور هو حداثة ألفاظ المسائل لا معانیها ، کما إنّ مجموع 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ترجمان الموروث الغربیّ من مجموع نظراته حول الدیانة المسیحیّة ، ولکن بصیاغة حدیثة متّجهة نحو الدین الإسلامیّ الحنیف ، غیر أنّ هذه الحقیقة لا تخفی علی الباحث المنقّب فی ما کُتب عن علاقة الکنیسة بالمجتمع الغربیّ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آیات متفرّقة من القرآن الکریم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اثر عن أمیر المؤمنین علیه السلام حلّ العدید من المسائل الریاضیّة والمعادلات الغامضة‌بسرعة البدیهة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شمس التبریزی ، وهو أستاذ الشاعر المعروف ، جلال الدین محمّد الرومی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المولوی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لملّا هادی السبزواری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ما خلق اللّه نور نبیّک یا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المعروف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 أخباریّو العامّة بالظاهریّین وأهل الظاهر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کون الأرض مرکز العالم ، وأنّ الشمس تدور حولها ، وأنّ الکواکب مخلوقات حیّة‌ذات شعور ، وأنّ المجرّات البعیدة هی العرش أو الکرسیّ الإلهیّ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نظریة أنّ العناصر الأولیّة لخلقة عالم المادّة کلّه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والهواء والتراب والنار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یصطلح علیه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ضوابط فهم النصّ القانونی ، بل ینفع‌فی فهم أیّ کلام آخر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کالنقد الأدبیّ للأدیان ، والنقد الأدبیّ لنصوص علم الاجتماع ، أو للسیاسة ، أو للتاریخ و الحضارات ، أو للشعر ، أو غیر ذلک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قراءة النصوص المبیّنة للقواعد الاُصولیّة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المذهب المقابل للقول بالتصویب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ذاتِ الْحُبُکِ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الحسین بن‌خالد ، عن أبی الحسن الرضا علیه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لا یثبت التوثیق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وفهرسته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یضاف إلیها رجال العقیقی و مشیخة الفقیه و مشیخة التهذیبین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الشهرة الروائیّة کثرة نقل الروایة ، ومن الفتوائیّة کثرة الفتوی بین الفقهاء ، ومن العملیّة شیاع العمل بروایةٍ مّا من دون اتّفاق علی تفسیر مضمونها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موثّقة ابن أبی یعفور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تعرف عدالة الرجل عندالمسلمین حتّی تقبل شهادته لهم وعلیهم؟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تعرفوه بالستر ، والعفاف ، والکفّ عن البطن والفرج ، والید ، واللسان ، ویعرف باجتناب الکبائر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أن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 علی ذلک کلّه ، والساتر لجمیع عیوبه ، حتّی یحرم علی المسلمین تفتیش ما وراء ذلک من عثراته وغیبته ، ویجب علیهم تولّیه ، وإظهار عدالته فی الناس المتعاهد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للصلوات الخمس إذا واظب علیهنّ وحافظ مواقیتهنّ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بإحضار جماعة المسلمین ، وأن لا یتخلّف من جماعتهم ومصلّاهم إلّامن علّة ، وذلک أنّ الصلاة ستر وکفّارة للذنوب ، ولولا ذلک لم یکن لأحد أن یشهد علی أحد بالصلاح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لزم جماعتهم حرمت علیهم غیبته ، وثبتت عدالته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فهرست کلّ من الطوسی والنجاشی ونجم الدین ، وکتاب الذریعة ، ومستدرک وسائل الشیعة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شرحه الفارسی علی من لا یحضره الفقیه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بالفطرة هنا ما یشمل البدیهیّات الستّ جمیعها لا خصوص الفطریّات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العقل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تعریف ابن سینا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القرن العاشر حیث برهن علیه الملّا صدرا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ومقالات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الحجریّة فی ذیل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مبحث المعاد الجسمانی ، وقد أشرنا إلی ذلک سابقاً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عدد المسائل الفلسفیّة قبل الإسلام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فی ما وصلت الآن إلی‌ثمانمائة مسألة ونیّف ، کما ذکر ذلک الاُستاذ الشهید المطهّری رحمه الله فی موارد عدیدة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أنّه قد تقدّم سابقاً بیان أنّ ما ثبت بالبرهان العقلیّ لا یحتاج فی إثباته إلی التعبّد ،ولکنّه قد یکون تعبّدیّاً بلحاظ التکلیف الشرعیّ بالإذعان والإخبات والاعتقاد بتلک النتائج ، فإن هوی النفس وغیره من الأمراض النفسیّة أو الإدراکیّة قد یَجرّ إلی الجموح والعناد عن الإخبات والاعتقاد بتلک النتائج من دون الترغیب والترهیب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الدمج کما یکون فی القضایا الحسّیّة والوهمیّة والخیالیّة یکون کذلک فی القضایاالعقلیّة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مجرّدة ، وهذا هو المهمّ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تصویر المطلب ببیان آخر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الامتثال یتوقّف علی وجود الوجوب‌الشرعیّ ، ولا یصدر الوجوب من الحکیم إلّامع صلاحیّته للبعث والتحریک ، فإذا کان الإدراک غیر الاعتقاد ، صحّ الأمر بالاعتقاد ، لأنّ امتثاله یتوقّف علی إدراک الأمر به لا علی نفس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الإدراک نفس الاعتقاد والإذعان ، لم یصحّ الأمر به ، لتوقّف صدور الوجوب من الحکیم علی صلاحیّته للبعث ، ولا یصلح الأمر للبعث من دون إدراکه ، ومع إدراکه یکون الأمر به تحصیلاً للحاصل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مزید توضیح لهذه المراتب وشیء من الاستدلال علیها ، وإن شئت المزید فراجع‌الکتب المخصّصة لذلک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المراد به الاصطلاح الآخر للوهم الذی یقابل الظنّ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أسبق الفلسفات علی التحقیق الفلسفة الهندیّة ، ثمّ الحرّانیّة فی العراق ، ثمّ الفارسیّة ، ثمّ الیونانیّة ، وأنّ کلّاً منها استفادت من تحقیقات ما سبقها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الفلاسفة بما فیهم ابن سینا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الشفاء وغیره من کتب ابن سینا المنطقیّة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النمط الثالث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الطبیعیّات ، کتاب النفس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من المقالة العاشرة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کتاب العقل والجهل من الکافی وغیره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الحکایة دائماً بلحاظ أمر تکوینیّ ، وهو الاتّحاد فی الهویّة والمفهوم ، والحاکی أیضاً له وجود تکوینیّ ، سواء کان بالوجود التکوینیّ للکمال أو النقص ، أم اللفظیّ ، أم غیر ذلک بحسب الحاکی للکمال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الأحادیث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یافاطمة ، إن اللّه لیغضب لغضبک ویرضی لرضاک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الآحاد والمثانی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فاطمة بَضعة منّی ، یؤذینی ما آذاها ، ویغضبنی ما أغضبها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النصوص لیس فی ذیل هذه الآیة وکتفسیر لها ، بل الذی عثرنا علیه فی الأخبار هو عَدُّ المعرفة والعلم باللّه تعالی وأمره من أفضل العبادات ، کما روی عن الرضا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العبادة کثرة الصلاة والصوم، إنَّما العبادة التفکُّر فی أمر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روی 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العبادة إدمان التفکّر فی اللّه وفی قدرته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روی عن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العبادة العلم باللّه والتواضع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روی عن موسی بن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العبادة بعد المعرفة انتظار الفرج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کافیة فی المدّعی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المتقدّم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وردت طائفة اخری بهذا اللسان فی مورد التعارض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العتق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58123</Words>
  <Characters>242662</Characters>
  <CharactersWithSpaces>298940</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2026-08-19T00:32:28Z</dcterms:created>
  <dc:creator>ghaemiyeh.com</dc:creator>
  <dc:description/>
  <dc:language>en-US</dc:language>
  <cp:lastModifiedBy/>
  <dcterms:modified xsi:type="dcterms:W3CDTF">2026-08-19T04:02:37Z</dcterms:modified>
  <cp:revision>1</cp:revision>
  <dc:subject/>
  <dc:title>بحوث فی قراءه النص الدینی</dc:title>
</cp:coreProperties>
</file>

<file path=docProps/custom.xml><?xml version="1.0" encoding="utf-8"?>
<Properties xmlns="http://schemas.openxmlformats.org/officeDocument/2006/custom-properties" xmlns:vt="http://schemas.openxmlformats.org/officeDocument/2006/docPropsVTypes"/>
</file>