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العلم فی اطارالدین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12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128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130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83132_581953129">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283134_581953129">
            <w:r>
              <w:rPr>
                <w:webHidden/>
                <w:rStyle w:val="IndexLink"/>
                <w:rtl w:val="true"/>
              </w:rPr>
              <w:t>تقدیم معهد البحوث</w:t>
            </w:r>
            <w:r>
              <w:rPr>
                <w:rStyle w:val="IndexLink"/>
                <w:rtl w:val="true"/>
              </w:rPr>
              <w:tab/>
            </w:r>
            <w:r>
              <w:rPr>
                <w:rStyle w:val="IndexLink"/>
              </w:rPr>
              <w:t>14</w:t>
            </w:r>
          </w:hyperlink>
        </w:p>
        <w:p>
          <w:pPr>
            <w:pStyle w:val="Contents2"/>
            <w:tabs>
              <w:tab w:val="clear" w:pos="8743"/>
              <w:tab w:val="right" w:pos="9026" w:leader="dot"/>
            </w:tabs>
            <w:rPr/>
          </w:pPr>
          <w:hyperlink w:anchor="__RefHeading___Toc283136_581953129">
            <w:r>
              <w:rPr>
                <w:webHidden/>
                <w:rStyle w:val="IndexLink"/>
                <w:rtl w:val="true"/>
              </w:rPr>
              <w:t>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83138_581953129">
            <w:r>
              <w:rPr>
                <w:webHidden/>
                <w:rStyle w:val="IndexLink"/>
                <w:rtl w:val="true"/>
              </w:rPr>
              <w:t>الرّؤیة الکونیّة الاسلامیّة والعلم الحدیث</w:t>
            </w:r>
            <w:r>
              <w:rPr>
                <w:rStyle w:val="IndexLink"/>
                <w:rtl w:val="true"/>
              </w:rPr>
              <w:tab/>
            </w:r>
            <w:r>
              <w:rPr>
                <w:rStyle w:val="IndexLink"/>
              </w:rPr>
              <w:t>24</w:t>
            </w:r>
          </w:hyperlink>
        </w:p>
        <w:p>
          <w:pPr>
            <w:pStyle w:val="Contents3"/>
            <w:tabs>
              <w:tab w:val="clear" w:pos="8459"/>
              <w:tab w:val="right" w:pos="9026" w:leader="dot"/>
            </w:tabs>
            <w:rPr/>
          </w:pPr>
          <w:hyperlink w:anchor="__RefHeading___Toc283140_581953129">
            <w:r>
              <w:rPr>
                <w:webHidden/>
                <w:rStyle w:val="IndexLink"/>
                <w:rtl w:val="true"/>
              </w:rPr>
              <w:t>الدّکتور السّید حسین نصر</w:t>
            </w:r>
            <w:r>
              <w:rPr>
                <w:rStyle w:val="IndexLink"/>
                <w:rtl w:val="true"/>
              </w:rPr>
              <w:tab/>
            </w:r>
            <w:r>
              <w:rPr>
                <w:rStyle w:val="IndexLink"/>
              </w:rPr>
              <w:t>24</w:t>
            </w:r>
          </w:hyperlink>
        </w:p>
        <w:p>
          <w:pPr>
            <w:pStyle w:val="Contents3"/>
            <w:tabs>
              <w:tab w:val="clear" w:pos="8459"/>
              <w:tab w:val="right" w:pos="9026" w:leader="dot"/>
            </w:tabs>
            <w:rPr/>
          </w:pPr>
          <w:hyperlink w:anchor="__RefHeading___Toc283142_581953129">
            <w:r>
              <w:rPr>
                <w:webHidden/>
                <w:rStyle w:val="IndexLink"/>
                <w:rtl w:val="true"/>
              </w:rPr>
              <w:t>مقدّمة</w:t>
            </w:r>
            <w:r>
              <w:rPr>
                <w:rStyle w:val="IndexLink"/>
                <w:rtl w:val="true"/>
              </w:rPr>
              <w:tab/>
            </w:r>
            <w:r>
              <w:rPr>
                <w:rStyle w:val="IndexLink"/>
              </w:rPr>
              <w:t>24</w:t>
            </w:r>
          </w:hyperlink>
        </w:p>
        <w:p>
          <w:pPr>
            <w:pStyle w:val="Contents3"/>
            <w:tabs>
              <w:tab w:val="clear" w:pos="8459"/>
              <w:tab w:val="right" w:pos="9026" w:leader="dot"/>
            </w:tabs>
            <w:rPr/>
          </w:pPr>
          <w:hyperlink w:anchor="__RefHeading___Toc283144_581953129">
            <w:r>
              <w:rPr>
                <w:webHidden/>
                <w:rStyle w:val="IndexLink"/>
                <w:rtl w:val="true"/>
              </w:rPr>
              <w:t>نقد العلم الحدیث</w:t>
            </w:r>
            <w:r>
              <w:rPr>
                <w:rStyle w:val="IndexLink"/>
                <w:rtl w:val="true"/>
              </w:rPr>
              <w:tab/>
            </w:r>
            <w:r>
              <w:rPr>
                <w:rStyle w:val="IndexLink"/>
              </w:rPr>
              <w:t>26</w:t>
            </w:r>
          </w:hyperlink>
        </w:p>
        <w:p>
          <w:pPr>
            <w:pStyle w:val="Contents3"/>
            <w:tabs>
              <w:tab w:val="clear" w:pos="8459"/>
              <w:tab w:val="right" w:pos="9026" w:leader="dot"/>
            </w:tabs>
            <w:rPr/>
          </w:pPr>
          <w:hyperlink w:anchor="__RefHeading___Toc283146_581953129">
            <w:r>
              <w:rPr>
                <w:webHidden/>
                <w:rStyle w:val="IndexLink"/>
                <w:rtl w:val="true"/>
              </w:rPr>
              <w:t>مسألة تورید العلم الغربی الحدیث</w:t>
            </w:r>
            <w:r>
              <w:rPr>
                <w:rStyle w:val="IndexLink"/>
                <w:rtl w:val="true"/>
              </w:rPr>
              <w:tab/>
            </w:r>
            <w:r>
              <w:rPr>
                <w:rStyle w:val="IndexLink"/>
              </w:rPr>
              <w:t>31</w:t>
            </w:r>
          </w:hyperlink>
        </w:p>
        <w:p>
          <w:pPr>
            <w:pStyle w:val="Contents3"/>
            <w:tabs>
              <w:tab w:val="clear" w:pos="8459"/>
              <w:tab w:val="right" w:pos="9026" w:leader="dot"/>
            </w:tabs>
            <w:rPr/>
          </w:pPr>
          <w:hyperlink w:anchor="__RefHeading___Toc283148_581953129">
            <w:r>
              <w:rPr>
                <w:webHidden/>
                <w:rStyle w:val="IndexLink"/>
                <w:rtl w:val="true"/>
              </w:rPr>
              <w:t>خطوات إنتاج علم إسلامی أصیل</w:t>
            </w:r>
            <w:r>
              <w:rPr>
                <w:rStyle w:val="IndexLink"/>
                <w:rtl w:val="true"/>
              </w:rPr>
              <w:tab/>
            </w:r>
            <w:r>
              <w:rPr>
                <w:rStyle w:val="IndexLink"/>
              </w:rPr>
              <w:t>33</w:t>
            </w:r>
          </w:hyperlink>
        </w:p>
        <w:p>
          <w:pPr>
            <w:pStyle w:val="Contents3"/>
            <w:tabs>
              <w:tab w:val="clear" w:pos="8459"/>
              <w:tab w:val="right" w:pos="9026" w:leader="dot"/>
            </w:tabs>
            <w:rPr/>
          </w:pPr>
          <w:hyperlink w:anchor="__RefHeading___Toc283150_581953129">
            <w:r>
              <w:rPr>
                <w:webHidden/>
                <w:rStyle w:val="IndexLink"/>
                <w:rtl w:val="true"/>
              </w:rPr>
              <w:t>کلام حول التقنیة</w:t>
            </w:r>
            <w:r>
              <w:rPr>
                <w:rStyle w:val="IndexLink"/>
                <w:rtl w:val="true"/>
              </w:rPr>
              <w:tab/>
            </w:r>
            <w:r>
              <w:rPr>
                <w:rStyle w:val="IndexLink"/>
              </w:rPr>
              <w:t>40</w:t>
            </w:r>
          </w:hyperlink>
        </w:p>
        <w:p>
          <w:pPr>
            <w:pStyle w:val="Contents3"/>
            <w:tabs>
              <w:tab w:val="clear" w:pos="8459"/>
              <w:tab w:val="right" w:pos="9026" w:leader="dot"/>
            </w:tabs>
            <w:rPr/>
          </w:pPr>
          <w:hyperlink w:anchor="__RefHeading___Toc283152_581953129">
            <w:r>
              <w:rPr>
                <w:webHidden/>
                <w:rStyle w:val="IndexLink"/>
                <w:rtl w:val="true"/>
              </w:rPr>
              <w:t>نظرة أخیرة</w:t>
            </w:r>
            <w:r>
              <w:rPr>
                <w:rStyle w:val="IndexLink"/>
                <w:rtl w:val="true"/>
              </w:rPr>
              <w:tab/>
            </w:r>
            <w:r>
              <w:rPr>
                <w:rStyle w:val="IndexLink"/>
              </w:rPr>
              <w:t>42</w:t>
            </w:r>
          </w:hyperlink>
        </w:p>
        <w:p>
          <w:pPr>
            <w:pStyle w:val="Contents3"/>
            <w:tabs>
              <w:tab w:val="clear" w:pos="8459"/>
              <w:tab w:val="right" w:pos="9026" w:leader="dot"/>
            </w:tabs>
            <w:rPr/>
          </w:pPr>
          <w:hyperlink w:anchor="__RefHeading___Toc283154_581953129">
            <w:r>
              <w:rPr>
                <w:webHidden/>
                <w:rStyle w:val="IndexLink"/>
                <w:rtl w:val="true"/>
              </w:rPr>
              <w:t>الملاحظات</w:t>
            </w:r>
            <w:r>
              <w:rPr>
                <w:rStyle w:val="IndexLink"/>
                <w:rtl w:val="true"/>
              </w:rPr>
              <w:tab/>
            </w:r>
            <w:r>
              <w:rPr>
                <w:rStyle w:val="IndexLink"/>
              </w:rPr>
              <w:t>43</w:t>
            </w:r>
          </w:hyperlink>
        </w:p>
        <w:p>
          <w:pPr>
            <w:pStyle w:val="Contents2"/>
            <w:tabs>
              <w:tab w:val="clear" w:pos="8743"/>
              <w:tab w:val="right" w:pos="9026" w:leader="dot"/>
            </w:tabs>
            <w:rPr/>
          </w:pPr>
          <w:hyperlink w:anchor="__RefHeading___Toc283156_581953129">
            <w:r>
              <w:rPr>
                <w:webHidden/>
                <w:rStyle w:val="IndexLink"/>
                <w:rtl w:val="true"/>
              </w:rPr>
              <w:t>نظریّة العلم الدّینی حسب تقییم معادلات العلم والدّین</w:t>
            </w:r>
            <w:r>
              <w:rPr>
                <w:rStyle w:val="IndexLink"/>
                <w:rtl w:val="true"/>
              </w:rPr>
              <w:tab/>
            </w:r>
            <w:r>
              <w:rPr>
                <w:rStyle w:val="IndexLink"/>
              </w:rPr>
              <w:t>47</w:t>
            </w:r>
          </w:hyperlink>
        </w:p>
        <w:p>
          <w:pPr>
            <w:pStyle w:val="Contents3"/>
            <w:tabs>
              <w:tab w:val="clear" w:pos="8459"/>
              <w:tab w:val="right" w:pos="9026" w:leader="dot"/>
            </w:tabs>
            <w:rPr/>
          </w:pPr>
          <w:hyperlink w:anchor="__RefHeading___Toc283158_581953129">
            <w:r>
              <w:rPr>
                <w:webHidden/>
                <w:rStyle w:val="IndexLink"/>
                <w:rtl w:val="true"/>
              </w:rPr>
              <w:t>حجّة الإسلام و المسلمین علی شاهرودی عابدی</w:t>
            </w:r>
            <w:r>
              <w:rPr>
                <w:rStyle w:val="IndexLink"/>
                <w:rtl w:val="true"/>
              </w:rPr>
              <w:tab/>
            </w:r>
            <w:r>
              <w:rPr>
                <w:rStyle w:val="IndexLink"/>
              </w:rPr>
              <w:t>47</w:t>
            </w:r>
          </w:hyperlink>
        </w:p>
        <w:p>
          <w:pPr>
            <w:pStyle w:val="Contents3"/>
            <w:tabs>
              <w:tab w:val="clear" w:pos="8459"/>
              <w:tab w:val="right" w:pos="9026" w:leader="dot"/>
            </w:tabs>
            <w:rPr/>
          </w:pPr>
          <w:hyperlink w:anchor="__RefHeading___Toc283160_581953129">
            <w:r>
              <w:rPr>
                <w:webHidden/>
                <w:rStyle w:val="IndexLink"/>
                <w:rtl w:val="true"/>
              </w:rPr>
              <w:t>إشارة</w:t>
            </w:r>
            <w:r>
              <w:rPr>
                <w:rStyle w:val="IndexLink"/>
                <w:rtl w:val="true"/>
              </w:rPr>
              <w:tab/>
            </w:r>
            <w:r>
              <w:rPr>
                <w:rStyle w:val="IndexLink"/>
              </w:rPr>
              <w:t>47</w:t>
            </w:r>
          </w:hyperlink>
        </w:p>
        <w:p>
          <w:pPr>
            <w:pStyle w:val="Contents3"/>
            <w:tabs>
              <w:tab w:val="clear" w:pos="8459"/>
              <w:tab w:val="right" w:pos="9026" w:leader="dot"/>
            </w:tabs>
            <w:rPr/>
          </w:pPr>
          <w:hyperlink w:anchor="__RefHeading___Toc283162_581953129">
            <w:r>
              <w:rPr>
                <w:webHidden/>
                <w:rStyle w:val="IndexLink"/>
                <w:rtl w:val="true"/>
              </w:rPr>
              <w:t>مدخل</w:t>
            </w:r>
            <w:r>
              <w:rPr>
                <w:rStyle w:val="IndexLink"/>
                <w:rtl w:val="true"/>
              </w:rPr>
              <w:tab/>
            </w:r>
            <w:r>
              <w:rPr>
                <w:rStyle w:val="IndexLink"/>
              </w:rPr>
              <w:t>49</w:t>
            </w:r>
          </w:hyperlink>
        </w:p>
        <w:p>
          <w:pPr>
            <w:pStyle w:val="Contents3"/>
            <w:tabs>
              <w:tab w:val="clear" w:pos="8459"/>
              <w:tab w:val="right" w:pos="9026" w:leader="dot"/>
            </w:tabs>
            <w:rPr/>
          </w:pPr>
          <w:hyperlink w:anchor="__RefHeading___Toc283164_581953129">
            <w:r>
              <w:rPr>
                <w:webHidden/>
                <w:rStyle w:val="IndexLink"/>
                <w:rtl w:val="true"/>
              </w:rPr>
              <w:t>قانون الصّفر ما فوق الافتراضی</w:t>
            </w:r>
            <w:r>
              <w:rPr>
                <w:rStyle w:val="IndexLink"/>
                <w:rtl w:val="true"/>
              </w:rPr>
              <w:tab/>
            </w:r>
            <w:r>
              <w:rPr>
                <w:rStyle w:val="IndexLink"/>
              </w:rPr>
              <w:t>50</w:t>
            </w:r>
          </w:hyperlink>
        </w:p>
        <w:p>
          <w:pPr>
            <w:pStyle w:val="Contents3"/>
            <w:tabs>
              <w:tab w:val="clear" w:pos="8459"/>
              <w:tab w:val="right" w:pos="9026" w:leader="dot"/>
            </w:tabs>
            <w:rPr/>
          </w:pPr>
          <w:hyperlink w:anchor="__RefHeading___Toc283166_581953129">
            <w:r>
              <w:rPr>
                <w:webHidden/>
                <w:rStyle w:val="IndexLink"/>
                <w:rtl w:val="true"/>
              </w:rPr>
              <w:t>شرح الإمکان بمعنی الاحتمال</w:t>
            </w:r>
            <w:r>
              <w:rPr>
                <w:rStyle w:val="IndexLink"/>
                <w:rtl w:val="true"/>
              </w:rPr>
              <w:tab/>
            </w:r>
            <w:r>
              <w:rPr>
                <w:rStyle w:val="IndexLink"/>
              </w:rPr>
              <w:t>50</w:t>
            </w:r>
          </w:hyperlink>
        </w:p>
        <w:p>
          <w:pPr>
            <w:pStyle w:val="Contents3"/>
            <w:tabs>
              <w:tab w:val="clear" w:pos="8459"/>
              <w:tab w:val="right" w:pos="9026" w:leader="dot"/>
            </w:tabs>
            <w:rPr/>
          </w:pPr>
          <w:hyperlink w:anchor="__RefHeading___Toc283168_581953129">
            <w:r>
              <w:rPr>
                <w:webHidden/>
                <w:rStyle w:val="IndexLink"/>
                <w:rtl w:val="true"/>
              </w:rPr>
              <w:t>الاستدلال علی احتمال الصفر فوق الافتراضی</w:t>
            </w:r>
            <w:r>
              <w:rPr>
                <w:rStyle w:val="IndexLink"/>
                <w:rtl w:val="true"/>
              </w:rPr>
              <w:tab/>
            </w:r>
            <w:r>
              <w:rPr>
                <w:rStyle w:val="IndexLink"/>
              </w:rPr>
              <w:t>51</w:t>
            </w:r>
          </w:hyperlink>
        </w:p>
        <w:p>
          <w:pPr>
            <w:pStyle w:val="Contents3"/>
            <w:tabs>
              <w:tab w:val="clear" w:pos="8459"/>
              <w:tab w:val="right" w:pos="9026" w:leader="dot"/>
            </w:tabs>
            <w:rPr/>
          </w:pPr>
          <w:hyperlink w:anchor="__RefHeading___Toc283170_581953129">
            <w:r>
              <w:rPr>
                <w:webHidden/>
                <w:rStyle w:val="IndexLink"/>
                <w:rtl w:val="true"/>
              </w:rPr>
              <w:t xml:space="preserve">عالم </w:t>
            </w:r>
            <w:r>
              <w:rPr>
                <w:rStyle w:val="IndexLink"/>
                <w:rtl w:val="true"/>
              </w:rPr>
              <w:t>«</w:t>
            </w:r>
            <w:r>
              <w:rPr>
                <w:rStyle w:val="IndexLink"/>
                <w:rtl w:val="true"/>
              </w:rPr>
              <w:t>الضرورة</w:t>
            </w:r>
            <w:r>
              <w:rPr>
                <w:rStyle w:val="IndexLink"/>
                <w:rtl w:val="true"/>
              </w:rPr>
              <w:t xml:space="preserve">» </w:t>
            </w:r>
            <w:r>
              <w:rPr>
                <w:rStyle w:val="IndexLink"/>
                <w:rtl w:val="true"/>
              </w:rPr>
              <w:t>فی العلم</w:t>
            </w:r>
            <w:r>
              <w:rPr>
                <w:rStyle w:val="IndexLink"/>
                <w:rtl w:val="true"/>
              </w:rPr>
              <w:tab/>
            </w:r>
            <w:r>
              <w:rPr>
                <w:rStyle w:val="IndexLink"/>
              </w:rPr>
              <w:t>53</w:t>
            </w:r>
          </w:hyperlink>
        </w:p>
        <w:p>
          <w:pPr>
            <w:pStyle w:val="Contents3"/>
            <w:tabs>
              <w:tab w:val="clear" w:pos="8459"/>
              <w:tab w:val="right" w:pos="9026" w:leader="dot"/>
            </w:tabs>
            <w:rPr/>
          </w:pPr>
          <w:hyperlink w:anchor="__RefHeading___Toc283172_581953129">
            <w:r>
              <w:rPr>
                <w:webHidden/>
                <w:rStyle w:val="IndexLink"/>
                <w:rtl w:val="true"/>
              </w:rPr>
              <w:t>مفهوم الدّین فی هذا البحث</w:t>
            </w:r>
            <w:r>
              <w:rPr>
                <w:rStyle w:val="IndexLink"/>
                <w:rtl w:val="true"/>
              </w:rPr>
              <w:tab/>
            </w:r>
            <w:r>
              <w:rPr>
                <w:rStyle w:val="IndexLink"/>
              </w:rPr>
              <w:t>54</w:t>
            </w:r>
          </w:hyperlink>
        </w:p>
        <w:p>
          <w:pPr>
            <w:pStyle w:val="Contents3"/>
            <w:tabs>
              <w:tab w:val="clear" w:pos="8459"/>
              <w:tab w:val="right" w:pos="9026" w:leader="dot"/>
            </w:tabs>
            <w:rPr/>
          </w:pPr>
          <w:hyperlink w:anchor="__RefHeading___Toc283174_581953129">
            <w:r>
              <w:rPr>
                <w:webHidden/>
                <w:rStyle w:val="IndexLink"/>
                <w:rtl w:val="true"/>
              </w:rPr>
              <w:t>العلم والدّین فی المیزان</w:t>
            </w:r>
            <w:r>
              <w:rPr>
                <w:rStyle w:val="IndexLink"/>
                <w:rtl w:val="true"/>
              </w:rPr>
              <w:tab/>
            </w:r>
            <w:r>
              <w:rPr>
                <w:rStyle w:val="IndexLink"/>
              </w:rPr>
              <w:t>58</w:t>
            </w:r>
          </w:hyperlink>
        </w:p>
        <w:p>
          <w:pPr>
            <w:pStyle w:val="Contents3"/>
            <w:tabs>
              <w:tab w:val="clear" w:pos="8459"/>
              <w:tab w:val="right" w:pos="9026" w:leader="dot"/>
            </w:tabs>
            <w:rPr/>
          </w:pPr>
          <w:hyperlink w:anchor="__RefHeading___Toc283176_581953129">
            <w:r>
              <w:rPr>
                <w:webHidden/>
                <w:rStyle w:val="IndexLink"/>
                <w:rtl w:val="true"/>
              </w:rPr>
              <w:t>المسألة الرئیسة فی مجال إحراز العلم البشری للواقع</w:t>
            </w:r>
            <w:r>
              <w:rPr>
                <w:rStyle w:val="IndexLink"/>
                <w:rtl w:val="true"/>
              </w:rPr>
              <w:tab/>
            </w:r>
            <w:r>
              <w:rPr>
                <w:rStyle w:val="IndexLink"/>
              </w:rPr>
              <w:t>59</w:t>
            </w:r>
          </w:hyperlink>
        </w:p>
        <w:p>
          <w:pPr>
            <w:pStyle w:val="Contents3"/>
            <w:tabs>
              <w:tab w:val="clear" w:pos="8459"/>
              <w:tab w:val="right" w:pos="9026" w:leader="dot"/>
            </w:tabs>
            <w:rPr/>
          </w:pPr>
          <w:hyperlink w:anchor="__RefHeading___Toc283178_581953129">
            <w:r>
              <w:rPr>
                <w:webHidden/>
                <w:rStyle w:val="IndexLink"/>
                <w:rtl w:val="true"/>
              </w:rPr>
              <w:t>البرهان الانی</w:t>
            </w:r>
            <w:r>
              <w:rPr>
                <w:rStyle w:val="IndexLink"/>
                <w:rtl w:val="true"/>
              </w:rPr>
              <w:tab/>
            </w:r>
            <w:r>
              <w:rPr>
                <w:rStyle w:val="IndexLink"/>
              </w:rPr>
              <w:t>61</w:t>
            </w:r>
          </w:hyperlink>
        </w:p>
        <w:p>
          <w:pPr>
            <w:pStyle w:val="Contents3"/>
            <w:tabs>
              <w:tab w:val="clear" w:pos="8459"/>
              <w:tab w:val="right" w:pos="9026" w:leader="dot"/>
            </w:tabs>
            <w:rPr/>
          </w:pPr>
          <w:hyperlink w:anchor="__RefHeading___Toc283180_581953129">
            <w:r>
              <w:rPr>
                <w:webHidden/>
                <w:rStyle w:val="IndexLink"/>
                <w:rtl w:val="true"/>
              </w:rPr>
              <w:t>الوجه المحدود والمشروط لعلاقة العقل الخاصّ بالشّرع</w:t>
            </w:r>
            <w:r>
              <w:rPr>
                <w:rStyle w:val="IndexLink"/>
                <w:rtl w:val="true"/>
              </w:rPr>
              <w:tab/>
            </w:r>
            <w:r>
              <w:rPr>
                <w:rStyle w:val="IndexLink"/>
              </w:rPr>
              <w:t>64</w:t>
            </w:r>
          </w:hyperlink>
        </w:p>
        <w:p>
          <w:pPr>
            <w:pStyle w:val="Contents3"/>
            <w:tabs>
              <w:tab w:val="clear" w:pos="8459"/>
              <w:tab w:val="right" w:pos="9026" w:leader="dot"/>
            </w:tabs>
            <w:rPr/>
          </w:pPr>
          <w:hyperlink w:anchor="__RefHeading___Toc283182_581953129">
            <w:r>
              <w:rPr>
                <w:webHidden/>
                <w:rStyle w:val="IndexLink"/>
                <w:rtl w:val="true"/>
              </w:rPr>
              <w:t>نبذة لبیان العقل والإجماع باعتبارهما أدلّة شرعیّة</w:t>
            </w:r>
            <w:r>
              <w:rPr>
                <w:rStyle w:val="IndexLink"/>
                <w:rtl w:val="true"/>
              </w:rPr>
              <w:tab/>
            </w:r>
            <w:r>
              <w:rPr>
                <w:rStyle w:val="IndexLink"/>
              </w:rPr>
              <w:t>66</w:t>
            </w:r>
          </w:hyperlink>
        </w:p>
        <w:p>
          <w:pPr>
            <w:pStyle w:val="Contents3"/>
            <w:tabs>
              <w:tab w:val="clear" w:pos="8459"/>
              <w:tab w:val="right" w:pos="9026" w:leader="dot"/>
            </w:tabs>
            <w:rPr/>
          </w:pPr>
          <w:hyperlink w:anchor="__RefHeading___Toc283184_581953129">
            <w:r>
              <w:rPr>
                <w:webHidden/>
                <w:rStyle w:val="IndexLink"/>
                <w:rtl w:val="true"/>
              </w:rPr>
              <w:t>بیان العقل المنزّل منزلة الدّلیل</w:t>
            </w:r>
            <w:r>
              <w:rPr>
                <w:rStyle w:val="IndexLink"/>
                <w:rtl w:val="true"/>
              </w:rPr>
              <w:tab/>
            </w:r>
            <w:r>
              <w:rPr>
                <w:rStyle w:val="IndexLink"/>
              </w:rPr>
              <w:t>67</w:t>
            </w:r>
          </w:hyperlink>
        </w:p>
        <w:p>
          <w:pPr>
            <w:pStyle w:val="Contents3"/>
            <w:tabs>
              <w:tab w:val="clear" w:pos="8459"/>
              <w:tab w:val="right" w:pos="9026" w:leader="dot"/>
            </w:tabs>
            <w:rPr/>
          </w:pPr>
          <w:hyperlink w:anchor="__RefHeading___Toc283186_581953129">
            <w:r>
              <w:rPr>
                <w:webHidden/>
                <w:rStyle w:val="IndexLink"/>
                <w:rtl w:val="true"/>
              </w:rPr>
              <w:t>العبور من مفهوم طبیعة الدّین وطبیعة العقل إلی العلم الدّینی</w:t>
            </w:r>
            <w:r>
              <w:rPr>
                <w:rStyle w:val="IndexLink"/>
                <w:rtl w:val="true"/>
              </w:rPr>
              <w:tab/>
            </w:r>
            <w:r>
              <w:rPr>
                <w:rStyle w:val="IndexLink"/>
              </w:rPr>
              <w:t>68</w:t>
            </w:r>
          </w:hyperlink>
        </w:p>
        <w:p>
          <w:pPr>
            <w:pStyle w:val="Contents3"/>
            <w:tabs>
              <w:tab w:val="clear" w:pos="8459"/>
              <w:tab w:val="right" w:pos="9026" w:leader="dot"/>
            </w:tabs>
            <w:rPr/>
          </w:pPr>
          <w:hyperlink w:anchor="__RefHeading___Toc283188_581953129">
            <w:r>
              <w:rPr>
                <w:webHidden/>
                <w:rStyle w:val="IndexLink"/>
                <w:rtl w:val="true"/>
              </w:rPr>
              <w:t>الاجتهاد من حیث أنّه مقوّم للعلم الدّینی</w:t>
            </w:r>
            <w:r>
              <w:rPr>
                <w:rStyle w:val="IndexLink"/>
                <w:rtl w:val="true"/>
              </w:rPr>
              <w:tab/>
            </w:r>
            <w:r>
              <w:rPr>
                <w:rStyle w:val="IndexLink"/>
              </w:rPr>
              <w:t>69</w:t>
            </w:r>
          </w:hyperlink>
        </w:p>
        <w:p>
          <w:pPr>
            <w:pStyle w:val="Contents3"/>
            <w:tabs>
              <w:tab w:val="clear" w:pos="8459"/>
              <w:tab w:val="right" w:pos="9026" w:leader="dot"/>
            </w:tabs>
            <w:rPr/>
          </w:pPr>
          <w:hyperlink w:anchor="__RefHeading___Toc283190_581953129">
            <w:r>
              <w:rPr>
                <w:webHidden/>
                <w:rStyle w:val="IndexLink"/>
                <w:rtl w:val="true"/>
              </w:rPr>
              <w:t>توضیح الاجتهاد بما هو مقوّم للعلم الدّینی</w:t>
            </w:r>
            <w:r>
              <w:rPr>
                <w:rStyle w:val="IndexLink"/>
                <w:rtl w:val="true"/>
              </w:rPr>
              <w:t>:</w:t>
              <w:tab/>
            </w:r>
            <w:r>
              <w:rPr>
                <w:rStyle w:val="IndexLink"/>
              </w:rPr>
              <w:t>69</w:t>
            </w:r>
          </w:hyperlink>
        </w:p>
        <w:p>
          <w:pPr>
            <w:pStyle w:val="Contents3"/>
            <w:tabs>
              <w:tab w:val="clear" w:pos="8459"/>
              <w:tab w:val="right" w:pos="9026" w:leader="dot"/>
            </w:tabs>
            <w:rPr/>
          </w:pPr>
          <w:hyperlink w:anchor="__RefHeading___Toc283192_581953129">
            <w:r>
              <w:rPr>
                <w:webHidden/>
                <w:rStyle w:val="IndexLink"/>
                <w:rtl w:val="true"/>
              </w:rPr>
              <w:t>مفهوم العلم الدّینی</w:t>
            </w:r>
            <w:r>
              <w:rPr>
                <w:rStyle w:val="IndexLink"/>
                <w:rtl w:val="true"/>
              </w:rPr>
              <w:tab/>
            </w:r>
            <w:r>
              <w:rPr>
                <w:rStyle w:val="IndexLink"/>
              </w:rPr>
              <w:t>71</w:t>
            </w:r>
          </w:hyperlink>
        </w:p>
        <w:p>
          <w:pPr>
            <w:pStyle w:val="Contents3"/>
            <w:tabs>
              <w:tab w:val="clear" w:pos="8459"/>
              <w:tab w:val="right" w:pos="9026" w:leader="dot"/>
            </w:tabs>
            <w:rPr/>
          </w:pPr>
          <w:hyperlink w:anchor="__RefHeading___Toc283194_581953129">
            <w:r>
              <w:rPr>
                <w:webHidden/>
                <w:rStyle w:val="IndexLink"/>
                <w:rtl w:val="true"/>
              </w:rPr>
              <w:t>شرح العلم الدّینی الخاص</w:t>
            </w:r>
            <w:r>
              <w:rPr>
                <w:rStyle w:val="IndexLink"/>
                <w:rtl w:val="true"/>
              </w:rPr>
              <w:tab/>
            </w:r>
            <w:r>
              <w:rPr>
                <w:rStyle w:val="IndexLink"/>
              </w:rPr>
              <w:t>71</w:t>
            </w:r>
          </w:hyperlink>
        </w:p>
        <w:p>
          <w:pPr>
            <w:pStyle w:val="Contents3"/>
            <w:tabs>
              <w:tab w:val="clear" w:pos="8459"/>
              <w:tab w:val="right" w:pos="9026" w:leader="dot"/>
            </w:tabs>
            <w:rPr/>
          </w:pPr>
          <w:hyperlink w:anchor="__RefHeading___Toc283196_581953129">
            <w:r>
              <w:rPr>
                <w:webHidden/>
                <w:rStyle w:val="IndexLink"/>
                <w:rtl w:val="true"/>
              </w:rPr>
              <w:t>مقوّمات العلم الاجتهادی الخاص</w:t>
            </w:r>
            <w:r>
              <w:rPr>
                <w:rStyle w:val="IndexLink"/>
                <w:rtl w:val="true"/>
              </w:rPr>
              <w:tab/>
            </w:r>
            <w:r>
              <w:rPr>
                <w:rStyle w:val="IndexLink"/>
              </w:rPr>
              <w:t>73</w:t>
            </w:r>
          </w:hyperlink>
        </w:p>
        <w:p>
          <w:pPr>
            <w:pStyle w:val="Contents3"/>
            <w:tabs>
              <w:tab w:val="clear" w:pos="8459"/>
              <w:tab w:val="right" w:pos="9026" w:leader="dot"/>
            </w:tabs>
            <w:rPr/>
          </w:pPr>
          <w:hyperlink w:anchor="__RefHeading___Toc283198_581953129">
            <w:r>
              <w:rPr>
                <w:webHidden/>
                <w:rStyle w:val="IndexLink"/>
                <w:rtl w:val="true"/>
              </w:rPr>
              <w:t>العلوم الاجتهادیّة الخاصّة</w:t>
            </w:r>
            <w:r>
              <w:rPr>
                <w:rStyle w:val="IndexLink"/>
                <w:rtl w:val="true"/>
              </w:rPr>
              <w:tab/>
            </w:r>
            <w:r>
              <w:rPr>
                <w:rStyle w:val="IndexLink"/>
              </w:rPr>
              <w:t>73</w:t>
            </w:r>
          </w:hyperlink>
        </w:p>
        <w:p>
          <w:pPr>
            <w:pStyle w:val="Contents3"/>
            <w:tabs>
              <w:tab w:val="clear" w:pos="8459"/>
              <w:tab w:val="right" w:pos="9026" w:leader="dot"/>
            </w:tabs>
            <w:rPr/>
          </w:pPr>
          <w:hyperlink w:anchor="__RefHeading___Toc283200_581953129">
            <w:r>
              <w:rPr>
                <w:webHidden/>
                <w:rStyle w:val="IndexLink"/>
                <w:rtl w:val="true"/>
              </w:rPr>
              <w:t>منظومة العلوم الدّینیّة الاجتهادیّة</w:t>
            </w:r>
            <w:r>
              <w:rPr>
                <w:rStyle w:val="IndexLink"/>
                <w:rtl w:val="true"/>
              </w:rPr>
              <w:tab/>
            </w:r>
            <w:r>
              <w:rPr>
                <w:rStyle w:val="IndexLink"/>
              </w:rPr>
              <w:t>74</w:t>
            </w:r>
          </w:hyperlink>
        </w:p>
        <w:p>
          <w:pPr>
            <w:pStyle w:val="Contents3"/>
            <w:tabs>
              <w:tab w:val="clear" w:pos="8459"/>
              <w:tab w:val="right" w:pos="9026" w:leader="dot"/>
            </w:tabs>
            <w:rPr/>
          </w:pPr>
          <w:hyperlink w:anchor="__RefHeading___Toc283202_581953129">
            <w:r>
              <w:rPr>
                <w:webHidden/>
                <w:rStyle w:val="IndexLink"/>
                <w:rtl w:val="true"/>
              </w:rPr>
              <w:t>العلم الدّینی بالمعنی الأعمّ</w:t>
            </w:r>
            <w:r>
              <w:rPr>
                <w:rStyle w:val="IndexLink"/>
                <w:rtl w:val="true"/>
              </w:rPr>
              <w:tab/>
            </w:r>
            <w:r>
              <w:rPr>
                <w:rStyle w:val="IndexLink"/>
              </w:rPr>
              <w:t>74</w:t>
            </w:r>
          </w:hyperlink>
        </w:p>
        <w:p>
          <w:pPr>
            <w:pStyle w:val="Contents3"/>
            <w:tabs>
              <w:tab w:val="clear" w:pos="8459"/>
              <w:tab w:val="right" w:pos="9026" w:leader="dot"/>
            </w:tabs>
            <w:rPr/>
          </w:pPr>
          <w:hyperlink w:anchor="__RefHeading___Toc283204_581953129">
            <w:r>
              <w:rPr>
                <w:webHidden/>
                <w:rStyle w:val="IndexLink"/>
                <w:rtl w:val="true"/>
              </w:rPr>
              <w:t>بیان إمکان العلم الدّینی العامّ</w:t>
            </w:r>
            <w:r>
              <w:rPr>
                <w:rStyle w:val="IndexLink"/>
                <w:rtl w:val="true"/>
              </w:rPr>
              <w:tab/>
            </w:r>
            <w:r>
              <w:rPr>
                <w:rStyle w:val="IndexLink"/>
              </w:rPr>
              <w:t>75</w:t>
            </w:r>
          </w:hyperlink>
        </w:p>
        <w:p>
          <w:pPr>
            <w:pStyle w:val="Contents3"/>
            <w:tabs>
              <w:tab w:val="clear" w:pos="8459"/>
              <w:tab w:val="right" w:pos="9026" w:leader="dot"/>
            </w:tabs>
            <w:rPr/>
          </w:pPr>
          <w:hyperlink w:anchor="__RefHeading___Toc283206_581953129">
            <w:r>
              <w:rPr>
                <w:webHidden/>
                <w:rStyle w:val="IndexLink"/>
                <w:rtl w:val="true"/>
              </w:rPr>
              <w:t>برهان حول إمکان العلم الدّینی</w:t>
            </w:r>
            <w:r>
              <w:rPr>
                <w:rStyle w:val="IndexLink"/>
                <w:rtl w:val="true"/>
              </w:rPr>
              <w:tab/>
            </w:r>
            <w:r>
              <w:rPr>
                <w:rStyle w:val="IndexLink"/>
              </w:rPr>
              <w:t>76</w:t>
            </w:r>
          </w:hyperlink>
        </w:p>
        <w:p>
          <w:pPr>
            <w:pStyle w:val="Contents3"/>
            <w:tabs>
              <w:tab w:val="clear" w:pos="8459"/>
              <w:tab w:val="right" w:pos="9026" w:leader="dot"/>
            </w:tabs>
            <w:rPr/>
          </w:pPr>
          <w:hyperlink w:anchor="__RefHeading___Toc283208_581953129">
            <w:r>
              <w:rPr>
                <w:webHidden/>
                <w:rStyle w:val="IndexLink"/>
                <w:rtl w:val="true"/>
              </w:rPr>
              <w:t>أسلوب استخراج العلم الدّینی العامّ من الدّین</w:t>
            </w:r>
            <w:r>
              <w:rPr>
                <w:rStyle w:val="IndexLink"/>
                <w:rtl w:val="true"/>
              </w:rPr>
              <w:tab/>
            </w:r>
            <w:r>
              <w:rPr>
                <w:rStyle w:val="IndexLink"/>
              </w:rPr>
              <w:t>77</w:t>
            </w:r>
          </w:hyperlink>
        </w:p>
        <w:p>
          <w:pPr>
            <w:pStyle w:val="Contents3"/>
            <w:tabs>
              <w:tab w:val="clear" w:pos="8459"/>
              <w:tab w:val="right" w:pos="9026" w:leader="dot"/>
            </w:tabs>
            <w:rPr/>
          </w:pPr>
          <w:hyperlink w:anchor="__RefHeading___Toc283210_581953129">
            <w:r>
              <w:rPr>
                <w:webHidden/>
                <w:rStyle w:val="IndexLink"/>
                <w:rtl w:val="true"/>
              </w:rPr>
              <w:t>نظریة امتناع تجرید الحسیّات عن الأمور العقلیّة</w:t>
            </w:r>
            <w:r>
              <w:rPr>
                <w:rStyle w:val="IndexLink"/>
                <w:rtl w:val="true"/>
              </w:rPr>
              <w:tab/>
            </w:r>
            <w:r>
              <w:rPr>
                <w:rStyle w:val="IndexLink"/>
              </w:rPr>
              <w:t>79</w:t>
            </w:r>
          </w:hyperlink>
        </w:p>
        <w:p>
          <w:pPr>
            <w:pStyle w:val="Contents3"/>
            <w:tabs>
              <w:tab w:val="clear" w:pos="8459"/>
              <w:tab w:val="right" w:pos="9026" w:leader="dot"/>
            </w:tabs>
            <w:rPr/>
          </w:pPr>
          <w:hyperlink w:anchor="__RefHeading___Toc283212_581953129">
            <w:r>
              <w:rPr>
                <w:webHidden/>
                <w:rStyle w:val="IndexLink"/>
                <w:rtl w:val="true"/>
              </w:rPr>
              <w:t>التتمّة الأولی</w:t>
            </w:r>
            <w:r>
              <w:rPr>
                <w:rStyle w:val="IndexLink"/>
                <w:rtl w:val="true"/>
              </w:rPr>
              <w:t xml:space="preserve">: </w:t>
            </w:r>
            <w:r>
              <w:rPr>
                <w:rStyle w:val="IndexLink"/>
                <w:rtl w:val="true"/>
              </w:rPr>
              <w:t>التّجرید عن النّظریّة</w:t>
            </w:r>
            <w:r>
              <w:rPr>
                <w:rStyle w:val="IndexLink"/>
                <w:rtl w:val="true"/>
              </w:rPr>
              <w:tab/>
            </w:r>
            <w:r>
              <w:rPr>
                <w:rStyle w:val="IndexLink"/>
              </w:rPr>
              <w:t>79</w:t>
            </w:r>
          </w:hyperlink>
        </w:p>
        <w:p>
          <w:pPr>
            <w:pStyle w:val="Contents4"/>
            <w:tabs>
              <w:tab w:val="clear" w:pos="8176"/>
              <w:tab w:val="right" w:pos="9026" w:leader="dot"/>
            </w:tabs>
            <w:rPr/>
          </w:pPr>
          <w:hyperlink w:anchor="__RefHeading___Toc283214_58195312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83216_581953129">
            <w:r>
              <w:rPr>
                <w:webHidden/>
                <w:rStyle w:val="IndexLink"/>
                <w:rtl w:val="true"/>
              </w:rPr>
              <w:t>حلّ مسألة التجرید عن النّظریّة</w:t>
            </w:r>
            <w:r>
              <w:rPr>
                <w:rStyle w:val="IndexLink"/>
                <w:rtl w:val="true"/>
              </w:rPr>
              <w:tab/>
            </w:r>
            <w:r>
              <w:rPr>
                <w:rStyle w:val="IndexLink"/>
              </w:rPr>
              <w:t>80</w:t>
            </w:r>
          </w:hyperlink>
        </w:p>
        <w:p>
          <w:pPr>
            <w:pStyle w:val="Contents4"/>
            <w:tabs>
              <w:tab w:val="clear" w:pos="8176"/>
              <w:tab w:val="right" w:pos="9026" w:leader="dot"/>
            </w:tabs>
            <w:rPr/>
          </w:pPr>
          <w:hyperlink w:anchor="__RefHeading___Toc283218_581953129">
            <w:r>
              <w:rPr>
                <w:webHidden/>
                <w:rStyle w:val="IndexLink"/>
                <w:rtl w:val="true"/>
              </w:rPr>
              <w:t>القضایا العمومیّة والأساس والموجّهة</w:t>
            </w:r>
            <w:r>
              <w:rPr>
                <w:rStyle w:val="IndexLink"/>
                <w:rtl w:val="true"/>
              </w:rPr>
              <w:tab/>
            </w:r>
            <w:r>
              <w:rPr>
                <w:rStyle w:val="IndexLink"/>
              </w:rPr>
              <w:t>81</w:t>
            </w:r>
          </w:hyperlink>
        </w:p>
        <w:p>
          <w:pPr>
            <w:pStyle w:val="Contents3"/>
            <w:tabs>
              <w:tab w:val="clear" w:pos="8459"/>
              <w:tab w:val="right" w:pos="9026" w:leader="dot"/>
            </w:tabs>
            <w:rPr/>
          </w:pPr>
          <w:hyperlink w:anchor="__RefHeading___Toc283220_581953129">
            <w:r>
              <w:rPr>
                <w:webHidden/>
                <w:rStyle w:val="IndexLink"/>
                <w:rtl w:val="true"/>
              </w:rPr>
              <w:t>التتمّة الثّانیة</w:t>
            </w:r>
            <w:r>
              <w:rPr>
                <w:rStyle w:val="IndexLink"/>
                <w:rtl w:val="true"/>
              </w:rPr>
              <w:t xml:space="preserve">: </w:t>
            </w:r>
            <w:r>
              <w:rPr>
                <w:rStyle w:val="IndexLink"/>
                <w:rtl w:val="true"/>
              </w:rPr>
              <w:t>خصائص العلم الدّینی</w:t>
            </w:r>
            <w:r>
              <w:rPr>
                <w:rStyle w:val="IndexLink"/>
                <w:rtl w:val="true"/>
              </w:rPr>
              <w:tab/>
            </w:r>
            <w:r>
              <w:rPr>
                <w:rStyle w:val="IndexLink"/>
              </w:rPr>
              <w:t>81</w:t>
            </w:r>
          </w:hyperlink>
        </w:p>
        <w:p>
          <w:pPr>
            <w:pStyle w:val="Contents3"/>
            <w:tabs>
              <w:tab w:val="clear" w:pos="8459"/>
              <w:tab w:val="right" w:pos="9026" w:leader="dot"/>
            </w:tabs>
            <w:rPr/>
          </w:pPr>
          <w:hyperlink w:anchor="__RefHeading___Toc283222_581953129">
            <w:r>
              <w:rPr>
                <w:webHidden/>
                <w:rStyle w:val="IndexLink"/>
                <w:rtl w:val="true"/>
              </w:rPr>
              <w:t>التتمّة الثّالثة</w:t>
            </w:r>
            <w:r>
              <w:rPr>
                <w:rStyle w:val="IndexLink"/>
                <w:rtl w:val="true"/>
              </w:rPr>
              <w:t xml:space="preserve">: </w:t>
            </w:r>
            <w:r>
              <w:rPr>
                <w:rStyle w:val="IndexLink"/>
                <w:rtl w:val="true"/>
              </w:rPr>
              <w:t>مراتب المعانی فی العلم الدّینی</w:t>
            </w:r>
            <w:r>
              <w:rPr>
                <w:rStyle w:val="IndexLink"/>
                <w:rtl w:val="true"/>
              </w:rPr>
              <w:tab/>
            </w:r>
            <w:r>
              <w:rPr>
                <w:rStyle w:val="IndexLink"/>
              </w:rPr>
              <w:t>82</w:t>
            </w:r>
          </w:hyperlink>
        </w:p>
        <w:p>
          <w:pPr>
            <w:pStyle w:val="Contents2"/>
            <w:tabs>
              <w:tab w:val="clear" w:pos="8743"/>
              <w:tab w:val="right" w:pos="9026" w:leader="dot"/>
            </w:tabs>
            <w:rPr/>
          </w:pPr>
          <w:hyperlink w:anchor="__RefHeading___Toc283224_581953129">
            <w:r>
              <w:rPr>
                <w:webHidden/>
                <w:rStyle w:val="IndexLink"/>
                <w:rtl w:val="true"/>
              </w:rPr>
              <w:t>مراجعة لرأی الدّکتور مهدی کلشنی بخصوص العلم الدّینی</w:t>
            </w:r>
            <w:r>
              <w:rPr>
                <w:rStyle w:val="IndexLink"/>
                <w:rtl w:val="true"/>
              </w:rPr>
              <w:tab/>
            </w:r>
            <w:r>
              <w:rPr>
                <w:rStyle w:val="IndexLink"/>
              </w:rPr>
              <w:t>88</w:t>
            </w:r>
          </w:hyperlink>
        </w:p>
        <w:p>
          <w:pPr>
            <w:pStyle w:val="Contents3"/>
            <w:tabs>
              <w:tab w:val="clear" w:pos="8459"/>
              <w:tab w:val="right" w:pos="9026" w:leader="dot"/>
            </w:tabs>
            <w:rPr/>
          </w:pPr>
          <w:hyperlink w:anchor="__RefHeading___Toc283226_581953129">
            <w:r>
              <w:rPr>
                <w:webHidden/>
                <w:rStyle w:val="IndexLink"/>
                <w:rtl w:val="true"/>
              </w:rPr>
              <w:t>إشارة</w:t>
            </w:r>
            <w:r>
              <w:rPr>
                <w:rStyle w:val="IndexLink"/>
                <w:rtl w:val="true"/>
              </w:rPr>
              <w:tab/>
            </w:r>
            <w:r>
              <w:rPr>
                <w:rStyle w:val="IndexLink"/>
              </w:rPr>
              <w:t>88</w:t>
            </w:r>
          </w:hyperlink>
        </w:p>
        <w:p>
          <w:pPr>
            <w:pStyle w:val="Contents3"/>
            <w:tabs>
              <w:tab w:val="clear" w:pos="8459"/>
              <w:tab w:val="right" w:pos="9026" w:leader="dot"/>
            </w:tabs>
            <w:rPr/>
          </w:pPr>
          <w:hyperlink w:anchor="__RefHeading___Toc283228_581953129">
            <w:r>
              <w:rPr>
                <w:webHidden/>
                <w:rStyle w:val="IndexLink"/>
                <w:rtl w:val="true"/>
              </w:rPr>
              <w:t>سابقة البحث فی العلم الدّینی</w:t>
            </w:r>
            <w:r>
              <w:rPr>
                <w:rStyle w:val="IndexLink"/>
                <w:rtl w:val="true"/>
              </w:rPr>
              <w:tab/>
            </w:r>
            <w:r>
              <w:rPr>
                <w:rStyle w:val="IndexLink"/>
              </w:rPr>
              <w:t>88</w:t>
            </w:r>
          </w:hyperlink>
        </w:p>
        <w:p>
          <w:pPr>
            <w:pStyle w:val="Contents3"/>
            <w:tabs>
              <w:tab w:val="clear" w:pos="8459"/>
              <w:tab w:val="right" w:pos="9026" w:leader="dot"/>
            </w:tabs>
            <w:rPr/>
          </w:pPr>
          <w:hyperlink w:anchor="__RefHeading___Toc283230_581953129">
            <w:r>
              <w:rPr>
                <w:webHidden/>
                <w:rStyle w:val="IndexLink"/>
                <w:rtl w:val="true"/>
              </w:rPr>
              <w:t>نقد وتقیّیم إجمالی لآراء المعارضین</w:t>
            </w:r>
            <w:r>
              <w:rPr>
                <w:rStyle w:val="IndexLink"/>
                <w:rtl w:val="true"/>
              </w:rPr>
              <w:tab/>
            </w:r>
            <w:r>
              <w:rPr>
                <w:rStyle w:val="IndexLink"/>
              </w:rPr>
              <w:t>90</w:t>
            </w:r>
          </w:hyperlink>
        </w:p>
        <w:p>
          <w:pPr>
            <w:pStyle w:val="Contents3"/>
            <w:tabs>
              <w:tab w:val="clear" w:pos="8459"/>
              <w:tab w:val="right" w:pos="9026" w:leader="dot"/>
            </w:tabs>
            <w:rPr/>
          </w:pPr>
          <w:hyperlink w:anchor="__RefHeading___Toc283232_581953129">
            <w:r>
              <w:rPr>
                <w:webHidden/>
                <w:rStyle w:val="IndexLink"/>
                <w:rtl w:val="true"/>
              </w:rPr>
              <w:t>الاستیعاب الصّحیح للعلم الدّینی</w:t>
            </w:r>
            <w:r>
              <w:rPr>
                <w:rStyle w:val="IndexLink"/>
                <w:rtl w:val="true"/>
              </w:rPr>
              <w:tab/>
            </w:r>
            <w:r>
              <w:rPr>
                <w:rStyle w:val="IndexLink"/>
              </w:rPr>
              <w:t>90</w:t>
            </w:r>
          </w:hyperlink>
        </w:p>
        <w:p>
          <w:pPr>
            <w:pStyle w:val="Contents3"/>
            <w:tabs>
              <w:tab w:val="clear" w:pos="8459"/>
              <w:tab w:val="right" w:pos="9026" w:leader="dot"/>
            </w:tabs>
            <w:rPr/>
          </w:pPr>
          <w:hyperlink w:anchor="__RefHeading___Toc283234_581953129">
            <w:r>
              <w:rPr>
                <w:webHidden/>
                <w:rStyle w:val="IndexLink"/>
                <w:rtl w:val="true"/>
              </w:rPr>
              <w:t>تأثیر الاتّجاهات الدّینیة والفلسفیّة للعلماء علی الفعّالیّات العلمیّة</w:t>
            </w:r>
            <w:r>
              <w:rPr>
                <w:rStyle w:val="IndexLink"/>
                <w:rtl w:val="true"/>
              </w:rPr>
              <w:tab/>
            </w:r>
            <w:r>
              <w:rPr>
                <w:rStyle w:val="IndexLink"/>
              </w:rPr>
              <w:t>91</w:t>
            </w:r>
          </w:hyperlink>
        </w:p>
        <w:p>
          <w:pPr>
            <w:pStyle w:val="Contents4"/>
            <w:tabs>
              <w:tab w:val="clear" w:pos="8176"/>
              <w:tab w:val="right" w:pos="9026" w:leader="dot"/>
            </w:tabs>
            <w:rPr/>
          </w:pPr>
          <w:hyperlink w:anchor="__RefHeading___Toc283236_581953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83238_581953129">
            <w:r>
              <w:rPr>
                <w:webHidden/>
                <w:rStyle w:val="IndexLink"/>
                <w:rtl w:val="true"/>
              </w:rPr>
              <w:t>أ</w:t>
            </w:r>
            <w:r>
              <w:rPr>
                <w:rStyle w:val="IndexLink"/>
                <w:rtl w:val="true"/>
              </w:rPr>
              <w:t xml:space="preserve">) </w:t>
            </w:r>
            <w:r>
              <w:rPr>
                <w:rStyle w:val="IndexLink"/>
                <w:rtl w:val="true"/>
              </w:rPr>
              <w:t>بواعث العلماء للقیام بالفعّالیّات العلمیّة واختیار المسائل</w:t>
            </w:r>
            <w:r>
              <w:rPr>
                <w:rStyle w:val="IndexLink"/>
                <w:rtl w:val="true"/>
              </w:rPr>
              <w:tab/>
            </w:r>
            <w:r>
              <w:rPr>
                <w:rStyle w:val="IndexLink"/>
              </w:rPr>
              <w:t>91</w:t>
            </w:r>
          </w:hyperlink>
        </w:p>
        <w:p>
          <w:pPr>
            <w:pStyle w:val="Contents4"/>
            <w:tabs>
              <w:tab w:val="clear" w:pos="8176"/>
              <w:tab w:val="right" w:pos="9026" w:leader="dot"/>
            </w:tabs>
            <w:rPr/>
          </w:pPr>
          <w:hyperlink w:anchor="__RefHeading___Toc283240_581953129">
            <w:r>
              <w:rPr>
                <w:webHidden/>
                <w:rStyle w:val="IndexLink"/>
                <w:rtl w:val="true"/>
              </w:rPr>
              <w:t>ب</w:t>
            </w:r>
            <w:r>
              <w:rPr>
                <w:rStyle w:val="IndexLink"/>
                <w:rtl w:val="true"/>
              </w:rPr>
              <w:t xml:space="preserve">) </w:t>
            </w:r>
            <w:r>
              <w:rPr>
                <w:rStyle w:val="IndexLink"/>
                <w:rtl w:val="true"/>
              </w:rPr>
              <w:t>دور مقدّمات العلماء فی الفعّالیّات العلمیّة</w:t>
            </w:r>
            <w:r>
              <w:rPr>
                <w:rStyle w:val="IndexLink"/>
                <w:rtl w:val="true"/>
              </w:rPr>
              <w:tab/>
            </w:r>
            <w:r>
              <w:rPr>
                <w:rStyle w:val="IndexLink"/>
              </w:rPr>
              <w:t>92</w:t>
            </w:r>
          </w:hyperlink>
        </w:p>
        <w:p>
          <w:pPr>
            <w:pStyle w:val="Contents4"/>
            <w:tabs>
              <w:tab w:val="clear" w:pos="8176"/>
              <w:tab w:val="right" w:pos="9026" w:leader="dot"/>
            </w:tabs>
            <w:rPr/>
          </w:pPr>
          <w:hyperlink w:anchor="__RefHeading___Toc283242_581953129">
            <w:r>
              <w:rPr>
                <w:webHidden/>
                <w:rStyle w:val="IndexLink"/>
                <w:rtl w:val="true"/>
              </w:rPr>
              <w:t>ج</w:t>
            </w:r>
            <w:r>
              <w:rPr>
                <w:rStyle w:val="IndexLink"/>
                <w:rtl w:val="true"/>
              </w:rPr>
              <w:t xml:space="preserve">) </w:t>
            </w:r>
            <w:r>
              <w:rPr>
                <w:rStyle w:val="IndexLink"/>
                <w:rtl w:val="true"/>
              </w:rPr>
              <w:t>دور وأثر مقدّمات العلماء فی اختیار التّجربة والکشوفات</w:t>
            </w:r>
            <w:r>
              <w:rPr>
                <w:rStyle w:val="IndexLink"/>
                <w:rtl w:val="true"/>
              </w:rPr>
              <w:tab/>
            </w:r>
            <w:r>
              <w:rPr>
                <w:rStyle w:val="IndexLink"/>
              </w:rPr>
              <w:t>93</w:t>
            </w:r>
          </w:hyperlink>
        </w:p>
        <w:p>
          <w:pPr>
            <w:pStyle w:val="Contents4"/>
            <w:tabs>
              <w:tab w:val="clear" w:pos="8176"/>
              <w:tab w:val="right" w:pos="9026" w:leader="dot"/>
            </w:tabs>
            <w:rPr/>
          </w:pPr>
          <w:hyperlink w:anchor="__RefHeading___Toc283244_581953129">
            <w:r>
              <w:rPr>
                <w:webHidden/>
                <w:rStyle w:val="IndexLink"/>
                <w:rtl w:val="true"/>
              </w:rPr>
              <w:t>د</w:t>
            </w:r>
            <w:r>
              <w:rPr>
                <w:rStyle w:val="IndexLink"/>
                <w:rtl w:val="true"/>
              </w:rPr>
              <w:t xml:space="preserve">) </w:t>
            </w:r>
            <w:r>
              <w:rPr>
                <w:rStyle w:val="IndexLink"/>
                <w:rtl w:val="true"/>
              </w:rPr>
              <w:t>دور مقدّمات العلماء فی التّنظیر العلمی</w:t>
            </w:r>
            <w:r>
              <w:rPr>
                <w:rStyle w:val="IndexLink"/>
                <w:rtl w:val="true"/>
              </w:rPr>
              <w:tab/>
            </w:r>
            <w:r>
              <w:rPr>
                <w:rStyle w:val="IndexLink"/>
              </w:rPr>
              <w:t>93</w:t>
            </w:r>
          </w:hyperlink>
        </w:p>
        <w:p>
          <w:pPr>
            <w:pStyle w:val="Contents4"/>
            <w:tabs>
              <w:tab w:val="clear" w:pos="8176"/>
              <w:tab w:val="right" w:pos="9026" w:leader="dot"/>
            </w:tabs>
            <w:rPr/>
          </w:pPr>
          <w:hyperlink w:anchor="__RefHeading___Toc283246_581953129">
            <w:r>
              <w:rPr>
                <w:webHidden/>
                <w:rStyle w:val="IndexLink"/>
                <w:rtl w:val="true"/>
              </w:rPr>
              <w:t>ه</w:t>
            </w:r>
            <w:r>
              <w:rPr>
                <w:rStyle w:val="IndexLink"/>
                <w:rtl w:val="true"/>
              </w:rPr>
              <w:t xml:space="preserve">-) </w:t>
            </w:r>
            <w:r>
              <w:rPr>
                <w:rStyle w:val="IndexLink"/>
                <w:rtl w:val="true"/>
              </w:rPr>
              <w:t>دور مقدّمات العلماء فی اختیار معاییر تقیّیم ونقد النّظریّات العلمیّة</w:t>
            </w:r>
            <w:r>
              <w:rPr>
                <w:rStyle w:val="IndexLink"/>
                <w:rtl w:val="true"/>
              </w:rPr>
              <w:tab/>
            </w:r>
            <w:r>
              <w:rPr>
                <w:rStyle w:val="IndexLink"/>
              </w:rPr>
              <w:t>94</w:t>
            </w:r>
          </w:hyperlink>
        </w:p>
        <w:p>
          <w:pPr>
            <w:pStyle w:val="Contents4"/>
            <w:tabs>
              <w:tab w:val="clear" w:pos="8176"/>
              <w:tab w:val="right" w:pos="9026" w:leader="dot"/>
            </w:tabs>
            <w:rPr/>
          </w:pPr>
          <w:hyperlink w:anchor="__RefHeading___Toc283248_581953129">
            <w:r>
              <w:rPr>
                <w:webHidden/>
                <w:rStyle w:val="IndexLink"/>
                <w:rtl w:val="true"/>
              </w:rPr>
              <w:t>و</w:t>
            </w:r>
            <w:r>
              <w:rPr>
                <w:rStyle w:val="IndexLink"/>
                <w:rtl w:val="true"/>
              </w:rPr>
              <w:t xml:space="preserve">) </w:t>
            </w:r>
            <w:r>
              <w:rPr>
                <w:rStyle w:val="IndexLink"/>
                <w:rtl w:val="true"/>
              </w:rPr>
              <w:t>دور الأسس المیتافیزیّة فی عرض النّظریّات العلمیّة</w:t>
            </w:r>
            <w:r>
              <w:rPr>
                <w:rStyle w:val="IndexLink"/>
                <w:rtl w:val="true"/>
              </w:rPr>
              <w:tab/>
            </w:r>
            <w:r>
              <w:rPr>
                <w:rStyle w:val="IndexLink"/>
              </w:rPr>
              <w:t>95</w:t>
            </w:r>
          </w:hyperlink>
        </w:p>
        <w:p>
          <w:pPr>
            <w:pStyle w:val="Contents4"/>
            <w:tabs>
              <w:tab w:val="clear" w:pos="8176"/>
              <w:tab w:val="right" w:pos="9026" w:leader="dot"/>
            </w:tabs>
            <w:rPr/>
          </w:pPr>
          <w:hyperlink w:anchor="__RefHeading___Toc283250_581953129">
            <w:r>
              <w:rPr>
                <w:webHidden/>
                <w:rStyle w:val="IndexLink"/>
                <w:rtl w:val="true"/>
              </w:rPr>
              <w:t>ز</w:t>
            </w:r>
            <w:r>
              <w:rPr>
                <w:rStyle w:val="IndexLink"/>
                <w:rtl w:val="true"/>
              </w:rPr>
              <w:t xml:space="preserve">) </w:t>
            </w:r>
            <w:r>
              <w:rPr>
                <w:rStyle w:val="IndexLink"/>
                <w:rtl w:val="true"/>
              </w:rPr>
              <w:t>دور الرّؤیة الکونیّة فی توجیه استخدامات العلم</w:t>
            </w:r>
            <w:r>
              <w:rPr>
                <w:rStyle w:val="IndexLink"/>
                <w:rtl w:val="true"/>
              </w:rPr>
              <w:tab/>
            </w:r>
            <w:r>
              <w:rPr>
                <w:rStyle w:val="IndexLink"/>
              </w:rPr>
              <w:t>97</w:t>
            </w:r>
          </w:hyperlink>
        </w:p>
        <w:p>
          <w:pPr>
            <w:pStyle w:val="Contents3"/>
            <w:tabs>
              <w:tab w:val="clear" w:pos="8459"/>
              <w:tab w:val="right" w:pos="9026" w:leader="dot"/>
            </w:tabs>
            <w:rPr/>
          </w:pPr>
          <w:hyperlink w:anchor="__RefHeading___Toc283252_581953129">
            <w:r>
              <w:rPr>
                <w:webHidden/>
                <w:rStyle w:val="IndexLink"/>
                <w:rtl w:val="true"/>
              </w:rPr>
              <w:t>تحقّق العلم الدّینی علی مدی تأریخ الحضارة الإسلامیّة</w:t>
            </w:r>
            <w:r>
              <w:rPr>
                <w:rStyle w:val="IndexLink"/>
                <w:rtl w:val="true"/>
              </w:rPr>
              <w:tab/>
            </w:r>
            <w:r>
              <w:rPr>
                <w:rStyle w:val="IndexLink"/>
              </w:rPr>
              <w:t>97</w:t>
            </w:r>
          </w:hyperlink>
        </w:p>
        <w:p>
          <w:pPr>
            <w:pStyle w:val="Contents3"/>
            <w:tabs>
              <w:tab w:val="clear" w:pos="8459"/>
              <w:tab w:val="right" w:pos="9026" w:leader="dot"/>
            </w:tabs>
            <w:rPr/>
          </w:pPr>
          <w:hyperlink w:anchor="__RefHeading___Toc283254_581953129">
            <w:r>
              <w:rPr>
                <w:webHidden/>
                <w:rStyle w:val="IndexLink"/>
                <w:rtl w:val="true"/>
              </w:rPr>
              <w:t>اختلاف العلوم الإنسانیّة والعلوم الطّبیعیّة</w:t>
            </w:r>
            <w:r>
              <w:rPr>
                <w:rStyle w:val="IndexLink"/>
                <w:rtl w:val="true"/>
              </w:rPr>
              <w:tab/>
            </w:r>
            <w:r>
              <w:rPr>
                <w:rStyle w:val="IndexLink"/>
              </w:rPr>
              <w:t>98</w:t>
            </w:r>
          </w:hyperlink>
        </w:p>
        <w:p>
          <w:pPr>
            <w:pStyle w:val="Contents4"/>
            <w:tabs>
              <w:tab w:val="clear" w:pos="8176"/>
              <w:tab w:val="right" w:pos="9026" w:leader="dot"/>
            </w:tabs>
            <w:rPr/>
          </w:pPr>
          <w:hyperlink w:anchor="__RefHeading___Toc283256_581953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83258_581953129">
            <w:r>
              <w:rPr>
                <w:webHidden/>
                <w:rStyle w:val="IndexLink"/>
                <w:rtl w:val="true"/>
              </w:rPr>
              <w:t>الملاحظات</w:t>
            </w:r>
            <w:r>
              <w:rPr>
                <w:rStyle w:val="IndexLink"/>
                <w:rtl w:val="true"/>
              </w:rPr>
              <w:tab/>
            </w:r>
            <w:r>
              <w:rPr>
                <w:rStyle w:val="IndexLink"/>
              </w:rPr>
              <w:t>98</w:t>
            </w:r>
          </w:hyperlink>
        </w:p>
        <w:p>
          <w:pPr>
            <w:pStyle w:val="Contents2"/>
            <w:tabs>
              <w:tab w:val="clear" w:pos="8743"/>
              <w:tab w:val="right" w:pos="9026" w:leader="dot"/>
            </w:tabs>
            <w:rPr/>
          </w:pPr>
          <w:hyperlink w:anchor="__RefHeading___Toc283260_581953129">
            <w:r>
              <w:rPr>
                <w:webHidden/>
                <w:rStyle w:val="IndexLink"/>
                <w:rtl w:val="true"/>
              </w:rPr>
              <w:t>النّموذج التّأسیسیّ للعلم الدّینی فی رأی الدّکتور خسرو باقری</w:t>
            </w:r>
            <w:r>
              <w:rPr>
                <w:rStyle w:val="IndexLink"/>
                <w:rtl w:val="true"/>
              </w:rPr>
              <w:tab/>
            </w:r>
            <w:r>
              <w:rPr>
                <w:rStyle w:val="IndexLink"/>
              </w:rPr>
              <w:t>103</w:t>
            </w:r>
          </w:hyperlink>
        </w:p>
        <w:p>
          <w:pPr>
            <w:pStyle w:val="Contents3"/>
            <w:tabs>
              <w:tab w:val="clear" w:pos="8459"/>
              <w:tab w:val="right" w:pos="9026" w:leader="dot"/>
            </w:tabs>
            <w:rPr/>
          </w:pPr>
          <w:hyperlink w:anchor="__RefHeading___Toc283262_581953129">
            <w:r>
              <w:rPr>
                <w:webHidden/>
                <w:rStyle w:val="IndexLink"/>
                <w:rtl w:val="true"/>
              </w:rPr>
              <w:t>إشارة</w:t>
            </w:r>
            <w:r>
              <w:rPr>
                <w:rStyle w:val="IndexLink"/>
                <w:rtl w:val="true"/>
              </w:rPr>
              <w:tab/>
            </w:r>
            <w:r>
              <w:rPr>
                <w:rStyle w:val="IndexLink"/>
              </w:rPr>
              <w:t>103</w:t>
            </w:r>
          </w:hyperlink>
        </w:p>
        <w:p>
          <w:pPr>
            <w:pStyle w:val="Contents3"/>
            <w:tabs>
              <w:tab w:val="clear" w:pos="8459"/>
              <w:tab w:val="right" w:pos="9026" w:leader="dot"/>
            </w:tabs>
            <w:rPr/>
          </w:pPr>
          <w:hyperlink w:anchor="__RefHeading___Toc283264_581953129">
            <w:r>
              <w:rPr>
                <w:webHidden/>
                <w:rStyle w:val="IndexLink"/>
                <w:rtl w:val="true"/>
              </w:rPr>
              <w:t>مقدّمة</w:t>
            </w:r>
            <w:r>
              <w:rPr>
                <w:rStyle w:val="IndexLink"/>
                <w:rtl w:val="true"/>
              </w:rPr>
              <w:tab/>
            </w:r>
            <w:r>
              <w:rPr>
                <w:rStyle w:val="IndexLink"/>
              </w:rPr>
              <w:t>103</w:t>
            </w:r>
          </w:hyperlink>
        </w:p>
        <w:p>
          <w:pPr>
            <w:pStyle w:val="Contents3"/>
            <w:tabs>
              <w:tab w:val="clear" w:pos="8459"/>
              <w:tab w:val="right" w:pos="9026" w:leader="dot"/>
            </w:tabs>
            <w:rPr/>
          </w:pPr>
          <w:hyperlink w:anchor="__RefHeading___Toc283266_581953129">
            <w:r>
              <w:rPr>
                <w:webHidden/>
                <w:rStyle w:val="IndexLink"/>
                <w:rtl w:val="true"/>
              </w:rPr>
              <w:t>الآراء الفلسفیّة المطروحة حول العلم</w:t>
            </w:r>
            <w:r>
              <w:rPr>
                <w:rStyle w:val="IndexLink"/>
                <w:rtl w:val="true"/>
              </w:rPr>
              <w:tab/>
            </w:r>
            <w:r>
              <w:rPr>
                <w:rStyle w:val="IndexLink"/>
              </w:rPr>
              <w:t>104</w:t>
            </w:r>
          </w:hyperlink>
        </w:p>
        <w:p>
          <w:pPr>
            <w:pStyle w:val="Contents3"/>
            <w:tabs>
              <w:tab w:val="clear" w:pos="8459"/>
              <w:tab w:val="right" w:pos="9026" w:leader="dot"/>
            </w:tabs>
            <w:rPr/>
          </w:pPr>
          <w:hyperlink w:anchor="__RefHeading___Toc283268_581953129">
            <w:r>
              <w:rPr>
                <w:webHidden/>
                <w:rStyle w:val="IndexLink"/>
                <w:rtl w:val="true"/>
              </w:rPr>
              <w:t>الآراء المطروحة حول هویة الدّین والمعرفة الدّینیّة</w:t>
            </w:r>
            <w:r>
              <w:rPr>
                <w:rStyle w:val="IndexLink"/>
                <w:rtl w:val="true"/>
              </w:rPr>
              <w:tab/>
            </w:r>
            <w:r>
              <w:rPr>
                <w:rStyle w:val="IndexLink"/>
              </w:rPr>
              <w:t>104</w:t>
            </w:r>
          </w:hyperlink>
        </w:p>
        <w:p>
          <w:pPr>
            <w:pStyle w:val="Contents3"/>
            <w:tabs>
              <w:tab w:val="clear" w:pos="8459"/>
              <w:tab w:val="right" w:pos="9026" w:leader="dot"/>
            </w:tabs>
            <w:rPr/>
          </w:pPr>
          <w:hyperlink w:anchor="__RefHeading___Toc283270_581953129">
            <w:r>
              <w:rPr>
                <w:webHidden/>
                <w:rStyle w:val="IndexLink"/>
                <w:rtl w:val="true"/>
              </w:rPr>
              <w:t>هویة العلم الدّینی</w:t>
            </w:r>
            <w:r>
              <w:rPr>
                <w:rStyle w:val="IndexLink"/>
                <w:rtl w:val="true"/>
              </w:rPr>
              <w:tab/>
            </w:r>
            <w:r>
              <w:rPr>
                <w:rStyle w:val="IndexLink"/>
              </w:rPr>
              <w:t>107</w:t>
            </w:r>
          </w:hyperlink>
        </w:p>
        <w:p>
          <w:pPr>
            <w:pStyle w:val="Contents4"/>
            <w:tabs>
              <w:tab w:val="clear" w:pos="8176"/>
              <w:tab w:val="right" w:pos="9026" w:leader="dot"/>
            </w:tabs>
            <w:rPr/>
          </w:pPr>
          <w:hyperlink w:anchor="__RefHeading___Toc283272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83274_581953129">
            <w:r>
              <w:rPr>
                <w:webHidden/>
                <w:rStyle w:val="IndexLink"/>
                <w:rtl w:val="true"/>
              </w:rPr>
              <w:t>معنائیّة العلم الدّینی</w:t>
            </w:r>
            <w:r>
              <w:rPr>
                <w:rStyle w:val="IndexLink"/>
                <w:rtl w:val="true"/>
              </w:rPr>
              <w:tab/>
            </w:r>
            <w:r>
              <w:rPr>
                <w:rStyle w:val="IndexLink"/>
              </w:rPr>
              <w:t>107</w:t>
            </w:r>
          </w:hyperlink>
        </w:p>
        <w:p>
          <w:pPr>
            <w:pStyle w:val="Contents4"/>
            <w:tabs>
              <w:tab w:val="clear" w:pos="8176"/>
              <w:tab w:val="right" w:pos="9026" w:leader="dot"/>
            </w:tabs>
            <w:rPr/>
          </w:pPr>
          <w:hyperlink w:anchor="__RefHeading___Toc283276_581953129">
            <w:r>
              <w:rPr>
                <w:webHidden/>
                <w:rStyle w:val="IndexLink"/>
                <w:rtl w:val="true"/>
              </w:rPr>
              <w:t>النزعة الوحدویّة للمیثولوجیا وعدم معنائیّة العلم الدّینی</w:t>
            </w:r>
            <w:r>
              <w:rPr>
                <w:rStyle w:val="IndexLink"/>
                <w:rtl w:val="true"/>
              </w:rPr>
              <w:tab/>
            </w:r>
            <w:r>
              <w:rPr>
                <w:rStyle w:val="IndexLink"/>
              </w:rPr>
              <w:t>107</w:t>
            </w:r>
          </w:hyperlink>
        </w:p>
        <w:p>
          <w:pPr>
            <w:pStyle w:val="Contents4"/>
            <w:tabs>
              <w:tab w:val="clear" w:pos="8176"/>
              <w:tab w:val="right" w:pos="9026" w:leader="dot"/>
            </w:tabs>
            <w:rPr/>
          </w:pPr>
          <w:hyperlink w:anchor="__RefHeading___Toc283278_581953129">
            <w:r>
              <w:rPr>
                <w:webHidden/>
                <w:rStyle w:val="IndexLink"/>
                <w:rtl w:val="true"/>
              </w:rPr>
              <w:t>التّعدّدیّة التباینیّة وعدم معنائیّة العلم الدّینی</w:t>
            </w:r>
            <w:r>
              <w:rPr>
                <w:rStyle w:val="IndexLink"/>
                <w:rtl w:val="true"/>
              </w:rPr>
              <w:tab/>
            </w:r>
            <w:r>
              <w:rPr>
                <w:rStyle w:val="IndexLink"/>
              </w:rPr>
              <w:t>109</w:t>
            </w:r>
          </w:hyperlink>
        </w:p>
        <w:p>
          <w:pPr>
            <w:pStyle w:val="Contents4"/>
            <w:tabs>
              <w:tab w:val="clear" w:pos="8176"/>
              <w:tab w:val="right" w:pos="9026" w:leader="dot"/>
            </w:tabs>
            <w:rPr/>
          </w:pPr>
          <w:hyperlink w:anchor="__RefHeading___Toc283280_581953129">
            <w:r>
              <w:rPr>
                <w:webHidden/>
                <w:rStyle w:val="IndexLink"/>
                <w:rtl w:val="true"/>
              </w:rPr>
              <w:t>التّعدّدیّة التداخلیّة ومعنائیّة العلم الدّینی</w:t>
            </w:r>
            <w:r>
              <w:rPr>
                <w:rStyle w:val="IndexLink"/>
                <w:rtl w:val="true"/>
              </w:rPr>
              <w:tab/>
            </w:r>
            <w:r>
              <w:rPr>
                <w:rStyle w:val="IndexLink"/>
              </w:rPr>
              <w:t>110</w:t>
            </w:r>
          </w:hyperlink>
        </w:p>
        <w:p>
          <w:pPr>
            <w:pStyle w:val="Contents4"/>
            <w:tabs>
              <w:tab w:val="clear" w:pos="8176"/>
              <w:tab w:val="right" w:pos="9026" w:leader="dot"/>
            </w:tabs>
            <w:rPr/>
          </w:pPr>
          <w:hyperlink w:anchor="__RefHeading___Toc283282_581953129">
            <w:r>
              <w:rPr>
                <w:webHidden/>
                <w:rStyle w:val="IndexLink"/>
                <w:rtl w:val="true"/>
              </w:rPr>
              <w:t>الصّحیح وغیر الصّحیح فی العلم الدّینی</w:t>
            </w:r>
            <w:r>
              <w:rPr>
                <w:rStyle w:val="IndexLink"/>
                <w:rtl w:val="true"/>
              </w:rPr>
              <w:tab/>
            </w:r>
            <w:r>
              <w:rPr>
                <w:rStyle w:val="IndexLink"/>
              </w:rPr>
              <w:t>111</w:t>
            </w:r>
          </w:hyperlink>
        </w:p>
        <w:p>
          <w:pPr>
            <w:pStyle w:val="Contents3"/>
            <w:tabs>
              <w:tab w:val="clear" w:pos="8459"/>
              <w:tab w:val="right" w:pos="9026" w:leader="dot"/>
            </w:tabs>
            <w:rPr/>
          </w:pPr>
          <w:hyperlink w:anchor="__RefHeading___Toc283284_581953129">
            <w:r>
              <w:rPr>
                <w:webHidden/>
                <w:rStyle w:val="IndexLink"/>
                <w:rtl w:val="true"/>
              </w:rPr>
              <w:t>الاتّجاه الإستنباطی</w:t>
            </w:r>
            <w:r>
              <w:rPr>
                <w:rStyle w:val="IndexLink"/>
                <w:rtl w:val="true"/>
              </w:rPr>
              <w:tab/>
            </w:r>
            <w:r>
              <w:rPr>
                <w:rStyle w:val="IndexLink"/>
              </w:rPr>
              <w:t>111</w:t>
            </w:r>
          </w:hyperlink>
        </w:p>
        <w:p>
          <w:pPr>
            <w:pStyle w:val="Contents3"/>
            <w:tabs>
              <w:tab w:val="clear" w:pos="8459"/>
              <w:tab w:val="right" w:pos="9026" w:leader="dot"/>
            </w:tabs>
            <w:rPr/>
          </w:pPr>
          <w:hyperlink w:anchor="__RefHeading___Toc283286_581953129">
            <w:r>
              <w:rPr>
                <w:webHidden/>
                <w:rStyle w:val="IndexLink"/>
                <w:rtl w:val="true"/>
              </w:rPr>
              <w:t>اتّجاه تهذیب واستکمال العلوم الفعلیّة</w:t>
            </w:r>
            <w:r>
              <w:rPr>
                <w:rStyle w:val="IndexLink"/>
                <w:rtl w:val="true"/>
              </w:rPr>
              <w:tab/>
            </w:r>
            <w:r>
              <w:rPr>
                <w:rStyle w:val="IndexLink"/>
              </w:rPr>
              <w:t>112</w:t>
            </w:r>
          </w:hyperlink>
        </w:p>
        <w:p>
          <w:pPr>
            <w:pStyle w:val="Contents3"/>
            <w:tabs>
              <w:tab w:val="clear" w:pos="8459"/>
              <w:tab w:val="right" w:pos="9026" w:leader="dot"/>
            </w:tabs>
            <w:rPr/>
          </w:pPr>
          <w:hyperlink w:anchor="__RefHeading___Toc283288_581953129">
            <w:r>
              <w:rPr>
                <w:webHidden/>
                <w:rStyle w:val="IndexLink"/>
                <w:rtl w:val="true"/>
              </w:rPr>
              <w:t>الاتّجاه التّأسیسیّ فی العلم الدّینی</w:t>
            </w:r>
            <w:r>
              <w:rPr>
                <w:rStyle w:val="IndexLink"/>
                <w:rtl w:val="true"/>
              </w:rPr>
              <w:tab/>
            </w:r>
            <w:r>
              <w:rPr>
                <w:rStyle w:val="IndexLink"/>
              </w:rPr>
              <w:t>114</w:t>
            </w:r>
          </w:hyperlink>
        </w:p>
        <w:p>
          <w:pPr>
            <w:pStyle w:val="Contents3"/>
            <w:tabs>
              <w:tab w:val="clear" w:pos="8459"/>
              <w:tab w:val="right" w:pos="9026" w:leader="dot"/>
            </w:tabs>
            <w:rPr/>
          </w:pPr>
          <w:hyperlink w:anchor="__RefHeading___Toc283290_581953129">
            <w:r>
              <w:rPr>
                <w:webHidden/>
                <w:rStyle w:val="IndexLink"/>
                <w:rtl w:val="true"/>
              </w:rPr>
              <w:t>مبنی العلم المعرّفی للنموذج التأسیسیّ العلم الدّینی</w:t>
            </w:r>
            <w:r>
              <w:rPr>
                <w:rStyle w:val="IndexLink"/>
                <w:rtl w:val="true"/>
              </w:rPr>
              <w:tab/>
            </w:r>
            <w:r>
              <w:rPr>
                <w:rStyle w:val="IndexLink"/>
              </w:rPr>
              <w:t>114</w:t>
            </w:r>
          </w:hyperlink>
        </w:p>
        <w:p>
          <w:pPr>
            <w:pStyle w:val="Contents3"/>
            <w:tabs>
              <w:tab w:val="clear" w:pos="8459"/>
              <w:tab w:val="right" w:pos="9026" w:leader="dot"/>
            </w:tabs>
            <w:rPr/>
          </w:pPr>
          <w:hyperlink w:anchor="__RefHeading___Toc283292_581953129">
            <w:r>
              <w:rPr>
                <w:webHidden/>
                <w:rStyle w:val="IndexLink"/>
                <w:rtl w:val="true"/>
              </w:rPr>
              <w:t>مبنی معرفة الدّین للنموذج التّأسیسی للعلم الدّینی</w:t>
            </w:r>
            <w:r>
              <w:rPr>
                <w:rStyle w:val="IndexLink"/>
                <w:rtl w:val="true"/>
              </w:rPr>
              <w:tab/>
            </w:r>
            <w:r>
              <w:rPr>
                <w:rStyle w:val="IndexLink"/>
              </w:rPr>
              <w:t>115</w:t>
            </w:r>
          </w:hyperlink>
        </w:p>
        <w:p>
          <w:pPr>
            <w:pStyle w:val="Contents3"/>
            <w:tabs>
              <w:tab w:val="clear" w:pos="8459"/>
              <w:tab w:val="right" w:pos="9026" w:leader="dot"/>
            </w:tabs>
            <w:rPr/>
          </w:pPr>
          <w:hyperlink w:anchor="__RefHeading___Toc283294_581953129">
            <w:r>
              <w:rPr>
                <w:webHidden/>
                <w:rStyle w:val="IndexLink"/>
                <w:rtl w:val="true"/>
              </w:rPr>
              <w:t>قابلیّة النّقض فی النّموذج التأسیسیّ للعلم الدّینی</w:t>
            </w:r>
            <w:r>
              <w:rPr>
                <w:rStyle w:val="IndexLink"/>
                <w:rtl w:val="true"/>
              </w:rPr>
              <w:tab/>
            </w:r>
            <w:r>
              <w:rPr>
                <w:rStyle w:val="IndexLink"/>
              </w:rPr>
              <w:t>116</w:t>
            </w:r>
          </w:hyperlink>
        </w:p>
        <w:p>
          <w:pPr>
            <w:pStyle w:val="Contents3"/>
            <w:tabs>
              <w:tab w:val="clear" w:pos="8459"/>
              <w:tab w:val="right" w:pos="9026" w:leader="dot"/>
            </w:tabs>
            <w:rPr/>
          </w:pPr>
          <w:hyperlink w:anchor="__RefHeading___Toc283296_581953129">
            <w:r>
              <w:rPr>
                <w:webHidden/>
                <w:rStyle w:val="IndexLink"/>
                <w:rtl w:val="true"/>
              </w:rPr>
              <w:t>نفی الاتّجاه النّسبی للعلم المعرّفی عن النّموذج التأسیسیّ للعلم الدّینیّ</w:t>
            </w:r>
            <w:r>
              <w:rPr>
                <w:rStyle w:val="IndexLink"/>
                <w:rtl w:val="true"/>
              </w:rPr>
              <w:tab/>
            </w:r>
            <w:r>
              <w:rPr>
                <w:rStyle w:val="IndexLink"/>
              </w:rPr>
              <w:t>117</w:t>
            </w:r>
          </w:hyperlink>
        </w:p>
        <w:p>
          <w:pPr>
            <w:pStyle w:val="Contents3"/>
            <w:tabs>
              <w:tab w:val="clear" w:pos="8459"/>
              <w:tab w:val="right" w:pos="9026" w:leader="dot"/>
            </w:tabs>
            <w:rPr/>
          </w:pPr>
          <w:hyperlink w:anchor="__RefHeading___Toc283298_581953129">
            <w:r>
              <w:rPr>
                <w:webHidden/>
                <w:rStyle w:val="IndexLink"/>
                <w:rtl w:val="true"/>
              </w:rPr>
              <w:t>مقدّمات و مراحل تأسیس العلم الدّینی</w:t>
            </w:r>
            <w:r>
              <w:rPr>
                <w:rStyle w:val="IndexLink"/>
                <w:rtl w:val="true"/>
              </w:rPr>
              <w:tab/>
            </w:r>
            <w:r>
              <w:rPr>
                <w:rStyle w:val="IndexLink"/>
              </w:rPr>
              <w:t>117</w:t>
            </w:r>
          </w:hyperlink>
        </w:p>
        <w:p>
          <w:pPr>
            <w:pStyle w:val="Contents4"/>
            <w:tabs>
              <w:tab w:val="clear" w:pos="8176"/>
              <w:tab w:val="right" w:pos="9026" w:leader="dot"/>
            </w:tabs>
            <w:rPr/>
          </w:pPr>
          <w:hyperlink w:anchor="__RefHeading___Toc283300_581953129">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83302_581953129">
            <w:r>
              <w:rPr>
                <w:webHidden/>
                <w:rStyle w:val="IndexLink"/>
                <w:rtl w:val="true"/>
              </w:rPr>
              <w:t>الملاحظات</w:t>
            </w:r>
            <w:r>
              <w:rPr>
                <w:rStyle w:val="IndexLink"/>
                <w:rtl w:val="true"/>
              </w:rPr>
              <w:tab/>
            </w:r>
            <w:r>
              <w:rPr>
                <w:rStyle w:val="IndexLink"/>
              </w:rPr>
              <w:t>118</w:t>
            </w:r>
          </w:hyperlink>
        </w:p>
        <w:p>
          <w:pPr>
            <w:pStyle w:val="Contents2"/>
            <w:tabs>
              <w:tab w:val="clear" w:pos="8743"/>
              <w:tab w:val="right" w:pos="9026" w:leader="dot"/>
            </w:tabs>
            <w:rPr/>
          </w:pPr>
          <w:hyperlink w:anchor="__RefHeading___Toc283304_581953129">
            <w:r>
              <w:rPr>
                <w:webHidden/>
                <w:rStyle w:val="IndexLink"/>
                <w:rtl w:val="true"/>
              </w:rPr>
              <w:t>المیول وتقییم دینیة العلوم</w:t>
            </w:r>
            <w:r>
              <w:rPr>
                <w:rStyle w:val="IndexLink"/>
                <w:rtl w:val="true"/>
              </w:rPr>
              <w:tab/>
            </w:r>
            <w:r>
              <w:rPr>
                <w:rStyle w:val="IndexLink"/>
              </w:rPr>
              <w:t>121</w:t>
            </w:r>
          </w:hyperlink>
        </w:p>
        <w:p>
          <w:pPr>
            <w:pStyle w:val="Contents3"/>
            <w:tabs>
              <w:tab w:val="clear" w:pos="8459"/>
              <w:tab w:val="right" w:pos="9026" w:leader="dot"/>
            </w:tabs>
            <w:rPr/>
          </w:pPr>
          <w:hyperlink w:anchor="__RefHeading___Toc283306_581953129">
            <w:r>
              <w:rPr>
                <w:webHidden/>
                <w:rStyle w:val="IndexLink"/>
                <w:rtl w:val="true"/>
              </w:rPr>
              <w:t>الدّکتور سعید زیبا کلام</w:t>
            </w:r>
            <w:r>
              <w:rPr>
                <w:rStyle w:val="IndexLink"/>
                <w:rtl w:val="true"/>
              </w:rPr>
              <w:tab/>
            </w:r>
            <w:r>
              <w:rPr>
                <w:rStyle w:val="IndexLink"/>
              </w:rPr>
              <w:t>121</w:t>
            </w:r>
          </w:hyperlink>
        </w:p>
        <w:p>
          <w:pPr>
            <w:pStyle w:val="Contents3"/>
            <w:tabs>
              <w:tab w:val="clear" w:pos="8459"/>
              <w:tab w:val="right" w:pos="9026" w:leader="dot"/>
            </w:tabs>
            <w:rPr/>
          </w:pPr>
          <w:hyperlink w:anchor="__RefHeading___Toc283308_581953129">
            <w:r>
              <w:rPr>
                <w:webHidden/>
                <w:rStyle w:val="IndexLink"/>
                <w:rtl w:val="true"/>
              </w:rPr>
              <w:t>مقدّمة</w:t>
            </w:r>
            <w:r>
              <w:rPr>
                <w:rStyle w:val="IndexLink"/>
                <w:rtl w:val="true"/>
              </w:rPr>
              <w:tab/>
            </w:r>
            <w:r>
              <w:rPr>
                <w:rStyle w:val="IndexLink"/>
              </w:rPr>
              <w:t>121</w:t>
            </w:r>
          </w:hyperlink>
        </w:p>
        <w:p>
          <w:pPr>
            <w:pStyle w:val="Contents3"/>
            <w:tabs>
              <w:tab w:val="clear" w:pos="8459"/>
              <w:tab w:val="right" w:pos="9026" w:leader="dot"/>
            </w:tabs>
            <w:rPr/>
          </w:pPr>
          <w:hyperlink w:anchor="__RefHeading___Toc283310_581953129">
            <w:r>
              <w:rPr>
                <w:webHidden/>
                <w:rStyle w:val="IndexLink"/>
                <w:rtl w:val="true"/>
              </w:rPr>
              <w:t>دور العقائد الثّقافیّة فی تحدید العوامل المؤثّرة فی الظّواهر الطّبیعیّة</w:t>
            </w:r>
            <w:r>
              <w:rPr>
                <w:rStyle w:val="IndexLink"/>
                <w:rtl w:val="true"/>
              </w:rPr>
              <w:tab/>
            </w:r>
            <w:r>
              <w:rPr>
                <w:rStyle w:val="IndexLink"/>
              </w:rPr>
              <w:t>122</w:t>
            </w:r>
          </w:hyperlink>
        </w:p>
        <w:p>
          <w:pPr>
            <w:pStyle w:val="Contents3"/>
            <w:tabs>
              <w:tab w:val="clear" w:pos="8459"/>
              <w:tab w:val="right" w:pos="9026" w:leader="dot"/>
            </w:tabs>
            <w:rPr/>
          </w:pPr>
          <w:hyperlink w:anchor="__RefHeading___Toc283312_581953129">
            <w:r>
              <w:rPr>
                <w:webHidden/>
                <w:rStyle w:val="IndexLink"/>
                <w:rtl w:val="true"/>
              </w:rPr>
              <w:t>دور المیول والطّموحات فی اختبار النّظریّات</w:t>
            </w:r>
            <w:r>
              <w:rPr>
                <w:rStyle w:val="IndexLink"/>
                <w:rtl w:val="true"/>
              </w:rPr>
              <w:tab/>
            </w:r>
            <w:r>
              <w:rPr>
                <w:rStyle w:val="IndexLink"/>
              </w:rPr>
              <w:t>125</w:t>
            </w:r>
          </w:hyperlink>
        </w:p>
        <w:p>
          <w:pPr>
            <w:pStyle w:val="Contents3"/>
            <w:tabs>
              <w:tab w:val="clear" w:pos="8459"/>
              <w:tab w:val="right" w:pos="9026" w:leader="dot"/>
            </w:tabs>
            <w:rPr/>
          </w:pPr>
          <w:hyperlink w:anchor="__RefHeading___Toc283314_581953129">
            <w:r>
              <w:rPr>
                <w:webHidden/>
                <w:rStyle w:val="IndexLink"/>
                <w:rtl w:val="true"/>
              </w:rPr>
              <w:t>دور القیم الدّینیةّ فی المعیار التّمییزی للمعارف</w:t>
            </w:r>
            <w:r>
              <w:rPr>
                <w:rStyle w:val="IndexLink"/>
                <w:rtl w:val="true"/>
              </w:rPr>
              <w:tab/>
            </w:r>
            <w:r>
              <w:rPr>
                <w:rStyle w:val="IndexLink"/>
              </w:rPr>
              <w:t>132</w:t>
            </w:r>
          </w:hyperlink>
        </w:p>
        <w:p>
          <w:pPr>
            <w:pStyle w:val="Contents3"/>
            <w:tabs>
              <w:tab w:val="clear" w:pos="8459"/>
              <w:tab w:val="right" w:pos="9026" w:leader="dot"/>
            </w:tabs>
            <w:rPr/>
          </w:pPr>
          <w:hyperlink w:anchor="__RefHeading___Toc283316_581953129">
            <w:r>
              <w:rPr>
                <w:webHidden/>
                <w:rStyle w:val="IndexLink"/>
                <w:rtl w:val="true"/>
              </w:rPr>
              <w:t>القیم والرّؤی الدّینیة باعتبارها أرکاناً للعلوم الإنسانیّة والإجتماعیّة</w:t>
            </w:r>
            <w:r>
              <w:rPr>
                <w:rStyle w:val="IndexLink"/>
                <w:rtl w:val="true"/>
              </w:rPr>
              <w:tab/>
            </w:r>
            <w:r>
              <w:rPr>
                <w:rStyle w:val="IndexLink"/>
              </w:rPr>
              <w:t>134</w:t>
            </w:r>
          </w:hyperlink>
        </w:p>
        <w:p>
          <w:pPr>
            <w:pStyle w:val="Contents3"/>
            <w:tabs>
              <w:tab w:val="clear" w:pos="8459"/>
              <w:tab w:val="right" w:pos="9026" w:leader="dot"/>
            </w:tabs>
            <w:rPr/>
          </w:pPr>
          <w:hyperlink w:anchor="__RefHeading___Toc283318_581953129">
            <w:r>
              <w:rPr>
                <w:webHidden/>
                <w:rStyle w:val="IndexLink"/>
                <w:rtl w:val="true"/>
              </w:rPr>
              <w:t>القیم والرّؤی الدّینیة، العناصر الضّروریّة للتنظیر فی العلوم الإجتماعیّة</w:t>
            </w:r>
            <w:r>
              <w:rPr>
                <w:rStyle w:val="IndexLink"/>
                <w:rtl w:val="true"/>
              </w:rPr>
              <w:tab/>
            </w:r>
            <w:r>
              <w:rPr>
                <w:rStyle w:val="IndexLink"/>
              </w:rPr>
              <w:t>135</w:t>
            </w:r>
          </w:hyperlink>
        </w:p>
        <w:p>
          <w:pPr>
            <w:pStyle w:val="Contents3"/>
            <w:tabs>
              <w:tab w:val="clear" w:pos="8459"/>
              <w:tab w:val="right" w:pos="9026" w:leader="dot"/>
            </w:tabs>
            <w:rPr/>
          </w:pPr>
          <w:hyperlink w:anchor="__RefHeading___Toc283320_581953129">
            <w:r>
              <w:rPr>
                <w:webHidden/>
                <w:rStyle w:val="IndexLink"/>
                <w:rtl w:val="true"/>
              </w:rPr>
              <w:t>دور القیم والرّؤی الدّینیّة فی تمییز النّطاق الخصوصی والعمومی فی مجال الحقوق</w:t>
            </w:r>
            <w:r>
              <w:rPr>
                <w:rStyle w:val="IndexLink"/>
                <w:rtl w:val="true"/>
              </w:rPr>
              <w:tab/>
            </w:r>
            <w:r>
              <w:rPr>
                <w:rStyle w:val="IndexLink"/>
              </w:rPr>
              <w:t>137</w:t>
            </w:r>
          </w:hyperlink>
        </w:p>
        <w:p>
          <w:pPr>
            <w:pStyle w:val="Contents3"/>
            <w:tabs>
              <w:tab w:val="clear" w:pos="8459"/>
              <w:tab w:val="right" w:pos="9026" w:leader="dot"/>
            </w:tabs>
            <w:rPr/>
          </w:pPr>
          <w:hyperlink w:anchor="__RefHeading___Toc283322_581953129">
            <w:r>
              <w:rPr>
                <w:webHidden/>
                <w:rStyle w:val="IndexLink"/>
                <w:rtl w:val="true"/>
              </w:rPr>
              <w:t>الإجابة عن بعض المعوّقات المطروحة لدور الدّین التّقویمی فی ترکیبة العلوم</w:t>
            </w:r>
            <w:r>
              <w:rPr>
                <w:rStyle w:val="IndexLink"/>
                <w:rtl w:val="true"/>
              </w:rPr>
              <w:tab/>
            </w:r>
            <w:r>
              <w:rPr>
                <w:rStyle w:val="IndexLink"/>
              </w:rPr>
              <w:t>139</w:t>
            </w:r>
          </w:hyperlink>
        </w:p>
        <w:p>
          <w:pPr>
            <w:pStyle w:val="Contents2"/>
            <w:tabs>
              <w:tab w:val="clear" w:pos="8743"/>
              <w:tab w:val="right" w:pos="9026" w:leader="dot"/>
            </w:tabs>
            <w:rPr/>
          </w:pPr>
          <w:hyperlink w:anchor="__RefHeading___Toc283324_581953129">
            <w:r>
              <w:rPr>
                <w:webHidden/>
                <w:rStyle w:val="IndexLink"/>
                <w:rtl w:val="true"/>
              </w:rPr>
              <w:t>المصادر</w:t>
            </w:r>
            <w:r>
              <w:rPr>
                <w:rStyle w:val="IndexLink"/>
                <w:rtl w:val="true"/>
              </w:rPr>
              <w:tab/>
            </w:r>
            <w:r>
              <w:rPr>
                <w:rStyle w:val="IndexLink"/>
              </w:rPr>
              <w:t>142</w:t>
            </w:r>
          </w:hyperlink>
        </w:p>
        <w:p>
          <w:pPr>
            <w:pStyle w:val="Contents3"/>
            <w:tabs>
              <w:tab w:val="clear" w:pos="8459"/>
              <w:tab w:val="right" w:pos="9026" w:leader="dot"/>
            </w:tabs>
            <w:rPr/>
          </w:pPr>
          <w:hyperlink w:anchor="__RefHeading___Toc283326_581953129">
            <w:r>
              <w:rPr>
                <w:webHidden/>
                <w:rStyle w:val="IndexLink"/>
                <w:rtl w:val="true"/>
              </w:rPr>
              <w:t>القرآن الکریم</w:t>
            </w:r>
            <w:r>
              <w:rPr>
                <w:rStyle w:val="IndexLink"/>
                <w:rtl w:val="true"/>
              </w:rPr>
              <w:tab/>
            </w:r>
            <w:r>
              <w:rPr>
                <w:rStyle w:val="IndexLink"/>
              </w:rPr>
              <w:t>142</w:t>
            </w:r>
          </w:hyperlink>
        </w:p>
        <w:p>
          <w:pPr>
            <w:pStyle w:val="Contents3"/>
            <w:tabs>
              <w:tab w:val="clear" w:pos="8459"/>
              <w:tab w:val="right" w:pos="9026" w:leader="dot"/>
            </w:tabs>
            <w:rPr/>
          </w:pPr>
          <w:hyperlink w:anchor="__RefHeading___Toc283328_581953129">
            <w:r>
              <w:rPr>
                <w:webHidden/>
                <w:rStyle w:val="IndexLink"/>
                <w:rtl w:val="true"/>
              </w:rPr>
              <w:t>الملاحظات</w:t>
            </w:r>
            <w:r>
              <w:rPr>
                <w:rStyle w:val="IndexLink"/>
                <w:rtl w:val="true"/>
              </w:rPr>
              <w:tab/>
            </w:r>
            <w:r>
              <w:rPr>
                <w:rStyle w:val="IndexLink"/>
              </w:rPr>
              <w:t>142</w:t>
            </w:r>
          </w:hyperlink>
        </w:p>
        <w:p>
          <w:pPr>
            <w:pStyle w:val="Contents2"/>
            <w:tabs>
              <w:tab w:val="clear" w:pos="8743"/>
              <w:tab w:val="right" w:pos="9026" w:leader="dot"/>
            </w:tabs>
            <w:rPr/>
          </w:pPr>
          <w:hyperlink w:anchor="__RefHeading___Toc283330_581953129">
            <w:r>
              <w:rPr>
                <w:webHidden/>
                <w:rStyle w:val="IndexLink"/>
                <w:rtl w:val="true"/>
              </w:rPr>
              <w:t>العلم الدّینی أداة تطبیق الإسلام فی العمل الاجتماعی</w:t>
            </w:r>
            <w:r>
              <w:rPr>
                <w:rStyle w:val="IndexLink"/>
                <w:rtl w:val="true"/>
              </w:rPr>
              <w:tab/>
            </w:r>
            <w:r>
              <w:rPr>
                <w:rStyle w:val="IndexLink"/>
              </w:rPr>
              <w:t>146</w:t>
            </w:r>
          </w:hyperlink>
        </w:p>
        <w:p>
          <w:pPr>
            <w:pStyle w:val="Contents3"/>
            <w:tabs>
              <w:tab w:val="clear" w:pos="8459"/>
              <w:tab w:val="right" w:pos="9026" w:leader="dot"/>
            </w:tabs>
            <w:rPr/>
          </w:pPr>
          <w:hyperlink w:anchor="__RefHeading___Toc283332_581953129">
            <w:r>
              <w:rPr>
                <w:webHidden/>
                <w:rStyle w:val="IndexLink"/>
                <w:rtl w:val="true"/>
              </w:rPr>
              <w:t>حوار مع حجّة الإسلام السّید مهدی میرباقری</w:t>
            </w:r>
            <w:r>
              <w:rPr>
                <w:rStyle w:val="IndexLink"/>
                <w:rtl w:val="true"/>
              </w:rPr>
              <w:tab/>
            </w:r>
            <w:r>
              <w:rPr>
                <w:rStyle w:val="IndexLink"/>
              </w:rPr>
              <w:t>146</w:t>
            </w:r>
          </w:hyperlink>
        </w:p>
        <w:p>
          <w:pPr>
            <w:pStyle w:val="Contents3"/>
            <w:tabs>
              <w:tab w:val="clear" w:pos="8459"/>
              <w:tab w:val="right" w:pos="9026" w:leader="dot"/>
            </w:tabs>
            <w:rPr/>
          </w:pPr>
          <w:hyperlink w:anchor="__RefHeading___Toc283334_581953129">
            <w:r>
              <w:rPr>
                <w:webHidden/>
                <w:rStyle w:val="IndexLink"/>
                <w:rtl w:val="true"/>
              </w:rPr>
              <w:t>الثّورة السّیاسیّة والثّورة الثّقافیّة مقدّمتان ضروریّتان للوصول إلی العلم الدّینی</w:t>
            </w:r>
            <w:r>
              <w:rPr>
                <w:rStyle w:val="IndexLink"/>
                <w:rtl w:val="true"/>
              </w:rPr>
              <w:tab/>
            </w:r>
            <w:r>
              <w:rPr>
                <w:rStyle w:val="IndexLink"/>
              </w:rPr>
              <w:t>147</w:t>
            </w:r>
          </w:hyperlink>
        </w:p>
        <w:p>
          <w:pPr>
            <w:pStyle w:val="Contents3"/>
            <w:tabs>
              <w:tab w:val="clear" w:pos="8459"/>
              <w:tab w:val="right" w:pos="9026" w:leader="dot"/>
            </w:tabs>
            <w:rPr/>
          </w:pPr>
          <w:hyperlink w:anchor="__RefHeading___Toc283336_581953129">
            <w:r>
              <w:rPr>
                <w:webHidden/>
                <w:rStyle w:val="IndexLink"/>
                <w:rtl w:val="true"/>
              </w:rPr>
              <w:t>دعوی التّوصّل إلی فلسفة للعلم الدّینی باعتبارها مرکزاً للتنسیق بین العلوم</w:t>
            </w:r>
            <w:r>
              <w:rPr>
                <w:rStyle w:val="IndexLink"/>
                <w:rtl w:val="true"/>
              </w:rPr>
              <w:tab/>
            </w:r>
            <w:r>
              <w:rPr>
                <w:rStyle w:val="IndexLink"/>
              </w:rPr>
              <w:t>148</w:t>
            </w:r>
          </w:hyperlink>
        </w:p>
        <w:p>
          <w:pPr>
            <w:pStyle w:val="Contents3"/>
            <w:tabs>
              <w:tab w:val="clear" w:pos="8459"/>
              <w:tab w:val="right" w:pos="9026" w:leader="dot"/>
            </w:tabs>
            <w:rPr/>
          </w:pPr>
          <w:hyperlink w:anchor="__RefHeading___Toc283338_581953129">
            <w:r>
              <w:rPr>
                <w:webHidden/>
                <w:rStyle w:val="IndexLink"/>
                <w:rtl w:val="true"/>
              </w:rPr>
              <w:t>عدم أفضلیّة الارتباط المنطقی بین الدّین والعلم فی الماضی</w:t>
            </w:r>
            <w:r>
              <w:rPr>
                <w:rStyle w:val="IndexLink"/>
                <w:rtl w:val="true"/>
              </w:rPr>
              <w:tab/>
            </w:r>
            <w:r>
              <w:rPr>
                <w:rStyle w:val="IndexLink"/>
              </w:rPr>
              <w:t>151</w:t>
            </w:r>
          </w:hyperlink>
        </w:p>
        <w:p>
          <w:pPr>
            <w:pStyle w:val="Contents3"/>
            <w:tabs>
              <w:tab w:val="clear" w:pos="8459"/>
              <w:tab w:val="right" w:pos="9026" w:leader="dot"/>
            </w:tabs>
            <w:rPr/>
          </w:pPr>
          <w:hyperlink w:anchor="__RefHeading___Toc283340_581953129">
            <w:r>
              <w:rPr>
                <w:webHidden/>
                <w:rStyle w:val="IndexLink"/>
                <w:rtl w:val="true"/>
              </w:rPr>
              <w:t>ضرورة تنظیم العلم الدّینی علی أساس فلسفة العلم الدّینی</w:t>
            </w:r>
            <w:r>
              <w:rPr>
                <w:rStyle w:val="IndexLink"/>
                <w:rtl w:val="true"/>
              </w:rPr>
              <w:tab/>
            </w:r>
            <w:r>
              <w:rPr>
                <w:rStyle w:val="IndexLink"/>
              </w:rPr>
              <w:t>154</w:t>
            </w:r>
          </w:hyperlink>
        </w:p>
        <w:p>
          <w:pPr>
            <w:pStyle w:val="Contents3"/>
            <w:tabs>
              <w:tab w:val="clear" w:pos="8459"/>
              <w:tab w:val="right" w:pos="9026" w:leader="dot"/>
            </w:tabs>
            <w:rPr/>
          </w:pPr>
          <w:hyperlink w:anchor="__RefHeading___Toc283342_581953129">
            <w:r>
              <w:rPr>
                <w:webHidden/>
                <w:rStyle w:val="IndexLink"/>
                <w:rtl w:val="true"/>
              </w:rPr>
              <w:t>کیفیّة توفیر الظّروف اللازمة لتحقّق الثّورة العلمیّة</w:t>
            </w:r>
            <w:r>
              <w:rPr>
                <w:rStyle w:val="IndexLink"/>
                <w:rtl w:val="true"/>
              </w:rPr>
              <w:tab/>
            </w:r>
            <w:r>
              <w:rPr>
                <w:rStyle w:val="IndexLink"/>
              </w:rPr>
              <w:t>157</w:t>
            </w:r>
          </w:hyperlink>
        </w:p>
        <w:p>
          <w:pPr>
            <w:pStyle w:val="Contents3"/>
            <w:tabs>
              <w:tab w:val="clear" w:pos="8459"/>
              <w:tab w:val="right" w:pos="9026" w:leader="dot"/>
            </w:tabs>
            <w:rPr/>
          </w:pPr>
          <w:hyperlink w:anchor="__RefHeading___Toc283344_581953129">
            <w:r>
              <w:rPr>
                <w:webHidden/>
                <w:rStyle w:val="IndexLink"/>
                <w:rtl w:val="true"/>
              </w:rPr>
              <w:t>کیفیّة التّفاهم مع المجتمع العالمی حول العلم الدّینی</w:t>
            </w:r>
            <w:r>
              <w:rPr>
                <w:rStyle w:val="IndexLink"/>
                <w:rtl w:val="true"/>
              </w:rPr>
              <w:tab/>
            </w:r>
            <w:r>
              <w:rPr>
                <w:rStyle w:val="IndexLink"/>
              </w:rPr>
              <w:t>161</w:t>
            </w:r>
          </w:hyperlink>
        </w:p>
        <w:p>
          <w:pPr>
            <w:pStyle w:val="Contents3"/>
            <w:tabs>
              <w:tab w:val="clear" w:pos="8459"/>
              <w:tab w:val="right" w:pos="9026" w:leader="dot"/>
            </w:tabs>
            <w:rPr/>
          </w:pPr>
          <w:hyperlink w:anchor="__RefHeading___Toc283346_581953129">
            <w:r>
              <w:rPr>
                <w:webHidden/>
                <w:rStyle w:val="IndexLink"/>
                <w:rtl w:val="true"/>
              </w:rPr>
              <w:t>الحکم علی ما یوصف علی أنّه علم دینی حالیّاً</w:t>
            </w:r>
            <w:r>
              <w:rPr>
                <w:rStyle w:val="IndexLink"/>
                <w:rtl w:val="true"/>
              </w:rPr>
              <w:tab/>
            </w:r>
            <w:r>
              <w:rPr>
                <w:rStyle w:val="IndexLink"/>
              </w:rPr>
              <w:t>162</w:t>
            </w:r>
          </w:hyperlink>
        </w:p>
        <w:p>
          <w:pPr>
            <w:pStyle w:val="Contents3"/>
            <w:tabs>
              <w:tab w:val="clear" w:pos="8459"/>
              <w:tab w:val="right" w:pos="9026" w:leader="dot"/>
            </w:tabs>
            <w:rPr/>
          </w:pPr>
          <w:hyperlink w:anchor="__RefHeading___Toc283348_581953129">
            <w:r>
              <w:rPr>
                <w:webHidden/>
                <w:rStyle w:val="IndexLink"/>
                <w:rtl w:val="true"/>
              </w:rPr>
              <w:t>ألیس من الممکن انتخاب طریق أقصر من خلال جهود موردیّة ؟</w:t>
            </w:r>
            <w:r>
              <w:rPr>
                <w:rStyle w:val="IndexLink"/>
                <w:rtl w:val="true"/>
              </w:rPr>
              <w:tab/>
            </w:r>
            <w:r>
              <w:rPr>
                <w:rStyle w:val="IndexLink"/>
              </w:rPr>
              <w:t>163</w:t>
            </w:r>
          </w:hyperlink>
        </w:p>
        <w:p>
          <w:pPr>
            <w:pStyle w:val="Contents3"/>
            <w:tabs>
              <w:tab w:val="clear" w:pos="8459"/>
              <w:tab w:val="right" w:pos="9026" w:leader="dot"/>
            </w:tabs>
            <w:rPr/>
          </w:pPr>
          <w:hyperlink w:anchor="__RefHeading___Toc283350_581953129">
            <w:r>
              <w:rPr>
                <w:webHidden/>
                <w:rStyle w:val="IndexLink"/>
                <w:rtl w:val="true"/>
              </w:rPr>
              <w:t>مدی انسجام النّظریّة المطروحة فی مجال تکامل العلوم مع حقائق تأریخ العلم</w:t>
            </w:r>
            <w:r>
              <w:rPr>
                <w:rStyle w:val="IndexLink"/>
                <w:rtl w:val="true"/>
              </w:rPr>
              <w:tab/>
            </w:r>
            <w:r>
              <w:rPr>
                <w:rStyle w:val="IndexLink"/>
              </w:rPr>
              <w:t>166</w:t>
            </w:r>
          </w:hyperlink>
        </w:p>
        <w:p>
          <w:pPr>
            <w:pStyle w:val="Contents3"/>
            <w:tabs>
              <w:tab w:val="clear" w:pos="8459"/>
              <w:tab w:val="right" w:pos="9026" w:leader="dot"/>
            </w:tabs>
            <w:rPr/>
          </w:pPr>
          <w:hyperlink w:anchor="__RefHeading___Toc283352_581953129">
            <w:r>
              <w:rPr>
                <w:webHidden/>
                <w:rStyle w:val="IndexLink"/>
                <w:rtl w:val="true"/>
              </w:rPr>
              <w:t>الباعث المحوریّ أو کشف الحقیقة فی التّطوّرات العلمیّة</w:t>
            </w:r>
            <w:r>
              <w:rPr>
                <w:rStyle w:val="IndexLink"/>
                <w:rtl w:val="true"/>
              </w:rPr>
              <w:tab/>
            </w:r>
            <w:r>
              <w:rPr>
                <w:rStyle w:val="IndexLink"/>
              </w:rPr>
              <w:t>169</w:t>
            </w:r>
          </w:hyperlink>
        </w:p>
        <w:p>
          <w:pPr>
            <w:pStyle w:val="Contents3"/>
            <w:tabs>
              <w:tab w:val="clear" w:pos="8459"/>
              <w:tab w:val="right" w:pos="9026" w:leader="dot"/>
            </w:tabs>
            <w:rPr/>
          </w:pPr>
          <w:hyperlink w:anchor="__RefHeading___Toc283354_581953129">
            <w:r>
              <w:rPr>
                <w:webHidden/>
                <w:rStyle w:val="IndexLink"/>
                <w:rtl w:val="true"/>
              </w:rPr>
              <w:t>ملاک تقییم النّظریّات العلمیّة</w:t>
            </w:r>
            <w:r>
              <w:rPr>
                <w:rStyle w:val="IndexLink"/>
                <w:rtl w:val="true"/>
              </w:rPr>
              <w:tab/>
            </w:r>
            <w:r>
              <w:rPr>
                <w:rStyle w:val="IndexLink"/>
              </w:rPr>
              <w:t>172</w:t>
            </w:r>
          </w:hyperlink>
        </w:p>
        <w:p>
          <w:pPr>
            <w:pStyle w:val="Contents4"/>
            <w:tabs>
              <w:tab w:val="clear" w:pos="8176"/>
              <w:tab w:val="right" w:pos="9026" w:leader="dot"/>
            </w:tabs>
            <w:rPr/>
          </w:pPr>
          <w:hyperlink w:anchor="__RefHeading___Toc283356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283358_581953129">
            <w:r>
              <w:rPr>
                <w:webHidden/>
                <w:rStyle w:val="IndexLink"/>
                <w:rtl w:val="true"/>
              </w:rPr>
              <w:t>الملاحظات</w:t>
            </w:r>
            <w:r>
              <w:rPr>
                <w:rStyle w:val="IndexLink"/>
                <w:rtl w:val="true"/>
              </w:rPr>
              <w:tab/>
            </w:r>
            <w:r>
              <w:rPr>
                <w:rStyle w:val="IndexLink"/>
              </w:rPr>
              <w:t>175</w:t>
            </w:r>
          </w:hyperlink>
        </w:p>
        <w:p>
          <w:pPr>
            <w:pStyle w:val="Contents2"/>
            <w:tabs>
              <w:tab w:val="clear" w:pos="8743"/>
              <w:tab w:val="right" w:pos="9026" w:leader="dot"/>
            </w:tabs>
            <w:rPr/>
          </w:pPr>
          <w:hyperlink w:anchor="__RefHeading___Toc283360_581953129">
            <w:r>
              <w:rPr>
                <w:webHidden/>
                <w:rStyle w:val="IndexLink"/>
                <w:rtl w:val="true"/>
              </w:rPr>
              <w:t>مقدّمات أسلمة العلوم الإنسانیّة</w:t>
            </w:r>
            <w:r>
              <w:rPr>
                <w:rStyle w:val="IndexLink"/>
                <w:rtl w:val="true"/>
              </w:rPr>
              <w:tab/>
            </w:r>
            <w:r>
              <w:rPr>
                <w:rStyle w:val="IndexLink"/>
              </w:rPr>
              <w:t>182</w:t>
            </w:r>
          </w:hyperlink>
        </w:p>
        <w:p>
          <w:pPr>
            <w:pStyle w:val="Contents3"/>
            <w:tabs>
              <w:tab w:val="clear" w:pos="8459"/>
              <w:tab w:val="right" w:pos="9026" w:leader="dot"/>
            </w:tabs>
            <w:rPr/>
          </w:pPr>
          <w:hyperlink w:anchor="__RefHeading___Toc283362_581953129">
            <w:r>
              <w:rPr>
                <w:webHidden/>
                <w:rStyle w:val="IndexLink"/>
                <w:rtl w:val="true"/>
              </w:rPr>
              <w:t>الأستاذ مصطفی ملکیان</w:t>
            </w:r>
            <w:r>
              <w:rPr>
                <w:rStyle w:val="IndexLink"/>
                <w:rtl w:val="true"/>
              </w:rPr>
              <w:tab/>
            </w:r>
            <w:r>
              <w:rPr>
                <w:rStyle w:val="IndexLink"/>
              </w:rPr>
              <w:t>182</w:t>
            </w:r>
          </w:hyperlink>
        </w:p>
        <w:p>
          <w:pPr>
            <w:pStyle w:val="Contents3"/>
            <w:tabs>
              <w:tab w:val="clear" w:pos="8459"/>
              <w:tab w:val="right" w:pos="9026" w:leader="dot"/>
            </w:tabs>
            <w:rPr/>
          </w:pPr>
          <w:hyperlink w:anchor="__RefHeading___Toc283364_581953129">
            <w:r>
              <w:rPr>
                <w:webHidden/>
                <w:rStyle w:val="IndexLink"/>
              </w:rPr>
              <w:t>1</w:t>
            </w:r>
            <w:r>
              <w:rPr>
                <w:rStyle w:val="IndexLink"/>
                <w:rtl w:val="true"/>
              </w:rPr>
              <w:t xml:space="preserve">. </w:t>
            </w:r>
            <w:r>
              <w:rPr>
                <w:rStyle w:val="IndexLink"/>
                <w:rtl w:val="true"/>
              </w:rPr>
              <w:t>معرفة الإسلام</w:t>
            </w:r>
            <w:r>
              <w:rPr>
                <w:rStyle w:val="IndexLink"/>
                <w:rtl w:val="true"/>
              </w:rPr>
              <w:tab/>
            </w:r>
            <w:r>
              <w:rPr>
                <w:rStyle w:val="IndexLink"/>
              </w:rPr>
              <w:t>182</w:t>
            </w:r>
          </w:hyperlink>
        </w:p>
        <w:p>
          <w:pPr>
            <w:pStyle w:val="Contents3"/>
            <w:tabs>
              <w:tab w:val="clear" w:pos="8459"/>
              <w:tab w:val="right" w:pos="9026" w:leader="dot"/>
            </w:tabs>
            <w:rPr/>
          </w:pPr>
          <w:hyperlink w:anchor="__RefHeading___Toc283366_581953129">
            <w:r>
              <w:rPr>
                <w:webHidden/>
                <w:rStyle w:val="IndexLink"/>
              </w:rPr>
              <w:t>2</w:t>
            </w:r>
            <w:r>
              <w:rPr>
                <w:rStyle w:val="IndexLink"/>
                <w:rtl w:val="true"/>
              </w:rPr>
              <w:t xml:space="preserve">. </w:t>
            </w:r>
            <w:r>
              <w:rPr>
                <w:rStyle w:val="IndexLink"/>
                <w:rtl w:val="true"/>
              </w:rPr>
              <w:t>معرفة العلوم الإنسانیّة</w:t>
            </w:r>
            <w:r>
              <w:rPr>
                <w:rStyle w:val="IndexLink"/>
                <w:rtl w:val="true"/>
              </w:rPr>
              <w:tab/>
            </w:r>
            <w:r>
              <w:rPr>
                <w:rStyle w:val="IndexLink"/>
              </w:rPr>
              <w:t>189</w:t>
            </w:r>
          </w:hyperlink>
        </w:p>
        <w:p>
          <w:pPr>
            <w:pStyle w:val="Contents3"/>
            <w:tabs>
              <w:tab w:val="clear" w:pos="8459"/>
              <w:tab w:val="right" w:pos="9026" w:leader="dot"/>
            </w:tabs>
            <w:rPr/>
          </w:pPr>
          <w:hyperlink w:anchor="__RefHeading___Toc283368_581953129">
            <w:r>
              <w:rPr>
                <w:webHidden/>
                <w:rStyle w:val="IndexLink"/>
              </w:rPr>
              <w:t>3</w:t>
            </w:r>
            <w:r>
              <w:rPr>
                <w:rStyle w:val="IndexLink"/>
                <w:rtl w:val="true"/>
              </w:rPr>
              <w:t xml:space="preserve">. </w:t>
            </w:r>
            <w:r>
              <w:rPr>
                <w:rStyle w:val="IndexLink"/>
                <w:rtl w:val="true"/>
              </w:rPr>
              <w:t>النّقص الموجود فی العلوم الإنسانیّة الحالیّة</w:t>
            </w:r>
            <w:r>
              <w:rPr>
                <w:rStyle w:val="IndexLink"/>
                <w:rtl w:val="true"/>
              </w:rPr>
              <w:tab/>
            </w:r>
            <w:r>
              <w:rPr>
                <w:rStyle w:val="IndexLink"/>
              </w:rPr>
              <w:t>191</w:t>
            </w:r>
          </w:hyperlink>
        </w:p>
        <w:p>
          <w:pPr>
            <w:pStyle w:val="Contents3"/>
            <w:tabs>
              <w:tab w:val="clear" w:pos="8459"/>
              <w:tab w:val="right" w:pos="9026" w:leader="dot"/>
            </w:tabs>
            <w:rPr/>
          </w:pPr>
          <w:hyperlink w:anchor="__RefHeading___Toc283370_581953129">
            <w:r>
              <w:rPr>
                <w:webHidden/>
                <w:rStyle w:val="IndexLink"/>
              </w:rPr>
              <w:t>4</w:t>
            </w:r>
            <w:r>
              <w:rPr>
                <w:rStyle w:val="IndexLink"/>
                <w:rtl w:val="true"/>
              </w:rPr>
              <w:t xml:space="preserve">. </w:t>
            </w:r>
            <w:r>
              <w:rPr>
                <w:rStyle w:val="IndexLink"/>
                <w:rtl w:val="true"/>
              </w:rPr>
              <w:t>علاقة الدّین بمقولتی العلم والقیم</w:t>
            </w:r>
            <w:r>
              <w:rPr>
                <w:rStyle w:val="IndexLink"/>
                <w:rtl w:val="true"/>
              </w:rPr>
              <w:tab/>
            </w:r>
            <w:r>
              <w:rPr>
                <w:rStyle w:val="IndexLink"/>
              </w:rPr>
              <w:t>192</w:t>
            </w:r>
          </w:hyperlink>
        </w:p>
        <w:p>
          <w:pPr>
            <w:pStyle w:val="Contents3"/>
            <w:tabs>
              <w:tab w:val="clear" w:pos="8459"/>
              <w:tab w:val="right" w:pos="9026" w:leader="dot"/>
            </w:tabs>
            <w:rPr/>
          </w:pPr>
          <w:hyperlink w:anchor="__RefHeading___Toc283372_581953129">
            <w:r>
              <w:rPr>
                <w:webHidden/>
                <w:rStyle w:val="IndexLink"/>
              </w:rPr>
              <w:t>5</w:t>
            </w:r>
            <w:r>
              <w:rPr>
                <w:rStyle w:val="IndexLink"/>
                <w:rtl w:val="true"/>
              </w:rPr>
              <w:t xml:space="preserve">. </w:t>
            </w:r>
            <w:r>
              <w:rPr>
                <w:rStyle w:val="IndexLink"/>
                <w:rtl w:val="true"/>
              </w:rPr>
              <w:t>منهج لإقناع الآخرین</w:t>
            </w:r>
            <w:r>
              <w:rPr>
                <w:rStyle w:val="IndexLink"/>
                <w:rtl w:val="true"/>
              </w:rPr>
              <w:tab/>
            </w:r>
            <w:r>
              <w:rPr>
                <w:rStyle w:val="IndexLink"/>
              </w:rPr>
              <w:t>200</w:t>
            </w:r>
          </w:hyperlink>
        </w:p>
        <w:p>
          <w:pPr>
            <w:pStyle w:val="Contents3"/>
            <w:tabs>
              <w:tab w:val="clear" w:pos="8459"/>
              <w:tab w:val="right" w:pos="9026" w:leader="dot"/>
            </w:tabs>
            <w:rPr/>
          </w:pPr>
          <w:hyperlink w:anchor="__RefHeading___Toc283374_581953129">
            <w:r>
              <w:rPr>
                <w:webHidden/>
                <w:rStyle w:val="IndexLink"/>
                <w:rtl w:val="true"/>
              </w:rPr>
              <w:t>الملاحظات</w:t>
            </w:r>
            <w:r>
              <w:rPr>
                <w:rStyle w:val="IndexLink"/>
                <w:rtl w:val="true"/>
              </w:rPr>
              <w:tab/>
            </w:r>
            <w:r>
              <w:rPr>
                <w:rStyle w:val="IndexLink"/>
              </w:rPr>
              <w:t>201</w:t>
            </w:r>
          </w:hyperlink>
        </w:p>
        <w:p>
          <w:pPr>
            <w:pStyle w:val="Contents2"/>
            <w:tabs>
              <w:tab w:val="clear" w:pos="8743"/>
              <w:tab w:val="right" w:pos="9026" w:leader="dot"/>
            </w:tabs>
            <w:rPr/>
          </w:pPr>
          <w:hyperlink w:anchor="__RefHeading___Toc283376_581953129">
            <w:r>
              <w:rPr>
                <w:webHidden/>
                <w:rStyle w:val="IndexLink"/>
                <w:rtl w:val="true"/>
              </w:rPr>
              <w:t>الإسلام والعلوم الإجتماعیّة؛ نقد حول دیننة العلم</w:t>
            </w:r>
            <w:r>
              <w:rPr>
                <w:rStyle w:val="IndexLink"/>
                <w:rtl w:val="true"/>
              </w:rPr>
              <w:tab/>
            </w:r>
            <w:r>
              <w:rPr>
                <w:rStyle w:val="IndexLink"/>
              </w:rPr>
              <w:t>211</w:t>
            </w:r>
          </w:hyperlink>
        </w:p>
        <w:p>
          <w:pPr>
            <w:pStyle w:val="Contents3"/>
            <w:tabs>
              <w:tab w:val="clear" w:pos="8459"/>
              <w:tab w:val="right" w:pos="9026" w:leader="dot"/>
            </w:tabs>
            <w:rPr/>
          </w:pPr>
          <w:hyperlink w:anchor="__RefHeading___Toc283378_581953129">
            <w:r>
              <w:rPr>
                <w:webHidden/>
                <w:rStyle w:val="IndexLink"/>
                <w:rtl w:val="true"/>
              </w:rPr>
              <w:t>الدّکتور عبدالکریم سروش</w:t>
            </w:r>
            <w:r>
              <w:rPr>
                <w:rStyle w:val="IndexLink"/>
                <w:rtl w:val="true"/>
              </w:rPr>
              <w:tab/>
            </w:r>
            <w:r>
              <w:rPr>
                <w:rStyle w:val="IndexLink"/>
              </w:rPr>
              <w:t>211</w:t>
            </w:r>
          </w:hyperlink>
        </w:p>
        <w:p>
          <w:pPr>
            <w:pStyle w:val="Contents3"/>
            <w:tabs>
              <w:tab w:val="clear" w:pos="8459"/>
              <w:tab w:val="right" w:pos="9026" w:leader="dot"/>
            </w:tabs>
            <w:rPr/>
          </w:pPr>
          <w:hyperlink w:anchor="__RefHeading___Toc283380_581953129">
            <w:r>
              <w:rPr>
                <w:webHidden/>
                <w:rStyle w:val="IndexLink"/>
                <w:rtl w:val="true"/>
              </w:rPr>
              <w:t>حکم المسألة بلحاظ أصالة الموضوع</w:t>
            </w:r>
            <w:r>
              <w:rPr>
                <w:rStyle w:val="IndexLink"/>
                <w:rtl w:val="true"/>
              </w:rPr>
              <w:tab/>
            </w:r>
            <w:r>
              <w:rPr>
                <w:rStyle w:val="IndexLink"/>
              </w:rPr>
              <w:t>217</w:t>
            </w:r>
          </w:hyperlink>
        </w:p>
        <w:p>
          <w:pPr>
            <w:pStyle w:val="Contents3"/>
            <w:tabs>
              <w:tab w:val="clear" w:pos="8459"/>
              <w:tab w:val="right" w:pos="9026" w:leader="dot"/>
            </w:tabs>
            <w:rPr/>
          </w:pPr>
          <w:hyperlink w:anchor="__RefHeading___Toc283382_581953129">
            <w:r>
              <w:rPr>
                <w:webHidden/>
                <w:rStyle w:val="IndexLink"/>
                <w:rtl w:val="true"/>
              </w:rPr>
              <w:t>حکم المسألة بلحاظ أصالة المنهج</w:t>
            </w:r>
            <w:r>
              <w:rPr>
                <w:rStyle w:val="IndexLink"/>
                <w:rtl w:val="true"/>
              </w:rPr>
              <w:tab/>
            </w:r>
            <w:r>
              <w:rPr>
                <w:rStyle w:val="IndexLink"/>
              </w:rPr>
              <w:t>219</w:t>
            </w:r>
          </w:hyperlink>
        </w:p>
        <w:p>
          <w:pPr>
            <w:pStyle w:val="Contents3"/>
            <w:tabs>
              <w:tab w:val="clear" w:pos="8459"/>
              <w:tab w:val="right" w:pos="9026" w:leader="dot"/>
            </w:tabs>
            <w:rPr/>
          </w:pPr>
          <w:hyperlink w:anchor="__RefHeading___Toc283384_581953129">
            <w:r>
              <w:rPr>
                <w:webHidden/>
                <w:rStyle w:val="IndexLink"/>
                <w:rtl w:val="true"/>
              </w:rPr>
              <w:t>حکم المسألة بلحاظ أصالة الغایة</w:t>
            </w:r>
            <w:r>
              <w:rPr>
                <w:rStyle w:val="IndexLink"/>
                <w:rtl w:val="true"/>
              </w:rPr>
              <w:tab/>
            </w:r>
            <w:r>
              <w:rPr>
                <w:rStyle w:val="IndexLink"/>
              </w:rPr>
              <w:t>220</w:t>
            </w:r>
          </w:hyperlink>
        </w:p>
        <w:p>
          <w:pPr>
            <w:pStyle w:val="Contents3"/>
            <w:tabs>
              <w:tab w:val="clear" w:pos="8459"/>
              <w:tab w:val="right" w:pos="9026" w:leader="dot"/>
            </w:tabs>
            <w:rPr/>
          </w:pPr>
          <w:hyperlink w:anchor="__RefHeading___Toc283386_581953129">
            <w:r>
              <w:rPr>
                <w:webHidden/>
                <w:rStyle w:val="IndexLink"/>
                <w:rtl w:val="true"/>
              </w:rPr>
              <w:t>سؤال وجواب</w:t>
            </w:r>
            <w:r>
              <w:rPr>
                <w:rStyle w:val="IndexLink"/>
                <w:rtl w:val="true"/>
              </w:rPr>
              <w:tab/>
            </w:r>
            <w:r>
              <w:rPr>
                <w:rStyle w:val="IndexLink"/>
              </w:rPr>
              <w:t>233</w:t>
            </w:r>
          </w:hyperlink>
        </w:p>
        <w:p>
          <w:pPr>
            <w:pStyle w:val="Contents3"/>
            <w:tabs>
              <w:tab w:val="clear" w:pos="8459"/>
              <w:tab w:val="right" w:pos="9026" w:leader="dot"/>
            </w:tabs>
            <w:rPr/>
          </w:pPr>
          <w:hyperlink w:anchor="__RefHeading___Toc283388_581953129">
            <w:r>
              <w:rPr>
                <w:webHidden/>
                <w:rStyle w:val="IndexLink"/>
                <w:rtl w:val="true"/>
              </w:rPr>
              <w:t>هل یمکن التحدّث عن العلم الدّینی للانثربولوجیا؟</w:t>
            </w:r>
            <w:r>
              <w:rPr>
                <w:rStyle w:val="IndexLink"/>
                <w:rtl w:val="true"/>
              </w:rPr>
              <w:tab/>
            </w:r>
            <w:r>
              <w:rPr>
                <w:rStyle w:val="IndexLink"/>
              </w:rPr>
              <w:t>233</w:t>
            </w:r>
          </w:hyperlink>
        </w:p>
        <w:p>
          <w:pPr>
            <w:pStyle w:val="Contents3"/>
            <w:tabs>
              <w:tab w:val="clear" w:pos="8459"/>
              <w:tab w:val="right" w:pos="9026" w:leader="dot"/>
            </w:tabs>
            <w:rPr/>
          </w:pPr>
          <w:hyperlink w:anchor="__RefHeading___Toc283390_581953129">
            <w:r>
              <w:rPr>
                <w:webHidden/>
                <w:rStyle w:val="IndexLink"/>
                <w:rtl w:val="true"/>
              </w:rPr>
              <w:t>هل أنّ قاعدة إمکانیّة النقض تجری فی العلوم الإجتماعیّة الإسلامیّة أم لا؟</w:t>
            </w:r>
            <w:r>
              <w:rPr>
                <w:rStyle w:val="IndexLink"/>
                <w:rtl w:val="true"/>
              </w:rPr>
              <w:tab/>
            </w:r>
            <w:r>
              <w:rPr>
                <w:rStyle w:val="IndexLink"/>
              </w:rPr>
              <w:t>235</w:t>
            </w:r>
          </w:hyperlink>
        </w:p>
        <w:p>
          <w:pPr>
            <w:pStyle w:val="Contents3"/>
            <w:tabs>
              <w:tab w:val="clear" w:pos="8459"/>
              <w:tab w:val="right" w:pos="9026" w:leader="dot"/>
            </w:tabs>
            <w:rPr/>
          </w:pPr>
          <w:hyperlink w:anchor="__RefHeading___Toc283392_581953129">
            <w:r>
              <w:rPr>
                <w:webHidden/>
                <w:rStyle w:val="IndexLink"/>
                <w:rtl w:val="true"/>
              </w:rPr>
              <w:t>الملاحظات</w:t>
            </w:r>
            <w:r>
              <w:rPr>
                <w:rStyle w:val="IndexLink"/>
                <w:rtl w:val="true"/>
              </w:rPr>
              <w:tab/>
            </w:r>
            <w:r>
              <w:rPr>
                <w:rStyle w:val="IndexLink"/>
              </w:rPr>
              <w:t>235</w:t>
            </w:r>
          </w:hyperlink>
        </w:p>
        <w:p>
          <w:pPr>
            <w:pStyle w:val="Contents2"/>
            <w:tabs>
              <w:tab w:val="clear" w:pos="8743"/>
              <w:tab w:val="right" w:pos="9026" w:leader="dot"/>
            </w:tabs>
            <w:rPr/>
          </w:pPr>
          <w:hyperlink w:anchor="__RefHeading___Toc283394_581953129">
            <w:r>
              <w:rPr>
                <w:webHidden/>
                <w:rStyle w:val="IndexLink"/>
                <w:rtl w:val="true"/>
              </w:rPr>
              <w:t>المصادر</w:t>
            </w:r>
            <w:r>
              <w:rPr>
                <w:rStyle w:val="IndexLink"/>
                <w:rtl w:val="true"/>
              </w:rPr>
              <w:tab/>
            </w:r>
            <w:r>
              <w:rPr>
                <w:rStyle w:val="IndexLink"/>
              </w:rPr>
              <w:t>243</w:t>
            </w:r>
          </w:hyperlink>
        </w:p>
        <w:p>
          <w:pPr>
            <w:pStyle w:val="Contents3"/>
            <w:tabs>
              <w:tab w:val="clear" w:pos="8459"/>
              <w:tab w:val="right" w:pos="9026" w:leader="dot"/>
            </w:tabs>
            <w:rPr/>
          </w:pPr>
          <w:hyperlink w:anchor="__RefHeading___Toc283396_581953129">
            <w:r>
              <w:rPr>
                <w:webHidden/>
                <w:rStyle w:val="IndexLink"/>
                <w:rtl w:val="true"/>
              </w:rPr>
              <w:t>المصادر العربیّة</w:t>
            </w:r>
            <w:r>
              <w:rPr>
                <w:rStyle w:val="IndexLink"/>
                <w:rtl w:val="true"/>
              </w:rPr>
              <w:tab/>
            </w:r>
            <w:r>
              <w:rPr>
                <w:rStyle w:val="IndexLink"/>
              </w:rPr>
              <w:t>243</w:t>
            </w:r>
          </w:hyperlink>
        </w:p>
        <w:p>
          <w:pPr>
            <w:pStyle w:val="Contents3"/>
            <w:tabs>
              <w:tab w:val="clear" w:pos="8459"/>
              <w:tab w:val="right" w:pos="9026" w:leader="dot"/>
            </w:tabs>
            <w:rPr/>
          </w:pPr>
          <w:hyperlink w:anchor="__RefHeading___Toc283398_581953129">
            <w:r>
              <w:rPr>
                <w:webHidden/>
                <w:rStyle w:val="IndexLink"/>
                <w:rtl w:val="true"/>
              </w:rPr>
              <w:t>المصادر الفارسیّة</w:t>
            </w:r>
            <w:r>
              <w:rPr>
                <w:rStyle w:val="IndexLink"/>
                <w:rtl w:val="true"/>
              </w:rPr>
              <w:tab/>
            </w:r>
            <w:r>
              <w:rPr>
                <w:rStyle w:val="IndexLink"/>
              </w:rPr>
              <w:t>243</w:t>
            </w:r>
          </w:hyperlink>
        </w:p>
        <w:p>
          <w:pPr>
            <w:pStyle w:val="Contents3"/>
            <w:tabs>
              <w:tab w:val="clear" w:pos="8459"/>
              <w:tab w:val="right" w:pos="9026" w:leader="dot"/>
            </w:tabs>
            <w:rPr/>
          </w:pPr>
          <w:hyperlink w:anchor="__RefHeading___Toc283400_581953129">
            <w:r>
              <w:rPr>
                <w:webHidden/>
                <w:rStyle w:val="IndexLink"/>
                <w:rtl w:val="true"/>
              </w:rPr>
              <w:t>المصادر الانجلیزیة</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1_29663"/>
      <w:bookmarkStart w:id="1" w:name="pg5231_29663"/>
      <w:bookmarkEnd w:id="1"/>
    </w:p>
    <w:p>
      <w:pPr>
        <w:pStyle w:val="Heading2"/>
        <w:numPr>
          <w:ilvl w:val="1"/>
          <w:numId w:val="1"/>
        </w:numPr>
        <w:rPr/>
      </w:pPr>
      <w:bookmarkStart w:id="2" w:name="pg5231_29663"/>
      <w:bookmarkStart w:id="3" w:name="__RefHeading___Toc28312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حمیدرضا،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دینی دیدگاه‌ها و 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تبیین و سنجش دیدگاه‌های برخی از متفکران ایران در باب چیستی، امکان و ضرورت علم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العلم‌فی اطارالدین؛ آراء و ملاحظات حول دیننه‌العلوم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حمیدرضا الحسنی، مهدی علی‌پور، محمدتقی موحدالابطحی؛ ترجمه عبدالکریم الجنابی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للترجمه و النشر،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علی‌پور، مهدی،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موحدابطحی، محمدتقی،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جنابی، عبدالکریم،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1932144</w:t>
      </w:r>
    </w:p>
    <w:p>
      <w:pPr>
        <w:pStyle w:val="BookText"/>
        <w:rPr/>
      </w:pPr>
      <w:r>
        <w:rPr>
          <w:rFonts w:ascii="IRNazanin" w:hAnsi="IRNazanin" w:eastAsia="IRNazanin"/>
          <w:color w:val="111111"/>
          <w:sz w:val="28"/>
          <w:sz w:val="28"/>
          <w:szCs w:val="28"/>
          <w:rtl w:val="true"/>
          <w:lang w:bidi="fa-IR"/>
        </w:rPr>
        <w:t>العلم فی إطار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وملاحظات حول دَیْنَنة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أبرز المفکّرین</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الحسنی، مهدی علی بور، محمد تقی موحد الأبطحی</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الجنابی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 النشر</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عمادی المجد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33000</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الحجتیه، معرض مرکز المصطفی صلی الله علیه و آله العالمی للترجمه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للترجمه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128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العلم فی اطار الدین</w:t>
      </w:r>
    </w:p>
    <w:p>
      <w:pPr>
        <w:pStyle w:val="BookText"/>
        <w:rPr/>
      </w:pPr>
      <w:r>
        <w:rPr>
          <w:rFonts w:ascii="IRNazanin" w:hAnsi="IRNazanin" w:eastAsia="IRNazanin"/>
          <w:color w:val="111111"/>
          <w:sz w:val="28"/>
          <w:sz w:val="28"/>
          <w:szCs w:val="28"/>
          <w:rtl w:val="true"/>
          <w:lang w:bidi="fa-IR"/>
        </w:rPr>
        <w:t>آراء و ملاحضات</w:t>
      </w:r>
    </w:p>
    <w:p>
      <w:pPr>
        <w:pStyle w:val="BookText"/>
        <w:rPr/>
      </w:pPr>
      <w:r>
        <w:rPr>
          <w:rFonts w:ascii="IRNazanin" w:hAnsi="IRNazanin" w:eastAsia="IRNazanin"/>
          <w:color w:val="111111"/>
          <w:sz w:val="28"/>
          <w:sz w:val="28"/>
          <w:szCs w:val="28"/>
          <w:rtl w:val="true"/>
          <w:lang w:bidi="fa-IR"/>
        </w:rPr>
        <w:t>حول دیننه العلوم</w:t>
      </w:r>
    </w:p>
    <w:p>
      <w:pPr>
        <w:pStyle w:val="BookText"/>
        <w:rPr/>
      </w:pPr>
      <w:r>
        <w:rPr>
          <w:rFonts w:ascii="IRNazanin" w:hAnsi="IRNazanin" w:eastAsia="IRNazanin"/>
          <w:color w:val="111111"/>
          <w:sz w:val="28"/>
          <w:sz w:val="28"/>
          <w:szCs w:val="28"/>
          <w:rtl w:val="true"/>
          <w:lang w:bidi="fa-IR"/>
        </w:rPr>
        <w:t>جمع من ابرز المفکرین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الجنابی</w:t>
      </w:r>
      <w:bookmarkStart w:id="7" w:name="pg5231_29667"/>
    </w:p>
    <w:p>
      <w:pPr>
        <w:pStyle w:val="Heading2"/>
        <w:numPr>
          <w:ilvl w:val="1"/>
          <w:numId w:val="1"/>
        </w:numPr>
        <w:rPr/>
      </w:pPr>
      <w:bookmarkStart w:id="8" w:name="__RefHeading___Toc283130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لطالما کانت القضایا والمفاهیم المرتبطة بالدّین ولا زالت معرضاً للتحرّی والتقصّی والبحث فی الفکر البشری، وقد لاحق ویلاحق الإفراط والتّفریط الإنسان کظلّه فی بحثه ذاک، ومن هنا نلاحظ الکثیر من الآراء و القراءات المتطرّفة التی حادت عن جادّة الاعتدال، وما تتضمّنه تلک القراءات من شبهاتٍ وإشکالاتٍ وأباطیل ومؤاخذاتٍ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 إرشادات أهل بیت العصمة علیهم السلام بمثابة الدّواء النّاجع وصمام الأمان فی مثل هذا اللغط المفاهیمی والاضطراب التّحلیلی، حیث حدّدوا لنا الطریق الواضح وأشاروا إلینا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مضلّه و النّجاة هی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وعبّدوا الجادّة التی تؤمّن عدم الحیاد عن خطّهم هذا من خلال الالتزام بمقولتهم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العلم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یغفل التّاریخ فی هذا الصّدد الجهود المضنیة لعلماءالدین المخلصین؛ بمواظبتهم الحثیثة ووصلهم اللیل بالنهار فی الذّود عن المعارف الدّینیّة الأصیلة؛ کی تکتمل الحُجّة، ولا یبقی مجال لأیّ شکٍ‌ّ و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بین یدیک عزیزی القاریء یمثّل سعیاً متواضعاً علی صعید نقد وتحلیل المقولات والأطروحات الدّینیّة فی ما یرتبط بالعلوم المعاصرة والحدیثة، وفی نطاق محاولة دَیْنَنتها علی وجه التّحدید، وذلک حسب الرؤیة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ومرکز المصطفی العالمی للترجمة والنّشر إذ یهدی مجتمعنا الثّقافی هذا الأثر، یتقدّم بوافر التّقدیر للکاتب عبد الکریم الجنابی علی جهده الواضح فی ترجمته إلی قراء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 للترجمه و النشر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معاونیة التحقیق</w:t>
      </w:r>
      <w:bookmarkStart w:id="10" w:name="pg5231_29669"/>
    </w:p>
    <w:p>
      <w:pPr>
        <w:pStyle w:val="Heading2"/>
        <w:numPr>
          <w:ilvl w:val="1"/>
          <w:numId w:val="1"/>
        </w:numPr>
        <w:rPr/>
      </w:pPr>
      <w:bookmarkStart w:id="11" w:name="__RefHeading___Toc283132_581953129"/>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 xml:space="preserve">تقدیم معهد البحوث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الرّؤیة الکونیّة الاسلامیّة والعلم الحدیث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الدّکتور السّید حسین نصر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نقد العلم الحدیث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مسألة تورید العلم الغربی الحدیث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خطوات إنتاج علم إسلامی أصیل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کلام حول التقنیة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نظرة أخیرة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نظریّة العلم الدّینی حسب تقییم معادلات العلم والدّین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حجّة الإسلام و المسلمین علی شاهرودی عابدی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قانون الصّفر ما فوق الافتراضی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شرح الإمکان بمعنی الاحتمال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الاستدلال علی احتمال الصفر فوق الافتراضی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مفهوم الدّین فی هذا البحث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العلم والدّین فی المیزان </w:t>
      </w:r>
      <w:r>
        <w:rPr>
          <w:rFonts w:eastAsia="IRNazanin" w:cs="IRNazanin"/>
          <w:color w:val="111111"/>
          <w:sz w:val="28"/>
          <w:szCs w:val="28"/>
          <w:lang w:bidi="fa-IR"/>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الرئیسة فی مجال إحراز العلم البشری للواقع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البرهان الانی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الوجه المحدود والمشروط لعلاقة العقل الخاصّ بالشّرع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نبذة لبیان العقل والإجماع باعتبارهما أدلّة شرعیّة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الإجماع المنزّل منزلة الدّلیل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العقل المنزّل منزلة الدّلیل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العبور من مفهوم طبیعة الدّین وطبیعة العقل إلی العلم الدّینی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الاجتهاد من حیث أنّه مقوّم للعلم الدّینی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توضیح الاجتهاد بما هو مقوّم للعلم الدّینی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مفهوم العلم الدّینی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شرح العلم الدّینی الخاص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مقوّمات العلم الاجتهادی الخاص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العلوم الاجتهادیّة الخاصّة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منظومة العلوم الدّینیّة الاجتهادیّة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العلم الدّینی بالمعنی الأعمّ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بیان إمکان العلم الدّینی العامّ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برهان حول إمکان العلم الدّینی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أسلوب استخراج العلم الدّینی العامّ من الدّین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نظریة امتناع تجرید الحسیّات عن الأمور العقلیّة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التتمّة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التّجرید عن النّظریّة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حلّ مسألة التجرید عن النّظریّة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القضایا العمومیّة والأساس والموجّهة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التتمّة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العلم الدّینی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التتمّة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المعانی فی العلم الدینی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مراجعة لرأی الدّکتور مهدی کلشنی بخصوص دَیْنَنة العلم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سابقة البحث فی العلم الدّینی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نقد وتقیّیم إجمالی لآراء المعارضین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الاستیعاب الصّحیح للعلم الدّینی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تأثیر الاتّجاهات الدّینیة والفلسفیّة للعلماء علی الفعّالیّات العلمیّة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بواعث العلماء للقیام بالفعّالیّات العلمیّة واختیار المسائل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مقدّمات العلماء فی الفعّالیّات العلمیّة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وأثر مقدّمات العلماء فی اختیار التّجربة والکشوفات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مقدّمات العلماء فی التّنظیر العلمی </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مقدّمات العلماء فی اختیار معاییر تقیّیم ونقد النّظریّات العلمیّة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الأسس المیتافیزیّة فی عرض النّظریّات العلمیّة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الرّؤیة الکونیّة فی توجیه استخدامات العلم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تحقّق العلم الدّینی علی مدی تأریخ الحضارة الإسلامیّة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اختلاف العلوم الإنسانیّة والعلوم الطّبیعیّة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النّموذج التّأسیسیّ للعلم الدّینی فی رأی الدّکتور خسرو باقری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الآراء الفلسفیّة المطروحة حول العلم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الآراء المطروحة حول هویة الدّین والمعرفة الدّینیّة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هویة العلم الدّینی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معنائیّة العلم الدّینی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النزعة الوحدویّة للمیثولوجیا وعدم معنائیّة العلم الدّینی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التّعدّدیّة التباینیّة وعدم معنائیّة العلم الدّینی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التّعدّدیّة التداخلیّة ومعنائیّة العلم الدّینی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الصّحیح وغیر الصّحیح فی العلم الدّینی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الاتّجاه الإستنباطی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اتّجاه تهذیب واستکمال العلوم الفعلیّة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الاتّجاه التّأسیسیّ فی العلم الدّینی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مبنی العلم المعرّفی للنموذج التأسیسیّ العلم الدّینی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مبنی معرفة الدّین للنموذج التّأسیسی للعلم الدّینی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قابلیّة النّقض فی النّموذج التأسیسیّ للعلم الدّینی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نفی الاتّجاه النّسبی للعلم المعرّفی عن النّموذج التأسیسیّ للعلم الدّینیّ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مقدّمات و مراحل تأسیس العلم الدّینی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المیول وتقییم دینیة العلوم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الدّکتور سعید زیبا کلام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دور العقائد الثّقافیّة فی تحدید العوامل المؤثّرة فی الظّواهر الطّبیعیّة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دور المیول والطّموحات فی اختبار النّظریّات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دور القیم الدّینیةّ فی المعیار التّمییزی للمعارف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القیم والرّؤی الدّینیة باعتبارها أرکاناً للعلوم الإنسانیّة والإجتماعیّة </w:t>
      </w:r>
      <w:r>
        <w:rPr>
          <w:rFonts w:eastAsia="IRNazanin" w:cs="IRNazanin"/>
          <w:color w:val="111111"/>
          <w:sz w:val="28"/>
          <w:szCs w:val="28"/>
          <w:lang w:bidi="fa-IR"/>
        </w:rPr>
        <w:t>136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القیم والرّؤی الدّینیة، العناصر الضّروریّة للتنظیر فی العلوم الإجتماعیّة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دور القیم والرّؤی الدّینیّة فی تمییز النّطاق الخصوصی والعمومی فی مجال الحقوق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الإجابة عن بعض المعوّقات المطروحة لدور الدّین التّقویمی فی ترکیبة العلوم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العلم الدّینی أداة تطبیق الإسلام فی العمل الاجتماعی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حوار مع حجّة‌الإسلام السّید مهدی میرباقری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الثّورة السّیاسیّة والثّورة الثّقافیّة مقدّمتان ضروریّتان للوصول إلی العلم الدّینی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دعوی التّوصّل إلی فلسفة للعلم الدّینی باعتبارها مرکزاً للتنسیق بین العلوم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عدم أفضلیّة الارتباط المنطقی بین الدّین والعلم فی الماضی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ضرورة تنظیم العلم الدّینی علی أساس فلسفة العلم الدّینی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کیفیّة توفیر الظّروف اللازمة لتحقّق الثّورة العلمیّة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کیفیّة التّفاهم مع المجتمع العالمی حول العلم الدّینی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الحکم علی ما یوصف علی أنّه علم دینی حالیّاً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ألیس من الممکن انتخاب طریق أقصر من خلال جهود موردیّة؟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مدی انسجام النّظریّة المطروحة فی مجال تکامل العلوم مع حقائق تأریخ العلم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الباعث المحوریّ أو کشف الحقیقة فی التّطوّرات العلمیّة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ملاک تقییم النّظریّات العلمیّة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مقدّمات أسلمة العلوم الإنسانیّة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الأستاذ مصطفی ملکیان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الإسلام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العلوم الإنسانیّة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النّقص الموجود فی العلوم الإنسانیّة الحالیّة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علاقة الدّین بمقولتی العلم والقیم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لإقناع الآخرین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الإسلام والعلوم الإجتماعیّة؛ نقد حول دَیْنَنة العلم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الدّکتور عبدالکریم سروش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حکم المسألة بلحاظ أصالة الموضوع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المسألة بلحاظ أصالة المنهج </w:t>
      </w:r>
      <w:r>
        <w:rPr>
          <w:rFonts w:eastAsia="IRNazanin" w:cs="IRNazanin"/>
          <w:color w:val="111111"/>
          <w:sz w:val="28"/>
          <w:szCs w:val="28"/>
          <w:lang w:bidi="fa-IR"/>
        </w:rPr>
        <w:t>223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المسألة بلحاظ أصالة الغایة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إنّ قیاس العلوم الطّبیعیّة مع العلوم الإنسانیّة قیاس مع الفارق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هل یمکن التحدّث عن العلم الدّینی للانثربولوجیا؟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هل أنّ قاعدة إمکانیّة النقض تجری فی العلوم الإجتماعیّة الإسلامیّة أم لا؟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الملاحظات </w:t>
      </w:r>
      <w:r>
        <w:rPr>
          <w:rFonts w:eastAsia="IRNazanin" w:cs="IRNazanin"/>
          <w:color w:val="111111"/>
          <w:sz w:val="28"/>
          <w:szCs w:val="28"/>
          <w:lang w:bidi="fa-IR"/>
        </w:rPr>
        <w:t>239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247</w:t>
      </w:r>
      <w:bookmarkStart w:id="13" w:name="pg5231_29675"/>
    </w:p>
    <w:p>
      <w:pPr>
        <w:pStyle w:val="Heading2"/>
        <w:numPr>
          <w:ilvl w:val="1"/>
          <w:numId w:val="1"/>
        </w:numPr>
        <w:rPr/>
      </w:pPr>
      <w:bookmarkStart w:id="14" w:name="__RefHeading___Toc283134_581953129"/>
      <w:bookmarkStart w:id="15" w:name="_Toc5"/>
      <w:bookmarkEnd w:id="13"/>
      <w:bookmarkEnd w:id="14"/>
      <w:r>
        <w:rPr>
          <w:rtl w:val="true"/>
        </w:rPr>
        <w:t>تقدیم معهد البحوث</w:t>
      </w:r>
      <w:bookmarkEnd w:id="15"/>
    </w:p>
    <w:p>
      <w:pPr>
        <w:pStyle w:val="BookText"/>
        <w:rPr/>
      </w:pPr>
      <w:r>
        <w:rPr>
          <w:rFonts w:ascii="IRNazanin" w:hAnsi="IRNazanin" w:eastAsia="IRNazanin"/>
          <w:color w:val="111111"/>
          <w:sz w:val="28"/>
          <w:sz w:val="28"/>
          <w:szCs w:val="28"/>
          <w:rtl w:val="true"/>
          <w:lang w:bidi="fa-IR"/>
        </w:rPr>
        <w:t xml:space="preserve">یعدّ البحث فی العلوم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 المعرفة، التّخطیط، والسیطرة علی الظّواهر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السّعادة الحقیقیة للبشریّة؛ ضرورة لا یمکن التغاضی عنها، وإنّ الاستفادة من العقل وتعالیم الوحی إلی جانب المعطیات التّجربیّة وحقائق الواقع الملموسة والثّقافة والقیم الأصیلة للمجتمعات؛ تعدّ شرطاً أساسیاً لحیویة وواقعیة وتأثیر مثل هذه البحوث فی أیّ مجتمع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ویعتمد البحث فی نطاق المجتمع الإسلامی الإیرانی إذا ما ارید له أن یکون جادّاً ومنتجاً علی معرفة حقائق المجتمع من جهة والإسلام باعتباره أتقن التّعالیم الموحاة وأساساً لمقوّمات ثقافته من جهة أخری؛ ومن هنا یحتلّ الاطّلاع الدّقیق والعمیق علی المعارف الإسلامیّة وتوظیفها فی البحث، وإعادة تأصیل أسّس ومسائل العلوم الإنسانیّة؛ یحتلّ موقعاً ممیّزاً فی هذا المجال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هیّأ الالتفات لهذه الحقیقة الاستراتیجیّة من قِبل الإمام الخمینی قدس سره مؤسّس الجمهوریّة الإسلامیّة، الأرضیّة المناسبة لتأسیس مکتب التّعاون فیما بین الحوزة العلمیّة والجامعة وذلک عام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وقامت هذه المؤسّسة العلمیّة علی قدمیها من خلال توجیهاته ورعایته لها ومن خلال عزم وإرادة أساتذة الحوزة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التّجربة الموفّقة لهذه المؤسّسة أرضیة مناسبة لتوسیع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ثمرة ذلک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الحوزة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 من لجنة توسعة التّعلیم العالی، والّذی تمّ ترقیته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البحث الحوزوی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بحوث الحوزة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قدّم معهد البحوث هذا خدمات متعدّدة إلی التجمّعات العلمیّة علی طریق القیام بمهمّته الرّسالیّة الشاقّة، ویمکن الإشارة إلی بعض ذلک فی مجال إعداد، تألیف، ترجمة، ونشر عشرات الکتب والدوریات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ونستثمر هذه الفرصة لندعوا الأساتذة والمفکّرین الکرام إلی المساهمة فی التّعاون، الإرشاد والاقتراح البنّاء لدعم هذا الأثر الّذی بین یدیکم وتدوین مؤلّفات أخری تساهم فی سدّ حاجة المجتمع الجامعی فی هذا المجال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یسع معهدنا هذا إلّا تقدیم الشکر والامتنان للأساتذة والمفکّرین الّذین ساهموا فی إغناء هذا الکتاب بآرائهم، وکذا الّذین قاموا بإعداده؛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الحسنی، مهدی علی بور، وحمید تقی موحّد الأبطحی</w:t>
      </w:r>
      <w:r>
        <w:rPr>
          <w:rFonts w:eastAsia="IRNazanin" w:cs="IRNazanin"/>
          <w:color w:val="111111"/>
          <w:sz w:val="28"/>
          <w:szCs w:val="28"/>
          <w:rtl w:val="true"/>
          <w:lang w:bidi="fa-IR"/>
        </w:rPr>
        <w:t>.</w:t>
      </w:r>
      <w:bookmarkStart w:id="16" w:name="pg5231_29677"/>
    </w:p>
    <w:p>
      <w:pPr>
        <w:pStyle w:val="Heading2"/>
        <w:numPr>
          <w:ilvl w:val="1"/>
          <w:numId w:val="1"/>
        </w:numPr>
        <w:rPr/>
      </w:pPr>
      <w:bookmarkStart w:id="17" w:name="__RefHeading___Toc283136_581953129"/>
      <w:bookmarkStart w:id="18" w:name="_Toc6"/>
      <w:bookmarkEnd w:id="16"/>
      <w:bookmarkEnd w:id="17"/>
      <w:r>
        <w:rPr>
          <w:rtl w:val="true"/>
        </w:rPr>
        <w:t>مقدّمة</w:t>
      </w:r>
      <w:bookmarkEnd w:id="18"/>
    </w:p>
    <w:p>
      <w:pPr>
        <w:pStyle w:val="BookText"/>
        <w:rPr/>
      </w:pPr>
      <w:r>
        <w:rPr>
          <w:rFonts w:ascii="IRNazanin" w:hAnsi="IRNazanin" w:eastAsia="IRNazanin"/>
          <w:color w:val="111111"/>
          <w:sz w:val="28"/>
          <w:sz w:val="28"/>
          <w:szCs w:val="28"/>
          <w:rtl w:val="true"/>
          <w:lang w:bidi="fa-IR"/>
        </w:rPr>
        <w:t>لطالما شغلت دراسة الصّلة والنّسبة فیما بین أنواع الاعتقادات البشریّة أذهان المفکّرین والعلماء منذ أمدٍ بعیدٍ ویمکن تلمّس مثل هذا الاهتمام فی الغرب؛ حیث یشیر التأریخ إلی أنّ الیونانیین القدماء قد خاضوا فی مسألة النّسبة بین الأسطورة والفلسفة وذلک عند بدایة تبلور الفکر الفلسفی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الأسطورة الّتی کانت تحتلّ موقعاً متقدّماً جدّاً فی الثّقافة الیونانیّة، بینما لم یکن لهما مثل هذا الموقع فی الفکر الفلسفی الأرسطی؛ حیث کتب فی کتابه المیتافیزیة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اللائق التّطرّق إلی أفکار وعقائد مَن یوظّف ذکاءه وفراسته فی مجال الأساطیر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مثال آخر فی هذا النّطاق یمکن ملاحظته فی العلاقات فیما بین العقائد الدّینیّة والأفکار الفلسفیّة، فالآراء الفلسفیّة لأفلاطون وأرسطو فی مجال عالم الوجود، الهویّة الإنسانیّة، الأخلاق، السیاسة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بیانها ونشرها علی مدی قرونٍ قبل ولادة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انتشار الیهودیّة والمسیحیّة وشمول وتأصّل تعالیمهما دخلت العلاقة فیما بین التّعالیم الدّینیّة والأفکار الفلسفیّة ضمن دائرة البحث والتّحلیل عند المفکّرین وعلماء الدّین وتمّ عرض آراء مختلفة فی مجال العلاقة بین الدّین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سعی کثیر من الفلاسفة والمفکّرین لاکتشاف الصّلة والنّسبة فیما بین الاعتقادات النّاشئة عن التّأمّلات العقلیّة والاعتقادات المبتنیة علی الوحی الإلهی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الوسط حاول الفلاسفة الدّینیّون إیجاد نوع من الانسجام والوفاق فیما بین هذین القسمین من الاعتقادات وذلک لتثمین المکاسب العقلیّة من جهة واحترام معطیات الوحی من</w:t>
      </w:r>
    </w:p>
    <w:p>
      <w:pPr>
        <w:pStyle w:val="BookText"/>
        <w:rPr/>
      </w:pPr>
      <w:r>
        <w:rPr>
          <w:rFonts w:ascii="IRNazanin" w:hAnsi="IRNazanin" w:eastAsia="IRNazanin"/>
          <w:color w:val="111111"/>
          <w:sz w:val="28"/>
          <w:sz w:val="28"/>
          <w:szCs w:val="28"/>
          <w:rtl w:val="true"/>
          <w:lang w:bidi="fa-IR"/>
        </w:rPr>
        <w:t>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التّوفیق فیما بین هذین القسمین بأسالیب متعدّدة؛ وبعد النّهضة الحدیثة وتزامناً مع تبلور المدارس الفلسفیّة الجدیدة، اتّخذ البحث لتقییم العلاقات فیما بین الدّین والفلسفة أبعاداً واسعة وفتح آفاقاً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لهذا التّفاعل فیما بین الحقائق العلمیّة والاعتقادات الدّینیّة فی الغرب هو ذلک الّذی وقع فی القرون الوسطی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فقد کانت مراسلات ومناظرات غالیلو مع القساوسة والأساقفة، والمباحث الکلامیّة، الفلسفیّة والعلمیّة فی العقد الثّانی من القرن السّابع عشر من أهمّ وأبرز المباحث المتعلّقة بهذا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آباء الکنیسة یرون أنّه لا یمکن أن ینظر إلی الاعتقاد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مرکزیّة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بمعزل عن‌الدّین؛ لأنّ مثل هذا الکلام کان مطروحاً فی الکتاب المقدّس الّذی لا یمکن أن یکون غیر مطابق للواقع حسب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اقتراحهم حول الظّواهر الّتی أظهرها تلسکوب غالیلو؛ هو أنّه من الأفضل اعتبار المنظومة الکوبرنیکیّة النّموذج الرّیاضی الأوحد والأبسط فی مجال وصف وبیان الظّواهر النّجومیّة علی أن لاتدّعی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أتباع المنظومة الکوبرنیکیّة لم یرضخوا ویذعنوا لهذا الرأیّ کغالیلو، وجاء کوبرنیک ذاته لیعلن بأنّ المنظومة الواقعیّة الوحیدة هی منظومته المقترحة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ووضّح غالیلو فی رسائل متعدّدة رأیه حول کیفیة تفسیر الکتاب المقدّس وصرّح بوضوح تامّ بأنّ الکتاب المقدّس لم یخطئ فی ذلک فیما لو توصّلنا إلی فهم معناه الصّحیح</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ومع أنّ جهود غالیلو الدائبة فی ذلک العهد لم تثمر شیئاً وصدر حکم الکنیسة ضدّه وضدّ المنظومة الکوبرنیکیّة عموماً واستمرّ ذلک حتّی عام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الّذی حذف فیه البابا الکتب الّتی تقول بمرکزیّة الشّمس من قائمة کتب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باب الحوار بین الاستنتاجات المأخوذة من الطّبیعة والدّین وتقسیم العلاقة فیما بین مدّعیات هذین القطبین المعرفیین لم یغلق أبداً؛ ولکنّه اتّخذ أبعاداً أوسع وطُرحت مدّعیات جدیدة لهما من خلال تأسیس علوم أخری کعلم البیئة، علم النّفس، علم الاجتماع 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الاعتقاد العام والشائع حول المسیحیة هو أنّ لها سابقة طویلة فی معارضة ومخالفة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خلفیة هذا الاعتقاد المتداول إلی طرح هذه المسألة فی</w:t>
      </w:r>
    </w:p>
    <w:p>
      <w:pPr>
        <w:pStyle w:val="BookText"/>
        <w:rPr/>
      </w:pPr>
      <w:r>
        <w:rPr>
          <w:rFonts w:ascii="IRNazanin" w:hAnsi="IRNazanin" w:eastAsia="IRNazanin"/>
          <w:color w:val="111111"/>
          <w:sz w:val="28"/>
          <w:sz w:val="28"/>
          <w:szCs w:val="28"/>
          <w:rtl w:val="true"/>
          <w:lang w:bidi="fa-IR"/>
        </w:rPr>
        <w:t>کتابین یرجع تدوینهما إلی ما قبل قرن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آندرو دیکسون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تعارض العلم والإلهیات فی العالم المسیحی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وکذلک جان ویلیام درابر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العلم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طرحا هذه النّظریّة الّتی راجت فی القرن العشرین واشتهرت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النّظریّة الّتی عُرفت بفرضیّة التّعارض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Conflict Thesi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کانت ذات نظرة تفاؤلیّة تّجاه العلم وتشاؤمیّة تّجاه الدّین وتعتقد بأنّ الدّین فی ذاته یتعارض والاستنتاجات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التّعارض ذاتیّ‌وبنیوی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النّظریّة علی رغم شیوعها وشهرتها إلّا أنّها لم تنج من طعون المخالفین والمعارضین منذ بدایتها وحتّی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جون هادلی بروک من أهمّ هؤلاء المخالفین والّذی وسمها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 التاریخیّة للعلم والدّین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بالسذاجة، وطرح نظریّة التّرابط المتعدّد الوجوه أو المعقّد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Complexity Thesis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التّعالیم الدّینیّة والحقائق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ویرکّز هذا الاتّجاه؛ علی تقییم العلاقة فیما بین العلم والدّین المسیحی من خلال أبعاد وعملیّات معقّدة ومتعدّدة الجوانب برزت فی ظروف ومقاطع تاریخیة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بروک أنّ هذه العلاقة عدا بعض الاستثناءات أمثال رأی غالیلو وما شابهه؛ کانت جیّدة وفعّالة وسلیمة وأنّ المسیحیة هیّأت وفی موارد متعدّدة أسباب نمو وارتقاءالعلم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حضَت هذه النّظریّة بأنصار کثر فی أوساط المختصّین بتاریخ العلم، مع أنّ قصّة وجود التّعارض الذّاتیّ فیما بین العلم والدّین المسیحی أعمق من أن تمحوه مثل هذه‌النّظریّات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أمّا فی العالم الإسلامی فقد انعکس التّعامل فیما بین معطیات الوحی والاکتشافات الإنسانیّة فی قالب نزاع فیما بین الفلسفة والعرفان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أسلوب الفکر الفلسفی الّذی انتقل إلی العالم الإسلامی فی عصر التّرجمة عن طریق الیونان قد قوبل بإهتمام جادّ ممّا أدّی إلی استحکامه ورسوخه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وتبلور فی هذه الحقبة النّزاع فیما بین تیاریّ النّصیّة والعقلنة وذلک منذ بدایة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ملاحظة ذروة هذا النّزاع فی عصر الغزالی وابن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وعلی‌رغم قِدم البحث حول العلاقة فیما بین الکلام والفلسفة والعرفان والدّین فی العالم الإسلامی، فإنّ البحث فی التّعارض بین العلم والدّین یعدّ بحثاً مستحدثاً تعود بدایاته إلی العلاقات الّتی قامت بین الدّول الأوربیّة والعالم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الدّول الإسلامیّة، ومن ضمنها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قبل تأسیس دارالفنون وتوسّعها وتأسیس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تبلور النّظام التّعلیمی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الحوزات العلمیّة إضافة إلی قیامها بالبحث فی العلوم الدّینیّة؛ تخوض أیضاً فی المسائل العلمیّة، فالأساتذة الّذین یدرّسون الرّیاضیّات، النّجوم، الطّب، الکیمیاء، الفسلجة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الحوزات العلمیّة کانوا قد تلقّوا تعلیمهم فی نظام التّعلیم الدّینی، وأدّی ذلک بطبیعة الحال إلی تکوین علاقة فعّالة وسلمیة فیما بین العلم والدّین بواسطة أولئک العلماء</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وبصورة عامّة، فقد واجه العلم الغربی الّذی دخل العالم الإسلامی قبل مئتی عام تقریباً ردود إفعال متفاوتة لإقرار هذا العلم الجدید والقبول به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بإعتباره غیر منسجم والإسلام، فحسب رأی هؤلاء أنّ العلاج الناجح لتخلّف</w:t>
      </w:r>
    </w:p>
    <w:p>
      <w:pPr>
        <w:pStyle w:val="BookText"/>
        <w:rPr/>
      </w:pPr>
      <w:r>
        <w:rPr>
          <w:rFonts w:ascii="IRNazanin" w:hAnsi="IRNazanin" w:eastAsia="IRNazanin"/>
          <w:color w:val="111111"/>
          <w:sz w:val="28"/>
          <w:sz w:val="28"/>
          <w:szCs w:val="28"/>
          <w:rtl w:val="true"/>
          <w:lang w:bidi="fa-IR"/>
        </w:rPr>
        <w:t>العالم الإسلامی یمرّ عبر اتّباع التّعالیم الإسلامیة، وفتحت فئة أخری ذراعیها لاستقبال العلم الجدید وسعت جاهدة لأجل تأییده وإقراره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هذه الفئة أنّ العلاج الوحید لتخلّف المجتمعات الإسلامیة ینحصر فی التمکّن من استیعاب العلم الجدید واستبدال‌الرّؤیة الکونیّة الدّینیّة بالرّؤیة الکونیّة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الرأی یعتقد بأنّ العلم‌الحدیث هو المصدر الوحید للفکر الحقیقیّ والواقعی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من یعتقد بهذا الفکر ادّعی بأنّه ینبغی علی الإلهیّات أن تتّبع أسالیب العلوم الغربیّة أیضاً، وأنّ‌الطّریق الوحید لمعرفة الله، یتمرکز فی مطالعة الطّبیعة من خلال الأسلوب العلمیّ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 هذا الفکر أنّ الاستدلالات القرآنیّة علی الظّواهر الطّبیعیّة تعدّدلیلاً علی أهلیّة العلم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البعض طبّق الحکمة القرآنیّة علی الفلسفة الوضعیّة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واقتصرت بعض الآراء أیضاً علی محاولة إبراز انسجام الإسلام مع العلم الحدیث؛ ویمکن تقسیم هذه الفئة إلی ثلاث طوائف رئیسه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سعت لتبریر وجوب شمول العلم الحدیث للنطاق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هؤلاء أنّه ینبغی الإحاطة بالعلم الحدیث واستیعابه لتأمین حاجات المجتمع الإسلامی، أو لیکون علی‌الأقل فی منأی عن انتقاد المستشرقین والمثقّفین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وحاولت طائفة أخری التّدلیل علی أنّ جمیع المکاسب المهمّة للعلم الحدیث یمکن استظهارها فی القرآن والسُّنة وحتّی أنّه یمکن کذلک فهم وإدراک الحکمة من بعض المقرّرات الدّینیّة بواسطة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بعض أفراد هذه الطّائفة أنّ النّتائج الّتی توصّل إلیها العلم التّجربی کان قد صرّح بها الأنبیاء قبل قرون متمادیة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کانت ترید عرض تفسیر حدیث للإسلام یحکمه کلام حدیث کی تتمکّن من مدّ جسور وقنوات فیما بین‌العلم الحدیث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کان السیر أحمد خان العالم والمفکّر الهندی، یبحث عن الإلهیّات الطّبیعیّة کی یتمکّن من خلالها بیان الأصول الأساسیّة للإسلام فی ضوء اکتشافات العلم الحدیث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قسم آخر من المفکّرین الإسلامیّین حاولوا أیضاً فصل اکتشافات العلم الحدیث عن محتویاته وضمائمه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ذات الوقت الّذی ثمّنوا فیه سعی علماء الغرب لإکتشاف أسرار الطّبیعة کانوا یحذّرون المسلمین من التّبعات المادّیة للعلم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هذه المجموعة، أنّ</w:t>
      </w:r>
    </w:p>
    <w:p>
      <w:pPr>
        <w:pStyle w:val="BookText"/>
        <w:rPr/>
      </w:pPr>
      <w:r>
        <w:rPr>
          <w:rFonts w:ascii="IRNazanin" w:hAnsi="IRNazanin" w:eastAsia="IRNazanin"/>
          <w:color w:val="111111"/>
          <w:sz w:val="28"/>
          <w:sz w:val="28"/>
          <w:szCs w:val="28"/>
          <w:rtl w:val="true"/>
          <w:lang w:bidi="fa-IR"/>
        </w:rPr>
        <w:t>العلم الحدیث لیس بإمکانه إلّا توضیح بعض ممیّزات عالم الطّبیعة، أمّا أنّه یتمکّن من التّوصّل إلی جمیع العلوم فهذا ما لا طاقة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یوضع العلم الحدیث فی صلب الرّؤیة الکونیّة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تعترف بدرجات أعلی للفکر ویتحقّق فیها دور العلم فی ربطنا بالله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واُبدیت فی القرون الماضیة ردود أفعال مختلفة فی العالم الإسلامی حیال الغرب والعلم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أوائل السّبعینات من القرن الماضی أطلق بعض النخب فی الباکستان مسألة أسلمة الجامعات ولا زالت بعض المؤسّسات تتابع هذه المسألة 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إقبال اللاهوری من الشّخصیّات المؤثّرة علی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وانتقد المودودی فی باکستان عدم مبالاة الجامعات بالدّین وأکّد علی ضرورة تطویر وتثویر الجامعات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 البروفسور نقیب العطّاس فی مالیزیا کتاباً بعنوان التّعلیم الإسلامی وطرح فیه مسألة أسلمة العلم والجامعات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مصر من ضمن الدّول الإسلامیّة الّتی بذلت جهوداً فی هذا المجال فقد شهدت هذه الدّولة الّتی کانت میداناً لتعالیم مفکّرین کالسّید جمال‌الدّین الأسدآبادی والشّیخ محمّد عبده ضمن حرکة المواجهة مع العلمانیة بقیادة جامعة الأزهر والمحافل الدّینیة الأخری؛ شهدت أقوی الصّراعات الجادّة لمواجهة حرکة علمنة الجامعات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إیران أیضاً برزت انتقادات بعض العلماء والمثقّفین الإسلامیّین بخصوص تبعیّة نظام التّعلیم العالی للأجانب وعلمنة جامعات البلاد وذلک قبل انتصار الثورة الإسلامیّة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عدّ تعالیم وأفکار أفراد کالعلّامة الطّباطائی، آیة‌الله الشّهید مطهّری، الشّهید الصّدر، آیة‌الله مصباح الیزدی، المهندس بازرکان، المهندس سحابی المتعلّقة بالمارکسیّة ودعوی علمیّتها والبحوث الاجتماعیة والاقتصادیّة المرتبطة بها؛ من المسائل الحاسمة فی علاقة العلم والدّین فی إیران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فقد طُرحت فی هذه السّنوات بحوث فی مجال علمیّة أو عدم علمیّة المارکسیّة من جهة والعلاقة بین النّظام والمدرسة الاقتصادیّة للإسلام والنّظامین الاقتصادیّین الشّرقی والغربی من جهةٍ أخری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ویعدّ برهان النّظم والاستفادة من المکاسب العلمیّة فی مسألة نظم العالم لإثبات وجود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نظریّة الإلهیّات الطّبیعیّة فی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ونظریة دارون ورأی الإسلام</w:t>
      </w:r>
    </w:p>
    <w:p>
      <w:pPr>
        <w:pStyle w:val="BookText"/>
        <w:rPr/>
      </w:pPr>
      <w:r>
        <w:rPr>
          <w:rFonts w:ascii="IRNazanin" w:hAnsi="IRNazanin" w:eastAsia="IRNazanin"/>
          <w:color w:val="111111"/>
          <w:sz w:val="28"/>
          <w:sz w:val="28"/>
          <w:szCs w:val="28"/>
          <w:rtl w:val="true"/>
          <w:lang w:bidi="fa-IR"/>
        </w:rPr>
        <w:t>حیالها؛ من موارد البحث فی التّعامل بین العلم و الدّین الّتی طُرحت أبان تلک الفترة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البحوث المهمّة و المثیرة الّتی طُرحت فی مجال العلاقة بین العلم و الدّین؛ هو البحث فی نماذج بیان العلم الدّینی أو أسلمة العلم الّذی استتبعه أقوال ونظریات متعدّدة من قِبل المنظّرین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وإثر انتصار الثورة الإسلامیّة وحدوث الثّورة الثّقافیّة غداً موضوع أسلمة مراکز التّعلیم العالی من الأهداف الأساسیّة لتلک الثّورة الثّقافیّة وقد قام المجلس الأعلی للثّورة الثّقافیّة بإجراءات متعدّدة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وجود مثل هذا الّتیار یفرز تیارات فکریّة مؤیّدة ومخالفة علی مستوی فکر العلم الدّینی وضرورته وإمکانه وکیفیّة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هذا الکتاب الماثل بین یدی القرّاء الکرام حصیلة لبعض أهمّ الآراء الّتی ظهرت فی مجال العلم الدّینی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سعینا فی هذه المجموعة إلی طرح دراسة الآراء المعارضة لإمکانیّة تحقّق العلم الدّینی وکذا آراء متنوّعة من الفئات المؤیّدة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الجدیر بالإشارة التّأکید علی أنّه لیس من اللّازم أن یکون استیعاب أصحاب هذه الآراء لموضوع العلم الدّینی استیعاباً موحّداً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إیجاز الصّورة العامّة للآراء المطروحة فی هذه المجموعة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البعض، ومن ضمنهم السّیدان ملکیان وسروش؛ أنّ العلم الدّینی غیر ممکن وغیرضروری ویؤکّدون علی وجود تناقض منطقی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هؤلاء تقّف آراء أخری تری بأنّ العلم الدّینی أمر ضروری وممکن وحتّی أنّ بعضه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القائلین بإمکانیّة وضرورة العلم الدّینی، فئة تری بأنّ جمیع المفاهیم، الأسالیب ومناهج العلوم وحتّی قواعد المنطق والریاضیّات من الممکن أن تکون دینیّة أو غیر دینیّة وینبغی علی علماء المسلمین الالتفات إلی ضرورة أسلمة جمیع أنواع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 آخر، کرأی السّید کلشنی أنّه یکفی فی تفسیر المکاسب العلمیّة من أجل وسم العلم بالدّینی؛ الاعتماد علی اتّجاه یعتقد بالله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زاویة أخری یری السّید نصر أنّ العلوم الّتی أنتجها المسلمون فی مرحلة الحضارة الإسلامیّة کانت علوماً دینیّة وقدسیّة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 میر باقری یعتقد بأنّ العلوم لم تکن دینیّة فی أیّ عهد وزمان، وفی نظرة أخری، ینفرد السّید زیباکلام بمحاولته إثبات إمکان العلم الدّینی، وأشرّ البعض الآخر، ومن ضمنهم السّید باقری، علی طرق تدخّل العقائد الدّینیّة فی صنع العلوم وحاولوا الوصول إلی العلم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البحث فی بعض الآراء الّتی یمثّلها رأی السّیدین ملکیان وسروش بتعریف العلم والدّین للإجابة عن سؤال إمکان العلم الدّینی، وعلی أساس التّعریف الّذی یعرضانه یبیّنان موقفهما حیال ضرورة وإمکان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الاتّجاه المقابل یبحث البعض الآخر أمثال زیبا کلام وکلشنی إمکان العلم الدّینی من خلال الإشارة إلی تأریخ العلم والنّظریّات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الرأی الشّائع فی إستنباط المعارف الدّینیّة بطریقة منهجیّة فی المجالات الدّینیّة من أکثر الآراء موضوعیّة فی باب العلم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یتقدّم قسم فلسفة العلوم الإنسانیّة لمعهد بحوث الحوزة والجامعة بالشّکر لجمیع الأساتذة وأصحاب الآراء والتّقدیر لجهودهم الّتی بذلوها لإخراج هذا الکتاب، یقوم بعرض بعض الملاحظات فی حدود النّطاق الموجز لهذا الکتاب تعلیقاً علی الآراء المطروحة فیه للمساهمة فی رقیّ وتفتّح مجالات البحث فی العلم الدّینی أکثر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أنّه لم تکن للدکتور کلشنی مقالة منسجمة فی باب العلم الدّینی وعلی‌رغم إلحاحنا لم یسمح له وقته الضیّق من کتابة بحث جدید فی هذا المجال، ومن هنا، فقد قمنا بقراءةٍ جدیدةٍ لأفکاره من خلال الاستفادة من کتاباته المنشورة علی هذا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وقمنا کذلک بتلخیص أثر الدّکتور خسرو باقری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وتقدیمه إلی القراء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من الباحثین الأعزاء فی الحوزة والجامعة إغناء هذه البحوث للمساهمة فی تقدّم الحرکة العلمیّة للبلاد من خلال إرشاداتهم وتوجیهاتهم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نقدّم جزیل شکرنا لعمید معهد البحوث المحترم ومساعده فی مجال البحوث وجمیع الباحثین الّذین شارکوا وساعدوا علی تدوین هذا الکتاب، وکذلک نقدّم شکرنا وتقدیرنا للسّید محمّد باوی، الّذی بدأ هذا المشروع والّذی قام بجهود مضنیة فی مجال البحث وجمع المقالات إلّا أنّه لم یتمکّن من الاستمرار فی العمل بسبب حادث سیر أدّی إلی فقده الوعی، نسأل الله استعادة وعیه وسلامته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فلسفة العلوم الإنسانیّة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معهد بحوث الحوزة والجامعة</w:t>
      </w:r>
      <w:bookmarkStart w:id="19" w:name="pg5231_29685"/>
    </w:p>
    <w:p>
      <w:pPr>
        <w:pStyle w:val="Heading2"/>
        <w:numPr>
          <w:ilvl w:val="1"/>
          <w:numId w:val="1"/>
        </w:numPr>
        <w:rPr/>
      </w:pPr>
      <w:bookmarkStart w:id="20" w:name="__RefHeading___Toc283138_581953129"/>
      <w:bookmarkStart w:id="21" w:name="_Toc7"/>
      <w:bookmarkEnd w:id="19"/>
      <w:bookmarkEnd w:id="20"/>
      <w:r>
        <w:rPr>
          <w:rtl w:val="true"/>
        </w:rPr>
        <w:t>الرّؤیة الکونیّة الاسلامیّة والعلم الحدیث</w:t>
      </w:r>
      <w:bookmarkEnd w:id="21"/>
    </w:p>
    <w:p>
      <w:pPr>
        <w:pStyle w:val="Heading3"/>
        <w:numPr>
          <w:ilvl w:val="2"/>
          <w:numId w:val="1"/>
        </w:numPr>
        <w:rPr/>
      </w:pPr>
      <w:bookmarkStart w:id="22" w:name="__RefHeading___Toc283140_581953129"/>
      <w:bookmarkStart w:id="23" w:name="_Toc8"/>
      <w:bookmarkEnd w:id="22"/>
      <w:r>
        <w:rPr>
          <w:rtl w:val="true"/>
        </w:rPr>
        <w:t>الدّکتور السّید حسین نصر</w:t>
      </w:r>
      <w:bookmarkEnd w:id="23"/>
    </w:p>
    <w:p>
      <w:pPr>
        <w:pStyle w:val="BookText"/>
        <w:rPr/>
      </w:pPr>
      <w:r>
        <w:rPr>
          <w:rStyle w:val="FootnoteAnchor"/>
          <w:rtl w:val="true"/>
        </w:rPr>
        <w:footnoteReference w:id="15"/>
      </w:r>
    </w:p>
    <w:p>
      <w:pPr>
        <w:pStyle w:val="Heading3"/>
        <w:numPr>
          <w:ilvl w:val="2"/>
          <w:numId w:val="1"/>
        </w:numPr>
        <w:rPr/>
      </w:pPr>
      <w:bookmarkStart w:id="24" w:name="__RefHeading___Toc283142_581953129"/>
      <w:bookmarkStart w:id="25" w:name="_Toc9"/>
      <w:bookmarkEnd w:id="24"/>
      <w:r>
        <w:rPr>
          <w:rtl w:val="true"/>
        </w:rPr>
        <w:t>مقدّمة</w:t>
      </w:r>
      <w:bookmarkEnd w:id="25"/>
    </w:p>
    <w:p>
      <w:pPr>
        <w:pStyle w:val="BookText"/>
        <w:rPr/>
      </w:pPr>
      <w:r>
        <w:rPr>
          <w:rFonts w:ascii="IRNazanin" w:hAnsi="IRNazanin" w:eastAsia="IRNazanin"/>
          <w:color w:val="111111"/>
          <w:sz w:val="28"/>
          <w:sz w:val="28"/>
          <w:szCs w:val="28"/>
          <w:rtl w:val="true"/>
          <w:lang w:bidi="fa-IR"/>
        </w:rPr>
        <w:t>یعدّ موضوع الإسلام والعلم الحدیث الیوم، وترافقه مع التقنیّة الحدیثة باعتبارها نتاجاً لهذا العلم، وکما فی السابق من أخطر المواضیع الّتی تواجه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باحثون ومفکّرون متعدّدون إلی هذا الموضوع الّذی استوعب جانباً کاملاً من الفعّالیّات الفکریّة الإسلامیّة فی القرن الماضی ولا زالوا یخوضون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الرغبة فی البحث فی هذا الموضوع حدیثة العهد، وتعود إلی المواجهة الفکریّة الجادّة فیما بین العالم الإسلامی والغرب الحدیث فی أوائل القرن التّاسع عشر والّتی شملت حرکة النّهضة فی العالم العربی والحرکات المشابهة عند الإیرانیین، الأتراک ومسلمی شبه القارة الهندیّة والباکستان فی تلک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وجذب هذا الموضوع کذلک أنظار شخصیّات متعدّدة أمثال جمال‌الدّین الأسدآبادی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أحمد خان، ضیاء غوغالب، محمد إقبال وأتباع حرکة السّلفیّة، وفی مرحلتنا هذه شیوخ الأزهر والمشتغلین بالعلم الحدیث أمثال عبدالسلام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أنّ علاقة المفکّرین المسلمین بالعلم الغربی وإلی حدّ ما بالتقنیّة کانت مرتبطة فی الأیام الأولی بالنزاع الفکری والکلامی لأجل استقلال البلدان الإسلامیّة سیاسیّاً ولو بصورة</w:t>
      </w:r>
    </w:p>
    <w:p>
      <w:pPr>
        <w:pStyle w:val="BookText"/>
        <w:rPr/>
      </w:pPr>
      <w:r>
        <w:rPr>
          <w:rFonts w:ascii="IRNazanin" w:hAnsi="IRNazanin" w:eastAsia="IRNazanin"/>
          <w:color w:val="111111"/>
          <w:sz w:val="28"/>
          <w:sz w:val="28"/>
          <w:szCs w:val="28"/>
          <w:rtl w:val="true"/>
          <w:lang w:bidi="fa-IR"/>
        </w:rPr>
        <w:t>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العلاقة الفعلیّة للدّول الإسلامیّة بالعلم والتّقنیّة لم تنشأ تقریباً من حاجتها إلی الحصول علی المعرفة وإنّما من حاجتها إلی اکتساب القدرة الاقتصادیّة والعسکریّة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انخرطت طائفة من المجدّدین فی صفوف ما یُصطلح علیهم بالمؤسّسین ووضعوا بلا رویة العلم والتقنیّة الحدیثة فی مرتبة العلم فی القرآن والرّوایات ومجموع السُّنة الفکریّة للإسلام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هؤلاء لا یعیرون أیّ أهمّیّة للتّفاوت فیما بین العلم لأجل کسب المعرفة والفهم العمیق للآیات والمخلوقات الإلهیّة فی إرتباطها بالله وکمال الرّوح البشریّة من جهة، والعلم لأجل کسب السّلطة للهیمنة علی الکائنات الإلهیّة والنّاس الآخرین من جهة أخری، وعلی الخصوص الشّعوب الأخری والمجموعات القومیّة والمذهبیّة وممّا یعضد ویؤیّد ذلک بشکل واضح تأریخ الغرب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أنّه یمکن إدراک سبب بروز هذا التّمجید الأعمی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والتّقنیة الحدیثة فی جمیع قطّاعات المجتمع الإسلامی علی الرّغم من الاختلافات السّیاسیّة والکلامیّة والفقهیة العمیقة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وتتجلّی هذه المسألة بوضوح عندما نری أنّ عدد قتلی المسلمین فی حرب ما یصل إلی ثلاثمئة قتیل بینما یبلغ عدد قتلی الطّرف المقابل ستّین قتیلاً فقط، أو عندما نری أنّ المسلمین فی أیّ مواجهة یخوضونها ضدّ الآخرین ابتداءً من البوسنة إلی الشیشان وکشمیر والفلبین یکونون فی موضع دفاعیّ علی‌الدوام ویتعرّضون للإبادة الجماعیة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هذا نلاحظ رغبتهم العمیاء الجامحة فی اتّباع العلم والتقنیّة الغربیّة وعدم التّفکیر فی مدی کون هذا الشّوق ذا جانب عاطفی أو أنّه یمکن التّعویل علیه من ناحیة المصلحة أو الضرورة السّیاسیّة دون التّوجّه إلی الحقائق الّتی تشکّل الحجر الأساس للمسائل العمیقة فی علاقات الرّؤیة الکونیّة الإسلامیّة والعلم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الإسلام أنّه ینبغی أن تکون الحقیقة هی الحاکمة علی الأشیاء ونحن باعتبارنا مسلمین ینبغی أن یکون تفکیرنا مرتکزاً علی هذه الحقیقة علی الدوام، ولیس علی أساس المصلحة السّیاسیّة أو المصالح الأخری، ولا ننسی أبداً هذه الآیة القرآنیّة الکریمة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26" w:name="pg5231_29687"/>
    </w:p>
    <w:p>
      <w:pPr>
        <w:pStyle w:val="BookText"/>
        <w:rPr/>
      </w:pPr>
      <w:bookmarkEnd w:id="26"/>
      <w:r>
        <w:rPr>
          <w:rFonts w:ascii="IRNazanin" w:hAnsi="IRNazanin" w:eastAsia="IRNazanin"/>
          <w:color w:val="111111"/>
          <w:sz w:val="28"/>
          <w:sz w:val="28"/>
          <w:szCs w:val="28"/>
          <w:rtl w:val="true"/>
          <w:lang w:bidi="fa-IR"/>
        </w:rPr>
        <w:t>ومن هنا، فعلینا دراسة العلم الحدیث قبل أیّ شیء آخر ومطالعة رأی الإسلام فیه بشکل کامل ولسنا نقصد بهذا الرّأی مَن یدّعی الإسلامیّة علی أساس تلفیق المعانی الظّاهریّة لبعض الآیات القرآنیّة مع جمیع أنواع المفاهیم والمصطلحات المصدّرة من الغرب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الرأی النّاشئ من السُّنة الفکریّة للإسلام الّذی یشمل جمیع أقسامها والّذی لا یتمّ استنتاجه من خلال الفرَق الکلامیّة والفقهیّة وإنّما من خلال السُّنة وأبعادها الأعمّ</w:t>
      </w:r>
      <w:r>
        <w:rPr>
          <w:rFonts w:eastAsia="IRNazanin" w:cs="IRNazanin"/>
          <w:color w:val="111111"/>
          <w:sz w:val="28"/>
          <w:szCs w:val="28"/>
          <w:rtl w:val="true"/>
          <w:lang w:bidi="fa-IR"/>
        </w:rPr>
        <w:t>.</w:t>
      </w:r>
    </w:p>
    <w:p>
      <w:pPr>
        <w:pStyle w:val="Heading3"/>
        <w:numPr>
          <w:ilvl w:val="2"/>
          <w:numId w:val="1"/>
        </w:numPr>
        <w:rPr/>
      </w:pPr>
      <w:bookmarkStart w:id="27" w:name="__RefHeading___Toc283144_581953129"/>
      <w:bookmarkStart w:id="28" w:name="_Toc10"/>
      <w:bookmarkEnd w:id="27"/>
      <w:r>
        <w:rPr>
          <w:rtl w:val="true"/>
        </w:rPr>
        <w:t>نقد العلم الحدیث</w:t>
      </w:r>
      <w:bookmarkEnd w:id="28"/>
    </w:p>
    <w:p>
      <w:pPr>
        <w:pStyle w:val="BookText"/>
        <w:rPr/>
      </w:pPr>
      <w:r>
        <w:rPr>
          <w:rFonts w:ascii="IRNazanin" w:hAnsi="IRNazanin" w:eastAsia="IRNazanin"/>
          <w:color w:val="111111"/>
          <w:sz w:val="28"/>
          <w:sz w:val="28"/>
          <w:szCs w:val="28"/>
          <w:rtl w:val="true"/>
          <w:lang w:bidi="fa-IR"/>
        </w:rPr>
        <w:t>لا یتیسّر لنا فی هذا البحث المختصر إعطاء هذه المسألة حقّها فی جمیع الانتقادات الموجّهة للعلم الحدیث وذلک من خلال الرأی التقلیدی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وظیفة قد التزم بها إلی حدّ ما سائر المفکّرین والباحثین وکاتب هذه المقالة فی مدوّناته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زال هناک الکثیر من العمل لتعبید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یمنع من التّعرّض لبعض المسائل الأساسیّة الّتی نری من الضروری طرحها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 والّتی رسخت فی محافل العالم الإسلامی بأجمعه تختصّ بالجانب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الامتناع من الدّراسة النّقدیّة للعلم الغربی والّتی غالباً ما تنشأ عن نوع من عقدة الحقارة الفکّریّة والاعتقاد بالتّماثل الخالص للعلم الغربی واستمراریّة العلم الإسلامی دون أیّ نوع من الالتفات إلی اختلاف النماذج وتأسیس الفلسفة الطّبیعبة والعلمیّة الحدیثة خلال الثورة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الأحداث لم تقتصر علی إیجاد الاختلاف الفاحش فیما بین العلم الإسلامی والعلم الحدیث فحسب وإنّما تعدّتها إلی سوابق وأوّلیات ذلک العلم فی القرون الوسطی ومرحلة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 البعض یتصوّر وبسذاجة بأنّ العلم الحدیث لا یتماثل والعلم الإسلامی فحسب، بل إنّهم یحاولون استخدام الفلسفة الحدیثة للعلم علی أساس العلم الطّبیعیّ للاأدریّة وبأسلوبها المنسوخ غربیّاً لینصّبوا أنفسهم من خلال ذلک قضاة للحکم علی حقّانیة أو عدم حقّانیّة المواقف الإسلامیّة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تتعلّق بالعلاقة بین النّظام القِیمی والعلم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أنصار الطّاعة العمیاء للعلم والتقنیّة الغربیة بدل أن یتعرّضوا ومن خلال الرّؤیة الإسلامیّة للنقد الضّمنی للنظام القِیمی فی العلم الغربی، یدّعون بأنّ هذا النّظام خالٍ وعارٍ عن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بادّعائهم هذا یجاهرون بغفلتهم عن جیل کامل من الفلاسفة والنقّاد الغربیّین الّذین أوضحوا باستدلالات وبراهین قاطعة بأنّ العلم الغربی کغیره من العلوم یرتکز علی نظام قِیمی خاصّ ورؤیة کونیّة خاصّة تمتدّ جذورها فی الافتراضات الخاصّة فی مجال ماهیّة الواقعیّة المادّیّة، الذّهن المطِّلع علی هذه الواقعیّة الخارجیّة وعلاقة الاثنین ببعضهما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دراسة الأسس الفلسفیّة للعلم الحدیث حسب الرّؤیة الإسلامیّة کی نتمکّن وبشکل دقیق بیان ماهیّة نظامه القِیمی البنّاء للمسلمین وکیف أنّ هذا النّظام القِیمی یتعارض أو یکمّل أو یهدّد النّظام القِیمی الإسلامی الّذی هو بحسب رأی المسلمین وحی إلهیّ ولیس مجرّد صورة إنسانیّة للعلم کی یمکن إنکاره بناءً علی التّعریف الّذی یرتکز علی عقل الإنسان وحواسّه الخمسة وعلی الخصوص فی سائر الأسالیب الممکنة للمعرفة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المفکّرین الإسلامیّین الابتعاد عن مقولة أنّ الفیزیاء الحدیثة لیست علماً غربیاً وإنّما علماً عالمیّاً، مع أنّهم ینفون الجذور المکانیّة لهذا العلم فی النّظام القِیمی والفلسفة الخاصّة والّتی لا ترتبط بتأریخ العالم وإنّما بمرحلة خاصّة من تأریخ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واقعیّة هبوط البوینغ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طوکیو وبکیّن وکذلک إسلام آباد أو طهران لا یعدّ دلیلاً علی کونه عالمیاً صرفاً؛ بل إنّ هذه الطّائرة هی حصیلة تقنیّة ترتکز علی رؤیة خاصّة لعلاقة الإنسان مع قوی الطّبیعة والمحیط وإدراک الإنسان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الرّؤیة الّتی تحاول کثیر من الفئات فی الغرب المتجدّد وما بعد الحداثوی صُنع عالمیّتها عن طریق القضاء علی الرّؤی الأخری فی مجال عالم الطّبیعة وعلاقة الإنسان به والّذی یشمل بطبیعة الحال الرّؤیة الإسلامیّة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الحدیث فی الحقیقة یعدّ مشکلة مباشرة للرؤی الکونیّة الأخری وبضمنها الإسلامیّة والّتی تدّعی أنّ المعرفة الواقعیّة لا تعتمد علی مجرّد العقل بل علی أساس الوحی والإلهام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فالانتقاد الأساسی للعلم الغربی یستلزم انتقاد نظامه القِیمی الّذی یرتکز علیه والّذی یعمل علی ترویجه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 فلا زالت الوظیفة الأساسیّة تتمثّل ببیان ماهیّة هذه القیم وتقییمها ونقدها من خلال الرّؤیة الإسلامیّة الأصیلة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له ارتباط وثیق بالمسألة العامّة للقیم مسألة المبادئ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العدید من الکتّاب تحدّثوا عن أخلاقیّة العلماء وعدم مؤاخذتهم فی مجال سوء الاستفاة من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هناک أعداداً کثیرة من العلماء المسیحیین والیهود المؤمّنین فی الغرب</w:t>
      </w:r>
    </w:p>
    <w:p>
      <w:pPr>
        <w:pStyle w:val="BookText"/>
        <w:rPr/>
      </w:pPr>
      <w:r>
        <w:rPr>
          <w:rFonts w:ascii="IRNazanin" w:hAnsi="IRNazanin" w:eastAsia="IRNazanin"/>
          <w:color w:val="111111"/>
          <w:sz w:val="28"/>
          <w:sz w:val="28"/>
          <w:szCs w:val="28"/>
          <w:rtl w:val="true"/>
          <w:lang w:bidi="fa-IR"/>
        </w:rPr>
        <w:t>أو المسلمین والبوذیین والهندوس المؤمنین فی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الواقع لیس له ارتباط بالماهیّة غیر الأخلاقیّة للعلم الغربی، </w:t>
      </w:r>
      <w:r>
        <w:rPr>
          <w:rStyle w:val="FootnoteAnchor"/>
          <w:rtl w:val="true"/>
        </w:rPr>
        <w:footnoteReference w:id="16"/>
      </w:r>
      <w:r>
        <w:rPr>
          <w:rFonts w:ascii="IRNazanin" w:hAnsi="IRNazanin" w:eastAsia="IRNazanin"/>
          <w:color w:val="111111"/>
          <w:sz w:val="28"/>
          <w:sz w:val="28"/>
          <w:szCs w:val="28"/>
          <w:rtl w:val="true"/>
          <w:lang w:bidi="fa-IR"/>
        </w:rPr>
        <w:t>فقد جمعتنا قبل خمسین عاماً لقاءات ببعض أکثر العلماء أخلاقیّة أیّام شبابهم من الّذین ساهموا فی صنع القنبلة الّتی راح ضحیّتها خلال یومین مئتی ألف یابانی هذا بمعزل عن المجازر الّتی ارتکبها العلماء الألمان فی العهد النّازی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حصیلة عمل علماء ودیعین لم یصدر منهم أدنی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ساهم فی القضاء علی أنواع متعدّدة من المخلوقات الإلهیّة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واقع الأمر، لا یمکن للمعرفة وآثارها أن تکون بمنأی عن الآثار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لعب العلم الحدیث دوراً فی القضاء علی النّظرات الأخری للطبیعة وبضمنها النّظرة المذهبیّة، وعلی هذا الأساس فالإدّعاءات النّاجمة عن هذه النّظرات فی مجال معرفة عالم الخلق کانت مساوقة للشعر والأسطورة أو حتّی أسوء منهما کالخرافة لذا فقد خرجت عن الإطار المتعارف المقبول للمعرفة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فما بقی من أخلاقیّات فی الغرب هی ناشئة فی الأساس من السُّنة الإبراهیمیّة ولذا فهی ترتبط من جهات متعدّدة بالأصول والأسالیب الإخلاقیّة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نفیه لما تدّعیه السُّنة الإبراهیمیّة فی مجال معرفة الطّبیعة ساهم فی إیجاد وضع ساعد علی جعل هذا المیراث الأخلاقیّ یتعرّض للإنهیار بشکل متزاید، </w:t>
      </w:r>
      <w:r>
        <w:rPr>
          <w:rStyle w:val="FootnoteAnchor"/>
          <w:rtl w:val="true"/>
        </w:rPr>
        <w:footnoteReference w:id="17"/>
      </w:r>
      <w:r>
        <w:rPr>
          <w:rFonts w:ascii="IRNazanin" w:hAnsi="IRNazanin" w:eastAsia="IRNazanin"/>
          <w:color w:val="111111"/>
          <w:sz w:val="28"/>
          <w:sz w:val="28"/>
          <w:szCs w:val="28"/>
          <w:rtl w:val="true"/>
          <w:lang w:bidi="fa-IR"/>
        </w:rPr>
        <w:t>لعدم تطابق هذا المیراث مع أیٍّ من العلوم المتّفق علیها بذاتها فی مجال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لاینبغی مطلقاً علی المسلمین تصوّر أنّ هذ الوضع ناشئ فقط عن ضعف المسیحیّة وأنّ آثاره الأخلاقیّة السّلبیة فی الغرب لا تتعدّی إلی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الاستنتاج هو حصیلة أفکار لا تعدوا کونها سطحیّة وهامشیّة وعادة ما تعتمد علی معرفة ناقصة للتأریخ الفکری والفلسفی والعلمی للغرب، وللأسف فإنّ مؤشّرات کثیر من ردود أفعال المسلمین تّجاه الغرب الحدیث ما زالت کما کانت علیه فی القرن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نحتاجه الیوم، هو النّقد الإسلامی البنّاء القائم علی أساس المعرفة ولیس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النّقد للعلم الحدیث لا یتعرّض فقط إلی هذا العلم بقالبه الفعلی، وإنّما إلی خصیصة یفتقدها العلم الحدیث ذاته أیضاً، لکنّ کثیراً من مؤیّدی ومروّجی هذا العلم یدّعون أنّ العلم الحدیث لیس هو فقط العلم المشروع لنّظام</w:t>
      </w:r>
    </w:p>
    <w:p>
      <w:pPr>
        <w:pStyle w:val="BookText"/>
        <w:rPr/>
      </w:pPr>
      <w:r>
        <w:rPr>
          <w:rFonts w:ascii="IRNazanin" w:hAnsi="IRNazanin" w:eastAsia="IRNazanin"/>
          <w:color w:val="111111"/>
          <w:sz w:val="28"/>
          <w:sz w:val="28"/>
          <w:szCs w:val="28"/>
          <w:rtl w:val="true"/>
          <w:lang w:bidi="fa-IR"/>
        </w:rPr>
        <w:t>الطّبیعة وإنّما مشروعیّة علم الطّبیعة تتمثّل فقط فی إطار افتراضاته فی مجال ماهیّة المعرفة الموضوعیّة والذّهن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المسلمین أن یتمکّنوا من الحفاظ علی الفضاء الفکریّ التّقلیدیّ للإسلام وذلک لأجل استمرار النّظرة الإسلامیّة إلی الماهیّة الواقعیّة الّتی تتطابق وأخلاقیّات الإسلام دون أن یضطرّوا إلی إنکار مشروعیّة العلم الحدیث فی ساحته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الحالة، فإنّ إستبدال العالم الفکریّ للإسلام بعالم العلم الحدیث یؤدّی إلی انهیار السّیطرة الإخلاقیّة الإسلامیّة علی السّواد الأعظم من المسلمین مهما دعا علماء الإسلام للحیلولة دون ذلک، مع أنّه من الممکن أن یجعل الدول الإسلامیّة أغنی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تقتصر ملاحظة هذه المسألة علی الغرب المسیحیّ فی أوساط فئات من التّجدیدیین المسلمین الّذین أعرضوا عن أغلب تراثهم المعنویّ والإخلاقیّ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الکونیّة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أُشیعت باعتبارها شعاراً شبه مذهبی بواسطة المارکسیّة المنسوخة من جهة ورایة اتّحد تحت لوائها کثیر من ذوی الإتّجاه الدّنیویّ والمذهب الإنسانی </w:t>
      </w:r>
      <w:r>
        <w:rPr>
          <w:rStyle w:val="FootnoteAnchor"/>
          <w:rtl w:val="true"/>
        </w:rPr>
        <w:footnoteReference w:id="18"/>
      </w:r>
      <w:r>
        <w:rPr>
          <w:rFonts w:ascii="IRNazanin" w:hAnsi="IRNazanin" w:eastAsia="IRNazanin"/>
          <w:color w:val="111111"/>
          <w:sz w:val="28"/>
          <w:sz w:val="28"/>
          <w:szCs w:val="28"/>
          <w:rtl w:val="true"/>
          <w:lang w:bidi="fa-IR"/>
        </w:rPr>
        <w:t>والقوی الغربیّة الأخری المعارضة للمذهبیّة من جهة أخری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فإنّ أهمّ نقد هو ذلک الّذی یرتبط بالنّظرة غیر المنحازة للعلم الحدیث، وبالطّبع فإنّ أفضل حالة من حالاتها هو ما یتعلّق بالمذهب والدّور الأکثر أهمّیّة للعلم فی إیجاد فضاء ذهنیّ ینتفی فیه وجود الله والحقائق المعادیّة الّتی هی فی نتیجتها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کثیر من الکتاب الغربیّین الترکیز علی هذه النّقطة وهی أنّ العلم لیس ضدّ المذهب وأنّهم لا ینکرون الله بالضّرورة؛ ویدّعی کثیر من المسلمین مثل هذا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ارید من المذهب فی ثنایا أکثر هذه البحوث هو المذهب الّذی یُصلح نفسه أو یغیّیر تعالیمه وخصوصاً ادّعاءاته الّتی تتعلّق بالمعرفة الواقعیّة للطبیعة وما فوق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ذلک، أنّه وبعد أربعة قرون من نشوء العلم الحدیث أصبح المذهب هو الّذی یعیش فی هامش المجتمع، ولیس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ویحاول الإلهیّون الغربیّون أحیاناً وعادة ما یتمّ ذلک من خلال خشیتهم من العلم الحدیث الإشارة لهذا الکشف العلمی أو ذاک وتطبیقه علی أحد التّعالیم المذهبیّة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ویغفلون عن مدی خطورة ربط ذی الماهیّة المطلقة بأحد أشکال المعرفة المبتنیة علی تعریف ماهوی عابر؛ مع أنّه</w:t>
      </w:r>
    </w:p>
    <w:p>
      <w:pPr>
        <w:pStyle w:val="BookText"/>
        <w:rPr/>
      </w:pPr>
      <w:r>
        <w:rPr>
          <w:rFonts w:ascii="IRNazanin" w:hAnsi="IRNazanin" w:eastAsia="IRNazanin"/>
          <w:color w:val="111111"/>
          <w:sz w:val="28"/>
          <w:sz w:val="28"/>
          <w:szCs w:val="28"/>
          <w:rtl w:val="true"/>
          <w:lang w:bidi="fa-IR"/>
        </w:rPr>
        <w:t>إذا نظرنا إلیه لیس من النّاحیة ما فوق الطّبیعة ولیس من النّاحیة العلمیّة فقط، لم نلاحظ وجود انعکاس لحقائق فوق طبیعیّة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الیوم مثل هذا النّوع من الرّبط السّطحی وعلی الخصوص فی ما یُصطلح علیه بالکوزموغرافیا </w:t>
      </w:r>
      <w:r>
        <w:rPr>
          <w:rStyle w:val="FootnoteAnchor"/>
          <w:rtl w:val="true"/>
        </w:rPr>
        <w:footnoteReference w:id="19"/>
      </w:r>
      <w:r>
        <w:rPr>
          <w:rFonts w:ascii="IRNazanin" w:hAnsi="IRNazanin" w:eastAsia="IRNazanin"/>
          <w:color w:val="111111"/>
          <w:sz w:val="28"/>
          <w:sz w:val="28"/>
          <w:szCs w:val="28"/>
          <w:rtl w:val="true"/>
          <w:lang w:bidi="fa-IR"/>
        </w:rPr>
        <w:t>الّتی ما هی إلّا إستنباطاً من الفیزیاء النّجومیّة ولا ترتبط بالکوزموغرافیا بمفهومها التّقلیدی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ذهل کثیر من الإلهیّین ولسنوات بنظریّة الانفجار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أنّ هذه النّظریّة تنسجم وما جاء به الکتاب المقدّس والقرآن أیضاً بخصوص عملیّة الخلق، وأقاموا کثیر من الملتقیّات 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أنّ کثیراً من علماء الکوزموغرافیا ینکرون الیوم نظریّة الانفجار الکبیر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نلفت الانتباه إلی نقطة مهمّة وهی أنّه ینبغی علی الرّؤیة الإسلامیّة العمل علی دراسة وتحلیل وانتقاد العلم الحدیث فی ارتباطه بالإسلام بشکل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لتقف هذه الدّراسة وهذا النّقد فی مقابل الرّدود الفکریّة الضّعیفة الّتی احتضنت ابتداءً النّظریّات وحتّی أوهام وخیالات العلم الغربی کحقیقة مطلقة ثمّ سعت لتحریف هذه الآیة القرآنیّة أو ذلک الحدیث الخاص لإثبات انسجامهما مع أسخف أشکال المعرفة؛ المعرفة الّتی لم تنشأ قیمتها من خلال بیان الماهیة الحقیقیّة بل من واقعیّة أنّ هذه المعرفة تؤدّی إلی اکتساب الثّروة والسّیطرة علی الطّبیعة کما یدّعی فرانسیس بیکون أحد مؤسّسی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یجب بیانه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الله فی العلم الحدیث ما هی إلّا شیء عارض وزائد علی هذا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فیستطیع الإنسان أن یکون فیزیاویّاً مشهوراً وکاثولیکیاً أو یهودیاً أو مسلماً مؤمناً أیضاً أو لاأدریاً أو منکراً لله فی الوقت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رأی العلم الحدیث أنّ الواقعیّة الإلهیّة لیس لها ارتباط ونظام هذا العلم وحتّی أنّ البعض یعتقد بأنّ الله هو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الرّؤیة الکونیّة الفیزیاویّة تمرّ الیوم بمرحلة التّغییر والتجدّد حتّی أنّ البعض یری أنّ ضرورة ملاحظة الله والعلم هو بمثابة حجر الأساس للمیکانیکیّة الغوانتومیّة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النّظریّة لم تحضَ إلی الآن بقبولٍ أکثر الفیزیائیّین الجدّد والرأی الغالب أنّ الشّکل المشروع والصّحیح للمعرفة التّعلیمیّة یقتصر علی عدم الوجود الإلهی بغض النّظر عن عدد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الجدد الّذین یؤمنون بالله</w:t>
      </w:r>
      <w:r>
        <w:rPr>
          <w:rFonts w:eastAsia="IRNazanin" w:cs="IRNazanin"/>
          <w:color w:val="111111"/>
          <w:sz w:val="28"/>
          <w:szCs w:val="28"/>
          <w:rtl w:val="true"/>
          <w:lang w:bidi="fa-IR"/>
        </w:rPr>
        <w:t>.</w:t>
      </w:r>
      <w:bookmarkStart w:id="29" w:name="pg5231_29692"/>
    </w:p>
    <w:p>
      <w:pPr>
        <w:pStyle w:val="BookText"/>
        <w:rPr/>
      </w:pPr>
      <w:bookmarkEnd w:id="29"/>
      <w:r>
        <w:rPr>
          <w:rFonts w:ascii="IRNazanin" w:hAnsi="IRNazanin" w:eastAsia="IRNazanin"/>
          <w:color w:val="111111"/>
          <w:sz w:val="28"/>
          <w:sz w:val="28"/>
          <w:szCs w:val="28"/>
          <w:rtl w:val="true"/>
          <w:lang w:bidi="fa-IR"/>
        </w:rPr>
        <w:t>فکیف بإمکان الإسلام القبول بشکل من المعرفة تنبع من عدم الله ولا یمکنها أن تنتهی إلیه؟ وکیف یستطیع الإسلام تفسیر العالم دون الإشارة إلی العلّة العلیا لجمیع الأمور الّتی تحدّث عنها القرآن فی کلّ صفحة من صفحاته؟ إنّ الفکر الإسلامی التّقلیدی أعطی إجابات عمیقة وکثیرة بخصوص هذه الأوهام والحیرة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مؤشّر العالم الإسلامی المعاصر یدلّل وبالخصوص علی افتقاده لإجابة عن المشکلات الحاضرة بالخصوص، مع أنّها من حیث العمق تکاد تقترب من الإجابات الّتی عرضها 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السّبب نری أنّ مجموعة العلماء والمفکّرین الغربیّین الّذین یمیلون بشدّة إلی سائر الآراء فی مجال الواقعیّة یمیلون إلی المفکّرین المسلمین القدماء أکثر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طریق لاکتشاف العلاقة الصّحیحة فیما بین الإسلام والعلم الحدیث إلا بانتقاد الرّؤیة الإسلامیّة العمیق لکلّ الأنظمة وبضمنها نظام العلم الحدیث الّذی یدّعی معرفة الخلق الإلهی</w:t>
      </w:r>
      <w:r>
        <w:rPr>
          <w:rFonts w:eastAsia="IRNazanin" w:cs="IRNazanin"/>
          <w:color w:val="111111"/>
          <w:sz w:val="28"/>
          <w:szCs w:val="28"/>
          <w:rtl w:val="true"/>
          <w:lang w:bidi="fa-IR"/>
        </w:rPr>
        <w:t>.</w:t>
      </w:r>
    </w:p>
    <w:p>
      <w:pPr>
        <w:pStyle w:val="Heading3"/>
        <w:numPr>
          <w:ilvl w:val="2"/>
          <w:numId w:val="1"/>
        </w:numPr>
        <w:rPr/>
      </w:pPr>
      <w:bookmarkStart w:id="30" w:name="__RefHeading___Toc283146_581953129"/>
      <w:bookmarkStart w:id="31" w:name="_Toc11"/>
      <w:bookmarkEnd w:id="30"/>
      <w:r>
        <w:rPr>
          <w:rtl w:val="true"/>
        </w:rPr>
        <w:t>مسألة تورید العلم الغربی الحدیث</w:t>
      </w:r>
      <w:bookmarkEnd w:id="31"/>
    </w:p>
    <w:p>
      <w:pPr>
        <w:pStyle w:val="BookText"/>
        <w:rPr/>
      </w:pPr>
      <w:r>
        <w:rPr>
          <w:rFonts w:ascii="IRNazanin" w:hAnsi="IRNazanin" w:eastAsia="IRNazanin"/>
          <w:color w:val="111111"/>
          <w:sz w:val="28"/>
          <w:sz w:val="28"/>
          <w:szCs w:val="28"/>
          <w:rtl w:val="true"/>
          <w:lang w:bidi="fa-IR"/>
        </w:rPr>
        <w:t>لقد طالب القادة المسلمون علی مختلف مشاربهم المذهبیّة والسّیاسیّة وعلی مدی قرن من الزّمان بالاستنساخ السّریع والکامل للعلم الغربی الحدیث وصرّحوا أحیاناً بعدّة تصریحات محتاطة حول إنجاز هذه المهمّة مقترنة بالحفاظ علی الأخلاق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تورید لعلم الحدیث بصورة عشوائیّة، لا یمکن أن یتمّ من دون أن یکون له نتائج مهمّة علی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أنّه من الممکن أن یکون هناک أسلوب من التّورید لا یقوم علی أساس الاختیار العاقل وإنّما علی أساس التّقلید الأعمی الّذی یلاحَظ فی کثیر من الدّول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هذا الاستنساخ لا یتمّ السّعی للقبول بالعلم الحدیث بشکل کامل کی یؤدّی إلی الفعّالیّة والخلّاقیّة العلمیّة الباهرة المبتنیّة علی 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یوجد هناک سعی یتعدّی مسألة قبوله إلی محاولة کسبه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هنالک؛ أنّ هذا الکسب قدّم خدمات للعلم الحدیث المتداول من خلال رجال ونساء مسلمین لم تلعب إسلامیّتهم أیّ دور فی العلم الّذی طوّروه، فلو کان التّحصیل کاملاً وموفّقاً لعمّ تأثیره علی جوانب المجتمع الإسلامی قاطبة بقدر أکبر ممّا نلاحظه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هذا الأمر یعود بالخصوص إلی عدم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نجاح کامل فی إنجاز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الاکتساب الکامل للعلم الغربی لا یتمّ إلّا من خلال الإیمان برؤیته الکونیّة والّذی من المؤکّد أنّه ستکون له آثار فجیعة علی النّظرة الإسلامیّة للواقع الطّبیعیّ وما فوق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وینسحب هذا علی سائر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المراقب لقضایا الیابان مثلاً، ینبغی علیه أن لا یقصر نظره علی التقدّم العلمی والتقنی للشعب الیابانی فقط، فإنّهم حافظوا علی بعض مؤسّساتهم التّقلیدیّة کالإمبراطوریّة علی‌الرّغم منه ولا زالوا یلبسون الکیمون </w:t>
      </w:r>
      <w:r>
        <w:rPr>
          <w:rStyle w:val="FootnoteAnchor"/>
          <w:rtl w:val="true"/>
        </w:rPr>
        <w:footnoteReference w:id="20"/>
      </w:r>
      <w:r>
        <w:rPr>
          <w:rFonts w:ascii="IRNazanin" w:hAnsi="IRNazanin" w:eastAsia="IRNazanin"/>
          <w:color w:val="111111"/>
          <w:sz w:val="28"/>
          <w:sz w:val="28"/>
          <w:szCs w:val="28"/>
          <w:rtl w:val="true"/>
          <w:lang w:bidi="fa-IR"/>
        </w:rPr>
        <w:t>ویستخدمون العیدان فی تناول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ملاحظة هذا الوضع من خلال الدّین البوذّی و الشینتو وملاحظة الخسائر المعنویّة الّتی تعرّضت لها السّنن المذهبیّة الیابانیّة أیضاً والّتی تسبّبت بهذه الأزمة الإجتماعیّة الخطیرة الّتی حدت بالبعض إلی التّحدّث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العودة الآسیویّة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العمل إذن؟ فقبول أیّ موجود حیّ لأیّ مادّة خارجیة یستلزم جذباً وطرحاً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من المقرّر أنّنا لا نطرح بعض ما نأکله لکنّا ودّعنا الحیاة فی مدّة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 والحضارة الحیّة تعیش هذه الحالة ذاتها وإیّانا أن ننسی بأنّ الإسلام لا زال مذهباً حیاتیاً وحیّاً وأنّ الحضارة العظیمة الّتی أوجدها هذا المذهب لا یمکن أن تتعرّض للزوال مطلقاً، مع أنّ بعضها قد قُضی علیها لیس بواسطة الأوربیّین فحسب وإنّما بواسطة التجدیدیین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الحضارة الإسلامیّة بإمکانها قبول العلم الغربی بشکل جادّ دون أخذ وطرح وهو ما یمکن أن یُطلق علیه بالأخذ والطّرح العقلائی والّذی یرتکز علی الأصول والماهیة الواقعیّة الحیّة الّتی تقوم بدور الاتّخاذ والأخذ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لو أردنا البحث عن شواهد علی هذا الکلام البدیهی فلا نحتاج إلّا لمجرّد مراجعة تأریخ العالم الإسلامی علی مدی العقد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فالتّجدّد الإفراطی والإطراء الأعمی والتّقلید للعلم الحدیث لم یجلب للعالم الإسلامی أیّ تجدید للحیاة العلمیّة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نوع من العلمیّة السّطحیّة الّتی قامت بتربیة أعداد غفیرة من العلماء والمهندسین منهم علی الخصوص، لکن لم یثمر ذلک فی فعّالیّة علمیّة تنشأ من صمیم الحضارة الإسلامیّة ممّا جعل کثیر من الطّلبة المسلمین الّذی تربّوا فی الغرب یرون بأنّهم غرباء علی العلم الحدیث الّذی یتعلّموه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المتّسم بالتّقوی الفردیّة یلجأ إلی الموهبة العظیمة للإیمان ویتوجّه کذلک إلی الدعاء وقراءة القرآن الکریم، لکنّه من الناحیة الفکریّة یری نفسه منفصلاً عن العالم</w:t>
      </w:r>
      <w:bookmarkStart w:id="32" w:name="pg5231_29694"/>
    </w:p>
    <w:p>
      <w:pPr>
        <w:pStyle w:val="BookText"/>
        <w:rPr/>
      </w:pPr>
      <w:bookmarkEnd w:id="32"/>
      <w:r>
        <w:rPr>
          <w:rFonts w:ascii="IRNazanin" w:hAnsi="IRNazanin" w:eastAsia="IRNazanin"/>
          <w:color w:val="111111"/>
          <w:sz w:val="28"/>
          <w:sz w:val="28"/>
          <w:szCs w:val="28"/>
          <w:rtl w:val="true"/>
          <w:lang w:bidi="fa-IR"/>
        </w:rPr>
        <w:t>الفکری التّقلیدی للإسلام فیعکف علی نقده باعتباره إسلاماً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یوجِد هؤلآء شرخاً فی العالم الفکریّ الإسلامیّ وهو ما یتّضح للعیان فی کثیر من 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ولعبت هذه النّظرة للعلم الغربی کذلک دوراً فی إنهیار کثیر من العلوم الإنسانیّة الإسلامیّة وأدّی ذلک إلی إیجاد فراغ فی هذا المجال تُشاهد آثاره فی أقسام کثیرة من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الضّروری القیام بإکتشاف الرّؤیة الکونیّة الإسلامیّة مجدّداً وتدوینها بلغة العالم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الإطار وحده هو الّذی یمکنه دراسة أیّ مجموعة معرفیّة خارجیّة من قبیل العلم الحدیث، ونقدها وجلبها مع طرح العناصر الغریبة عن هذه الرّؤیة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أضافة إلی هذا، ففی ما یتعلّق بالکون وبعموم مسألة العلوم المعرفیّة المختلفة، لا یمکن لهذه الرّؤیة الکونیّة أن تُستخرج بیسر من القانون المقدّس أو الشّریعة الّتی تتضمّن الإرادة الإلهیّة فی مجال أعمالنا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لا یمکن إستنباطها من الکلام الّذی کان یمارس دوراً ثابتاً فی الحفاظ علی حصن الإیمان فی مقابل هجوم العقلانیین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یمکن استخلاصها من الفقه بمفهومه المتداول ولیس بمفهومه القرآنی، بل إنّ هذه الرّؤیة الکونیة ینبغی أخذها من الحقیقة الکامنة فی جوف القرآن الکریم والحدیث وذلک بواسطة المفسّرین التقلیدیّین الّذین شرحوا ودوّنوا الجوانب التّعلیمیّة والفکریّة للتصوّف والعلوم الإسلامیّة ذاتها من خلال ما بعد الطّبیعة والکوزموغرافیا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هذه السُّنة الفکریّة فقط، الّتی یتجنّبها المجدّدین وکثیر من الّذین یصطلح علیهم بالأصولیّین، یمکن الکشف المجدّداً عن الرّؤیة الکونیّة الإسلامیّة الأصیلة والّتی ترتبط بالمعرفة الطّبیعیّة وبکلّ مسألة مراتب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فبمساعدة هذه السُّنة فحسب یستطیع المسلمون الاستفادة الحقیقیّة من أیّ مجموعة معرفیة أجنبیّة تدّعی انطباقها مع أیّ بُعد من أبعاد الواقعیّة، دون أن ینهاروا فی طیّ هذه العملیّة أو یکونوا مجرّد مقلّدین وأتباع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نظرنا بصدق وبقول القرآن الکریم بعین البصیرة فإنّ تأریخ العالم الإسلامی خلال القرون العشرة الأخیرة یتضمّن دروساً کثیرة فی هذا المجال</w:t>
      </w:r>
      <w:r>
        <w:rPr>
          <w:rFonts w:eastAsia="IRNazanin" w:cs="IRNazanin"/>
          <w:color w:val="111111"/>
          <w:sz w:val="28"/>
          <w:szCs w:val="28"/>
          <w:rtl w:val="true"/>
          <w:lang w:bidi="fa-IR"/>
        </w:rPr>
        <w:t>.</w:t>
      </w:r>
    </w:p>
    <w:p>
      <w:pPr>
        <w:pStyle w:val="Heading3"/>
        <w:numPr>
          <w:ilvl w:val="2"/>
          <w:numId w:val="1"/>
        </w:numPr>
        <w:rPr/>
      </w:pPr>
      <w:bookmarkStart w:id="33" w:name="__RefHeading___Toc283148_581953129"/>
      <w:bookmarkStart w:id="34" w:name="_Toc12"/>
      <w:bookmarkEnd w:id="33"/>
      <w:r>
        <w:rPr>
          <w:rtl w:val="true"/>
        </w:rPr>
        <w:t>خطوات إنتاج علم إسلامی أصیل</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طریق الحصول علی علم إسلامی أصیل طویل وعسیر؛ ولکن إذا أراد العالم الإسلامی أن یکون إسلامیّاً کما کان وأن یوجِد علماً یتطابق وخصائصه الخاصّة الّتی کان علیها منذ ألف</w:t>
      </w:r>
    </w:p>
    <w:p>
      <w:pPr>
        <w:pStyle w:val="BookText"/>
        <w:rPr/>
      </w:pPr>
      <w:r>
        <w:rPr>
          <w:rFonts w:ascii="IRNazanin" w:hAnsi="IRNazanin" w:eastAsia="IRNazanin"/>
          <w:color w:val="111111"/>
          <w:sz w:val="28"/>
          <w:sz w:val="28"/>
          <w:szCs w:val="28"/>
          <w:rtl w:val="true"/>
          <w:lang w:bidi="fa-IR"/>
        </w:rPr>
        <w:t>و مئتی عام مضت، فینبغی حینئذ طیّ هذا الطّریق، فلذا اسمحوا لی بالإشارة إلی عدّة نقاط حاسمة فی هذا السفر الشّاق والطّویل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الإجراء الضروری الأوّل یتمثّل بالنّظرة العبادیّة للعلم والتقنیّة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النّظرة هی النّظرة المتداولة الیوم فی قسم عظیم من العالم الإسلامی والّتی یمکن تلمّس العلمیّة المحضة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رُفضت من قبل السّواد الأعظم من الفیزیائیّین والفلاسفة البارزین فی الغرب ذاته منذ مدّة مدیدة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فقط بین أوساط التّجدیین بل فی أوساط بعض أشدّ المحافظین علی العناصر الفقهیّة للمجتمع الإسلامی والّذین قبلوا بها دون أیّ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هجوم هذه المجامیع باتّجاه السُّنة الفکریّة الإسلامیّة خلال العقود الأخیرة کان له عظیم الأثر فی إیجاد فراغٍ سریعاً ما مُلیء بالنّزعة العلمیّة والوضعیّة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الغربیّة وأوجد توتّرات فیما بین التّقوی الظّاهریّة والتّبعیّة العلمیّة والّذی سیکون له نتائج کارثیّة مؤکّدة قیاساً مع الوضع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تغییر هذه المسیرة ودراسة هذا العلم والتّقنیّة الحدیثة بکلّ أبعادها لا من خلال عقدة الحقارة الّتی تشبه إلی حدّ ما ضفدعاً ینظر إلی عین أفعی، وإنّما ینبغی أن تتمّ علی أساس الرّؤیة الإسلامیّة المستقلّة المخبوءة جذورها فی الوحی الإلهی والّتی یمکن تمثیلها بعقاب یطوف محلّقاً ومراقباً حرکات هذه الأفعی دون أن یکون مشدوهاً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إعادة دراسة مفهوم الانحطاط فی الحضارة الإسلامیّة وعلی الخصوص ما یرتبط منه بالعلوم علی ضوء هذه الرّؤیة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الغرب أن لا یفرض معاییر التجدید والانحطاط وغیرها حسب ظروفه الخاصّة والاعتقاد بتطابق القابلیّة العلمیّة مع الحضارة بشکل أساسیّ وتامّ، لکنّه ینسی وبکلّ بساطة حقیقة أنّه فی ذات الوقت الّذی أرسل رجاله إلی الفضاء لفتح القمر یقوم شبّانه بقتل بعضهم البعض فی شوارع مدنه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التغلب علی عقدة الحقارة المتفشیة فی أوساط ما یُصطلح علیهم بالتنویریّین الإسلامیّین المعاصرین وتجاوزها إلّا بالاعتماد علی الرّؤیة الإسلامیّة الأصیلة وتهیئة الأرضیّة المناسبة للفعّالیات العلمیّة الخلّاقة علی ضوء الرّؤیة الکونیة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القیام بدراسة معمّقة لجمیع المصادر الإسلامیّة التّقلیدیّة ابتداءً من القرآن الکریم والحدیث وحتّی جمیع التّراث التّقلیدی المرتبط بالعلوم، الفلسفة، الإلهیات، الکوزموغرافیا و أمثالها کی یمکن تدوین الرّؤیة الکونیّة الإسلامیة وعلی الخصوص المفهوم</w:t>
      </w:r>
    </w:p>
    <w:p>
      <w:pPr>
        <w:pStyle w:val="BookText"/>
        <w:rPr/>
      </w:pPr>
      <w:r>
        <w:rPr>
          <w:rFonts w:ascii="IRNazanin" w:hAnsi="IRNazanin" w:eastAsia="IRNazanin"/>
          <w:color w:val="111111"/>
          <w:sz w:val="28"/>
          <w:sz w:val="28"/>
          <w:szCs w:val="28"/>
          <w:rtl w:val="true"/>
          <w:lang w:bidi="fa-IR"/>
        </w:rPr>
        <w:t>الإسلامی للطبیعة والعلوم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تتمّ هذه الوظیفة الشّاقّة الضّروریّة فی إطار السُّنة الفکریّة الإسلامیّة ولیس علی أساس مجرّد الرّجوع إلی بعض آیات هذا الکتاب المقّدّس والّتی تُستخرج دون الإلتفات إلی أصوله بواسطةِ الأفراد أی أنّها تُفسّر علی أساس العقل والّتی تعدّ عادة نتفاً من الأفکار والمواضیع والأیدیولوجیّات الّتی تبتعد عن الإسلام الی درجة معتدّ بها</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ومن دون شکّ فإنّ هذه هی إحدی الأسباب الّتی یشیر إلیها القرآن الکریم فی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فمن الممکن أن تسیر البشریّة باتّجاه الانحراف فی حالة عدم وجود الهدایة الإلهیّة و هذا هو ما مصرّح به فی کلام الله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الیوم تفاسیر للقرآن الکریم والحدیث تروّج بین أوساط عدد من المسلمین فی الغرب ومجموعة من المسلمین الحداثویین فی نفس العالم الإسلامی والّتی تعدّ علی أفضل وجه عجیبة وعلی أسوء حال 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فإحیاء الرّؤیة الکونیّة الإسلامیّة التّقلیدیّة هو الّذی یمکنه فحسب أن یکون البدیل الحقیقی للرؤیة الکونیّة الغربیّة الرّائجة والّتی تمرّ حالیاً بتحوّلات عمیقة من جهة وهی فی حالة زوال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للرؤیة الکونیّة الإسلامیّة أن تکون مقلّدة للرؤیة الغربیّة تقلیداً تکراریّاً تُدرج فیه بعض الآیات القرآنیّة بصورة مشتّتة ثمّ تُلقی علی مثل هذه التفاسیر هالة من الأصالة الإسلامیّة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فإعادة اکتشاف الرّؤیة الکونیّة الإسلامیّة الأصیلة وعلی الخصوص ارتباطها بالعلوم الطّبیعیّة یستلزم کذلک دراسة معمّقة وفهماً لتأریخ العلم الإسلامیّ والّذی ینبغی فیها فرز العلوم الإسلامیّة المستقبلیّة الّتی من الممکن أن ترتبط به کی تتمکّن من أن تکون غصناً جدیداً من شجرته الّتی تضرب جذورها فی الوحی الإسلامی وتستوعب أربعة عشر قرناً من التّأاریخ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لم یکن المسلمون فعّالین کالباحثین الغربیّین فی إیقاد جذوة تأریخ العلم الإسلامی فما قاموا به من أعمال معتدّ بها کانت متأثّرة عادة بالإستنباط الغربیّ لدور العلم الإسلامیّ فی تأریخ العلم الغربی وبالإستنباط الوضعیّ لعموم تأریخ العلم والّذی استفحل فی الغرب أوائل هذا القرن والّذی قوبل بمخالفة بعضٍ من الباحثین الغربیّین فی هذا المجال، کأغلب المیادین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فقواعد هذا المیدان وکما هو میدان العلم الإسلامیّ</w:t>
      </w:r>
    </w:p>
    <w:p>
      <w:pPr>
        <w:pStyle w:val="BookText"/>
        <w:rPr/>
      </w:pPr>
      <w:r>
        <w:rPr>
          <w:rFonts w:ascii="IRNazanin" w:hAnsi="IRNazanin" w:eastAsia="IRNazanin"/>
          <w:color w:val="111111"/>
          <w:sz w:val="28"/>
          <w:sz w:val="28"/>
          <w:szCs w:val="28"/>
          <w:rtl w:val="true"/>
          <w:lang w:bidi="fa-IR"/>
        </w:rPr>
        <w:t>کانت قد کتبته للمسلمین الأقلام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کانت علاقة الغرب بتأریخ العلم الإسلامیّ باعتباره فصلاً مؤثّراً فی انتشار العلم الغربیّ، فالمهمّ هو أن تتوجّه رغبة المسلمین باتّجاه فهم التّحوّل الطّویل الأمد للعلم فی الحضارة الإسلامیّة اعتماداً علی الوحی الإسلامیّ وعناصر السُّنة الفکریّة الإسلامیّة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الإسلامیّ ینبغی أن یلاحَظ ویُدرس من خلال الرّؤیة الإسلامیّة ویُثمّن لأجل مکاسبه الممتازة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أن تکون هذه الرّغبة ناشئة من دور العلم الإسلامیّ فی العلوم الحاضرة فی سائر الحضارات، مهما کانت أهمیّة هذا الدّور والحاجة إلی التّأکید علیه فی العالم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ینبغی أن تُؤسّس فلسفة إسلامیّة مناسبة فی مجال العلم، التأریخ الإسلامیّ للعلم الإسلامیّ وکذلک التأریخ العام للعلم تتمیّز بمناهجها المعرفیّة، وتعاریفها وأهدافها الخاصّة، أمّا البحوث ذات الکیفیّة الإیجابیّة من حیث البحث والتأریخ والفلسفة للباحثین غیر المسلمین فیمکن تلفیقها 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إعطاء الفرصة لأعداد غفیرة من الجامعیّین المسلمین لمطالعة العلوم الحدیثة علی أعلی المستویات وعلی الخصوص العلوم البنیویّة والّتی یعتمد علیها الغربیّیون باعتبارها علوماً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الیوم جموع غفیرة من الأطباء والمهندسین فی العالم الإسلامیّ قیاساً بالّذین طالعوا الجوانب النّظریّة المحضة للعلوم کالفیزیاء والکیمیاء والتبیّؤ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للّذین کانوا فی طلیعة الدّارسین فی فروعها والّذین یمکن إیجاد تغییرات نظریّة عمیقة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یتحدّثون فی مجال ضرورة ترویج العلم والتّقنیّة بمثل هذا الشغف، یدرکون علی الدّوام مسألة مهمّة أخری وهی تربیة علماء یعکفون علی علم خالٍ من النّفعیّة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تضرّر المسلمون حتّی دون أن ینتفعوا أدنی انتفاع بهذا العلم والتقنیّة الغربیّة الحدیثة فینبغی علیهم أن یکتفوا بتناول لقمة صغیرة من مائدته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خلاف ما یبیّنه البعض فی مجال مخالفتنا لترویج العلم الغربیّ، لم ننحز مطلقاً وإلی الآن لما هو غیر ممکن فی هذه البرهة من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اقتراحنا یتمثّل فی أغلب الأحیان بالدّعوة إلی تعلّم العلم الغربیّ علی أفضل وجه ووضع أسّسه النّظریّة والفلسفیّة فی بوتقة النّقد فی ذات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العبور من التّمکّن من هذه العلوم إلی الخوض فی أسلمة العلم المرتکز علی خطوات قادمة فی إطار الرّؤیة الکونیّة الإسلامیّة واختلاف الأمور المرتکزة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من حیث کیفیّة تفسیرها الفلسفیّ، وکنموذج من ذلک، تمایز ترکیبة</w:t>
      </w:r>
    </w:p>
    <w:p>
      <w:pPr>
        <w:pStyle w:val="BookText"/>
        <w:rPr/>
      </w:pPr>
      <w:r>
        <w:rPr>
          <w:rFonts w:ascii="IRNazanin" w:hAnsi="IRNazanin" w:eastAsia="IRNazanin"/>
          <w:color w:val="111111"/>
          <w:sz w:val="28"/>
          <w:sz w:val="28"/>
          <w:szCs w:val="28"/>
          <w:rtl w:val="true"/>
          <w:lang w:bidi="fa-IR"/>
        </w:rPr>
        <w:t>طبقات جبال الهملایا أو شکل البلور عن فرضیّات أمثال فرضیّة التّکامل الدّاروینیّة والّتی تُطرح علی أنّها حقیقة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لم نکن مطلقاً من المروّجین للجهل، وعلی الخصوص فی مذهب کالإسلام یحضّ علی أن تکون مواجهة أیّ مدرسة أو مذهب فکریّ یدّعی المعرفة الواقعیّة، قائمة علی أساس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یدعو للأسف الشّدید أنّ الکیفیّة العامّة للتعلیم خلال القرن الأخیر قد هبطت فی کثیر من المجالات فی کثیر من الدّول الإسلامیّة الّتی یری حکّامها بأنّهم من المدافعین الأشدّاء عن العلم الحدیث، وهو ما تؤیّده مجمل الدّراسات فی الجامعات القدیمة کجامعة البنجاب،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علی الإطلاق فهم، نقد، تلفیق أو الارتقاء بأیٍّ من الفروع العلمیّة دون الإحاطة بکلٍّ منها ولا یمکن لأیّ قدرٍ من الشّعارات وطغیان الإحساسات أن یکون بدیلاً عن المعرّفة الّتی یؤیّدها القرآن الکریم فی هذه الآیة الشّریفة إلی هذا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لأیّ أحدٍ من الّذین یعملون فی مختبرات الکیمیاء المعدنیّة أن یتّبع صیغة دراسة العلم الإسلامیّ بدل أن یتّبع الکیمیاء الّتی وضعها بویل، فلاوزیه والکیمیائیون المتأخّرون والجدّد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الفیزیاء والکیمیاء العاملین فی نطاق هذه العلوم والممتلئین لیس تقویً فقط وإنّما معرفة بالرّؤیة الکونیّة الإسلامیّة یمکنهم توجیه هذا العلم إلی ذات طریق العلم الإسلامیّ للمواد وعلی هذا الأساس استطاع علماء الکیمیاء فی القرن السابع عشر بناء هذا العلم علی انقاض السنن الکیمیائیّة المدمّرة من دون استیعاب مضمونه الداخلی وذلک بمساعدة رؤیة کونیّة أو نموذج جدید یرتکز علی التّعقّلیة، التّجربیّة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فأیّ أمل بفتح فصل جدید فی تأریخ العلم الإسلامیّ یمکنه تلفیق المجالات القابلة للتلفیق من العلم الحدیث دون التّنازل عن النّظرة الإسلامیّة إلی العالم، ینبغی أن یعتمد علی من له اطّلاع جوهری علی الرّؤیة الکونیّة الإسلامیّة وکذلک علی أوسع اطّلاع فی هذه العلوم دون الذوبان والانجذاب إلی الفروض والنّظرات الدّنیویّة للعلوم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فعلماء المسلمین الّذین لا یعملون فی مجال تخصّصهم، یستطیعون علی الأقل التّنبیه إلی المحدودیّة النّظریّة لهذه العلوم ، خطر العلمیّة، انفصال العلم الحدیث عن الأخلاق وضرورة التّأکید الشّامل علی أهمّیة الأخلاق والتّذکیر بأزمة الاستخدامات العمیاء لهذه</w:t>
      </w:r>
    </w:p>
    <w:p>
      <w:pPr>
        <w:pStyle w:val="BookText"/>
        <w:rPr/>
      </w:pPr>
      <w:r>
        <w:rPr>
          <w:rFonts w:ascii="IRNazanin" w:hAnsi="IRNazanin" w:eastAsia="IRNazanin"/>
          <w:color w:val="111111"/>
          <w:sz w:val="28"/>
          <w:sz w:val="28"/>
          <w:szCs w:val="28"/>
          <w:rtl w:val="true"/>
          <w:lang w:bidi="fa-IR"/>
        </w:rPr>
        <w:t>العلوم والفروع الأخری للعلم الحدیث فی علاقة الإنسان بالطّبیعة والانسجام الّذی أوجده فی ذات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ویستطیع هؤلاء أیضاً الإشارة إلی أهمّیّة جمیع الظّواهر باعتبارها آیات إلهیّة تقبع خلف الواقعیّات المادّیة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التّناقض، فعلی الرّغم من أنّ کثیراً من المفکّرین السیاسیّین المسلمین لا یعیرون أیّ أهمّیة لما یصطلح علیه بتخلّف المسلمین عن العلم والتقنیّة الغربیّة، فإنّ العالم الإسلامیّ فی طریقه للحاق أو حتّی التّکافؤ أو سبق الغرب فی کثیر من مجالات تدمیر البیئة الطّبیعیّة نتیجة لإستخدام التّقنیّة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هذه المسألة ترتبط بمرحلة أخری، لکن لا یمکن التّغاضی عن هذه القضیّة إلّا بتکلّف؛ وهی ما الأهمّیّة الّتی یعطیها المفکّرون المسلمون ومن ضمنهم العلماء لإحیاء النّظرة الإسلامیّة الأصیلة وذلک قبل القیام بتلفیق العلم الحدیث فی الرّؤیة الکونیّة الإسلامیّة بصورة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فوظیفة العالم المسلم الّذی وقف نفسه علی الإسلام هو تنبیه المجتمع الإسلامی بأجمعه علی الأخطار الحقیقیّة الّتی تواجه الکرة الأرضیّة قاطبة نتیجة لاستخدام العلم المنفصل عن الأخلاق من جهةٍ والغفلة عن‌الله من جهةٍ أخری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هؤلاء و بالاتّفاق مع المفکّرین المسلمین الآخرین ابتداء فصل جدید فی الفضاء الفکریّ الرّاهن للإسلام لمطالعة الاحتمالات الأخری المتعلّقة بدراسة الطّبیعة وعلی الخصوص بأسلوبها الإسلامیّ، وأن یترافق هذا العمل مع الإشارة إلی هذه الواقعیّة وهی أنّ العلم الحدیث سیف ذو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الّذی یخلق معاجز فی مجال الطّبّ، لکنّه یسهّل موت ملایین النّاس الّذین لم یولدوا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الحدیث الّذی أثمر عن نجاحات کثیرة فی الإنتاج الزّراعی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کان عاملاً مباشراً أو غیر مباشر فی تجویع أناس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الّذی أنقی میاه المدن الغربیّة، لکنّه تسبب فی تلویث هواء هذه المدن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أیّ توازن فی هذا الخطوات، فإذا سارت الأمور بهذا الشّکل فلربّما لا یبقی إنسان فی المستقبل لیشید بعظمة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الفاجعة لم تتحقّق بواسطة العلم فقط کی تجعل من الإنسان قادراً علی استخدام القنبلة القادمة دون ردع من أغلب أحاسیسه أو جعل نفسه 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الفاجعة تبرز علی الأغلب من خلال ما یصطلح علیه بالاستخدام السّلمی للعلم الحدیث مترافقاً مع طموحات الإنسان، والّذی لا یختصّ بشعب خاص، والّذی فرض أقسی الحروب علی ضیعة الله أی البیئة الطّبیعیّة الّتی رعرعنا فی کنفها برعایته ووهبنا حتّی الآن إمکانیّة الاستمرار فی حیاتنا باعتبارنا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الإقدام المهمّ الآخر هو إحیاء العلوم الإسلامیّة التّقلیدیّة فی أیّ زمان ومکان ممکن وعلی الخصوص فی مجالات مثل الطّب، علم العقاقیر، الزّراعة والعمارة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الإقدام لایؤدّی فقط إلی ثقة أغلب المسلمین بثقافتهم، بل له نتائج اجتماعیّة واقتصادیّة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زوال الادّعاءات الاحتکاریّة للعلم والتّقنیّة الحدیثة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فالإسالیب الطّبیّة غیر الغربیّة کالتّطبیب بالأبر وطبّ الآورودا أخذت تتفشّی بسرعة حتّی فی 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أن یکون الطّب الإسلامیّ باعتباره من أغنی العلوم الطّبیّة العالمیّة غائباً عن السّاحة إلی الآن ویتعرّض إلی الاستهانة من قبل أغلب الأطباء فی العالم الإسلامیّ ذاته أکثر من غیرهم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 الحقائق لا یمکن الاستمرار فی 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فالأطباء المسلمون فی أمریکا یحاولون تأسیس نقابه للطبّ الإسلامیّ ممّا یزرع الأمل فی النّفوس أن یکون هذا العمل موجباً للإهتمام الأکثر جدّیة بالعلوم الإسلامیّة التقلیدیّة بواسطة من کانوا مذهولین علی الدّوام بالتّطوّر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المجال ینبغی أن یکون الباکستانیّون والمسلمون الهنود الّذین حافظوا حتّی الآن علی الطّبّ الإسلامیّ والّذی یصطلح علیها بالیونای، وکذلک المؤسّسات النّاجحة کالمراکز المتعاطفة فی کراتشی ودلهی، نموذجاً وقدوة لباقی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فقلیلاً ما یمکن المبالغة فی مجال أهمّیّة دور إحیاء هذه المجموعة من العلوم الإسلامیّة التّقلیدیّة فی إیجاد التّواصل بین الباحثین التّقلیدیین وطلبة العلم الحدیث الّذین یعدّون الأداة الأساسیّة لإحیاء الإنجازات العلمیّة فی عالم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أهمّ إقدام لتأسیس علم إسلامی حقیقی هو التلفیق المجدّد فیما بین العلم والأخلاق لا بواسطة ذات العالم وإنّما بمساعدة البنی النّظریّة والأسّس الفلسفیّة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سبقت الإشارة کثیراً إلیه فإنّه لا توجد فی العالم المعاصر أیّ صلة منطقیّة فیما بین العلم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الأخلاق الشّائعة هی فی الأساس مسیحیة وتتطابق مع نوع رؤیتها الکونیّة الّتی استبدلتها بالرّؤیة الکونیّة للعلم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النّزعة الإنسانیّة العلمیّة والّتی تمتدّ جذورها فی کلّ سجیّة إنسانیّة متغیّرة، لیس لها تأثیر واسع لإیجاد بدیل أخلاقیّ فعّال حتّی فی الغرب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ملاحظة نتیجة هذا الوضع فی الأزمة البیئویّة، ففی ذات الوقت الّذی قُبلت فیه و ببساطة النّظرة العلمیّة فی مجال الطّبیعة باعتبارها الأمر الواقعیّ الوحید، لکن لم یکن لجمیع المساعی فی مجال إیجاد وإعمال الأخلاق البیئویّة تأثیر ولو یسیر علی الحدّ من التّدمیر المستمرّ للبیئة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الضّروری أن ینسجم ذلک النّوع من</w:t>
      </w:r>
      <w:bookmarkStart w:id="35" w:name="pg5231_29701"/>
    </w:p>
    <w:p>
      <w:pPr>
        <w:pStyle w:val="BookText"/>
        <w:rPr/>
      </w:pPr>
      <w:bookmarkEnd w:id="35"/>
      <w:r>
        <w:rPr>
          <w:rFonts w:ascii="IRNazanin" w:hAnsi="IRNazanin" w:eastAsia="IRNazanin"/>
          <w:color w:val="111111"/>
          <w:sz w:val="28"/>
          <w:sz w:val="28"/>
          <w:szCs w:val="28"/>
          <w:rtl w:val="true"/>
          <w:lang w:bidi="fa-IR"/>
        </w:rPr>
        <w:t>معرفة العالم مع السّلوکیّات الأخلاقیّة وأن یکون له ساحة معنائیّة مشترکة مع هذه السّلوکیات والّتی نشأت فی جمیع الحضارات من المذاهب الّتی أسّستها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علماء الأخلاق، الفلاسفة والإلهیّین المسلمین، هم الّذین یتسلّمون زمام هذه الوظیفة، لکن ینبغی علی العلماء الإسهام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فی واقع الأمر تأسیس علم إسلامیّ أصیل دون أن یکون ممتزجاً مع الأخلاق الإسلامیّة من حیث الفلسفة والرّؤیة الکونیّة إلّا بواسطة تلک المجموعة من طلبة العلم المرتبطین بالأخلاق والّذین من المحتمل أن یکونوا أخلاقیّین بذاتهم، وعلی أیّ حالٍ فإن إهتماماتهم الأخلاقیّة لیس لها ارتباط بالعلم الّذی أبدعوه هم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هی أنّ المسائل الراهنة ربما ستکون أکثر حدّة، لأنّ البحوث الحدیثة فی الحیاة الطّبیّة والهندسیّة تؤدّی إلی إیجاد مشاکل فی أساس جمیع الأخلاق المذهبیّة الإسلامیّة وغیر الإسلامیّة</w:t>
      </w:r>
      <w:r>
        <w:rPr>
          <w:rFonts w:eastAsia="IRNazanin" w:cs="IRNazanin"/>
          <w:color w:val="111111"/>
          <w:sz w:val="28"/>
          <w:szCs w:val="28"/>
          <w:rtl w:val="true"/>
          <w:lang w:bidi="fa-IR"/>
        </w:rPr>
        <w:t>.</w:t>
      </w:r>
    </w:p>
    <w:p>
      <w:pPr>
        <w:pStyle w:val="Heading3"/>
        <w:numPr>
          <w:ilvl w:val="2"/>
          <w:numId w:val="1"/>
        </w:numPr>
        <w:rPr/>
      </w:pPr>
      <w:bookmarkStart w:id="36" w:name="__RefHeading___Toc283150_581953129"/>
      <w:bookmarkStart w:id="37" w:name="_Toc13"/>
      <w:bookmarkEnd w:id="36"/>
      <w:r>
        <w:rPr>
          <w:rtl w:val="true"/>
        </w:rPr>
        <w:t>کلام حول التقنیة</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التّقنیّة موضوع واسع فعلی رغم علاقتها المؤکّدة بالعلم الحدیث فإنّها تواجه قضایا خاصّة لا ترتبط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وترتبط التقنیّة کذلک بمواضیع أخری فلسفیّة، نفسیّة، مذهبیّة، اجتماعیّة واقتصادیّة لا یمکن التّعرّض لها هنا، إلّا إذا أردنا التّأکید علی ارتباط التّقنیّة بالعلوم المحضّة علی رغم تمایزها عن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ریب فإنّ تمکّن الغرب من السّیطرة علی العالم لم یتمّ عن طریق العلم المحض وإنّما بواسطة التقنیّة، هذه القدرة الذاتیّة للتقنیّة الّتی أدّت وبشکل متزامن إلی الثراء والمسکنة علی السواء واستقبلت بترحیب أکثر 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عملیّة المتابعة واصطلاحاً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التّقنیّة الغربیّة المتینة، جعل من الدّول الإسلامیّة نفسها أکثر تبعیّة للغرب فی واقع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الفرقة الموجودة فیما بین المسلمین، یحوّل العرض العسکری للدبابات العراقیّة ثروة إسلامیّة إلی خزانة بعض الدّول الغربیّة، هذه الثّروة الّتی یکفی منها القلیل لترمیم وتحدیث مدینة کبیرة کالقاهرة وعدّة أماکن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حقیقة نتائج تبعیّة المسلمین نوعاً ما للتقنیّة العسکریّة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الحقیقة تصدُق أیضاً بنحو ما علی مجالات کثیرة من أشکال التّقنیّة؛ من التّقنیّة الدّوائیّة وحتّی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فالدّول الإسلامیّة فی ذات الوقت الّذی تستهلک جمیع المنتجات الّتی ظهرت من خلال التقنیّة وتستأذن الغرب لبیعها، کالمنتجات الطّبیّة عدیمة الاستهلاک</w:t>
      </w:r>
    </w:p>
    <w:p>
      <w:pPr>
        <w:pStyle w:val="BookText"/>
        <w:rPr/>
      </w:pPr>
      <w:r>
        <w:rPr>
          <w:rFonts w:ascii="IRNazanin" w:hAnsi="IRNazanin" w:eastAsia="IRNazanin"/>
          <w:color w:val="111111"/>
          <w:sz w:val="28"/>
          <w:sz w:val="28"/>
          <w:szCs w:val="28"/>
          <w:rtl w:val="true"/>
          <w:lang w:bidi="fa-IR"/>
        </w:rPr>
        <w:t>تُمنع من بعض هذه التّقنیّات کالتّقنیّة الذّریّة وذلک لاعتبارات سیاسیّة، ولا تبقی فی أیدیها حیلة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النّتیجة فإنّ تبعیّة الدّول الإسلامیّة الیوم للغرب تعدّ أشدّ من تبعیّة مواطنی الولایات الشّمالیّة الغربیّة فی الباکستان لبریطانیا فی عهد نضالهم ضدّ السّیطرة المباشرة علی هذا البلد فی القرن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مرّ فی المیدان العلمی، ففی هذه المیدان أیضاً تحتّم الضرورة التوصّل إلی إستنباط إسلامیّ من خلال المؤشّرات والعوامل الدّخیلة فی التقنیّة واستخداماتها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الانتباه إلی أنّه لا توجد مسألة أکثر مضادّة للإسلام من الاقتصاد الفاقد للأخلاق الّذی هو فی رأی الإسلام ذو ارتباط مباشر بالشّریعة، أو أکثر مضادّة للإسلام من معالجة المسائل الآنیّة دون التوجّه إلی تأثیر أسلوب الحلّ الطّویل الأمد، ومضادّة القیم الإسلامیّة المرتبطة بعلاقة الإنسان بالله والمجتمع وکذلک الکائنات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النّاقدون المسلمون للتقنیّة الحدیثة الّذین أدرکوا التّأثیر التّمرّدی والعمیق للتقنیّة الحدیثة علی الإنسان کأمثال النّاقدین الغربیّین ابتداءً من هایدغر ولویس مانفور وحتّی ایوان ایلیج وثیودور روزک؟ وفیما لو لاحظنا ارتفاع بعض الأصوات المعترضة فإنّها نادراً ما تکون جادّة؛ والحالة المفجعة للأزمة البیئویّة فی أکثر مناطق العالم الإسلامی تؤیّد 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تقویم التّقنیّات الحدیثة، إذ إنّها حتّی لو لوحظت جمیع المواصفات فیها فهی غیر مناسبة من ناحیة سلامة البیئة والمحیط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اللازم أن یکون اختیار نوع التّقنیّة فی أیّ موقع کان متناسباً مع أقلّ الأضرار الّتی تتعرّض لها البیئة وأسلوب الحیاة الفردیّة والإجتماعیّة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قدر الإمکان ابتداء السّعی نحو الحفاظ علی التّقنیّة التّقلیدیّة للأمم الإسلامیّة وإحیائها ابتداء من التّنمیة الزّراعیّة حتّی المعماریّة والّتی غالباً ما تکون أقلّ کلفة وممزوجة بنماذج الحیاة الإسلامیّة ثقافیّاً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الإجراء ینبغی أن یتمّ بعیداً عن أیّ إحساس بالانسحاق فی مقابل زحف الدّنیا المقنّنة، زحف فی حالة استمراره فإنّه یؤدّی علی وجه الیقین إلی انهیار جمیع النّظم المحافظة علی الحیاة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ینبغی تحشید جمیع الجهود لاعتماد تقنیّات أخری کالطّّاقة الشمسیّة مثلاً الّتی تتمیز بقابلیّة تخریبیّة أقل، ولا ینتظر المسلمون یوماً یبیعنا الغرب فیه بطاریّة شمسیّة لا تساوی عدّة دولارات بمئات آلاف الدولارات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علی المسلمین فی هذه الورطة الخطیرة والشّاقة الّتی مارست فیها وبصورة مباشرة منظمات</w:t>
      </w:r>
      <w:bookmarkStart w:id="38" w:name="pg5231_29703"/>
    </w:p>
    <w:p>
      <w:pPr>
        <w:pStyle w:val="BookText"/>
        <w:rPr/>
      </w:pPr>
      <w:bookmarkEnd w:id="38"/>
      <w:r>
        <w:rPr>
          <w:rFonts w:ascii="IRNazanin" w:hAnsi="IRNazanin" w:eastAsia="IRNazanin"/>
          <w:color w:val="111111"/>
          <w:sz w:val="28"/>
          <w:sz w:val="28"/>
          <w:szCs w:val="28"/>
          <w:rtl w:val="true"/>
          <w:lang w:bidi="fa-IR"/>
        </w:rPr>
        <w:t>أمثال المصرف العالمی وصندوق النّقد الدّولی خلال العقد الماضی سیاسة تخریب غابات الأمازون وطبقة الأوزون؛ مراعاة التّعالیم الإسلامیّة علی الدّوام فی مجال حفظ الأمانة للاستفادة من التّقنیّة الحدیثة وکی یقوموا لیس فقط بالمحافظة علی حیاة النّاس الآخرین بل حفظ الکرة الأرضیّة عامّة الّتی ألقی الله مسؤولیّتها علی أعتاقنا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إحیاء أخلاق السّلامة البیئویّة طبقاً للإطار التّشریعی والنّظرة الإسلامیّة للطبیعة القائمة علی أسّس قرآنیّة والتّراث الزّاهر للفلاسفة والعلماء المسلمین فی مختلف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ذلک أساساً إرشادیاً وإطاراً لأیّ محاولة لتطبیق وتنمیة تقنیّة فی مقابلاً لتّقلید الأعمی أو الرّغبات العابرة؛ وهنا لا نرید الخوض فی أیّ حدیث حول المطالب التّحرّریّة المفجعة الّتی ألقت بظلالها وبشدّة علی هذا البحث</w:t>
      </w:r>
      <w:r>
        <w:rPr>
          <w:rFonts w:eastAsia="IRNazanin" w:cs="IRNazanin"/>
          <w:color w:val="111111"/>
          <w:sz w:val="28"/>
          <w:szCs w:val="28"/>
          <w:rtl w:val="true"/>
          <w:lang w:bidi="fa-IR"/>
        </w:rPr>
        <w:t>.</w:t>
      </w:r>
    </w:p>
    <w:p>
      <w:pPr>
        <w:pStyle w:val="Heading3"/>
        <w:numPr>
          <w:ilvl w:val="2"/>
          <w:numId w:val="1"/>
        </w:numPr>
        <w:rPr/>
      </w:pPr>
      <w:bookmarkStart w:id="39" w:name="__RefHeading___Toc283152_581953129"/>
      <w:bookmarkStart w:id="40" w:name="_Toc14"/>
      <w:bookmarkEnd w:id="39"/>
      <w:r>
        <w:rPr>
          <w:rtl w:val="true"/>
        </w:rPr>
        <w:t>نظرة أخیرة</w:t>
      </w:r>
      <w:bookmarkEnd w:id="40"/>
    </w:p>
    <w:p>
      <w:pPr>
        <w:pStyle w:val="BookText"/>
        <w:rPr/>
      </w:pPr>
      <w:r>
        <w:rPr>
          <w:rFonts w:ascii="IRNazanin" w:hAnsi="IRNazanin" w:eastAsia="IRNazanin"/>
          <w:color w:val="111111"/>
          <w:sz w:val="28"/>
          <w:sz w:val="28"/>
          <w:szCs w:val="28"/>
          <w:rtl w:val="true"/>
          <w:lang w:bidi="fa-IR"/>
        </w:rPr>
        <w:t xml:space="preserve">وینبغی فی النّهایة أن أکرّر بأنّ العلم الحقیقی الّذی یمکن أن نعدّه علماً إسلامیّاً وغیر هدّام لعامّة النّظام الإسلامیّ؛ هو أن نکون مطّلعین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الأمور مترافقة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علم ناشیء من الحق ویعود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کان قد أُشیع بواسطة المسلمین علی مدی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حالیاً إحیاءه وإعادة تدوین الفلسفة الإسلامیّة للعلم والرّؤیة الکونیّة الإسلامیّة بلغة یمکن فهمها من قِبل المعاصرین لیتمّ فی ظلال ذلک تقویم العلم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فاحص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استلهامه بشکل متوازن من قبل عالم الفکر الإسلامیّ لیضاف فصل جدید لِلتأریخ المرموق والبارز للعلم الإسلامی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یتبلور علم إسلامی أصیل من خلال العلوم الإسلامیّة التّقلیدیّة والمستلهمة فیه عناصر من العلم الحدیث الّتی تتطابق مع بعض عناصر الواقعیّة مثلاً کالواقعیّة المادّیة، ففی ذلک الوقت نکون قد خطونا خطوة أساسیّة للإحیاء الحقیقی للحضارة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أضافة إلی هذا یمکن أن یکون لامتناع الإسلام عن القبول بفصل المذهب عن العلم والفلسفة وکذلک فصل العلم عن الإخلاق نتائج عمیقة علی مستوی البشریّة قاطبة الّتی تمرّ فی مرحلة السّقوط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تسبّب بها استخدام العلم من قِبل مَن أسّس عمله علی إغفال وجود الله ونسی دوره باعتباره راعی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الوحید الّذی بإمکانه حالیاً إنقاذ البشریّة من هذا الانتحار الجماعی والّذی یصوَّر علی أنّه تقدّم إنسانی هو العلم الّذی ینشأ من مبدأ جمیع</w:t>
      </w:r>
      <w:bookmarkStart w:id="41" w:name="pg5231_29704"/>
    </w:p>
    <w:p>
      <w:pPr>
        <w:pStyle w:val="BookText"/>
        <w:rPr/>
      </w:pPr>
      <w:bookmarkEnd w:id="41"/>
      <w:r>
        <w:rPr>
          <w:rFonts w:ascii="IRNazanin" w:hAnsi="IRNazanin" w:eastAsia="IRNazanin"/>
          <w:color w:val="111111"/>
          <w:sz w:val="28"/>
          <w:sz w:val="28"/>
          <w:szCs w:val="28"/>
          <w:rtl w:val="true"/>
          <w:lang w:bidi="fa-IR"/>
        </w:rPr>
        <w:t>العلم وما ذلک إلّا الله العلیم، وترویجه فی عالم فکریّ لا تکون فیه المعنویّات والأخلاق قضایا ذهنیّة مجرّدة وإنّما میزة أساسیّة للعالم وواقعیّة لعالم الماوراء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أن نکون واثقین من أنّ العالم الإسلامی باعتباره حاملاً لبلاغ آخِر وحی إلهیّ مطلق، بإمکانه أن یحتلّ موقعاً یستطیع من خلاله تأسیس علم إسلامیّ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یقتصر علی إیقاظ هذه الحضارة بل یکون الدافع الأساس لمن یبحث عن هذا النّوع من علم الطّبیعة والتّقنیّة فی مختلف أرجاء العالم ویستطیع من خلاله المساعدة فی إیجاد حیاة سلمیّة تّجاه أبناء جنسه ونفسه والبیئة الطّبیعیّة وأهمّ من ذلک تّجاه الحقیقة الإلهیّة الّتی هی المنشأ الوجودیّ للإنسان والعالم</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42" w:name="__RefHeading___Toc283154_581953129"/>
      <w:bookmarkStart w:id="43" w:name="_Toc15"/>
      <w:bookmarkEnd w:id="42"/>
      <w:r>
        <w:rPr>
          <w:rtl w:val="true"/>
        </w:rPr>
        <w:t>الملاحظات</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المقالة ترجمة لمقالة </w:t>
      </w:r>
      <w:r>
        <w:rPr>
          <w:rFonts w:eastAsia="Times New Roman" w:cs="Times New Roman" w:ascii="Times New Roman" w:hAnsi="Times New Roman"/>
          <w:color w:val="111111"/>
          <w:sz w:val="28"/>
          <w:szCs w:val="28"/>
          <w:lang w:val="en-US" w:bidi="en-US"/>
        </w:rPr>
        <w:t>Nast , Seed Hossin , 1996. " Islamic world view and modern science " , Islamic Thought and Islamic Creativity 7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والّتی نشرت فی فصلیّة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یجدر هنا التقدّم بالشکر والتّقدیر لهذه الفصلیّة لسماحها بنشر هذه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الاتّجاه الفکری للدکتور السّید حسین نصر ینضوی تحت الّتیار الفکریّ التّقلیدی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traditionalism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ویعدّ من ضمن المفکّرین البارزین لهذا الّتیار فی العصر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ورأیه هذا یدور حول محور تضادّ الفکر الحدیث والفکر التّقلیدی، وقد قام ببیان ذلک فی کتاباته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بعض هذه الکتابات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العلم المقدّس؛ والأمر القدسیّ، المعرفة والمعنویّة، وطرحت کذلک فی هذه المقالات دراسة وتحلیل للآراء الفکریّة للسلفیّة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ملتقی نقد التجدّد علی ضوء رأی السلفیّین والمعاصرین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الإبهامات الموجودة فی آراء السّید نصر هی أنّه فی مقالته هذه، لم یحدّد بدقّة الحدّ الأدنی لحدود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ففی وقت یشیر فی نقد العلم الحدیث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غیر الإخلاقیّة للعلم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الفجائع المتمخّضة عن آثار الاستخدامات غیر الصّحیحة للعلم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ینبع ولا ینتهی إلی‌الله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یبدو أنّه اختار اتّجاهاً عامّاً بخصوص العلم والّذی یشمل أیضاً دواعی العلماء من الفعّالیّات العلمیّة، تعبیرات العلماء عن</w:t>
      </w:r>
    </w:p>
    <w:p>
      <w:pPr>
        <w:pStyle w:val="BookText"/>
        <w:rPr/>
      </w:pPr>
      <w:r>
        <w:rPr>
          <w:rFonts w:ascii="IRNazanin" w:hAnsi="IRNazanin" w:eastAsia="IRNazanin"/>
          <w:color w:val="111111"/>
          <w:sz w:val="28"/>
          <w:sz w:val="28"/>
          <w:szCs w:val="28"/>
          <w:rtl w:val="true"/>
          <w:lang w:bidi="fa-IR"/>
        </w:rPr>
        <w:t>النّظریّات العلمیّة واستخدامات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یقول فی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یبیّنه الکثیر فی مجال مخالفتنا لترویج العلم الغربی، فإنّنا لم ننحاز مطلقاً لما هو غیر ممکن فی هذه البرهة من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فاقتراحنا کان یرتبط علی الأکثر بتعلیم العلم الغربیّ علی أفضل وجه ونضع فی ذات الوقت أسّسه النّظریّة والفلسفیّة فی بوتقة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فیبدوا أنّه اتّخذ جانب الاتّجاه العام للعلم وعزل الدّواعی، التّعابیر واستخدامات العلم والأسس النّظریّة والفلسفیّة عن المصادیق العلمیّة ذاتها الّتی هی فی مقام وصف وبیان الحقائق التّجربیّة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وتُطرح فی هذا المجال نقطتان منهجیّتان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 هو أنّه لأجل اتّخاذ موقف دقیق فی قبال مسألة إمکان أو امتناع العلم الدّینی، یلزم توضیح حدود العلم؛ وذلک لعودة إحدی نقاط الاختلاف الأساسی فی هذه المسألة إلی الغموض الموجود فی هذا المجال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الأخری، هو أنّ الدّکتور نصر یتحدّث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العلوم الحدیثة فی مجالها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یمکن أن یکون هذا القسم من العلم الحدیث بالذّات قد استُوعب من قِبل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حلّلنا عبارة السّید نصر بدقّة نستنتج أنّه یری بأنّ مشروعیّة العلم الحدیث تقتصر علی المجال الخاصّ الّذی تعرّض هو لتعریفه وذلک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إطار من المفروضات فی مجال ماهیّة معرفة الموضوع والذهن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کنّا لا نستطیع الانسجام مع مثل هذا الإطار لمعرفة الوجود والعلم المعرفیّ وفقاً لإطار الفکر التّقلیدی الإسلامی، فالعلم الحدیث سیفقد مشروعیّته بشکل کامل لدینا ولهذا السّبب فإنّ الدّعوة إلی تعلّمه بأفضل أسلوب هی الطّریق الوحیدة الّتی من الممکن أن تتّخذ بهدف نقد العلم الحدیث ولیس هناک أیّ سبب آخر لهذه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وجّهنا ذلک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أنّنا نحن أیضاً نعتقد بوجود العالم المادّی وإمکانیّة المعرفة الحسّیّة فی رؤیتنا الکونیّة التّقلیدیّة، فنستطیع فی هذا النطاق، الاعتقاد بمشروعیّة العلوم الحدیثة وتشمیر السواعد لتعلّمها بأفضل شکل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لأنّنا من حیث معرفة الوجود والعلم المعرفی لا نتقیَّد بهذا الإطار، فسنسعی لوضع هذا النطاق المشروع فی داخل رؤیة کونیّة أوسع ومن خلال وصله بالعلوم التقلیدیّة نکون قد ربطناه بمصدر العلوم والقبول بهذا الرأی یستلزم اتّخاذ اتّجاه غیر عامّ تّجاه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الأخری هی أنّنا نشعر بأنّ الدّکتور نصر ینسب جمیع مساوئ وقبائح العالم الجدید إلی النّظرة الحدیثة الحاکمة فی المجتمعات الراهنة وللعلم الجدید الّذی نشأ من خلال هذا النّوع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الإشارة إلی ثلاث نقاط مهمّة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أنّ نسبة ظاهرة إلی ظاهرة أخری تحتاج إلی أدلّة کافیة؛ وبعبارة أخری لأجل نسبة نظریّة علمیّة أو نجاح تقنی أو ظاهرة 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أخلاقیّة إلی التّقلیدیّة أو الحداثویّة سنحتاج إلی تقدیم معیار وملاک لهذه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لا یمکن القول بالتّمایز فیما بین أنواع مختلفة من آثار ونتائج رؤیة کونیّة ما، معرفة أو علم؛ ومن الأجدر دراسة الارتباط بین المساویء والمحاس الموجودة فی مجتمع ما مع نوع الرّؤیة الکونیّة، المعرفة أو العلم الحاکم فی ذلک المجتمع بشکل متساو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إنّ ادّعاء السّید نصر یرتکز علی أنّ محاسن العالم الجدید، عرضیّة واستثنائیّة وحتّی معلولة للقسم الحیّ الباقی من التّقلیدیّة وأنّ مساوءه ترتبط بذات الفکر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علاقته المعکوسة فی النّظام التّقلیدی، وهذا ممّا لا یمکن القبول به دون تقدیم دلیل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هی أنّه لأجل الحصول علی جواب علی ذلک، ینبغی السّؤال فی ضوء کتاباته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مجرّد انتساب ظاهرة ما إلی التّقلیدیّة یعکس أنّها حسنة وذات قیمة؟ أم أنّ تلک الظّاهرة ولأنّها حسنة وذات قیمة تنتسب إلی التّقلیدیّة؟ والشّیء الّذی یمکن ذکره هنا هو أنّه یبدو أنّه لا یمکن فی أیّ میدان، أعمّ من العلم، الاقتصاد، النّظم الإجتماعیّة وأنواع المظاهر الثّقافیّة، القبول بشیء ما لمجرّد کونه تقلیدیّاً، أو ردّه لمجرّد کونه حداثویّاً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لیس مجرّد الارتباط بالتّقلیدیّة، یعدّ ملاکاً للاعتبار ولیس مجرّد الانتساب إلی الحداثة، علّامة علی 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هو أنّه وعلی أساس الملاکات الثّابتة یمکن اختیار العناصر المناسبة من التّقلیدیّة والحداثویة وترک عناصرها غیر المناسبة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الدّکتور نصر الشّرط اللّازم للوصول إلی العلم الدّینی والمقدّس باکتشاف الرّؤیة الکونیّة الإسلامیّة المأخوذة من الاتّجاه المعرفی التّقلیدی ولأجل الوصول إلی هذه الرّؤیة یری بأنّه من اللازم مطالعة النّصوص الدّینیّة والتّراث والتّعمّق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نری أنّه من الضّروری ذکر بعض النقاط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الأولی هی أنّنا حتّی لو اکتشفنا الرّؤیة الکونیّة الخاصّة من خلال المطالعة والتّعمّق فی تراث الماضین، تبقی الإجابة عن هذا السّؤال وهو ما هو المعیار فی اعتباریّة هذه الرّؤیة الکونیّة؟ فهل مجرّد الانتساب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ممنهج أو حتّی غیر</w:t>
      </w:r>
    </w:p>
    <w:p>
      <w:pPr>
        <w:pStyle w:val="BookText"/>
        <w:rPr/>
      </w:pPr>
      <w:r>
        <w:rPr>
          <w:rFonts w:ascii="IRNazanin" w:hAnsi="IRNazanin" w:eastAsia="IRNazanin"/>
          <w:color w:val="111111"/>
          <w:sz w:val="28"/>
          <w:sz w:val="28"/>
          <w:szCs w:val="28"/>
          <w:rtl w:val="true"/>
          <w:lang w:bidi="fa-IR"/>
        </w:rPr>
        <w:t>ممنهج؛ لأنّ السّید نصر لم یقدّم قواعد واضحة لإستنباط الرّؤیة الکونیّة التّقلیدیّة من نصوص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تراث قدماء السّلف یمکن أن یکون ملاکاً لاعتباریّة مثل هذه الرّؤیة الکونیّة؟ أم أنّ تقییم الآراء والأقوال ینبغی أن یتمّ علی أساس أصول وملاکات ثابتة ودائمة وما فوق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الثّابت وجود مثل هذه الأصول والملاکات؟ وآراء مَن ستقوم هذه القواعد والأصول الثّابتة بتقییمها؟ وهنا تُطرح عدّة احتمالات؛ الأوّل، هو أن نأخذ هذه القواعد والأصول من نظام فکری جدید، وهذا ما یخالفه الدّکتور نصر بشکل قاطع، والاحتمال الآخر هو أنّ هذه القواعد والأصول تعطینا رؤیة کونیّة تقلیدیّة، وفی هذه الحالة ینبغی التّساؤل هل أنّ الرّؤیة الکونیّة التّقلیدیّة هی بحوزتنا لنقوم باستخراج الأصول الفکریّة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هناک مجموعة من الأصول العامّة المستقلّة من نوع الرّؤیة الکونیّة موجودة وعلی أساسها، یمکن التّعرّض الی نقد وتقییم التّقلیدیّة وکذلک الحداثویّة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الثّانیة، البحث الآخر فی مجال الرّؤیة الکونیّة الإسلامیّة التّقلیدیّة یتمثّل بماهیة ملاک انتساب تلک الرّؤیة الکونیّة إلی الإسلام؟ فهل الإستنباط المنهجی لهذه الرّؤیة الکونیّة من النّصوص الدّینیّة یجعل من ملاکها دینیّاً؟ وهل أنّ إثبات انسجام تعالیم هذا النّظام الفکری مع التّعالیم الدّینیّة یعدّ شرطاً فی کونها دینیّة؟ وعلی أیّ حالٍ، ینبغی بیان الأبعاد المختلفة للرؤیة الکونیّة التّقلیدیّة وعلی الخصوص وجه انتسابها إلی الدّین الإسلامی بشکل أوضح وأشف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وبصرف النّظر عن الملاحظات النّظریّة الآنفة فی مسألة فکر التّقلیدیّین وبحث الدّکتور نصر فی هذه المقالة بشکل خاصّ، فسنواجه مسألة علمیّة وتطبیقیة مهمّة وهی أنّ الفکر التّقلیدی لم یکتشف ویستخرج ویحیی بشکلٍ کاملٍ فی الظّروف الرّاهنة وعلی هذا الأساس فهو لم یعبّد الطّریق للتّعامل مع المسائل المستحدثة ممّا یستتبع عدم وجود إمکانیّة البحث عن قابلیّة ولیاقة الرّؤیة الکونیّة التّقلیدیّة، فما وظیفة المسلمین؟ والمسألة الواجب مراعاتها هنا هی أنّ مجرّد الإصرار علی الأصول البنیویّة للفکر التّقلیدی، الّذی تشترک فیه جمیع الأدیان والّذی هو جوهرالدّین، غیر کافٍ، ولا یمکن توقّع إخلاص جمیع المسلمین لهذه الأصول دون الأخذ بنظر الاعتبار قدرة هذه الأصول البنیویّة فی حلّ المسائل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وببیان آخر، إنّ إحدی المشکلات والمسائل الأساسیّة للعالم الإسلامی المعاصر هی کیف ینبغی تطبیق الأصول البنیویّة للإسلام فی الظّروف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الفکر التّقلیدی یمتلک القدرة والقابلیة لمواجهة التّطوّرات الّتی یواجهها المسلمون الیوم؟</w:t>
      </w:r>
      <w:bookmarkStart w:id="44" w:name="pg5231_29709"/>
    </w:p>
    <w:p>
      <w:pPr>
        <w:pStyle w:val="Heading2"/>
        <w:numPr>
          <w:ilvl w:val="1"/>
          <w:numId w:val="1"/>
        </w:numPr>
        <w:rPr/>
      </w:pPr>
      <w:bookmarkStart w:id="45" w:name="__RefHeading___Toc283156_581953129"/>
      <w:bookmarkStart w:id="46" w:name="_Toc16"/>
      <w:bookmarkEnd w:id="44"/>
      <w:bookmarkEnd w:id="45"/>
      <w:r>
        <w:rPr>
          <w:rtl w:val="true"/>
        </w:rPr>
        <w:t>نظریّة العلم الدّینی حسب تقییم معادلات العلم والدّین</w:t>
      </w:r>
      <w:bookmarkEnd w:id="46"/>
    </w:p>
    <w:p>
      <w:pPr>
        <w:pStyle w:val="Heading3"/>
        <w:numPr>
          <w:ilvl w:val="2"/>
          <w:numId w:val="1"/>
        </w:numPr>
        <w:rPr/>
      </w:pPr>
      <w:bookmarkStart w:id="47" w:name="__RefHeading___Toc283158_581953129"/>
      <w:bookmarkStart w:id="48" w:name="_Toc17"/>
      <w:bookmarkEnd w:id="47"/>
      <w:r>
        <w:rPr>
          <w:rtl w:val="true"/>
        </w:rPr>
        <w:t>حجّة الإسلام و المسلمین علی شاهرودی عابدی</w:t>
      </w:r>
      <w:bookmarkEnd w:id="48"/>
    </w:p>
    <w:p>
      <w:pPr>
        <w:pStyle w:val="BookText"/>
        <w:rPr/>
      </w:pPr>
      <w:r>
        <w:rPr>
          <w:rStyle w:val="FootnoteAnchor"/>
          <w:rtl w:val="true"/>
        </w:rPr>
        <w:footnoteReference w:id="24"/>
      </w:r>
    </w:p>
    <w:p>
      <w:pPr>
        <w:pStyle w:val="Heading3"/>
        <w:numPr>
          <w:ilvl w:val="2"/>
          <w:numId w:val="1"/>
        </w:numPr>
        <w:rPr/>
      </w:pPr>
      <w:bookmarkStart w:id="49" w:name="__RefHeading___Toc283160_581953129"/>
      <w:bookmarkStart w:id="50" w:name="_Toc18"/>
      <w:bookmarkEnd w:id="49"/>
      <w:r>
        <w:rPr>
          <w:rtl w:val="true"/>
        </w:rPr>
        <w:t>إشارة</w:t>
      </w:r>
      <w:bookmarkEnd w:id="50"/>
    </w:p>
    <w:p>
      <w:pPr>
        <w:pStyle w:val="BookText"/>
        <w:rPr/>
      </w:pPr>
      <w:r>
        <w:rPr>
          <w:rFonts w:ascii="IRNazanin" w:hAnsi="IRNazanin" w:eastAsia="IRNazanin"/>
          <w:color w:val="111111"/>
          <w:sz w:val="28"/>
          <w:sz w:val="28"/>
          <w:szCs w:val="28"/>
          <w:rtl w:val="true"/>
          <w:lang w:bidi="fa-IR"/>
        </w:rPr>
        <w:t>تتعرّض هذه المقالة إلی البحث فی مجال تقییم المعادلات فیما بین العلم والدّین لأجل تفسیر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المطروح فی علم الکلام القدیم والجدید وکذا فی نظریّة الاجتهاد؛ الرکیزة الأساسیّة لهذه المعادلات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 قد سعیّت ببضاعة مزجاة وذلک فی مقالة لی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الاکتشافیّة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إرجاع قانون التلازم بین العقل والشّرع إلی أقسامه البنیویة وبشکل تفصیلی فی المرحلة الأولی، والتّوفیق فیما بین الأقسام المستنتجة من هذا التّفصیل مع خواص وأحکام کلّ قسم فی المرحلة الثّانیة ثمّ دراسة وتقییم التّرکیبات الممکنة للقانون المزبور فی المرحلة الثّالثة، کی یحدَّد التّرکیب المنسجم لهذا القانون الّذی یمتلک قابلیّة التّعمیم، وکان هذا المقال قد نشر ضمن عدّة مقالات فی مجلة عالم الفکر</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وإنّ نتیجة البحوث الّتی قدّمتها فی النّظریّة الاکتشافیّة للاجتهاد ستُعتمد کأساس لبحوث المقالة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سنتعرّض للإجابة عن عدّة أسئلة أساسیّة مطروحة فی هذا المجال وتقییمها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ماذا یمکن أن یکون أو ماذا ینبغی أن یکون؟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العلم، أو ماذا یمکن أو ینبغی أن یکون؟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الّذی هو طریق لکشف واستخراج ثمّ إستنباط المعارف والقضایا والمقرّرات الدّینیّة من المصادر المعتبرة فی الشّرع، کیف وبأیّ أسالیب یمتدّ إلی جهازالمعرفة البشریّة لیقوم بإستنباط المعارف والتّفاسیر الدّینیّة من داخله بشکل مشروط ومحدود وتدریجی؟</w:t>
      </w:r>
    </w:p>
    <w:p>
      <w:pPr>
        <w:pStyle w:val="BookText"/>
        <w:rPr/>
      </w:pPr>
      <w:r>
        <w:rPr>
          <w:rFonts w:ascii="IRNazanin" w:hAnsi="IRNazanin" w:eastAsia="IRNazanin"/>
          <w:color w:val="111111"/>
          <w:sz w:val="28"/>
          <w:sz w:val="28"/>
          <w:szCs w:val="28"/>
          <w:rtl w:val="true"/>
          <w:lang w:bidi="fa-IR"/>
        </w:rPr>
        <w:t>فهذه المسألة، إضافة إلی أنّها تعدّ أهمّ مسألة فی الاجتهاد، فهی أیضاً من أهمّ مسائل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قام الباحثون فی أصول الفقة بالبحث فی هذه الاستفسارات الآنفة من جوانب متعدّدة وکانت النّتیجة طرح عدّة نظریات رئیسیّة قمنا بعرضها فی بحث النّظریّة الاکتشافیّة للاجتهاد وأثبتنا فیه النّظریّة الّتی توصّلنا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الّذی هو فعّالیة عقلیّة خاصّة وغیر ضروریّة فی مرحلة العلم الاکتسابی والتّدریجی والّذی یعتمد مباشرة علی المصادر الأساسیة للدّین والأدلّة المؤیّدة فی المصادر الأساسیّة؛ ما هی العلاقات الموجودة أو الّتی من الممکن أن تکون موجودة بینه وبین العلوم الأخری الّتی تتعلّق بنظام المعرفة فی قسم العلم الاکتسابی؟</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النّسبة فیما بین الاجتهاد الّذی یمثّل حالیاً عملیّة اکتشافیّة وإستنباطیّة والاکتشافات الأخری الّتی تحدث خارج نطاق الاجتهاد؟</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مکانة فرضیّات العلم البشریّ فی مجال الطّبیعة، ما بعد الطّبیعة، الإنسان والمجتمع وسوی ذلک، وما هی العلاقة الممکنة فیما بینها وبین ذات القضیّة والقانون؟</w:t>
      </w:r>
    </w:p>
    <w:p>
      <w:pPr>
        <w:pStyle w:val="BookText"/>
        <w:rPr/>
      </w:pPr>
      <w:r>
        <w:rPr>
          <w:rFonts w:ascii="IRNazanin" w:hAnsi="IRNazanin" w:eastAsia="IRNazanin"/>
          <w:color w:val="111111"/>
          <w:sz w:val="28"/>
          <w:sz w:val="28"/>
          <w:szCs w:val="28"/>
          <w:rtl w:val="true"/>
          <w:lang w:bidi="fa-IR"/>
        </w:rPr>
        <w:t>فهذه المسألة تعدّ من أهمّ مسائل العالم المعاصر والنّظریّات الاجتهادیّة، فینبغی دراستها فی موقعها الأعمّ، ویمثّل هذا الاستفسار بحسب الموازین الّتی یحملها محاولة للإجابة علیها و حلّ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سؤال أو استفسار، یعدّ مرحلة تمهیدیّة لاستکمال المعرفة، ثمّ إنّ أیّ جواب أو خطّة، یعدّ مرحلة لتحقیق استکمال المعرفة، مع أنّ الإجابات والبرامج تحتاج بذاتها إلی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أسئلة واستفسارات أخری؛ لکون منظومة المعرفة البشریّة محدودة وتدریجیّة وممکنة</w:t>
      </w:r>
      <w:bookmarkStart w:id="51" w:name="pg5231_29711"/>
    </w:p>
    <w:p>
      <w:pPr>
        <w:pStyle w:val="BookText"/>
        <w:rPr/>
      </w:pPr>
      <w:bookmarkEnd w:id="51"/>
      <w:r>
        <w:rPr>
          <w:rFonts w:ascii="IRNazanin" w:hAnsi="IRNazanin" w:eastAsia="IRNazanin"/>
          <w:color w:val="111111"/>
          <w:sz w:val="28"/>
          <w:sz w:val="28"/>
          <w:szCs w:val="28"/>
          <w:rtl w:val="true"/>
          <w:lang w:bidi="fa-IR"/>
        </w:rPr>
        <w:t>الخطأ فهی بحاجة علی الدوام إلی مراحل تحسینیّة وتکمیلیّة، دون أن تفقد المراحل السّابقة قیمتها العلمیّة، مع أنّه من الممکن أن تکون بعض أقسام نظریّات تلک المرحلة قد تمّ إبطالها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الإبطال ذاته هو من أقسام المعرفة وأنّ ضعف النّظریّات السّابقة یستبدل إلی کمالات نظریّات أخری بإبطاله</w:t>
      </w:r>
      <w:r>
        <w:rPr>
          <w:rFonts w:eastAsia="IRNazanin" w:cs="IRNazanin"/>
          <w:color w:val="111111"/>
          <w:sz w:val="28"/>
          <w:szCs w:val="28"/>
          <w:rtl w:val="true"/>
          <w:lang w:bidi="fa-IR"/>
        </w:rPr>
        <w:t>.</w:t>
      </w:r>
    </w:p>
    <w:p>
      <w:pPr>
        <w:pStyle w:val="Heading3"/>
        <w:numPr>
          <w:ilvl w:val="2"/>
          <w:numId w:val="1"/>
        </w:numPr>
        <w:rPr/>
      </w:pPr>
      <w:bookmarkStart w:id="52" w:name="__RefHeading___Toc283162_581953129"/>
      <w:bookmarkStart w:id="53" w:name="_Toc19"/>
      <w:bookmarkEnd w:id="52"/>
      <w:r>
        <w:rPr>
          <w:rtl w:val="true"/>
        </w:rPr>
        <w:t>مدخل</w:t>
      </w:r>
      <w:bookmarkEnd w:id="53"/>
    </w:p>
    <w:p>
      <w:pPr>
        <w:pStyle w:val="BookText"/>
        <w:rPr/>
      </w:pPr>
      <w:r>
        <w:rPr>
          <w:rFonts w:ascii="IRNazanin" w:hAnsi="IRNazanin" w:eastAsia="IRNazanin"/>
          <w:color w:val="111111"/>
          <w:sz w:val="28"/>
          <w:sz w:val="28"/>
          <w:szCs w:val="28"/>
          <w:rtl w:val="true"/>
          <w:lang w:bidi="fa-IR"/>
        </w:rPr>
        <w:t xml:space="preserve">یمکن أن یشمل الحوار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مسائل عرضیّة، والّذی یهمّنا فی هذا المقال هو نوع علاقة الاثنین فی مطابقتهما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التّجربی، الواقع ما بعد الطّبیعیّ وواقع ذات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عامّة تفید إحدی المعانی المذکورة أو اثنین منها أو جمیعها بحسب خصوصیّاتها الموردیّة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المقال، معنیان علی نحو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العام الّذی تشترک فیه الطّبیعة والإنسان بل إنّ الطّبیعة الفعلیّة عاقلة؛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عدم التّناقض، أصل أنّ کلّ شیء قائم بذاته، أصل بطلان الدّور والتسلسل التّعلیلیّ غیر الزّمانیّ، أصل احتیاج الحادث إلی علّة وحاجة الممکن إلی وجوبیّة وأمثال هذه الأصول والقضایا العامّة الأخری والّتی یکون بعضها قابلاً للاستدلال أو لا یحتاج إلی استدلال أو ضرورة 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الاکتسابی الّذی یحصل بشکل استدلالی من خلال المعرّفة العمومیّة والقواعد المنطقیّة الحاکمة علیها سواء کان دون استعانة بتجربة عامّة وتجربة خاصّة أو بالاستعانة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العلم یتمیز بالنّسبة للإنسان غیر المعصوم، بأنّه یکون فی معرض الخطأ وعدم مطابقته للواقع من جهة، ومحدود وتدریجی وتتنامی جوانبه بشکل تدریجی من جهةٍ أخری ولأجل ذلک، فهو بحاجةٍ إلی نقد وتحسین وتکمیل وهذه الحاجة لا یمکن زوالها مطلقاً؟ لاستلزامها انتفاء کونه محدوداً وتدریجیاً وممکن الخطأ؛ فالعلم الاکتسابی غیر العمومی عند غیر المعصوم، یتمیّز بثلاث خصال، کونه محدوداً، تدریجیاً وإمکانیّة عدم مطابقته للواقع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نصل إلی قانون الصفر فی العلم المعرّفی الّذی یحدّد المکانة الأساسیّة للمعرفة البشریّة قبل قوانین الأوّل، الثّانی، الثّالث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54" w:name="pg5231_29712"/>
    </w:p>
    <w:p>
      <w:pPr>
        <w:pStyle w:val="Heading3"/>
        <w:numPr>
          <w:ilvl w:val="2"/>
          <w:numId w:val="1"/>
        </w:numPr>
        <w:rPr/>
      </w:pPr>
      <w:bookmarkStart w:id="55" w:name="__RefHeading___Toc283164_581953129"/>
      <w:bookmarkStart w:id="56" w:name="_Toc20"/>
      <w:bookmarkEnd w:id="54"/>
      <w:bookmarkEnd w:id="55"/>
      <w:r>
        <w:rPr>
          <w:rtl w:val="true"/>
        </w:rPr>
        <w:t>قانون الصّفر ما فوق الافتراضی</w:t>
      </w:r>
      <w:bookmarkEnd w:id="56"/>
    </w:p>
    <w:p>
      <w:pPr>
        <w:pStyle w:val="BookText"/>
        <w:rPr/>
      </w:pPr>
      <w:r>
        <w:rPr>
          <w:rFonts w:ascii="IRNazanin" w:hAnsi="IRNazanin" w:eastAsia="IRNazanin"/>
          <w:color w:val="111111"/>
          <w:sz w:val="28"/>
          <w:sz w:val="28"/>
          <w:szCs w:val="28"/>
          <w:rtl w:val="true"/>
          <w:lang w:bidi="fa-IR"/>
        </w:rPr>
        <w:t>فطبقاً لهذا القانون، تکون أیّ معلومة ونظریة فی نطاق العلم الاکتسابی من حیث الجهاز الاکتشافی لنتیجتها المعطاة، تابعة لملاکات وقوانین ذلک الجهاز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حیث رقابة العقل العمومی والعقل التّرکیبی للمعلومات والنّظریّات الاکتشافیّة تکون فی معرض الاحتمال فوق الافتراضی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الرأی النّاظر من الخارج للمعلومة والنّظریّة، یحتمل صدق المعلومة والنّظریّة کقضیّة، وکذا یحتمل عدم صدقها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ولأجل تفسیر قانون الصفر ما فوق الافتراضی وإقامة الدّلیل الکافی 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الإمکان علی معنیین؛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الذّاتی الخاص والّذی یسند إلی الممکنات، والّذی یعرف فی الاصطلاح الفلسفیّ، بالإمکان الماهوی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بالإمکان إطلاقه علی الوجودات الإمکانیّة حسب رأیی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والإمکان الذّاتی الخاصّ الّذی هو بمعنی سلب ضرورة الوجود والعدم وفُسّر أیضاً باستواء نسبة الوجود والعدم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الإمکان هو معنی ما وراء الطّبیعیّ والّذی یستخدم فی جمیع الممکنات وفی جمیع المراتب الإمکانیّة، سواء کان فی ما بعد الطّبیعة، أو فی الطّبیعة أو فی جمیع سلاسل الصعود والنّزول الإمکانی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فإنّه یوجد فی وقائع الطّبیعة والنّفس، معنی آخر للإمکان وهو الإمکان الاستعدادیّ إلی جانب الإمکان الذّاتی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إمکان آخر أیضاً یدعی بالإمکان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إلی المعانی المذکورة، هناک معنی آخر کذلک وهو الإمکان الافتقاری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ونظریة الإمکان الافتقاری من جملة النّظریّات المبتکرة فی مراحل الفلسفة الإسلامیّة بمفهومها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ودوّن الملا صدرا هذه النّظریّة فی الوجود المعرفی الإمکانی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بمعنی احتمال الصّدق والکذب؛ وهذا المعنی؛ لیس مبهماً بحدّ ذاته، ومع ذلک فمن الأفضل التّعرّض قلیلاً لشرحه لأجل معرفته واستخراج أحکامه</w:t>
      </w:r>
      <w:r>
        <w:rPr>
          <w:rFonts w:eastAsia="IRNazanin" w:cs="IRNazanin"/>
          <w:color w:val="111111"/>
          <w:sz w:val="28"/>
          <w:szCs w:val="28"/>
          <w:rtl w:val="true"/>
          <w:lang w:bidi="fa-IR"/>
        </w:rPr>
        <w:t>.</w:t>
      </w:r>
    </w:p>
    <w:p>
      <w:pPr>
        <w:pStyle w:val="Heading3"/>
        <w:numPr>
          <w:ilvl w:val="2"/>
          <w:numId w:val="1"/>
        </w:numPr>
        <w:rPr/>
      </w:pPr>
      <w:bookmarkStart w:id="57" w:name="__RefHeading___Toc283166_581953129"/>
      <w:bookmarkStart w:id="58" w:name="_Toc21"/>
      <w:bookmarkEnd w:id="57"/>
      <w:r>
        <w:rPr>
          <w:rtl w:val="true"/>
        </w:rPr>
        <w:t>شرح الإمکان بمعنی الاحتمال</w:t>
      </w:r>
      <w:bookmarkEnd w:id="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أساس الاحتمال إمّا أن یکون الإمکان الذّاتی الخاصّ أو عدم العلم بموقع الحدث أو الشّیء أو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کلتا الصّورتین، یعدّ الاحتمال، عملیة حسابیّة وإحصائیة یَتّخذ فی</w:t>
      </w:r>
      <w:bookmarkStart w:id="59" w:name="pg5231_29713"/>
    </w:p>
    <w:p>
      <w:pPr>
        <w:pStyle w:val="BookText"/>
        <w:rPr/>
      </w:pPr>
      <w:bookmarkEnd w:id="59"/>
      <w:r>
        <w:rPr>
          <w:rFonts w:ascii="IRNazanin" w:hAnsi="IRNazanin" w:eastAsia="IRNazanin"/>
          <w:color w:val="111111"/>
          <w:sz w:val="28"/>
          <w:sz w:val="28"/>
          <w:szCs w:val="28"/>
          <w:rtl w:val="true"/>
          <w:lang w:bidi="fa-IR"/>
        </w:rPr>
        <w:t>الحالة الّتی تتضمّن معیاراً لما بعد الطّبیعة وجهاً فلسفیّاً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العملیّة الإحصائیّة قابلة للتحلیل والاستنتاج بحسب الاحتمالات والنّظریّات الأساسیّة لذلک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الأوضاع الیومیّة، یکفی إلی حدّ ما تأثیرها علی الوضع العادی للذهن والعمل وفقاً لذلک التأثیر، ولکن فی الموارد الرّیاضیّة والمنطقیّة والفلسفیّة تتأکّد الحاجة إلی نظریّة تحتیة وکذلک إلی ریاضیّات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الّتی تُحمل علیها التصوّرات الجزئیّة یمکنها کذلک قبول أیّ احتمال یحتمل طبقاً لحساب الاحتمالات، وبغض النّظر عن ذلک، یحتمل لها احتمال الصفر ما فوق الافتراضی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الاحتمال بغض النّظر عن نظریّة الاحتمال وریاضیّات الاحتمال یثبت لأیّ قضیّة ناشئة عن الإنسان المحدود ومحتمل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ذلک أنّ أیّ قضیّة بشریّة تقوم علی أساس إمکان الخطأ فی حاملها وعلی أساس احتمال تساوی الصّدق والکذب فی داخلها بصورةٍ فوق افتراضیّة؛ لا یتجاوز احتمال صدقها الصفر</w:t>
      </w:r>
      <w:r>
        <w:rPr>
          <w:rFonts w:eastAsia="IRNazanin" w:cs="IRNazanin"/>
          <w:color w:val="111111"/>
          <w:sz w:val="28"/>
          <w:szCs w:val="28"/>
          <w:rtl w:val="true"/>
          <w:lang w:bidi="fa-IR"/>
        </w:rPr>
        <w:t>.</w:t>
      </w:r>
    </w:p>
    <w:p>
      <w:pPr>
        <w:pStyle w:val="Heading3"/>
        <w:numPr>
          <w:ilvl w:val="2"/>
          <w:numId w:val="1"/>
        </w:numPr>
        <w:rPr/>
      </w:pPr>
      <w:bookmarkStart w:id="60" w:name="__RefHeading___Toc283168_581953129"/>
      <w:bookmarkStart w:id="61" w:name="_Toc22"/>
      <w:bookmarkEnd w:id="60"/>
      <w:r>
        <w:rPr>
          <w:rtl w:val="true"/>
        </w:rPr>
        <w:t>الاستدلال علی احتمال الصفر فوق الافتراضی</w:t>
      </w:r>
      <w:bookmarkEnd w:id="61"/>
    </w:p>
    <w:p>
      <w:pPr>
        <w:pStyle w:val="BookText"/>
        <w:rPr/>
      </w:pPr>
      <w:r>
        <w:rPr>
          <w:rFonts w:ascii="IRNazanin" w:hAnsi="IRNazanin" w:eastAsia="IRNazanin"/>
          <w:color w:val="111111"/>
          <w:sz w:val="28"/>
          <w:sz w:val="28"/>
          <w:szCs w:val="28"/>
          <w:rtl w:val="true"/>
          <w:lang w:bidi="fa-IR"/>
        </w:rPr>
        <w:t xml:space="preserve">إنّ أیّ قضیّة غیر ضروریّة وغیر عمومیّة فی نطاق الموجود الجائز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احتمال والصدق والکذب المساوی کلّ منهما للکسر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احتمال الخطأ من خلال قابلیّة خطأ الموجود غیر المعیاری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الاحتمال هو بمعنی احتمال الصدق والکذب إلّا أنّه یأتی من إمکان الخطأ الذّاتی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فمضمون هذا الإمکان أنّ الموجود الجائز الخطأ لیس له واقع قضایا بشکل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الواقع أو عدم تحقّقه لا یمثلّ أیّ منهما ضرورة بالنّسبة له ولأنّه حسب البرهان الّذی أقامه الفلاسفة، وعلی الخصوص هنا، وحسب التّقریر الّذی أنجزه الفیلسوف الإسلامیّ الکبیر نصیر الدّین الطّوسی، وکذلک حسب البرهان الّذی قرّره الکاتب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إمکان الشّیء مع أنّه بحسب مرتبة ماهیّة الشّیء، یعادل تساوی طرفی الوجود والعدم فیه، دون رجحان ذاتی لأیّ طرف علی الآخر، إلّا إذا رجحت علّة وحجّة أحد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الإمکان بحسب ذات الأمر یکون مساویاً لعدم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فجمیع الممکنات تکون ذاتیّاً معدومة فی مرتبة نفس الأمر المتعلّق بالذّات، وعدمها الذّاتی لنفس الأمر یتقدّم علی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فجمیع الممکنات، حادثة بالحدوث الذّاتی لنفس الأمر وتصبح موجودة بعد عدمها بواسطةِ تأثیر واجب الوجود بطریقٍ غیروی وتبعی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نستنتج أنّ إمکان الخطأ فی الموجود غیر المعیاری، یعادل عدم حصول ذات أمره فی واقع القضایا الاکتسابیّة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تکون هذه المعادلة قائمة بقطع للنّظر عن علل الحصول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الموجود الجائز الخطأ یکون فاقداً بشکل ذاتی ومن دون اعتبار علل تحصیل الواقع لواقع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فاحتمال صدق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أنّها منسوبة إلی الموجود القابل للخطأ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مساویاً للصفر بشکل تبعی، مع أنّها لا تکون مساویة للصفر إذا أُخذت بشکل مستقلّ عن ذلک، وإنّما تکون من خلال الجانب الرّیاضی البحت مساویة للکسر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شرحاً موجزاً لنّظریّة قانون الصّفر ما فوق الافتراضی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المستحصلة من هذا القانون، هی استمرار حاجة القضایا الاکتسابیّة لتولید قضایا أکثر ومن ثمّ تُخلی مکانها إلی قضیّة أقوی منها فی عملیّة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قانون الصّفر هذا قانوناً لما فوق الافتراض، فالقضیّة، تمتلک خصیصة اکتشاف نفسها وحفظ ذلک الاکتشاف وأنّ صدقها وکذبها یرتبط بأدلّتها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فقانون الصّفر یقتصر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القضیّة لیست هی من سنخ القضایا الضّروریّة والعمومیة کأصل عدم التّناقض أو أصل امتناع التّرجیح بلا مرجّح فهی فی معرض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قانون الصفر هو قانون تحذیری یرغم العقل علی النّقد وتجدید النّظر وتطویر المعرفة ولا یصل إلی استدلالات لاذعة من خلال ذلک؛ لکون القانون المذکور بمثابة رقیب یعمل خارج القضیّة ولا یمارس أیّ عمل سوی إیقاظ العقل لکنّ مسار الاستدلالات یسیر وفقاً للملاکات والحدود الوسطیّة والأشکال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لقانون الصفر تحذیر سوی أنّه ینبغی تقریب الاستدلالات إلی المرحلة المعیاریّة ما وسع ذلک واختبارها علی أدقّ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السّبب، فإنّ قانون إمکان الخطأ الّذی یعادل الخطأ فی المرتبة الذّاتیّة للموجود الممکن الخطأ، یمکن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إمکان العلم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بواسطة هذا القانون ینحَّی العلم الاکتسابی وغیر العمومی عن أن یکون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ویوضع فی ذیل قانون إمکان الصّدق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ونضیف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الضّرورة فی بحث الصّدق والکذب القضیّوی تکون بمعنی ضرورة صدق القضیّة ولا تتنافی مع الإمکان الذّاتی للقضیّة الّتی یمثّل الإمکان مادّتها وجهتها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لفظة الإمکان فهی فی هذا البحث بمعنی احتمال الصدق القضیّوی، لکنّ</w:t>
      </w:r>
      <w:bookmarkStart w:id="62" w:name="pg5231_29715"/>
    </w:p>
    <w:p>
      <w:pPr>
        <w:pStyle w:val="BookText"/>
        <w:rPr/>
      </w:pPr>
      <w:bookmarkEnd w:id="62"/>
      <w:r>
        <w:rPr>
          <w:rFonts w:ascii="IRNazanin" w:hAnsi="IRNazanin" w:eastAsia="IRNazanin"/>
          <w:color w:val="111111"/>
          <w:sz w:val="28"/>
          <w:sz w:val="28"/>
          <w:szCs w:val="28"/>
          <w:rtl w:val="true"/>
          <w:lang w:bidi="fa-IR"/>
        </w:rPr>
        <w:t>الإمکان فی حامل القضیّة الّذی هو هنا الکائن الجائز الخطأ یستخدم بالمعنی الما بعد الطّبیعیّ له الّذی هو الإمکان الذّاتی الماهوی نفسه</w:t>
      </w:r>
      <w:r>
        <w:rPr>
          <w:rFonts w:eastAsia="IRNazanin" w:cs="IRNazanin"/>
          <w:color w:val="111111"/>
          <w:sz w:val="28"/>
          <w:szCs w:val="28"/>
          <w:rtl w:val="true"/>
          <w:lang w:bidi="fa-IR"/>
        </w:rPr>
        <w:t>.</w:t>
      </w:r>
    </w:p>
    <w:p>
      <w:pPr>
        <w:pStyle w:val="Heading3"/>
        <w:numPr>
          <w:ilvl w:val="2"/>
          <w:numId w:val="1"/>
        </w:numPr>
        <w:rPr/>
      </w:pPr>
      <w:bookmarkStart w:id="63" w:name="__RefHeading___Toc283170_581953129"/>
      <w:bookmarkStart w:id="64" w:name="_Toc23"/>
      <w:bookmarkEnd w:id="63"/>
      <w:r>
        <w:rPr>
          <w:rtl w:val="true"/>
        </w:rPr>
        <w:t xml:space="preserve">عالم </w:t>
      </w:r>
      <w:r>
        <w:rPr>
          <w:rtl w:val="true"/>
        </w:rPr>
        <w:t>«</w:t>
      </w:r>
      <w:r>
        <w:rPr>
          <w:rtl w:val="true"/>
        </w:rPr>
        <w:t>الضرورة</w:t>
      </w:r>
      <w:r>
        <w:rPr>
          <w:rtl w:val="true"/>
        </w:rPr>
        <w:t xml:space="preserve">» </w:t>
      </w:r>
      <w:r>
        <w:rPr>
          <w:rtl w:val="true"/>
        </w:rPr>
        <w:t>فی العلم</w:t>
      </w:r>
      <w:bookmarkEnd w:id="64"/>
    </w:p>
    <w:p>
      <w:pPr>
        <w:pStyle w:val="BookText"/>
        <w:rPr/>
      </w:pPr>
      <w:r>
        <w:rPr>
          <w:rFonts w:ascii="IRNazanin" w:hAnsi="IRNazanin" w:eastAsia="IRNazanin"/>
          <w:color w:val="111111"/>
          <w:sz w:val="28"/>
          <w:sz w:val="28"/>
          <w:szCs w:val="28"/>
          <w:rtl w:val="true"/>
          <w:lang w:bidi="fa-IR"/>
        </w:rPr>
        <w:t>لا یوجد سوی عالمان للضرورة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المفاهیم والمعلومات والقضایا العمومیّة الّتی لا ترتبط بالاستدلال والنّقد؛ وعلی الخصوص من جهة أنّ نظام الاستدلال والانتقاد هو بحاجة إلی هذا العالم ومع الأخذ بنظر الاعتبار عالم العلم العمومی الّذی یکون النّقد وإقامة الدّلیل ممکناً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 التّعلیلی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تحتّل مکانها فی مجموعة العلم العمومی؛ وعلی الرغم من أنّ بعض العلوم فی هذه المجموعة عمومیّة ولیست بحاجة إلی استدلال، لکنّها فی مقام بیان الملاک، تقترن بالاستدلال؛ کامتناع التّسلسل التّعلیلی الّذی یقترن بالاستدلال، فی حالة کونه عمومی، ولکن الاستدلال، باعتباره عمومیّاً، یتمیز بضرورة صدقه ولا یتّبع قوانین العلم الاکتسابی الناجمة عن العقل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المصونیّة الّذی هو فی حاقّ الواقع وفی نظام الکلّ الإمکانی، الّذی یعدّ معیاراً لمقیاس المعرفة والأخلاق ویفتح هذا العالم، شعاعاً لمرتبة علم المعصومین علیهم السلام والعلم اللدنّی؛ ومن هنا عُهد طریق إبلاغ المشیئة الإلهیّة إلیهم کی یبلَّع وینجَّز الدّین بطریقٍ مباشر ومن خلال ضرورة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أنّ إبلاغ التّعالیم وأصول الدّین والأخلاق یصبح معیاریّاً من خلال مأخذین، فی نظام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المأخذ الأوّل المرجع المستقرّ فی حاقّ واقع الإمکان الّذی هو العلم اللدنّی للأنبیاء والأوصیاء علیهم السلام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والمأخذ الثّانی المرجع المستقرّ فی حاقّ الذّهن بوصفه مستقلاً عن الذّهن ویمکن اعتباره بمثابة نفس الأمر وهذا المأخذ هو نفسه العقل العمومی والعناصر والأصول العمومیّة والضروریّة للعقل العملی والعقل الأخلاقی؛ أمثال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النّظریّ العامّ 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الصّدق 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الأخلاقی العامّ، وکذلک أمثال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الموافقة باعتباره الشّرط اللّازم للقانون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یرتبط بالعقل العملی</w:t>
      </w:r>
      <w:r>
        <w:rPr>
          <w:rFonts w:eastAsia="IRNazanin" w:cs="IRNazanin"/>
          <w:color w:val="111111"/>
          <w:sz w:val="28"/>
          <w:szCs w:val="28"/>
          <w:rtl w:val="true"/>
          <w:lang w:bidi="fa-IR"/>
        </w:rPr>
        <w:t>.</w:t>
      </w:r>
      <w:bookmarkStart w:id="65" w:name="pg5231_29716"/>
    </w:p>
    <w:p>
      <w:pPr>
        <w:pStyle w:val="Heading3"/>
        <w:numPr>
          <w:ilvl w:val="2"/>
          <w:numId w:val="1"/>
        </w:numPr>
        <w:rPr/>
      </w:pPr>
      <w:bookmarkStart w:id="66" w:name="__RefHeading___Toc283172_581953129"/>
      <w:bookmarkStart w:id="67" w:name="_Toc24"/>
      <w:bookmarkEnd w:id="65"/>
      <w:bookmarkEnd w:id="66"/>
      <w:r>
        <w:rPr>
          <w:rtl w:val="true"/>
        </w:rPr>
        <w:t>مفهوم الدّین فی هذا البحث</w:t>
      </w:r>
      <w:bookmarkEnd w:id="67"/>
    </w:p>
    <w:p>
      <w:p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هنا بالمعنی الّذی یأتی من ماهیّة العقل العامّ ومن حاقّ جهاز الأخلاق، بقطع النّظر عن الآراء المختلفة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توضیح هذا المعنی، من الجدیر توضیح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الإدراک الذّهنی وکذلک من جهة إمکانها الاستعمالی لإیصال المقصود الّذی یستتبع المعرفة فیما بین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ذلک النّوع من العزم المشترک للعقل والأخلاق لانتخاب حقیقة ما والّذی یرجّح علی أیّ عزم آخر دون شرط أو محدودیّة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ذلک الوقت الّذی یتحقّق هذا العزم بشکل حقیقی ویتجسّد فی الإنسان فرده ذاتاً، یتحقّق الإیمان والدّیانة ویظهر فی مراتب الفصول الذاتیّة للنّوع الإنسانی وأیّ کائن عاقل آخر ذو فصل ذاتیّ والّذی عُبّر عنه فی النّصوص الشّرعیّة المرویّة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الرّغم من أنّ الدّیانة لها درجات، إلّا أنّ تحقّق کلّ درجة؛ بالتّناسب وکمالها الخاصّ، یستتبعه مجموعة من التّرجیحات الجدّیة؛ فعلی سبیل المثال، مع أنّ الإنسان یحب جلب النّفع لنفسه وإذا لم یردعه العقل العملیّ فإنّه یرجّح منفعة نفسه علی أیّ شیء آخر، ولکنّه فی مرحلة العزم علی ترجیح منفعة غیره علی منفعته ینقطع عن الاقتضاءات النّفسانیّة ویتّجه صوب ترجیح الإحسان وترجیح الأمر الأبدی بالإحسان، الناشئ من مبدأ الوجود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مرتبة مثل هذا العزم یتحقّق الفرد الذّاتی للدیانة؛ یعنی أنّ هذا العزم الموجود ذاته، هو من الأفراد الذاتیّة لحقیقة الدیانة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تحلیل خواصّ وشروط هذا العزم وکذلک البحث عن منبعه، نستنتج أنّه مع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مشروطة بموضوع أو موضوعات أو بمنبع خاصّ بحسب ملاحظة الظّهور الاستعمالی فی اللّغة، لکنّها بحسب الخواصّ والشّروط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أُشیر إلیها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مشروطة بالعقل والأخلاق، باعتباره المنبع الدّاخلی للعزم علی الدّین من جهة، وبالحقیقة المستقلّة عن الذّهن والرأیّ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الحقیقة الّتی تتجسّد بشکل تجعل من الجهاز المتّحد للعقل والأخلاق یقف خاشعاً أمامها ومنساقاً من قبل القانون الأخلاقیّ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الحقیقة هی مبدأ الوجود والأخلاق ومن هنا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تختصّ بالحقیقة الّتی ترتبط ارتباطاً ماهویّاً مع المبدأ العام والأساس التّابع لها، تکون مستقرّة</w:t>
      </w:r>
    </w:p>
    <w:p>
      <w:pPr>
        <w:pStyle w:val="BookText"/>
        <w:rPr/>
      </w:pPr>
      <w:r>
        <w:rPr>
          <w:rFonts w:ascii="IRNazanin" w:hAnsi="IRNazanin" w:eastAsia="IRNazanin"/>
          <w:color w:val="111111"/>
          <w:sz w:val="28"/>
          <w:sz w:val="28"/>
          <w:szCs w:val="28"/>
          <w:rtl w:val="true"/>
          <w:lang w:bidi="fa-IR"/>
        </w:rPr>
        <w:t>فی الجهاز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سیجیء فی البحث المتعلّق بمعرفة ماهیّة الدّین، لا یمکن من خلال جهة العقل المحض تحدید أیّ مضمون للدّین دون اعتقاد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فالعزم علی التّرجیح غیر المشروط للحسن، یعادل ترجیح الأمر اللّامشروط بفعل الحسن علی الدّوافع والحاجات؛ ولأنّ الأمر غیر المشروط بفعل الحسن، هو أمر مطلق وخالد، إذن فیکون مستقلاً عن الإنسان وأیّ موجود ممکن ویختصّ بمبدأ الوجود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فالدیانة، هی التّرجیح الأخلاقیّ المحض للأمر غیر المشروط ویتعلّق هذا الأمر بجمیع المحتوی المنهجی الّذی یحدّد عقله العلمی وعقله الأخلاقیّ العمومیّ من النّاحیة الدّاخلیّة، ویتمّ تحدیده من النّاحیة العینیّة والخارجیّة من قبل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الدّور للتعرّض لبیان ماهیّة الدّین بحسب الخواص و الشّروط الأساسیّة وکذلک بحسب مبدأه وحقیقته المقوّمة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المقصود من ماهیّة الدّین، هی ماهیّته من حیث معناه فی قضیّة العلم والدّین، وعلی أساس الشّرح الّذی قدّمناه عن مفهوم الدّیانة وکذلک بالنّظر إلی بیان مفهوم التّدیّن باعتباره العزم العقلیّ والأخلاقیّ لتحصیل الحقیقة الّتی هی ذاتاً جدیرة بالامتنان، ویمکن الآن التّطرّق لمقولة ماهیّة الدّین من حیث الارتباط فیما بین العقل الأخلاقیّ، باعتباره المتدیّن والممتن وبین الحقیقة الإلهیّة، باعتبارها متعلّق الدّیانة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ومراعاة للاختصار، سنعبّر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عموم نظام العقل والأخلاق، لنکون قد أشرنا إلی جانب العقل المحض والجانبین العملیّ والأخلاقیّ المحض</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فطبقاً للقضایا السّبعة المنظّمة فی مفهوم العقل العملی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وطبقاً لبعض البحوث المدوّنة فی نقد العقل، العقل الأخلاقیّ، بجمیع ممیّزاته، یکون العقل مطیعاً ومنقاداً فی مقابل القوانین الأبدیّة والأخلاقیّة ویؤصّلها فی عالم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أیّ تکلیف أو أمر أو مفهوم أخلاقیّ، هو بالحمل الشّائع، حاصل فی مرتبة العقل الأخلاقیّ؛ یعنی أنّ الفرد الحقیقی لکلٍّ من الأمور المذکورة، متحقّقة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العقل، هو عقل أخلاقی علی وجه الضّرورة ولیس کما یقال من أنّه وصل إلی مرحلة الأخلاق بواسطةِ الاکتساب والتأمّل؛ وکذا القوانین الأخلاقیّة فهی متحقّقة فی العقل علی وجه</w:t>
      </w:r>
    </w:p>
    <w:p>
      <w:pPr>
        <w:pStyle w:val="BookText"/>
        <w:rPr/>
      </w:pPr>
      <w:r>
        <w:rPr>
          <w:rFonts w:ascii="IRNazanin" w:hAnsi="IRNazanin" w:eastAsia="IRNazanin"/>
          <w:color w:val="111111"/>
          <w:sz w:val="28"/>
          <w:sz w:val="28"/>
          <w:szCs w:val="28"/>
          <w:rtl w:val="true"/>
          <w:lang w:bidi="fa-IR"/>
        </w:rPr>
        <w:t>الضّرورة، ولا یحتاج العقل لأجل کشفها وفهمها إلی الاکتساب والتّحصیل فالإنسان أخلاقیّ بطبعه وفی مرتبة عقله، وهو بکلّ وجوده یستکشف الأخلاقیّات ویتعقّل فی جمیع مراتبها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مرحلة الحسّ والتّعقّل یکتشف استقلال قوانین الأخلاق عن أفراد البشر وحتّی عن الأفراد الجزئیّة للعقول ویدرک أنّ الأوامر الأخلاقیة، لیست مشروطة ومحدودة ولذا فهی غیر ناتجة عن الموجود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الطّریق قد فُتح للعقل الدّاخلی لأجل النّموّ وتعقّل حقیقة النّظام الأخلاقیّ فی بُعدی الماهیّة والوجود المتحقّقین منه؛ لأنّه اتّضح أنّ النّظام الأخلاقیّ لم یأت من المخلوق؛ إذن فهذه الحقیقة هی مبدأ الوجود والأخلاق والّتی من خلال وضع قوانین العمل الاختیاری فی نظام الممکنات وإبلاغها بواسطةِ الأنبیاء والأوصیاء علیهم السلام ،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الشّکل یوضع الدّین من ناحیة الشّارع الإلهی للموجود الممکن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ماهیة الدّین بحسب اقتضاء العقل النّظریّ والعقل الأخلاقیّ، عبارة عن نظام أصول الإیمان وقوانین العمل فی منطقة الاختیار، فی ذات الوقت الّذی تؤخذ بنظر الاعتبار مسألة الأمر بین الأمرین ونفی الجبر والتّفویض، ومن هنا جاء وضع هذا النّظام للأصول والقوانین من قبل الله وأبلغها من خلال وکلائه إلی الموجودات 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بعد إبلاغه وعرضه للناس، ینتقل إلی إدراکاتهم بطریقین عمومیّ واکتسابیّ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الدّین الّذی هو ملاک تقویم المعلومات والقضایا الإدراکیة الدّینیة، له مرحلتان تطابقیّتان طولیّتان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 مرتبة النّزول والاستیداع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تبیّن الدّین من حیث نزوله علی النّبیّ صلی الله علیه و آله وإیداعه عند الأوصیاء علیهم السلام ، هی المرتبة الأولی لواقع الدّین فی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أدیان الأنبیاء السّالفین تمثّل المرحلة الأولی لواقع الدّین؛ مرتبة من التحقّق یحصل فیها نزول واستیداع الأصول والأحکام أیضاً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الثّانیة، مرتبة صدور وإبلاغ أمور الدّین من قِبل رسول الله والأوصیاء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المرتبة تکون فی طول المرحلة الأولی وتتأخّر عنها تأخّراً رتبیّاً وطبعیاً وتکون مرافقة للتأخّر الزّمانی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تتّخذ الأصول والأحکام والقوانین فعلیتها بالنّسبة إلی سائر الموجودات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الفعلیّة، هی منشأ وجوب البحث عن البلاغات والمقرّرات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الأولی، یقتصر تنجّز وفعلیة البلاغات علی نواب الله المعصومین الّذین هم وعاء لنزول البلاغات أو استیداعها ولا تتعدّی إلی المرحلة الثّانیة، فلا تتحقّق فعلیّتها ولا تُقبل آثار فعلیتها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المرحلة دخل موضوعی فی التّحقّق الفعلیّ للأحکام والمقرّرات والماهیات التّشریعیّة؛ یعنی أنّ طریق النّبیّ صلی الله علیه و آله والوصی علیه السلام هو الطّریق الوحید المعیاریّ والمضمون لإبلاغ أمور الدّین للموجودات العاقلة ولذا فهذا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الطّریق الصّحیح الوحید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طریق موضوعی فالطّریق الموضوعیّ لا یکون مجرّد طریق وصول البلاغ، بل هو دخیل فی مضمون البلاغ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مثل هذا الطّریق، لا یتحقّق إبلاغ المقرّرات والقوانین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فاستناد الأمور إلی مبدأ الوجود والدّین وإمکانیّة الاستدلال لها لا یتیسّر إلّا بواسطة هذا الطّریق المضمون، أمّا غیره من الطّرق فهی غیر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جمیع طرق کشف الأحکام وإستنباط المضامین والمقرّرات وکذلک جمیع طرق کشف الوظائف العملیّة وإستنباط القواعد العامّة، یعود إلی المرحلة الثّانیة لواقع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فالأدّلة الاجتهادیّة والفقاهتیّة، ناظرة إلی المقرّرات المستقرّة فی المرحلة الثّانیة ومن هنا یؤخذ فی قانون الملازمات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کملازمة وجوب ذی المقدّمة لوجوب المقدّمة وملازمة النّهی لبطلان الشّیء مورد النّهی بشکلّ عامّ أو خاصّ، علی فرض ثبوت هذه الملازمات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الملازمة علی أساس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ملازمة العقل والشّرع، یمکننا أخذ قانون الملازمة نسبة إلی المقرّرات الموجودة فی المرحلة الثّانیة لواقع الشّرع، بغض النّظر عن شروط وحدود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والقانون المذکور الّذی یحتاج إلی معرفة فائقة للوصول إلی مرحلة أعلی لیس له فعلیة ولا یستطیع إثبات أو تنجیز إستنباطاته علی المکلّفین بشکلّ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ذلک فإنّ العقل الخاصّ والمکتسب لا یستطیع استنتاج تصوّرات وقضایا لائقة دون الاستناد إلی مصدر مصون ومستقرّ فی نظام العالم، ویطلب من الجمیع نسبة هذه التّصوّرات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العقل الخاصّ والمکتسب المتّصف بالمحدودیّة وجواز الخطأ له قدرة فائقة میتافیزیاً، لکنّه فی المرحلة الأولی لواقع الشّرع لا یمتلک قدرةً فائقةً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فنتیجة افتراض الإمکانیّة الفائقة للعقل الخاصّ لمرحلة الشّرع الأولی وکذلک إمکانها للعقل الخاصّ فی ماوراءالطّبیعة، هی إنشاء جهاز ما وراءالطّبیعة وجعل نظام الاکتشافات الماورائیّة لها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افترض الإمکانیّة الفائقة للعقل الخاصّ لمرحلة الواقع التّشریعی الأولی لا یمکن تحمیلها مثل هذه النّتیجة بخصوصِ أساس التّشریعات ونظام الاکتشافات</w:t>
      </w:r>
      <w:bookmarkStart w:id="68" w:name="pg5231_29720"/>
    </w:p>
    <w:p>
      <w:pPr>
        <w:pStyle w:val="BookText"/>
        <w:rPr/>
      </w:pPr>
      <w:bookmarkEnd w:id="68"/>
      <w:r>
        <w:rPr>
          <w:rFonts w:ascii="IRNazanin" w:hAnsi="IRNazanin" w:eastAsia="IRNazanin"/>
          <w:color w:val="111111"/>
          <w:sz w:val="28"/>
          <w:sz w:val="28"/>
          <w:szCs w:val="28"/>
          <w:rtl w:val="true"/>
          <w:lang w:bidi="fa-IR"/>
        </w:rPr>
        <w:t>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العکس من ذلک، فإنّه سیؤذن لأفراد العقول الخاصّة الجلوس علی مسند التّشریع وتعمیم إستنباطاتهم بالتّعارض مع باقی العقول، وهذا ما یؤدّی إلی نتیجة متناقضة؛ لأنّه إذا کان کلّ عقل خاص یمتلک الرخصة لإجراء مثل هذا البرنامج ویستطیع أن یقرّر إستنباطاته باعتبارها قضایا نفس الأمر ویعمّمها علی باقی العقول، ففی هذه الحالة نکون قد جوّزنا قضایا متناقضة، سواء کان التناقض فی المرحلة الأولی أم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تکون الرّخصة قد أُعطیت لکلّ واحد من العقول من تقریر قانون عام یتعارض والعقل 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 هذا التّجویز یعدّ محالاً ومعادلاًَ لإمضاء وإبطال جمیع الأحکام العقلیّة؛ لأنّه عندما یقول هذا التّجویز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عقل مرخّص له تعمیم قراراته علی العقل الآخر، یقول للعقل الآخر أیّضاً الکلام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العقول الخاصّة، محدودة وجائزة الخطأ کذلک، یکون هذا التّجویز مناظراً لأنّ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 کلّ عقل صحیحة و خاطئة فی ذات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فإعطاء مثل هذه الإجازه للعقول المحدودة والاکتسابیّة فی مقابل أحدها الآخر، یکون معادلاً لإمضاء مقرّرات جمیع العقول المحدودة ومعادلاً فی ذات الوقت لإبطال مقرّرات جمیع العقول المحدودة؛ لذا، فإنّ مثل هذا التّجویز غیر عقلیّ، وغیر شرعیّ وأنّ مثل هذا التّجویز الفائق والمتناقض، غیر ممکن علی العموم</w:t>
      </w:r>
      <w:r>
        <w:rPr>
          <w:rFonts w:eastAsia="IRNazanin" w:cs="IRNazanin"/>
          <w:color w:val="111111"/>
          <w:sz w:val="28"/>
          <w:szCs w:val="28"/>
          <w:rtl w:val="true"/>
          <w:lang w:bidi="fa-IR"/>
        </w:rPr>
        <w:t>.</w:t>
      </w:r>
    </w:p>
    <w:p>
      <w:pPr>
        <w:pStyle w:val="Heading3"/>
        <w:numPr>
          <w:ilvl w:val="2"/>
          <w:numId w:val="1"/>
        </w:numPr>
        <w:rPr/>
      </w:pPr>
      <w:bookmarkStart w:id="69" w:name="__RefHeading___Toc283174_581953129"/>
      <w:bookmarkStart w:id="70" w:name="_Toc25"/>
      <w:bookmarkEnd w:id="69"/>
      <w:r>
        <w:rPr>
          <w:rtl w:val="true"/>
        </w:rPr>
        <w:t>العلم والدّین فی المیزان</w:t>
      </w:r>
      <w:bookmarkEnd w:id="70"/>
    </w:p>
    <w:p>
      <w:pPr>
        <w:pStyle w:val="BookText"/>
        <w:rPr/>
      </w:pPr>
      <w:r>
        <w:rPr>
          <w:rFonts w:ascii="IRNazanin" w:hAnsi="IRNazanin" w:eastAsia="IRNazanin"/>
          <w:color w:val="111111"/>
          <w:sz w:val="28"/>
          <w:sz w:val="28"/>
          <w:szCs w:val="28"/>
          <w:rtl w:val="true"/>
          <w:lang w:bidi="fa-IR"/>
        </w:rPr>
        <w:t xml:space="preserve">کان کلامنا حتّی الآن ذا طبیعة علمیّة ودینیّة من جهة أنّ الدّین والعلم هما حقیقتان فی نفسیهما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قدرة الأجهزة المعرفیّة والعلمیّة الّتی تعود إلی الإستنباط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فإنّه قد أصبح من المعلوم شیئاً ما أنّ الجزء الضّروری للأجهزة المعرفیّة والعلمیّة، بطبیعته الضّروریّة، یدرک حقیقة الدّین واقتضاءاته العامّة وإذا أراد أن یعمل طبقاً لضرورته تلک، فإنّه سیتّجه صوب الدّین واقتضاءاته العامّة ویلتزم به من صمیم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 العلمیّ فی ماهیّته العامّة والأوّلیّة، من جهة أنّه یرجّح القوانین الأخلاقیّة علی اقتضاءات الحاجة والأخذ والعطاء والضرّر،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أخلاقیّاً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جهة أنّه فی ترجیحه القوانین الأخلاقیّة یقرّر ربطها بمبدئها الماهوی والوجودیّ،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دینیّاً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وبعد الأخذ بنظر الاعتبار اقتضاءات حقیقة الدّین من جهة، وکذلک الأخذ بنظر الاعتبار اکتشافات سنخیّة العلم من جهةٍ أخری، تتأکّد بشکل عام هذه النّتیجة وهی أنّ</w:t>
      </w:r>
      <w:bookmarkStart w:id="71" w:name="pg5231_29721"/>
    </w:p>
    <w:p>
      <w:pPr>
        <w:pStyle w:val="BookText"/>
        <w:rPr/>
      </w:pPr>
      <w:bookmarkEnd w:id="71"/>
      <w:r>
        <w:rPr>
          <w:rFonts w:ascii="IRNazanin" w:hAnsi="IRNazanin" w:eastAsia="IRNazanin"/>
          <w:color w:val="111111"/>
          <w:sz w:val="28"/>
          <w:sz w:val="28"/>
          <w:szCs w:val="28"/>
          <w:rtl w:val="true"/>
          <w:lang w:bidi="fa-IR"/>
        </w:rPr>
        <w:t>الدّین فی مرتبته المحضة، الّتی هی مرحلة نزوله واستیداعه لدی النوّاب المعصومین وکذلک مرحلة أبلاغه من قِبلهم، منسجم ومتماثل ومتلازم مع العلم فی مرتبته المحضة والضّروریّة؛ لأنّ العلم فی مرحلة العقل الضّروریّ والعمومیّ یقتصر علی کشف وتصدیق القضایا الضّروریّة الصّدق، کما أنّ الدّین فی نفس أمره، یقرّر ویشرّع القضایا الضّروریّة الصّدق والأحکام والقوانین الضّروریّة من جهة القانون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أنّه لا یوجد تقابل وتنافٍ فیما بین العقل النّظریّ العمومیّ والعقل العملیّ العمومیّ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إنّهما یمدّان بعضهما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یوجد تنافٍ فیما بین العقل النّظریّ والعملیّ وبین العقل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یوجد تنافٍ وتقابل فیما بین الاقتضاءات العامّة للعقل فی جوانبه الثّلاثة النّظریّة والعملیّة والدّینیّة واقتضاءات الدّین فی مرتبته المحضة</w:t>
      </w:r>
      <w:r>
        <w:rPr>
          <w:rFonts w:eastAsia="IRNazanin" w:cs="IRNazanin"/>
          <w:color w:val="111111"/>
          <w:sz w:val="28"/>
          <w:szCs w:val="28"/>
          <w:rtl w:val="true"/>
          <w:lang w:bidi="fa-IR"/>
        </w:rPr>
        <w:t>.</w:t>
      </w:r>
    </w:p>
    <w:p>
      <w:pPr>
        <w:pStyle w:val="Heading3"/>
        <w:numPr>
          <w:ilvl w:val="2"/>
          <w:numId w:val="1"/>
        </w:numPr>
        <w:rPr/>
      </w:pPr>
      <w:bookmarkStart w:id="72" w:name="__RefHeading___Toc283176_581953129"/>
      <w:bookmarkStart w:id="73" w:name="_Toc26"/>
      <w:bookmarkEnd w:id="72"/>
      <w:r>
        <w:rPr>
          <w:rtl w:val="true"/>
        </w:rPr>
        <w:t>المسألة الرئیسة فی مجال إحراز العلم البشری للواقع</w:t>
      </w:r>
      <w:bookmarkEnd w:id="73"/>
    </w:p>
    <w:p>
      <w:pPr>
        <w:pStyle w:val="BookText"/>
        <w:rPr/>
      </w:pPr>
      <w:r>
        <w:rPr>
          <w:rFonts w:ascii="IRNazanin" w:hAnsi="IRNazanin" w:eastAsia="IRNazanin"/>
          <w:color w:val="111111"/>
          <w:sz w:val="28"/>
          <w:sz w:val="28"/>
          <w:szCs w:val="28"/>
          <w:rtl w:val="true"/>
          <w:lang w:bidi="fa-IR"/>
        </w:rPr>
        <w:t>أمّا الآن فستتّضح مسألة الدّین والعلم، من خلال نوع علاقات العقل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الأساسیّة أنّ کمیّة ونوعیّة معرفتنا واطّلاعنا علی‌الدّین، تکون تابعة لکمیّة ونوعیّة إستنباطها من معطیات الدّین ولأنّ عموم، کیفیّة وماهیة إستنباطاتنا تابعة للمنهج والمسلک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وقدرة الطّریق الاجتهادی کذلک، وکذا تابعة للأدلّة والأصول والقواعد الاجتهادیّة، لذا فسوف تُطرح هذه المسألة وهی؛ ما هی الطّرق والأسالیب الّتی من الممکن أن یتّخدها علمنا الاکتسابیّ، التّدریجیّ، المتناهیّ والممکن الصّدق لیقیم الارتباط مع حاقّ الدّین النّازل من عندالله ویصل إلی حقیقته؟ فدراسة حدود وشروط إمکان هذا الإستنباط وبیان مراحله التّدریجیّة، یعدّ أهمّ مسألة فی مبنی الاجتهاد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وتتجلّی مثل هذه المسألة فی مجال ارتباط علمنا الاکتسابیّ مع الواقع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عقلنا فی منطقة الاستدلال والتّجربة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منطقة العلم الاکتسابیّ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محدوداً وتدریجیّاً ومحتمل الخطأ، فما هی الطّرق والأسالیب والوسائل الّتی یتّبعها للارتباط بالواقع والوصول إلی ذات التّصوّرات والقضایا فی المجالات النّظریّة والعملیّة والأخلاقیّة؟ وبعبارة أخری، کیف یمکن إحراز الواقع مع کونه یتمیّز بالمحدودیّة فی مرحلته الخاصّة والاکتسابیّة ویواجه علی الدّوام إمکانیّة الخطأ وعدم مطابقة الواقع، إلّا إذا أرید للمعرفة، أن تکون شیئاً آخر غیر العلم الصّحیح؟ فإذا کان العقل یحرز الواقع، فینبغی أن یعلم الواقع بالعلم</w:t>
      </w:r>
    </w:p>
    <w:p>
      <w:pPr>
        <w:pStyle w:val="BookText"/>
        <w:rPr/>
      </w:pPr>
      <w:r>
        <w:rPr>
          <w:rFonts w:ascii="IRNazanin" w:hAnsi="IRNazanin" w:eastAsia="IRNazanin"/>
          <w:color w:val="111111"/>
          <w:sz w:val="28"/>
          <w:sz w:val="28"/>
          <w:szCs w:val="28"/>
          <w:rtl w:val="true"/>
          <w:lang w:bidi="fa-IR"/>
        </w:rPr>
        <w:t>الصّحیح والمضمون، فی حال أنّ مثل هذا العلم یستلزم وجود الحدّ الأقل من المعیار المضمون العمومیّ فی نطاق العلم الاکتسابیّ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الإجابة علی مسألة العقل والواقع تقع علی عاتق النّقد المعرّفی والفکریّ وتقویم مصادر المعرفة والفکر؛ نقد یقیّم ویبحث فی مرحلته الأولی، العقل، التّصوّر، الحسّ، والإدراک الّتی هی مصادر المعرّفة، ویقوم فی المرحلة الثّانیة، بتحلیل وتقییم وإعادة تنظیم إمکان وسعة وشروط ومعیار المعرفة والفکر المستخلصة من المصادر کی یعلم مقدار قابلیّة کشف ووصول جهاز المعرفة للإنسان العادیّ إلی الواقع المستقلّ عن الأذهان ویری إلی أیّ مدی یمکن وصوله وما هی وما محلّ حدوده؛ تلک الحدود الّتی تحاصر العقل البشریّ غیر المضمون تکوینیّاً ولا تُجیز له علی الإطلاق العبور إلی ضفتها الأخری؟ فهل من الصّحیح وجود حدود تکوینیّة لجهاز المعرّفة؟ وهل من الصّحیح أنّ الحصارات الوجودیّة والماهویّة تحول دون عبور العقل إلی عوالم أرفع وأرقی؟ أم أنّ العقل لا حدود له وأنّ المعرفة لیست سدّاً تکوینیّاً؟</w:t>
      </w:r>
    </w:p>
    <w:p>
      <w:pPr>
        <w:pStyle w:val="BookText"/>
        <w:rPr/>
      </w:pPr>
      <w:r>
        <w:rPr>
          <w:rFonts w:ascii="IRNazanin" w:hAnsi="IRNazanin" w:eastAsia="IRNazanin"/>
          <w:color w:val="111111"/>
          <w:sz w:val="28"/>
          <w:sz w:val="28"/>
          <w:szCs w:val="28"/>
          <w:rtl w:val="true"/>
          <w:lang w:bidi="fa-IR"/>
        </w:rPr>
        <w:t xml:space="preserve">وقد جاء نقد المرحلة الأولی فی بحوثنا حول تقییم المعرّفة، تحت عنوان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العقل الترکیبی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شمولیة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وطبقاً لما جاء فی تلک البحوث، أنّ مؤسّسة العقل تتکّون من عدّة أقسام وعدّة مراحل وتمتدّ فی جذر کلّ شعور، وکما أنّ الإنسان وأیّ موجود یماثله، له عقل نظری وعقل عملی، فکذلک له عقل أخلاقی وعقل شهودی ویتمتّع بالعقل الاحتمالی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فی مرحلة الوهم والخیال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الحسّی والعقل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الأقسام و المراحل تکون مقوّمة للشمولیّة العقلیّة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هذه الشمولیّة العقلیّة، تصل الکائنات العاقلة إلی مرحلة العقل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یصبح العلم الاکتسابی والاستدلالی وقبول النّقد فی المجالات المتعدّدة، ممکناً للإنسان وأقرانه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العلوم البشریّة ابتداءً من العقلیّة الأصیلة وحتّی الحسّیة والتّجربیّة إلی العلوم الوضعیّة والتّفسیریّة ترتبط بمرحلة العقل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العقل الخاصّ، العقل المنظِّر، ، سواء کان فی الأمور العقلیّة المنتجة للنظریّات أم فی الأمور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العقل محدود وجائز الخطأ وتدریجی، فهو بحاجة إلی معاییر مستقلّة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هذه المعاییر فی العقل العمومیّ وکذلک فی العقل الخارج عن الذّهن الّذی هو مضمون وعالمی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استکشافها فی العقل العمومیّ والخارج عن الأذهان بواسطة المعلومات والقضایا العمومیّة والاستدلالات المستقلّة عن الآراء، أمّا استکشافها فی العقل</w:t>
      </w:r>
      <w:bookmarkStart w:id="74" w:name="pg5231_29723"/>
    </w:p>
    <w:p>
      <w:pPr>
        <w:pStyle w:val="BookText"/>
        <w:rPr/>
      </w:pPr>
      <w:bookmarkEnd w:id="74"/>
      <w:r>
        <w:rPr>
          <w:rFonts w:ascii="IRNazanin" w:hAnsi="IRNazanin" w:eastAsia="IRNazanin"/>
          <w:color w:val="111111"/>
          <w:sz w:val="28"/>
          <w:sz w:val="28"/>
          <w:szCs w:val="28"/>
          <w:rtl w:val="true"/>
          <w:lang w:bidi="fa-IR"/>
        </w:rPr>
        <w:t>العالمی والخارج عن الأذهان فیتمّ عبر علامات العلم المحض الّذی هو علم لدنّی وتکون ممکنة بواسطة استکشاف علامات المصونیةّ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المحض والمصونیّة غیر المشروطة، ینحصر فی نوّاب الله المعاییر فی نظام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برهانان تامّان علی وجود هؤلاء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لمّی والآخر إنّی</w:t>
      </w:r>
      <w:r>
        <w:rPr>
          <w:rFonts w:eastAsia="IRNazanin" w:cs="IRNazanin"/>
          <w:color w:val="111111"/>
          <w:sz w:val="28"/>
          <w:szCs w:val="28"/>
          <w:rtl w:val="true"/>
          <w:lang w:bidi="fa-IR"/>
        </w:rPr>
        <w:t>.</w:t>
      </w:r>
    </w:p>
    <w:p>
      <w:pPr>
        <w:pStyle w:val="Heading3"/>
        <w:numPr>
          <w:ilvl w:val="2"/>
          <w:numId w:val="1"/>
        </w:numPr>
        <w:rPr/>
      </w:pPr>
      <w:bookmarkStart w:id="75" w:name="__RefHeading___Toc283178_581953129"/>
      <w:bookmarkStart w:id="76" w:name="_Toc27"/>
      <w:bookmarkEnd w:id="75"/>
      <w:r>
        <w:rPr>
          <w:rtl w:val="true"/>
        </w:rPr>
        <w:t>البرهان الانی</w:t>
      </w:r>
      <w:bookmarkEnd w:id="76"/>
    </w:p>
    <w:p>
      <w:pPr>
        <w:pStyle w:val="BookText"/>
        <w:rPr/>
      </w:pPr>
      <w:r>
        <w:rPr>
          <w:rFonts w:ascii="IRNazanin" w:hAnsi="IRNazanin" w:eastAsia="IRNazanin"/>
          <w:color w:val="111111"/>
          <w:sz w:val="28"/>
          <w:sz w:val="28"/>
          <w:szCs w:val="28"/>
          <w:rtl w:val="true"/>
          <w:lang w:bidi="fa-IR"/>
        </w:rPr>
        <w:t>إنّ المعاییر المذکورة لهؤلآء قد اتّضحت بشکل یمکن معه إدراکهم من قبل جمیع الکائنات العاقلة ولا یحتاج اتّضاحهم فی الأذهان والعقول لأیّ تنظیر من قِبل العقل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أیٍّ من القوانین الأخلاقیّة والأوامر المسانخة للدّین الّتی تتوحّد بطبیعتها، لم تقم علی أساس النّظریّات والآراء، فکذا معرفة أوامر الله ومبلّغیها لا تُبتنی علی النّظریّات والآراء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الأمر کذلک، لکان نظام العقل البشریّ والقانون الأخلاقیّ عاجزاً أمام تنظیرات واستدلالات العلماء، ویلزمه انتظار نظریّات العلماء لتقول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الصّحیح وما هو الخطأ أو تجیز له، أن یقول صدقاً أو یعمل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فالنّظام العقلی لأیِّ کائن عاقل یکفی لتثبیت القوانین الأخلاقیّة، مثلما یکفی لتثبیت المعلومات وأصول المعرّفة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یکفی لإقرار القانون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لأیّ موجود جائز الخطأ أن یعمّم آراءَه العقلیّة علی باقی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القانون، هو أساس استقلال العقل العمومیّ عن النّظریّات ومیول العقل البشری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أساس ارتهان الکائنات العاقلة بالکائنات المعاییر والمصونة عن الزلل والخطأ المستقرّة فی نظام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الأمر کذلک، لما کان للعقل معنی، ولا للقانون الأخلاقیّ ولا للاستدلال والاحتجاج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مرّ حول طبیعة العقل ونوع الدّین الخالص ومراحل تقییم العقل نستنتج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العقل علی نوعین ولکلٍّ خصوصیّاته وقوانینه الّتی لا یمکن توقّعها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العمومیّ الّذی یبیّن المعلومات والقضایا والأصول والقوانین الضروریّة الصّدق الّتی لا تحتاج إلی نظریّة وتحتاجها الاستدلالات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ویضعها تحت تصرّف العقل الخاصّ والاکتسابی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الخاصّ والاکتسابی الّذی یکون فی مرتبة تحقّق علوم ومعارف الإنسان المحدود والجائز الخطأ وأقرانه من الکائنات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العقل الخاصّ أو العقل العمومی، یتوحّد فی الإنسان المعصوم، لذا فعقله ضروریّ بجمیع أبعاده وعلی هذا الأساس لا یمکن صدور أیّ خطأ وسهو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المعرفة، أشمل من جهاز المعرفة السّببیّ والمسبّبی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فهو یعتبر معیاراً حسب أیّ منطق وأیّ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ویرتکز هذا علی أنّ نظام المعصوم، هو نظام لدنّی ممکن، إمکانه الذّاتی یساوق الإمکان الوقوعیّ والإمکان الوقوعی لکمالاته یتّحد وجوداً مع الوجود الافتقاری فی مرتبة الوجود الإمکانی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الاستدلالات، سواء کانت عقلیّة أو تجربیّة عقلیّة أو إستنباطیّة فهی ترتبط بجهاز العقل الخاصّ ومن هنا تنحصر الاستدلالات بقانون ذو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القانون هو عبارة عن کون الاستدلالات محدودة وتدریجیّة ومرافقة لإمکان خطئها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هذا القانون، فإنّ الاستدلالات مع أنّها من الممکن أن تکون مَدرکاً ودلیلاً لنتائجها، لکنّ مدرکیّتها تکون مشروطة ومحدودة ولا یمکن مطلقاً توقّع أن تکون مدرکیّتها غیر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الرکیزة قُسّم الدّلیل فی بحوث أصول الفقه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ینحصر بقول وفعل وتقریر المعصوم علیه السلام وفی العقل الضّروری، کأصل عدم التناقض وأصل احتیاج الممکن إلی علّة مرجّحة وبطلان الدّور والتسلسل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تقتصر مدرکیّته بشروط معیّنة علی المراجعین الفاقدین للدّلیل فی المجالات الّتی یُحتاج فیها إلی 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أنّ مثل هذه المدرکیّة تکون من سنخ المنجِّز والمعذ ِّر ولیست من سنخ محصّلة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الدّلیل عامّ الشمول الّذی جاء فی القسم الأوّل، فإضافة إلی کونه حجّة لمحصّلة الواقع، فهو منجِّز لها ومعیار ضروری لصدق القضیّة أیضاً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تقتصر منجِّزیته علی من یمتلک دلیلاً ولا یکون دلیلاً لغیره کالقطع الشّخصیّ الّذی یعتبر دلیلاًَ للقاطع فقط، مع أنّه یوجد کثیر من الاختلاف فی نوع دلیلیّة قطعه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مثل استدلال العقل الخاصّ فی الفقه دون الاستناد إلی مصادر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الاستدلال لا یعدّ دلیلاً بالنّسبة إلی الآخرین، حتّی فی صورة کونه موجباً للقطع، فلذا لا یمکن للمراجعین تقلید الرأی المستحصل من استدلال العقل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أنّ استدلال العقل الخاصّ هو من سنخ الدّلیل اللّازم ولیس من سنخ الدّلیل الشّامل، تُطرح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أهمّیة الاستدلال الإستنباطی للعقل الخاصّ للمجتهد؟ مع أنّ مثل هذا الاستدلال یمارس أیضاً بواسطةِ العقل الخاصّ ویؤدّی إلی إستنباط الآراء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الموجزة علی ذلک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الإستنباطیّ الّذی یُصطلح علیه بالاجتهاد، هو عمل تخصّصی وخبروی تکون نتیجته کباقی الأمور الّتی یجب أن تؤخذ الخبرویّة فی تحصیلها والبناء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الفارق وهو أنّ الخبرویة الإستنباطیة تجیز الکشف عن الأحکام الشّرعیّة عن طریق المجتهدین ضمن شروط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الخبرویّات الأخری تعطی الإذن بالمراجعة لحاجات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الخبرة الطّبیّة الّتی تجیز للمریض مراجعة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الخبرویّة الاجتهادیّة إذا ما استندت إلی مصادر الشّرع یمکن أن تکون مَدرکاً لعمل الآخرین أمّا إذا لم تکن مستندة إلی مصادر الشّرع و اقتصرت علی الاستناد علی استدلال العقل الخاصّ، ففی هذه الصّورة، تقتصر إمکانیة مدرکیّتها علی المجتهد ذاته، لأنّ الدّلیل العقلیّ الخاصّ فی الفقه لیس هو من سنخ مَدرک الإفتاء للمکلّفین الآخرین فأقصی مرتبة له هو أن یکون من سنخ الدّلیل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اللّازم، هو الدّلیل الّذی لا تسری حجّیته أو منجّزیته إلی غیر محصّل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الدّلیل الشّامل الّذی یسری إلی الغیر وله إمکان الحجّیة والمنجِّزیة علی الآخرین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وبالطّبع فإنّ هناک اختلافاً فیما بین الباحثین فی المسلکین الأصولیّ والأخباریّ فی حجّیة الدّلیل اللازم بالنّسبة لمحصّل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النّظریّة الأصولیّة الغالبة تتمثّل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الدّلیل العقلیّ اللّازم، إذا کان مولِّداً للقطع یکون حجّة علی محصّله علی الأقل، أمّا النّظریّة الأخباریّة فإنّها تُشکِل علی الحجّیة اللّازمة للدّلیل العقلیّ حتّی فی صورة کونه مولِّداً للقطع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طبیعة الدّین هی عبارة عن المعلومات العمومیّة الّتی تکون بذاتها منشأ لتصدیق واحترام وفداء طبیعة العقل، تحت أیّ ظرف وفی أیّ موقع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وجود أیّ عقیدة تجبر العقل بشکل ذاتیّ وغیر محدود وغیر مشروط علی التّصدیق والاحترام والفداء، إذن فالله وحده هو الّذی تستفزّ عقیدته طبیعة العقل للتّصدیق والاحترام والفداء دون أیّ شرط وأیّ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ماهیّة الطّاعة</w:t>
      </w:r>
      <w:r>
        <w:rPr>
          <w:rFonts w:eastAsia="IRNazanin" w:cs="IRNazanin"/>
          <w:color w:val="111111"/>
          <w:sz w:val="28"/>
          <w:szCs w:val="28"/>
          <w:rtl w:val="true"/>
          <w:lang w:bidi="fa-IR"/>
        </w:rPr>
        <w:t>».</w:t>
      </w:r>
      <w:bookmarkStart w:id="77" w:name="pg5231_29726"/>
    </w:p>
    <w:p>
      <w:pPr>
        <w:pStyle w:val="BookText"/>
        <w:rPr/>
      </w:pPr>
      <w:bookmarkEnd w:id="77"/>
      <w:r>
        <w:rPr>
          <w:rFonts w:ascii="IRNazanin" w:hAnsi="IRNazanin" w:eastAsia="IRNazanin"/>
          <w:color w:val="111111"/>
          <w:sz w:val="28"/>
          <w:sz w:val="28"/>
          <w:szCs w:val="28"/>
          <w:rtl w:val="true"/>
          <w:lang w:bidi="fa-IR"/>
        </w:rPr>
        <w:t>لأنّ مفهوم الدّین هو مفهوم متجذر فی طبیعة العقل، ویکون مستقلاً فی أیّ موقع کان سببیّاً أم مسبّبیاً، ومعنی هذا الکلام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وتصدیق الدّین هو من صنف التّصوّرات والتّصدیقات الأوّلیّة والضّروریّة ومستقرّ بعمومیّته التامّة فی طبیعة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منظومة طبیعة الدّین الّتی تتحصّل من مفهوم الدّین بشکل ذاتیّ، تکون مساویة لمنظومة طبیعة العقل فی مواقعه الثلاثة النّظریّة، العملیّة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نفسه یمثّل منظومتی الدّین والعقل فی المیزان العمومیّ، واللذین یکونان منشأ لقانون الملازمة فیما بین قوانین الدّین وطبیعة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الملازمة تکون قوانین طبیعة العقل فقط من حیث أنّها عقل ضروری ملازمة لقوانین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قوانین العقل الخاصّ الّذی هو عقل اکتسابیّ محدود وتدریجیّ وجائز الخطأ، لیست کذلک؛ لعدم إمکان أخذ الملازمة بین الدّین الّذی هو معصوم ذاتاً وبین العقل المحدود وجائز الخطأ الّذی یوصف بالعقل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فرض الملازمة فی هذه الصورة، یکون مساویاً لفرض الملازمة بین ضرورة الصّدق وإمکان الکذب، وهذا هو نفسه فرض التّناقض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فلا توجد ملازمة فیما بین الرأی النّاتج عن العقل الخاصّ کجهاز العقل البشریّ وبین الشّرع الّذی هو ضروری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وتقتصر إمکانیة وجود العلاقة وبشکل مشروط ومحدود، فیما بین العقل الخاصّ والشّرع، فی الحالة التّالیة</w:t>
      </w:r>
      <w:r>
        <w:rPr>
          <w:rFonts w:eastAsia="IRNazanin" w:cs="IRNazanin"/>
          <w:color w:val="111111"/>
          <w:sz w:val="28"/>
          <w:szCs w:val="28"/>
          <w:rtl w:val="true"/>
          <w:lang w:bidi="fa-IR"/>
        </w:rPr>
        <w:t>:</w:t>
      </w:r>
    </w:p>
    <w:p>
      <w:pPr>
        <w:pStyle w:val="Heading3"/>
        <w:numPr>
          <w:ilvl w:val="2"/>
          <w:numId w:val="1"/>
        </w:numPr>
        <w:rPr/>
      </w:pPr>
      <w:bookmarkStart w:id="78" w:name="__RefHeading___Toc283180_581953129"/>
      <w:bookmarkStart w:id="79" w:name="_Toc28"/>
      <w:bookmarkEnd w:id="78"/>
      <w:r>
        <w:rPr>
          <w:rtl w:val="true"/>
        </w:rPr>
        <w:t>الوجه المحدود والمشروط لعلاقة العقل الخاصّ بالشّرع</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العقل الخاصّ، مطابقاً للواقع وإذا کان الرأی النّاتج عنه، مطابقاً لرأی العقل الضّروریّ، ففی هذه الحالة یکون ملازماً لرأی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أبدی العقل الخاصّ رأیاً مخالفاً للواقع ولم یکن مطابقاً لرأی العقل الضّروریّ، ففی هذه الحالة لا یکون ملازماً لرأی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لأنّه لا یمکن للعقل الخاصّ ذاته إنتاج معیار لتبدیل هذه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قرّرناها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حملیّة فلذا لا یمکن من خلال العقل الخاصّ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آراء العقل الخاصّ، فی أن یکون مطابقاًَ أو غیر مطابق للواقع والعقل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ولأجل رفع الدّور والتّسلسل یحب الاستعانة بالعقل الضروریّ والعمومیّ، لتقییم آراء العقل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عهدة شرح وتفسیر الاستعانة بالعقل العمومیّ لتقییم العقل الخاصّ علی تدقیق جهاز العقل الّذی نظّمنا حتی الآن قسمه الأعظم بتوفیق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فکشف علاقة العقل الخاصّ بالشّرع، منوط علی الدّوام بکشف کونه مطابقاً للواقع والعقل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الکشف، الّذی حصرناه إلی الآن فی إطار العقل الخاصّ،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لو استطعنا إیصال استدلال العقل الخاصّ بواسطةِ معاییر الاستدلال إلی مستوی العقل العمومیّ الّذی هو ضروری، فی هذه الحالة، نستطیع کشف مطابقة العقل الخاصّ فی إحدی استدلالاته وهذه هی نفسها الاستعانة بالعقل العمومیّ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سوف لا نواجه نظریّات العقل الاکتسابیّ فی مثل هذا الفرض، وإنّما مقرّرات العقل العمومیّ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فالعقل الخاصّ من حیث أنّه عقل خاصّ، یبقی علی الدّوام مشروطاً ومحدوداً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أنّ استدلالاته ونظریّاته بما أنّها اکتشافیّة، فلا یوجد أیّ مجال للتردّد فی قیمتها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القیمة العلمیّة للنظریّة، لا تساوی قیمتها الإستنباطیّة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یلیق بالدلیل أن یعتمد علی المصادر المستقلّة عن جهاز الذّهن والمعرّفة فی عملیّة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المصادر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سُنة النّبیّ صلی الله علیه و آله وأوصیائه الاثنی عشر علیهم السلام الّتی یطلق علیها بالأدلّة الأربعة إذا ما أخذنا معها العقل والإجماع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العقل والإجماع لا یعدّان من المصادر، فما الوجه الّذی یجعل منهما أدلّة وما المقصود بجعلهما فی عداد الأدلّة الفقهیّة بعد الکتاب والسُّنة، وأیضاً ما مدی حجّیة أو منجِّزیة العقل والإجماع، کلّ ذلک ینتظم فی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الإجابة علی هذا الاستفهام تحتلّ موقعها فی نطاق البحوث الأساسیّة لأصول الفقه وقد أجاب الباحثون بعدّة أنواع من الإجابات من خلال الاستدلالات والتقییمات المتوالیة علی مدی عهود وتوصّلوا إلی حلول للقسم الأساسی من تلک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کلّ هذا ولأنّ العملیّات العلمیّة، لا تغلق مطلقاً وینبغی طیّها بشکل تدریجیّ، وأنّ أیّ نظریّة أو طریق حلّ لا یکشف إلّا عن بعض العملیّات أو من الممکن أن یکشف، فمن اللّازم التوسّل وتجربة أسالیب أخری لحلّ الاستفهام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أنّ استفهام العقل والإجماع، کان مورداً للبحث والنّقد علی الدّوام وکان علماء الإسلام منذ صدره وحتی الآن علی اطّلاع دقیق علی إشکالات هذا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بذلوا جهوداً وبأسالیب متعدّدة لتفکیک هذه الإشکالات وحلّ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نتیجة ذلک النّقود والنّظریّات الّتی برزت فی هذا النطاق، والّتی یُعلم مقدار لیاقتها فإنّها إضافة إلی</w:t>
      </w:r>
      <w:bookmarkStart w:id="80" w:name="pg5231_29728"/>
    </w:p>
    <w:p>
      <w:pPr>
        <w:pStyle w:val="BookText"/>
        <w:rPr/>
      </w:pPr>
      <w:bookmarkEnd w:id="80"/>
      <w:r>
        <w:rPr>
          <w:rFonts w:ascii="IRNazanin" w:hAnsi="IRNazanin" w:eastAsia="IRNazanin"/>
          <w:color w:val="111111"/>
          <w:sz w:val="28"/>
          <w:sz w:val="28"/>
          <w:szCs w:val="28"/>
          <w:rtl w:val="true"/>
          <w:lang w:bidi="fa-IR"/>
        </w:rPr>
        <w:t>احتیاجها إلی مطالعة وبحث واختبار لأدلّتها، تحتاج أیضاً إلی مقارنتها مع النّظریّات والاستدلالات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لا نسعی إلی اکتشاف مستویات هذه العقلیّة والنّقدیّة وما نتج عنهما، إلّا لإجل إیضاح صعوبة مبحث العقل والإجماع کحرکةٍ فی مراحل الاجتهاد بشکلٍ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کذلک أنّ الإجابة الموجزة علی هذا الاستفهام العمیق غیر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یستحسن الإشارة إلی جواب الاستفهام المذکور</w:t>
      </w:r>
      <w:r>
        <w:rPr>
          <w:rFonts w:eastAsia="IRNazanin" w:cs="IRNazanin"/>
          <w:color w:val="111111"/>
          <w:sz w:val="28"/>
          <w:szCs w:val="28"/>
          <w:rtl w:val="true"/>
          <w:lang w:bidi="fa-IR"/>
        </w:rPr>
        <w:t>.</w:t>
      </w:r>
    </w:p>
    <w:p>
      <w:pPr>
        <w:pStyle w:val="Heading3"/>
        <w:numPr>
          <w:ilvl w:val="2"/>
          <w:numId w:val="1"/>
        </w:numPr>
        <w:rPr/>
      </w:pPr>
      <w:bookmarkStart w:id="81" w:name="__RefHeading___Toc283182_581953129"/>
      <w:bookmarkStart w:id="82" w:name="_Toc29"/>
      <w:bookmarkEnd w:id="81"/>
      <w:r>
        <w:rPr>
          <w:rtl w:val="true"/>
        </w:rPr>
        <w:t>نبذة لبیان العقل والإجماع باعتبارهما أدلّة شرعیّة</w:t>
      </w:r>
      <w:bookmarkEnd w:id="82"/>
    </w:p>
    <w:p>
      <w:pPr>
        <w:pStyle w:val="BookText"/>
        <w:rPr/>
      </w:pPr>
      <w:r>
        <w:rPr>
          <w:rFonts w:ascii="IRNazanin" w:hAnsi="IRNazanin" w:eastAsia="IRNazanin"/>
          <w:color w:val="111111"/>
          <w:sz w:val="28"/>
          <w:sz w:val="28"/>
          <w:szCs w:val="28"/>
          <w:rtl w:val="true"/>
          <w:lang w:bidi="fa-IR"/>
        </w:rPr>
        <w:t>بیان الإجماع المنزّل منزلة الدّلیل</w:t>
      </w:r>
    </w:p>
    <w:p>
      <w:pPr>
        <w:pStyle w:val="BookText"/>
        <w:rPr/>
      </w:pPr>
      <w:r>
        <w:rPr>
          <w:rFonts w:ascii="IRNazanin" w:hAnsi="IRNazanin" w:eastAsia="IRNazanin"/>
          <w:color w:val="111111"/>
          <w:sz w:val="28"/>
          <w:sz w:val="28"/>
          <w:szCs w:val="28"/>
          <w:rtl w:val="true"/>
          <w:lang w:bidi="fa-IR"/>
        </w:rPr>
        <w:t>إنّ اتّفاق أفراد الإنسان جائز الخطأ علی رأی ما لا یعدّ بذاته منشأ شرعیّاً له فی نفس الأمر؛ لأنّ المنشأیة الشّرعیّة فی نفس الأمر تتأتّی من الإرادة التّشریعة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اعتبرنا النّبیّ صلی الله علیه و آله والوصی علیه السلام نوّاباً معصومین لهذه الإرادة التّشریعیّة، فإرادة هؤلاء هی إبلاغ لإرادة الله بصورة محضة، وتکون تبعاً لذلک منشأ شرعیّاً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الفارق وهو أنّ النّبیّ صلی الله علیه و آله یکون سبباً للتشریع من قِبل الله، والوصی علیه السلام سبباً لبقاء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فالشّرع لا یتحقّق إلّا من قِبل الله و نوّابه المعاییر فی النّظام الإمکانیّ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طریقة البرهنة علی رجوع الشّرع إلی الإرادة التشریعیّة لواجب الوجود بالذّات وإلی نوّابه علی نحو الرّجوع التّبعیّ؛ فإنّه وکما جاء فی مفهوم طبیعة الدّین، لا یوجد أیّ ملاک یمکنه بشکل ذاتی وغیر محدود وغیر مشروط أن یکون منشأ للتّصدیق والاحترام، ومن ثمّ الاتّباع والفداء، یمکن تصوّره فی الممکنات ولذا تکون قوانین النّظام الأخلاقیّ الّتی هی بلا شرط وبلا حدّ، أوامر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بإمکان الإجماع اکتشاف الشّرع؟ وبعبارةٍ أخری، بما أنّ الإجماع، لیس مصدراً شرعیّاً، فهل یمکن عدّه من الأدلّة الفقهیّة؟ مثلما أنّ الإمارات الظّنیّة مع أنّها بالضّرورة لیست مصدراً شرعیّاً، لکن من الممکن عدّها بمنزلة الأدلّة الفقهیّة ضمن شروط وحدود معیّنة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رأی الإمامیّة فی أنّ الإجماع یکون دلیلاً إذا ما کان کاشفاً عن رأی المعصوم علیه السلام لکنّه فی غیر هذه الحالة، لا یعدّ دلیلاً فقهیّاً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کانت کاشفیّتة من خلال الجانب التضمّنی أو الجانب الالتزامی، فمنطقة هذه الرأی محدودة بالأمور والمقرّرات</w:t>
      </w:r>
      <w:bookmarkStart w:id="83" w:name="pg5231_29729"/>
    </w:p>
    <w:p>
      <w:pPr>
        <w:pStyle w:val="BookText"/>
        <w:rPr/>
      </w:pPr>
      <w:bookmarkEnd w:id="83"/>
      <w:r>
        <w:rPr>
          <w:rFonts w:ascii="IRNazanin" w:hAnsi="IRNazanin" w:eastAsia="IRNazanin"/>
          <w:color w:val="111111"/>
          <w:sz w:val="28"/>
          <w:sz w:val="28"/>
          <w:szCs w:val="28"/>
          <w:rtl w:val="true"/>
          <w:lang w:bidi="fa-IR"/>
        </w:rPr>
        <w:t>الفقهیّة، ولا تستعمل فی أصول الدّین، لأنّ أصول الدّین تثبت بالیقین 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یوجد سوی مَدرکین حقیقیّین لأصول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المَدرک العالمی فی النّظام الإمکانی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المَدرک العالمی، یتمثّل فی کلّ زمان بشخص المعصوم علیه السلام مُمثِّل إرادة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المَدرک العقلیّ المحضّ فی النّظام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المَدرک العقلی المحض، هو العقلی الضّروری والعمومی للکائنات العاقلة والّتی یعدّ الإنسان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لمحة لبیان الإجماع المنزّل منزلة الدّلیل</w:t>
      </w:r>
      <w:r>
        <w:rPr>
          <w:rFonts w:eastAsia="IRNazanin" w:cs="IRNazanin"/>
          <w:color w:val="111111"/>
          <w:sz w:val="28"/>
          <w:szCs w:val="28"/>
          <w:rtl w:val="true"/>
          <w:lang w:bidi="fa-IR"/>
        </w:rPr>
        <w:t>.</w:t>
      </w:r>
    </w:p>
    <w:p>
      <w:pPr>
        <w:pStyle w:val="Heading3"/>
        <w:numPr>
          <w:ilvl w:val="2"/>
          <w:numId w:val="1"/>
        </w:numPr>
        <w:rPr/>
      </w:pPr>
      <w:bookmarkStart w:id="84" w:name="__RefHeading___Toc283184_581953129"/>
      <w:bookmarkStart w:id="85" w:name="_Toc30"/>
      <w:bookmarkEnd w:id="84"/>
      <w:r>
        <w:rPr>
          <w:rtl w:val="true"/>
        </w:rPr>
        <w:t>بیان العقل المنزّل منزلة الدّلیل</w:t>
      </w:r>
      <w:bookmarkEnd w:id="85"/>
    </w:p>
    <w:p>
      <w:pPr>
        <w:pStyle w:val="BookText"/>
        <w:rPr/>
      </w:pPr>
      <w:r>
        <w:rPr>
          <w:rFonts w:ascii="IRNazanin" w:hAnsi="IRNazanin" w:eastAsia="IRNazanin"/>
          <w:color w:val="111111"/>
          <w:sz w:val="28"/>
          <w:sz w:val="28"/>
          <w:szCs w:val="28"/>
          <w:rtl w:val="true"/>
          <w:lang w:bidi="fa-IR"/>
        </w:rPr>
        <w:t>مع أنّ العقل لیس له تعدّد نوعی وهو علی طبیعة واحدة فی کلّ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لدیه تعدّد مرتبتی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 هو العقل العمومی الّذی یُسمّی بالعقل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ووصفت هذه المرتبة بالعمومیّة، لأجل أنّ عناصرها وأصولها وقوانینها واحدة فی جمیع الکائنات العاقلة وتکون غیر قابلة للاختلاف ومستقلّة عن شؤون وأحوال الأشخاص ولا تدخل ضمن الظّروف الزّمانیّة والمکانیّة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وتتّضح فی هذه المرتبة؛ الأصول الأوّلیّة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الدّور والتّسلسل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الممکنات إلی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القضیّة الاکتسابیّة وغیر الضروریّة إلی دلیل والموارد الضروریّة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یتحقّق ذلک القسم من الاستدلالات الّتی هی عمومیّة، مترافقة مع نتائجها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العقل الّذی هو محض، یکون أساساً لجمیع الاستدلالات والاکتشافات والاحتجاجات فی المرحلة النّظریّة والعملیّة والأخلاقیّة ویکون متلازماً مع الشّرع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الثّانیة، هی العقل الخاصّ والاکتسابیّ الّذی یمثّل جهاز العلم التّدریجی والمحدود والمشروط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المرتبة الّتی هی مؤشّر للإنسان المحدود والجائز الخطأ فمع أنّ لها استقلالیّة بحسب اقتضاء الماهیّة العقلیّة للأشخاص والأحوال وظروف الفضاء الزّمانی، لکنّها بسبب کونها محدودة وتدریجیّة وکذلک بسبب أنّ کشف الواقع بالنّسبة لها هو ممکن فحسب ولیس مضموناً، لا یمکن أن تکون دلیلاً شمولیّاً فلذا فهی قابلة للاختلاف ویوجد مثل هذا الإمکان وهو وصول أحد الأفراد حسب استدلال عقله إلی نتیجة مخالفة لنتیجة استدلال الفرد الآخر، بسبب أنّ استدلال فرد ما یکون له إمکانیّة المَدرکیّة بالنّسبة له ویمکن</w:t>
      </w:r>
      <w:bookmarkStart w:id="86" w:name="pg5231_29730"/>
    </w:p>
    <w:p>
      <w:pPr>
        <w:pStyle w:val="BookText"/>
        <w:rPr/>
      </w:pPr>
      <w:bookmarkEnd w:id="86"/>
      <w:r>
        <w:rPr>
          <w:rFonts w:ascii="IRNazanin" w:hAnsi="IRNazanin" w:eastAsia="IRNazanin"/>
          <w:color w:val="111111"/>
          <w:sz w:val="28"/>
          <w:sz w:val="28"/>
          <w:szCs w:val="28"/>
          <w:rtl w:val="true"/>
          <w:lang w:bidi="fa-IR"/>
        </w:rPr>
        <w:t>أن یکون مدرکاً لفرد آخر فی حال أن یکون له ذات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هذه المرتبة من العقل لا یمکن أن تکون أساساً عاماً للجمیع ولا یمکن أن یتوقّع أیّ شخص قبول الآخرین باستدلاله دون أیّ اعتراض، إذن 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الخاصّ والاکتسابیّ هو دلیل شرعیّ 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المرتبة من العقل، ملازمة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لأجل دفع السفسطة ولأجل العمل طبقاً لهذه المرتبة، یمکن الاقتصار علی 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استدلال العقل الخاص إذا کان موافقاً للعقل الضروریّ العمومیّ وإذا أیّد وثبّت العقل الضّروریّ العمومیّ ذلک الاستدلال، ففی هذه الحالة یکون ملازماً للشّرع أمّا فی غیرها، فلا یکون ملازماً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تتّضح مسئلة ویتمثّل عنوانها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طریق من العقل ذاته یثبت بشکل مضمون أنّ استدلال العقل الخاصّ فی هذا المجال أو ذاک، یتّفق مع العقل الضروریّ العام ویؤیَّد من قبل العقل الضّروری أم لا؟</w:t>
      </w:r>
    </w:p>
    <w:p>
      <w:pPr>
        <w:pStyle w:val="BookText"/>
        <w:rPr/>
      </w:pPr>
      <w:r>
        <w:rPr>
          <w:rFonts w:ascii="IRNazanin" w:hAnsi="IRNazanin" w:eastAsia="IRNazanin"/>
          <w:color w:val="111111"/>
          <w:sz w:val="28"/>
          <w:sz w:val="28"/>
          <w:szCs w:val="28"/>
          <w:rtl w:val="true"/>
          <w:lang w:bidi="fa-IR"/>
        </w:rPr>
        <w:t>إنّ الإجابة علی هذه المسألة هی من الوظائف النقدیة لجهاز العقل وتخرج عن نطاق هذا البحث ولهذا سوف نغض النّظر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مضطرّون لهذا الإیضاح وهو أنّ هذه المسألة تظهر عندما یؤدّی العقل الخاص استدلالاً عقلیّاً محضاً دون دعم من جهته الأخری، لکن فی حالة استناد العقل الخاصّ إلی المصادر الدّینیّة، لا یکون استدلاله حینها عقلیّاً داخلیّاً، بل إذا کان استدلاله اکتشافیّاً وإستنباطیّاً، فهو اجتهاد یمکن اعتباره مدرکاً للفتوی ضمن شروط وحدود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یکون العقل مجرّد أداة للإستنباط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یحتلّ العقل موقعه فی تعریف الاجتهاد باعتباره طریقاً شرعیّاً للإستنباط الفقهی، لأنّ الاجتهاد عمل استدلالیّ وأنّ أیّ استدلال یتمّ بواسطةِ العقل، لکن العقل، فی هذا التّعریف، لیس له استقلالیّة وإنّما یستند إلی المصادر الدّینیّة ویستفاد فی طول المصادر الدّینیّة من العقل الضّروری والإجماع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افتراض فعلیة الکشف</w:t>
      </w:r>
      <w:r>
        <w:rPr>
          <w:rFonts w:eastAsia="IRNazanin" w:cs="IRNazanin"/>
          <w:color w:val="111111"/>
          <w:sz w:val="28"/>
          <w:szCs w:val="28"/>
          <w:rtl w:val="true"/>
          <w:lang w:bidi="fa-IR"/>
        </w:rPr>
        <w:t>).</w:t>
      </w:r>
    </w:p>
    <w:p>
      <w:pPr>
        <w:pStyle w:val="Heading3"/>
        <w:numPr>
          <w:ilvl w:val="2"/>
          <w:numId w:val="1"/>
        </w:numPr>
        <w:rPr/>
      </w:pPr>
      <w:bookmarkStart w:id="87" w:name="__RefHeading___Toc283186_581953129"/>
      <w:bookmarkStart w:id="88" w:name="_Toc31"/>
      <w:bookmarkEnd w:id="87"/>
      <w:r>
        <w:rPr>
          <w:rtl w:val="true"/>
        </w:rPr>
        <w:t>العبور من مفهوم طبیعة الدّین وطبیعة العقل إلی العلم الدّینی</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المقصود من طبیعة الدّین، الماهیّة المحضة للدّین بشکلّ مستقلّ عن الآراء ومستقلّ عن نظام الأسباب والمسبّبات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الماهیّة من حیث نفس الأمر، مقرِّرة لتمام الشّرع من قِبل الله</w:t>
      </w:r>
      <w:bookmarkStart w:id="89" w:name="pg5231_29731"/>
    </w:p>
    <w:p>
      <w:pPr>
        <w:pStyle w:val="BookText"/>
        <w:rPr/>
      </w:pPr>
      <w:bookmarkEnd w:id="89"/>
      <w:r>
        <w:rPr>
          <w:rFonts w:ascii="IRNazanin" w:hAnsi="IRNazanin" w:eastAsia="IRNazanin"/>
          <w:color w:val="111111"/>
          <w:sz w:val="28"/>
          <w:sz w:val="28"/>
          <w:szCs w:val="28"/>
          <w:rtl w:val="true"/>
          <w:lang w:bidi="fa-IR"/>
        </w:rPr>
        <w:t>الّذی أبلغها إلی النّبیّ صلی الله علیه و آله فی مقام التّأسیس وإلی الوصیّ علیه السلام فی مقام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وعاء هذه التمامیّة المبلَّغة، کتاب الله وقول وفعل وتقریر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 المرتبتین للتمامیّة، تکونان بذاتهما ذات الدّین الّذی تُقارن الإدراکات والآراء والاجتهادات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ماهیّة الدّین من حیث العقل العمومیّ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طبیعة العقل بشکلٍ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شرحها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ملاحظة فی هذا المجال،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طبیعة الدّین فی العقل العمومی والضّروری المحض، تلک الماهیّة الّتی یکون تصوّرها وتصدیقها موجوداً فی ذاته فیتمّ تصدیقها من قبله بشکل ذاتیّ، فیحترمها دون أیّ شرط وحدّ لها فی جمیع المراتب وعلی أیُّ فرضٍ وحالٍ ویقف أمامها طائعاً بصورة غیر مشروطة وغیر محدودة وهو یرجّحها بالضرورة علی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مثل هذه الحیثیّة الذاتیّة لا تتصوّر فی الممکنات، إذن فرأی الله وحده هو الّذی یکون مقوّماً للحیثیّة الذاتیّة دون شرط وحدّ ویکون محترماً ومورداً للتّصدیق والفداء لأنّه واجب الوجود بالذّات وواجب الوجود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فبالإیضاح الّذی تمّ إنجازه حتّی الآن حول کلّ من الدّین والعقل فی مرتبة طبیعة الماهیّة، تکون قد تمهّدت الأرضیّة للانتقال إلی نوعیّة ومقدار معرفتنا بالدّین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ومقصودنا من المعرفة، لیست تلک المعرفة الضّروریّة الّتی تتعلّق بالدّین والعقل والّتی مضی شرحها قبل عدّة سطور فی القسم الأوّل من هذا البحث والّتی کان حاصلها حدیثین مختصرین فی بیان المقصود من العقل والدّین فی مرتبة طبیعة کلّ منهما، وإنّما المقصود منها؛ المعرفة الاجتهادیّة الّتی هی العنصر المقوّم للعلم الدّینی حسب الشّرح الآتی</w:t>
      </w:r>
      <w:r>
        <w:rPr>
          <w:rFonts w:eastAsia="IRNazanin" w:cs="IRNazanin"/>
          <w:color w:val="111111"/>
          <w:sz w:val="28"/>
          <w:szCs w:val="28"/>
          <w:rtl w:val="true"/>
          <w:lang w:bidi="fa-IR"/>
        </w:rPr>
        <w:t>.</w:t>
      </w:r>
    </w:p>
    <w:p>
      <w:pPr>
        <w:pStyle w:val="Heading3"/>
        <w:numPr>
          <w:ilvl w:val="2"/>
          <w:numId w:val="1"/>
        </w:numPr>
        <w:rPr/>
      </w:pPr>
      <w:bookmarkStart w:id="90" w:name="__RefHeading___Toc283188_581953129"/>
      <w:bookmarkStart w:id="91" w:name="_Toc32"/>
      <w:bookmarkEnd w:id="90"/>
      <w:r>
        <w:rPr>
          <w:rtl w:val="true"/>
        </w:rPr>
        <w:t>الاجتهاد من حیث أنّه مقوّم للعلم الدّینی</w:t>
      </w:r>
      <w:bookmarkEnd w:id="91"/>
    </w:p>
    <w:p>
      <w:pPr>
        <w:pStyle w:val="BookText"/>
        <w:rPr/>
      </w:pPr>
      <w:r>
        <w:rPr>
          <w:rFonts w:ascii="IRNazanin" w:hAnsi="IRNazanin" w:eastAsia="IRNazanin"/>
          <w:color w:val="111111"/>
          <w:sz w:val="28"/>
          <w:sz w:val="28"/>
          <w:szCs w:val="28"/>
          <w:rtl w:val="true"/>
          <w:lang w:bidi="fa-IR"/>
        </w:rPr>
        <w:t>لأجل شرح ارتباط العلم الدّینی بالاجتهاد، لا مناص من التّطرّق إلی إیضاح معنی کلّ منهما</w:t>
      </w:r>
      <w:r>
        <w:rPr>
          <w:rFonts w:eastAsia="IRNazanin" w:cs="IRNazanin"/>
          <w:color w:val="111111"/>
          <w:sz w:val="28"/>
          <w:szCs w:val="28"/>
          <w:rtl w:val="true"/>
          <w:lang w:bidi="fa-IR"/>
        </w:rPr>
        <w:t>.</w:t>
      </w:r>
    </w:p>
    <w:p>
      <w:pPr>
        <w:pStyle w:val="Heading3"/>
        <w:numPr>
          <w:ilvl w:val="2"/>
          <w:numId w:val="1"/>
        </w:numPr>
        <w:rPr/>
      </w:pPr>
      <w:bookmarkStart w:id="92" w:name="__RefHeading___Toc283190_581953129"/>
      <w:bookmarkStart w:id="93" w:name="_Toc33"/>
      <w:bookmarkEnd w:id="92"/>
      <w:r>
        <w:rPr>
          <w:rtl w:val="true"/>
        </w:rPr>
        <w:t>توضیح الاجتهاد بما هو مقوّم للعلم الدّینی</w:t>
      </w:r>
      <w:r>
        <w:rPr>
          <w:rtl w:val="true"/>
        </w:rPr>
        <w:t>:</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الأخذ بنظر الاعتبار التّعاریف الّتی توصّل إلیها باحثو أصول الفقه بخصوص الاجتهاد منذ زمن بعید وحتّی الآن ومع ذکر تتمّة تُستخرج من التّعریف الأخیر لأصول الفقه بشکل خاصّ ومن تعریف أصول الاجتهاد بشکل عام، یمکن تعریف الاجتهاد علی نحو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یشمل الاجتهاد فی علم الفقه وکذلک الاجتهاد فی باقی العلوم من حیث إمکانیّة الإستنباط من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الشّامل،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المفاهیم، القضایا، الأصول، القوانین والمقرّرات والأحکام من النّصوص الدّینیّة علی ضوء المبانی والقواعد المستحصلة من تلک النّصوص وعلی ضوء العناصر والضوابط المستنتجة من العقل الضروریّ فی مرحلیته النّظریّة والأخلاقیّة، وکذلک بحسب المستکشفات الأخری الّتی أُمضیت أو قُرّرت و ثُبّتت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نظراً للقانون العامّ الّذی یضع الاجتهاد ضمن جهاز تحت ضابطة جامعة، والّذی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نتیجة الاجتهاد فی المجالات المذکورة، عبارة عن النّظریّة الاجتهادیّة الّتی یمکن تطابقها مع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ضروریة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تکن هناک نظریّة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فإضافةً إلی محدودیّتها وتدریجیّتها الناشئة من النّظام الاکتسابی للعلم، تکون فی معرض عدم المطابقة للواقع، مع أنّ الأدلّة الاجتهادیّة تؤیّد أو تقوّی مطابقتها للواقع فعلیّاً، لکن ینتفی تأیید وتقویّة الأدلّة السّابقة عند أیّ تغیر للاجتهاد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تعریفاً للاجتهاد بشکل یعطی نتیجة لمعرفتنا عن طریق الإستنباط من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التّعریف المذکور للاجتهاد، هو نتیجة للمطالعة والبحث فی طریق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هذه المطالعة والبحث، نصل إلی العنصر الأساسی للإستنباط الّذی یکون اجتهاداً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 بمعناه العام، ویشخّص کیفیّة ومقدار ومسبّبات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العام للاجتهاد، یشمل الاجتهاد فی علم الفقه وأیضاً الاجتهاد فی باقی العلوم، إلی الحدّ الّذی یمکن فیه إستنباط تلک العلوم بواسطةِ الاجتهاد فی النّصوص الدّینیّة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والاجتهاد بالمعنی المذکور یشمل کذلک الاجتهاد طبقاً للمسلک الأصولی، وأیضاً الاجتهاد طبقاً للمسلک الأخباری؛ لأنّ المسلک الأخباری کالمسلک الأصولی؛ فی تحقّق إمکانیّة الوصول إلی المقرّرات والأحکام الفقهیة عن طریق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المسلکین یتمثّل فی شروط وحدود أدلّة الإستنباط، وعلی الخصوص فی مسألة الإستنباط عن الطّریق العقلیّ، الّتی لا یجوّزها المسلک الأخباریّ ویستثنی منها مورداً واحداً فقط وهذا المورد هو ما یقتضیه العقل الفطریّ بشکله المحض</w:t>
      </w:r>
      <w:r>
        <w:rPr>
          <w:rFonts w:eastAsia="IRNazanin" w:cs="IRNazanin"/>
          <w:color w:val="111111"/>
          <w:sz w:val="28"/>
          <w:szCs w:val="28"/>
          <w:rtl w:val="true"/>
          <w:lang w:bidi="fa-IR"/>
        </w:rPr>
        <w:t>.</w:t>
      </w:r>
      <w:bookmarkStart w:id="94" w:name="pg5231_29733"/>
    </w:p>
    <w:p>
      <w:pPr>
        <w:pStyle w:val="Heading3"/>
        <w:numPr>
          <w:ilvl w:val="2"/>
          <w:numId w:val="1"/>
        </w:numPr>
        <w:rPr/>
      </w:pPr>
      <w:bookmarkStart w:id="95" w:name="__RefHeading___Toc283192_581953129"/>
      <w:bookmarkStart w:id="96" w:name="_Toc34"/>
      <w:bookmarkEnd w:id="94"/>
      <w:bookmarkEnd w:id="95"/>
      <w:r>
        <w:rPr>
          <w:rtl w:val="true"/>
        </w:rPr>
        <w:t>مفهوم العلم الدّینی</w:t>
      </w:r>
      <w:bookmarkEnd w:id="96"/>
    </w:p>
    <w:p>
      <w:pPr>
        <w:pStyle w:val="BookText"/>
        <w:rPr/>
      </w:pPr>
      <w:r>
        <w:rPr>
          <w:rFonts w:ascii="IRNazanin" w:hAnsi="IRNazanin" w:eastAsia="IRNazanin"/>
          <w:color w:val="111111"/>
          <w:sz w:val="28"/>
          <w:sz w:val="28"/>
          <w:szCs w:val="28"/>
          <w:rtl w:val="true"/>
          <w:lang w:bidi="fa-IR"/>
        </w:rPr>
        <w:t>من خلال الشّرح السّابق حول طبیعة العقل وماهیة الدّین بشکله المستقلّ عن الفرضیّات، وما بیناه من التّمایز فیما بین العقل العمومیّ والعقل الخاصّ والشّرح الّذی أُنجز بخصوص المعنی العام للاجتهاد، نکون قد عبّدنا الطّریق لاکتشاف ماهیّة العلم الدّینی ومکانته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نقول فی بحث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الدّینی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یکون الدّین من جهة کونه دیناً، مسؤولاً عن تعلیمه وتبیینه ومن ثمّ ترویجه وتطبیقه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یمکن استخراجه من النّصوص الدّینیّة، مع أنّ الدّین بشکل خاصّ من جهة کونه دیناًً، لا یکون متکفّلاً بالعملیّات المذکورة من التّعلیم حتّی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أنّ ماهیّة الدّین، الّتی تضع النّظام الإمکانی العام فی دائرة الدّین، تقوم أیضاً بشکل عامّ بتعلیم العلوم الّتی هی غیر مسؤولة عنها بشکل خاصّ کی ینسجم النّظام البشریّ مع النّظام العالمی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العلم الّذی یقوم الدّین ببیانه بشکل خاص، هو العلم الدّینی الخاصّ، والعلم الّذی یقوم الدّین ببیانه بشکل أعمّ، هو العلم الدّینی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شرح کلا نوعی العلم الدّینی المذکور بهذا الشّکل</w:t>
      </w:r>
      <w:r>
        <w:rPr>
          <w:rFonts w:eastAsia="IRNazanin" w:cs="IRNazanin"/>
          <w:color w:val="111111"/>
          <w:sz w:val="28"/>
          <w:szCs w:val="28"/>
          <w:rtl w:val="true"/>
          <w:lang w:bidi="fa-IR"/>
        </w:rPr>
        <w:t>:</w:t>
      </w:r>
    </w:p>
    <w:p>
      <w:pPr>
        <w:pStyle w:val="Heading3"/>
        <w:numPr>
          <w:ilvl w:val="2"/>
          <w:numId w:val="1"/>
        </w:numPr>
        <w:rPr/>
      </w:pPr>
      <w:bookmarkStart w:id="97" w:name="__RefHeading___Toc283194_581953129"/>
      <w:bookmarkStart w:id="98" w:name="_Toc35"/>
      <w:bookmarkEnd w:id="97"/>
      <w:r>
        <w:rPr>
          <w:rtl w:val="true"/>
        </w:rPr>
        <w:t>شرح العلم الدّینی الخاص</w:t>
      </w:r>
      <w:bookmarkEnd w:id="98"/>
    </w:p>
    <w:p>
      <w:pPr>
        <w:pStyle w:val="BookText"/>
        <w:rPr/>
      </w:pPr>
      <w:r>
        <w:rPr>
          <w:rFonts w:ascii="IRNazanin" w:hAnsi="IRNazanin" w:eastAsia="IRNazanin"/>
          <w:color w:val="111111"/>
          <w:sz w:val="28"/>
          <w:sz w:val="28"/>
          <w:szCs w:val="28"/>
          <w:rtl w:val="true"/>
          <w:lang w:bidi="fa-IR"/>
        </w:rPr>
        <w:t>إنّ هذا القسم من العلم الّذی یکون الدّین من جهة کونه دیناً، مسؤولاً عن تبیینه ونشره وتطبیقه بشکل خاصّ، له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الدّینی 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المرتبة من العلم الدّینی، تُبرزعموم ماهیّة الدّین، وأیضاً عموم ماهیّة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فالأصول والقوانین الضروریّة الّتی هی متحقّقة ذاتاًٌ فی جمیع الکائنات العاقلة تدخل ضمن المرتبة الأولی للعلم الدّینی؛ کأصول المعرفة الربوبیّة وأمثال اللوازم الأوّلیة لتلک الأصول الّتی تتمثّل فی النّبوّة والوصایة فی النّظام العامّ والّتی تتحقّق لجمیع العقول بشکل یقبل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أمثال مصونیّة الأنبیاء علیهم السلام و الأوصیاء علیهم السلام من النّقص والجهل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أمثال الاستدلالات العمومیّة الّتی ترتبط بالإستنباطات القابلة للتعمیم علی العقول کالأصول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والقوانین الأوّلیة للعلم الدّینی فی مرتبته الأولی، والّتی تخضع للاجتهاد؛ لأنّها قد جاءت جمیعاً من ماهیّة الدّین واستقرّت فی طبیعة العقل قبل مرحلة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العلم الاجتهادی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هذه المرتبة من العلم منوطة بإعمال الاجتهاد حسب مبنی الأصول والقوانین والأدلّة ومآخذها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وتنحصر مآخذ الاجتهاد، فی کتاب الله وسُنة النّبیّ صلی الله علیه و آله وأوصیائه علیهم السلام فی لغة الفقه وأصول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هی قول وفعل وتقریر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الأدلّة الاجتهادیّة سمّیت وبشکل واسع فی تقریرات أصول الفقه بالأدلّة الأربعة الّتی هی عبارة عن المصدرین الأساسیین الکتاب والسُّنة وعن العقل والإجماع اللذین یوضعان فی طول الکتاب والسُّنة، ومع أنّهما اعتبرا من الأدلّة، لکنّهما لیسا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إلی حدّ ما الملاک فی عدم کون العقل والإجماع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بیّنا سببیّة وکیفیّة دلیلیّة العقل والإجماع وحدود وشروط دلیلیّتهما بإیجاز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شرح العلم الدّینی الاجتهادی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المرتبة من العلم، طُرحت فی مجال مسائل تستنبط نظریّات لموضوعات متعدّدة من خلال مراجعة الأدلّة الأربعة، لکن من حیث أنّ إمکانیاتنا وقدراتنا فی مجال الاستفادة الاجتهادیّة من الأدلّة محدودة ومشروطة ومشمولة بقانون إمکان الخطأ، وأنّ جهاز معرفتنا محدود بحدود قوی إدراکنا، فمع أنّه متّصل بالعقل العمومی، لکنّه لا یمکنه تحریر نفسه من إطارات قواه الإدراکیّة، باعتبار أنّ جهاز معرفتنا اکتشافیّ وله قابلیة الکشف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فجهاز معرفتنا بمثابة إنسان محدود ومشروط وتدریجی التّکامل، له شروط وحدود تترافق مع الشّروط والحدود الّتی تتلازم معه فی الاستفادة من المصادر الدّینیّة، فتکون النّتیجة أنّ النّظریّات الاجتهادیّة مع کونها اکتشافیّة ولها إمکانیّة الحجیّة أو المنجزیّة، لکنّها لا تحتلّ المرتبة الأولی کالتقریرات وتثبیتات العلم الدّینی العمومی ومن هنا فهی لیست ضروریّة وعمومیّة ومن الممکن أن تُطرح جانباً عن طریق اجتهاد آخر من قبل المجتهد نفسه أو مجتهد آخر، ویتغیّر بذلک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فالعلم الدّینی الاجتهادیّ إضافة إلی کونه ممکناً یکون متحقّقاً فی الواقع وکذلک مشروطاً ومحدوداً وأیضاً مفتوحاً بوجه مستقبل العلم والإمکانات والنّظریّات الاجتهادیّة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هو نفسه حدیث کبار علماء الاجتهاد والفقاهه من الإمامیّة علی مدی قرون والمتمثّل بأنّ باب الاجتهاد مفتوح وغیر مسدود وقد أصبح هذا المسار العلمیّ أساسیّاً فی زمن غیبة الحجّة المعصوم وذلک</w:t>
      </w:r>
      <w:bookmarkStart w:id="99" w:name="pg5231_29735"/>
    </w:p>
    <w:p>
      <w:pPr>
        <w:pStyle w:val="BookText"/>
        <w:rPr/>
      </w:pPr>
      <w:bookmarkEnd w:id="99"/>
      <w:r>
        <w:rPr>
          <w:rFonts w:ascii="IRNazanin" w:hAnsi="IRNazanin" w:eastAsia="IRNazanin"/>
          <w:color w:val="111111"/>
          <w:sz w:val="28"/>
          <w:sz w:val="28"/>
          <w:szCs w:val="28"/>
          <w:rtl w:val="true"/>
          <w:lang w:bidi="fa-IR"/>
        </w:rPr>
        <w:t>من قبل النّبیّ صلی الله علیه و آله والأوصیاء علیهم السلام کی تقوم الکائنات العاقلة بإستنباط أحکام أحداث الأزمنة المتوالیة حسب القدرات والإمکانات الخاصّة والعامّة من المصادر والأدلّة، من خلال الاجتهاد</w:t>
      </w:r>
      <w:r>
        <w:rPr>
          <w:rFonts w:eastAsia="IRNazanin" w:cs="IRNazanin"/>
          <w:color w:val="111111"/>
          <w:sz w:val="28"/>
          <w:szCs w:val="28"/>
          <w:rtl w:val="true"/>
          <w:lang w:bidi="fa-IR"/>
        </w:rPr>
        <w:t>.</w:t>
      </w:r>
    </w:p>
    <w:p>
      <w:pPr>
        <w:pStyle w:val="Heading3"/>
        <w:numPr>
          <w:ilvl w:val="2"/>
          <w:numId w:val="1"/>
        </w:numPr>
        <w:rPr/>
      </w:pPr>
      <w:bookmarkStart w:id="100" w:name="__RefHeading___Toc283196_581953129"/>
      <w:bookmarkStart w:id="101" w:name="_Toc36"/>
      <w:bookmarkEnd w:id="100"/>
      <w:r>
        <w:rPr>
          <w:rtl w:val="true"/>
        </w:rPr>
        <w:t>مقوّمات العلم الاجتهادی الخاص</w:t>
      </w:r>
      <w:bookmarkEnd w:id="101"/>
    </w:p>
    <w:p>
      <w:pPr>
        <w:pStyle w:val="BookText"/>
        <w:rPr/>
      </w:pPr>
      <w:r>
        <w:rPr>
          <w:rFonts w:ascii="IRNazanin" w:hAnsi="IRNazanin" w:eastAsia="IRNazanin"/>
          <w:color w:val="111111"/>
          <w:sz w:val="28"/>
          <w:sz w:val="28"/>
          <w:szCs w:val="28"/>
          <w:rtl w:val="true"/>
          <w:lang w:bidi="fa-IR"/>
        </w:rPr>
        <w:t>وهی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المزدوجة من کتاب الله وسُنة المعصوم، الّتی تعتبر مرجعاً أساسیّاً ومعیاراً عاماً لهذا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العقل والإجماع بالمعنی الّذی تقدّم شرحه، فی طول هذین المصدرین، وبمثابة کواشف مشروطة ومحدودة فی الممارسة الاجتهادیّة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العناصر والقوانین الآلیّة من جهة أنّها تحقّق أصول الاجتهاد العامّة فتکون بمثابة منطق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یکون علم أصول الفقه بمثابة المنطق للفقه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المنطق یفسّر القوانین الآلیّة المستقرّة فی العقل العمومیّ لأجل التأمّل والتقییم، فکذلک علم أصول الفقه فی تعیین العناصر والقوانین الآلیّة والقابلة للتعمیم لتحدید أساس وضابطة الإستنباط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لأنّ الاجتهاد بالمعنی العام یسری فی جمیع العلوم الّتی یعلّمها الدّین من جهة کونه دیناً، فکما لدینا علم أصول لعلم الفقه، فنحو ذلک لدینا أیضاً علم أصول بالنّسبة للعلوم الأخری المستحصلة من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علم أصول باقی العلوم الدّینیّة تعود معرفته إلی علم أصول الفقه بعنوانه الخاصّ، فهم یذکرونه تحت عنوان أصول الاجتهاد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فأصول الفقه أو أصول الاجتهاد فی الفقه، تکون کاشفة للعناصر والقوانین الآلیّة الإستنباطیّة للفقه وأصول الاجتهاد العام وکاشفة للعناصر والقوانین الآلیّة والإستنباطیّة للعلوم الدّینیّة الأخری</w:t>
      </w:r>
      <w:r>
        <w:rPr>
          <w:rFonts w:eastAsia="IRNazanin" w:cs="IRNazanin"/>
          <w:color w:val="111111"/>
          <w:sz w:val="28"/>
          <w:szCs w:val="28"/>
          <w:rtl w:val="true"/>
          <w:lang w:bidi="fa-IR"/>
        </w:rPr>
        <w:t>.</w:t>
      </w:r>
    </w:p>
    <w:p>
      <w:pPr>
        <w:pStyle w:val="Heading3"/>
        <w:numPr>
          <w:ilvl w:val="2"/>
          <w:numId w:val="1"/>
        </w:numPr>
        <w:rPr/>
      </w:pPr>
      <w:bookmarkStart w:id="102" w:name="__RefHeading___Toc283198_581953129"/>
      <w:bookmarkStart w:id="103" w:name="_Toc37"/>
      <w:bookmarkEnd w:id="102"/>
      <w:r>
        <w:rPr>
          <w:rtl w:val="true"/>
        </w:rPr>
        <w:t>العلوم الاجتهادیّة الخاصّة</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التّعریف الّذی عرضناه للعلم الاجتهادی الخاص، ینطبق علی أیّ علم تتوفّر فیه عناصر ذلک التّعریف ومقوّماته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نأتی علی بیان منظومة هذه العلوم بإیجاز، دون الحاجة إلی تثبیت جمیع علوم منظومة العلم الدّینی الخاصّ علی أساس ملاکاتها فی جدول</w:t>
      </w:r>
      <w:r>
        <w:rPr>
          <w:rFonts w:eastAsia="IRNazanin" w:cs="IRNazanin"/>
          <w:color w:val="111111"/>
          <w:sz w:val="28"/>
          <w:szCs w:val="28"/>
          <w:rtl w:val="true"/>
          <w:lang w:bidi="fa-IR"/>
        </w:rPr>
        <w:t>.</w:t>
      </w:r>
      <w:bookmarkStart w:id="104" w:name="pg5231_29736"/>
    </w:p>
    <w:p>
      <w:pPr>
        <w:pStyle w:val="Heading3"/>
        <w:numPr>
          <w:ilvl w:val="2"/>
          <w:numId w:val="1"/>
        </w:numPr>
        <w:rPr/>
      </w:pPr>
      <w:bookmarkStart w:id="105" w:name="__RefHeading___Toc283200_581953129"/>
      <w:bookmarkStart w:id="106" w:name="_Toc38"/>
      <w:bookmarkEnd w:id="104"/>
      <w:bookmarkEnd w:id="105"/>
      <w:r>
        <w:rPr>
          <w:rtl w:val="true"/>
        </w:rPr>
        <w:t>منظومة العلوم الدّینیّة الاجتهادیّة</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الإلهی بمعناه الأخصّ، الّذی هو عبارة عن العلم الإلهی المستنبط والقابل للإستنباط بالأسلوب الاجتهادی الفقهی من الأدلّة الأربعة المتمثّلة بالکتاب والسُّنة والعقل والإجماع حسب التّفصیل المتقدّم وعلی الخصوص فی إحلال العقل والإجماع فی طول الکتاب والسُّنة فی جمیع النّظریّات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مشتقات العلم الإلهی الأخصّ، معرفة النّبوّة والوصایة ومعرفة المعاد ولکن بما أنّ العدل من صفات واجب الوجوب فهو یُدرج فی مبحث الصّفات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الإسلامی الخاص الّذی هو عبارة عن الکلام المستنبط والقابل للإستنباط بالطّریقة الاجتهادیّة الفقهیّة من الأدلّة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الفلسفة الإسلامیّة بالمعنی الأخصّ، الّتی هی عبارة عن العلم المستنبط لما بعد الطّبیعة والقابل للإستنباط بالأسلوب الاجتهادیّ المعهود فی علم الفقه من الأدلّة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التّفسیر الّذی هو عبارة عن النّظام الاجتهادی المستنبط والقابل للإستنباط من الأدلّة الأربعة لتفسیر النّصوص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والأحادیث المرویّة عن رسول الله والأئمّة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یعدّ کاشفاً لعناصر وقوانین وأسالیب إستنباط المعانی الممکنة والمقصودة من النّصوص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الفقه الّذی هو الأنموذج الأوضح للعلم الدّینی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ذکرناه عند البدء بتحدید الأسلوب الاجتهادیّ فی العلوم الدّینیّة باعتباره أسلوباً اجتهادیّاً معهوداً فی 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أصول الفقه الّذی هو عبارة عن المنظومة الآلیّة والقابلة لتعمیم الإستنباط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إستنباطها من الأدلّة الأربعة کما هو فی العلوم الاجتهادیّة الأخری، دون أن تؤدّی إلی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العرض للعلوم الدّینیّة الخاصّة طبقاً لمنظومتها والتمییز لمراتبها العمومیّة عن المراتب الاجتهادیّة، حسب المعاییر الّتی بُیّنت، تصل النوبة إلی إیضاح العلم الدّینی بالمعنی الأعمّ</w:t>
      </w:r>
      <w:r>
        <w:rPr>
          <w:rFonts w:eastAsia="IRNazanin" w:cs="IRNazanin"/>
          <w:color w:val="111111"/>
          <w:sz w:val="28"/>
          <w:szCs w:val="28"/>
          <w:rtl w:val="true"/>
          <w:lang w:bidi="fa-IR"/>
        </w:rPr>
        <w:t>:</w:t>
      </w:r>
    </w:p>
    <w:p>
      <w:pPr>
        <w:pStyle w:val="Heading3"/>
        <w:numPr>
          <w:ilvl w:val="2"/>
          <w:numId w:val="1"/>
        </w:numPr>
        <w:rPr/>
      </w:pPr>
      <w:bookmarkStart w:id="107" w:name="__RefHeading___Toc283202_581953129"/>
      <w:bookmarkStart w:id="108" w:name="_Toc39"/>
      <w:bookmarkEnd w:id="107"/>
      <w:r>
        <w:rPr>
          <w:rtl w:val="true"/>
        </w:rPr>
        <w:t>العلم الدّینی بالمعنی الأعمّ</w:t>
      </w:r>
      <w:bookmarkEnd w:id="1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 أعمّیة هذا النّوع من العلم الدّینی إلی جهة أنّ ماهیّة الدّین لیست مسؤولة عن تعلیمه وترویجه بتطبیقه بصورة ذاتیّة ومخصوصة، بل إنّ ماهیّة الدّین من حیث أنّها متقوّمة بمبدأ</w:t>
      </w:r>
      <w:bookmarkStart w:id="109" w:name="pg5231_29737"/>
    </w:p>
    <w:p>
      <w:pPr>
        <w:pStyle w:val="BookText"/>
        <w:rPr/>
      </w:pPr>
      <w:bookmarkEnd w:id="109"/>
      <w:r>
        <w:rPr>
          <w:rFonts w:ascii="IRNazanin" w:hAnsi="IRNazanin" w:eastAsia="IRNazanin"/>
          <w:color w:val="111111"/>
          <w:sz w:val="28"/>
          <w:sz w:val="28"/>
          <w:szCs w:val="28"/>
          <w:rtl w:val="true"/>
          <w:lang w:bidi="fa-IR"/>
        </w:rPr>
        <w:t>الوجود، تکون بمستوی النّظام الإمکانی الأفضل الّذی هو أیضاً متقوّم بمبدأ الوجود، بالتقوّم الفقریّ الوجودیّ وکذلک بالتقوّم الماهوی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هذه الماهیّة الّتی هی السنخ التامّ والتّمام للدین تکون متکفّلة إضافة إلی تبیّن الأسّس والأصول والقوانین الدّینیّة ومن ثمّ تبیین الأوامر والمقرّرات والماهیّات والقواعد الدّینیّة؛ بتبیین ماهیّات وقوانین النّظام الإمکانی الأفضل لأجل توجیه وتطویر الکائنات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الفرق فیما بین المجالین المذکورین بالنّسبة للعلم الدّینی 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 الأوّل، یقوم الدّین وطبقاً لاقتضاء ماهیّته المخصّصة ولأجل معرفة وتحقیق شؤونه ومراتبه، ببیان العلوم الدّینیّة بالمعنی الأخصّ وتطبیقها ولهذا؛ فإنّ العلوم الدّینیّة الخاصّة، تکون مبیّنة لأصول وقوانین ومقوّمات الدّین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المجال الثّانی، فإنّ الدّین ولأجل سوق الکائنات العاقلة إلی مراتب نفس الأمر وتقریبها من العنایة الإلهیّة الجامعة والشّاملة وتنسیق نظام الکائنات الفردیّ مع النّظام الإمکانی الجمعیّ الأفضل، فهو یقوم بتعلیم العلوم وتطبیقها</w:t>
      </w:r>
      <w:r>
        <w:rPr>
          <w:rFonts w:eastAsia="IRNazanin" w:cs="IRNazanin"/>
          <w:color w:val="111111"/>
          <w:sz w:val="28"/>
          <w:szCs w:val="28"/>
          <w:rtl w:val="true"/>
          <w:lang w:bidi="fa-IR"/>
        </w:rPr>
        <w:t>.</w:t>
      </w:r>
    </w:p>
    <w:p>
      <w:pPr>
        <w:pStyle w:val="Heading3"/>
        <w:numPr>
          <w:ilvl w:val="2"/>
          <w:numId w:val="1"/>
        </w:numPr>
        <w:rPr/>
      </w:pPr>
      <w:bookmarkStart w:id="110" w:name="__RefHeading___Toc283204_581953129"/>
      <w:bookmarkStart w:id="111" w:name="_Toc40"/>
      <w:bookmarkEnd w:id="110"/>
      <w:r>
        <w:rPr>
          <w:rtl w:val="true"/>
        </w:rPr>
        <w:t>بیان إمکان العلم الدّینی العامّ</w:t>
      </w:r>
      <w:bookmarkEnd w:id="111"/>
    </w:p>
    <w:p>
      <w:pPr>
        <w:pStyle w:val="BookText"/>
        <w:rPr/>
      </w:pPr>
      <w:r>
        <w:rPr>
          <w:rFonts w:ascii="IRNazanin" w:hAnsi="IRNazanin" w:eastAsia="IRNazanin"/>
          <w:color w:val="111111"/>
          <w:sz w:val="28"/>
          <w:sz w:val="28"/>
          <w:szCs w:val="28"/>
          <w:rtl w:val="true"/>
          <w:lang w:bidi="fa-IR"/>
        </w:rPr>
        <w:t>إنّ العلم مهما کان فهو من حیث أنّه علم، له ترکیبة من النّظم، الرّوابط، العناصر، الأسّس، المقدّمات، الاستدلالات والتقییمات والمسائل ومن ثمّ حلول وإستنباطات واکتشافات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والکائنات العاقلة الّتی تقوم بالکشف عن العلوم واستلامها وحملها وتبلیغها، لا توجِد بذاتها العلوم الاکتسابیّة وهی تدرک بالإدراک العام عدم الوجود الذّاتی هذا للعلوم وکذا بالتّجربة العامّة، وهی إضافة إلی ذلک تقیم البرهان العام علی العدم الذّاتی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وجود العلم المحض فی النّظام الإمکانی الأفضل بالأشخاص المعصومین المنصّبین من قِبل الله لتوجیه الکائنات ومن هنا تتمیّز علومهم بکونها 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الکائنات العاقلة تستطیع تحصیل العلوم من طریقین علی نحو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الطّریق الأوّل إلی النّظام الدّاخلی لهذه الکائنات الّذی هو ذاته الاکتشاف عن طریقا لاستدلال أو التّجربة أو التّرکیب بین الاستدلال والتّجربة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الآخر ینفتح علی النّظام العام للممکنات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المعاییر فی مؤسّسة ذلک النّظام العامّ والمنصوبین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فلاسفة علم ما بعد الطّبیعة والإلهیات الخاصّة</w:t>
      </w:r>
      <w:bookmarkStart w:id="112" w:name="pg5231_29738"/>
    </w:p>
    <w:p>
      <w:pPr>
        <w:pStyle w:val="BookText"/>
        <w:rPr/>
      </w:pPr>
      <w:bookmarkEnd w:id="112"/>
      <w:r>
        <w:rPr>
          <w:rFonts w:ascii="IRNazanin" w:hAnsi="IRNazanin" w:eastAsia="IRNazanin"/>
          <w:color w:val="111111"/>
          <w:sz w:val="28"/>
          <w:sz w:val="28"/>
          <w:szCs w:val="28"/>
          <w:rtl w:val="true"/>
          <w:lang w:bidi="fa-IR"/>
        </w:rPr>
        <w:t>بما بعد الطّبیعة، علی هؤلاء الّذین یکون وجودهم وجوداً تامّاً؛ العقول الأولی والعقول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ویتصدّر تلک العقول العقل الأوّل والعقل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الأشخاص یصطلح علیهم فی الدّین، فی قسم ما بعد الطّبیعة وفی الإلهیّات الخاصّة بالمعصومین علیهم السلام المعاییر فی نظام الوجود الممکن ویذکرون تحت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عنوان الأنبیاء والآخر عنوان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ویتصدّرهم الموجودات الجامعة والخاتمة وهم الأربعة عشر معصوماً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فأشخاص النّظام العامّ المنَصّبین من قِبل الله، لدیهم علم کتاب الله وأیضاً العلم اللدنّی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فی المرحلة الخاتمة الّتی أُعطی منها علم کتاب الله والعلم اللدنّی والکمالات اللدنیّة إلی المعصومین الأربعة عشر علیهم السلام الّذین تصدّروا النّظام الأفضل من قِبل الله فی مرحلة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وبعد الإیضاح المذکور حول طریقی استلام العلوم، یکون قد تحقّق البرهان علی إمکان العلم الدّینی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هذا النّوع من العلم الدّینی، ذلک العلم الّذی مع کونه لا یبیّن ماهیّة الدّین ولا تتخصّص ماهیّة الدّین فی المقابل لأجل بیانه، لکنّ الدّین یبیّن ذلک النّوع من العلم لأجل إکمال هدایة وبناء أنظمة جزئیّة منسجمة مع عموم نظام الوجود الإمکانیّ ویشیر ذلک النّوع من العلم، إلی الشّؤون التکوینیّة للدین إضافة إلی الشّؤون التشریعیّة</w:t>
      </w:r>
      <w:r>
        <w:rPr>
          <w:rFonts w:eastAsia="IRNazanin" w:cs="IRNazanin"/>
          <w:color w:val="111111"/>
          <w:sz w:val="28"/>
          <w:szCs w:val="28"/>
          <w:rtl w:val="true"/>
          <w:lang w:bidi="fa-IR"/>
        </w:rPr>
        <w:t>.</w:t>
      </w:r>
    </w:p>
    <w:p>
      <w:pPr>
        <w:pStyle w:val="Heading3"/>
        <w:numPr>
          <w:ilvl w:val="2"/>
          <w:numId w:val="1"/>
        </w:numPr>
        <w:rPr/>
      </w:pPr>
      <w:bookmarkStart w:id="113" w:name="__RefHeading___Toc283206_581953129"/>
      <w:bookmarkStart w:id="114" w:name="_Toc41"/>
      <w:bookmarkEnd w:id="113"/>
      <w:r>
        <w:rPr>
          <w:rtl w:val="true"/>
        </w:rPr>
        <w:t>برهان حول إمکان العلم الدّینی</w:t>
      </w:r>
      <w:bookmarkEnd w:id="114"/>
    </w:p>
    <w:p>
      <w:pPr>
        <w:pStyle w:val="BookText"/>
        <w:rPr/>
      </w:pPr>
      <w:r>
        <w:rPr>
          <w:rFonts w:ascii="IRNazanin" w:hAnsi="IRNazanin" w:eastAsia="IRNazanin"/>
          <w:color w:val="111111"/>
          <w:sz w:val="28"/>
          <w:sz w:val="28"/>
          <w:szCs w:val="28"/>
          <w:rtl w:val="true"/>
          <w:lang w:bidi="fa-IR"/>
        </w:rPr>
        <w:t>یمکن شرح ترکیبة هذا البرهان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وظیفة الدّین بتوجیه الکائنات نحو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بمعنی الدّلالة علی الطّریق أو بمعنی سوق الکائنات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بمستوی وبکفاءة تطوّر معرفة الوجود فی نظام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فیلزم أن یتّصف أدلّاء الدّین المعصومین من قِبل الله، بکمالات تکافیء مستوی النّظام الإمکانیّ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وحسب مقتضی القانون الکمالیّ الجمعی، من اللازم أن تتصدّر کمالاتهم مرتبة کمال النّظام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طبقاً لهذا البرهان أن یکون کتاب الله جامعاً لمراتب العلم والکمال 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القرآن الّذی یعدّ خاتماً للکتب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الجامعیّة تتّصف بصفة الخاتمیّة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فقد تبیّن حتّی الآن أنّ القوی القسریّة للأزمنة والأمکنة لم تمنع من عرض العلم علی الکائنات فی جمیع شؤونه وبمختلف أشخاصه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منعته القوی القسریّة، لم یعطّل</w:t>
      </w:r>
      <w:bookmarkStart w:id="115" w:name="pg5231_29739"/>
    </w:p>
    <w:p>
      <w:pPr>
        <w:pStyle w:val="BookText"/>
        <w:rPr/>
      </w:pPr>
      <w:bookmarkEnd w:id="115"/>
      <w:r>
        <w:rPr>
          <w:rFonts w:ascii="IRNazanin" w:hAnsi="IRNazanin" w:eastAsia="IRNazanin"/>
          <w:color w:val="111111"/>
          <w:sz w:val="28"/>
          <w:sz w:val="28"/>
          <w:szCs w:val="28"/>
          <w:rtl w:val="true"/>
          <w:lang w:bidi="fa-IR"/>
        </w:rPr>
        <w:t>نهائیّاً، وإنّما عُبّ‌ءَ وکُنّز فی النّصوص الدّینیّة بشکل إجمالی وقد أُرجئت تلک الأقسام الّتی تحتاج إلی التّفصیل ولم تصل إلی مرحلة البسط والشّرح ومن ثمّ التطبیق بسبب القواسر؛ إلی مرحلة ما بعد الغیبة الکبری بأمر الله</w:t>
      </w:r>
      <w:r>
        <w:rPr>
          <w:rFonts w:eastAsia="IRNazanin" w:cs="IRNazanin"/>
          <w:color w:val="111111"/>
          <w:sz w:val="28"/>
          <w:szCs w:val="28"/>
          <w:rtl w:val="true"/>
          <w:lang w:bidi="fa-IR"/>
        </w:rPr>
        <w:t>.</w:t>
      </w:r>
    </w:p>
    <w:p>
      <w:pPr>
        <w:pStyle w:val="Heading3"/>
        <w:numPr>
          <w:ilvl w:val="2"/>
          <w:numId w:val="1"/>
        </w:numPr>
        <w:rPr/>
      </w:pPr>
      <w:bookmarkStart w:id="116" w:name="__RefHeading___Toc283208_581953129"/>
      <w:bookmarkStart w:id="117" w:name="_Toc42"/>
      <w:bookmarkEnd w:id="116"/>
      <w:r>
        <w:rPr>
          <w:rtl w:val="true"/>
        </w:rPr>
        <w:t>أسلوب استخراج العلم الدّینی العامّ من الدّین</w:t>
      </w:r>
      <w:bookmarkEnd w:id="117"/>
    </w:p>
    <w:p>
      <w:pPr>
        <w:pStyle w:val="BookText"/>
        <w:rPr/>
      </w:pPr>
      <w:r>
        <w:rPr>
          <w:rFonts w:ascii="IRNazanin" w:hAnsi="IRNazanin" w:eastAsia="IRNazanin"/>
          <w:color w:val="111111"/>
          <w:sz w:val="28"/>
          <w:sz w:val="28"/>
          <w:szCs w:val="28"/>
          <w:rtl w:val="true"/>
          <w:lang w:bidi="fa-IR"/>
        </w:rPr>
        <w:t>إنّ الشّکل الّذی بیّن به المجتهدین أسلوب الاجتهاد، ذو طریقة مضطردة فی مختلف المجالات والمیادین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التّمایز والاختلاف بحسب الآراء المختلفة یقتصر علی بعض ممیّزات وخصائص الأدلّة المستند إلیها لرأی ما بالنّسبة لرأی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قمت بشرح تفصیلی للأسلوب العامّ للاجتهاد والآراء الّتی تدور حوله فی مقالة بعنوان النّظریّة الاکتشافیّة للاجتهاد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ما جاء فی بیان تلک النّظریّة کافیاً فی مجال بیان أسلوب استخراج العلم الدّینی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یمکن إیجاز ما نتج عن بیان تلک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طی مراحل لاستخراج العلوم من الدّین فی میادین العلم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مسائل العلم المقصود کی یمکن إعطاء مفهوم خاصّ لها وطرح الأسئلة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قراءة النّصوص والمصادر الدّینیّة الّتی یوجد فیها المفهوم المقصود للمسائل أو القابلة للاکتشاف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کتب وأسانید الأحادیث بحسب مبانی القدماء وکذلک بحسب مبانی المتأخّرین وکذا بحسب الجمع بین المبنین المذکورین فی نظریّة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أنواع الاکتشافات الممکنة من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هذه المرحلة، جمیع میادین شرح وتفسیر النصّ وثمّ تخریج وتنقیح وتحقیق الملاکات المدرجة فی النصّ علی اختلاف الآراء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استُخرج أو ما یقبل الاستخراج من مجموعة ما من النّصوص إلی جانب ما استُخرج أو یقبل الاستخراج من مجموعة أخری من النّصوص لأجل مقارنة ما استُخرج من کلّ مجموعة مع بعضه البعض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کلّ مجموعة مع المجموعة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تقییم جمیع ما استُخرج مع المدالیل الثّابتة لکتاب الله ومع المدالیل الثّابتة للنصوص المتحقّقة الصدور من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ویعرض فی هذه المرحلة جمیع ما استُخرج علی کتاب الله والنّصوص المتحقّقة الصدور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ومثلما قُرّر فی الاجتهاد الفقهیّ أیضاً فإنّ هذه المرحلة هی المرحلة المبنائیّة للعبور إلی الإستنباط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عرض الأدلّة الخاصّة والاستخراجات الخاصّة علی کتاب الله والنّصوص المتحقّقة الصدور عن المعصوم علیهم السلام یتمّ فی میدانین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میدان تعارض الأدلّة الخاصّة، والآخر میدان إعادة قراءة وتثبیت المدالیل المتحقّقة الصدور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جهاز المعرفة بشکل یجعله رقیباً علی تأثیر القسم الاکتسابیّ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هو نفسه الجهاز المرکّب من العقل الخاص والحسّ الخاصّ الّذی یستلم العلم البشریّ النّتائج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تأثیرات جهاز المعرّفة الخاصّ لا تدع جهاز المعرفة العامّ أن یمارس الاکتشاف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التنحیة لجهاز المعرّفة العام عن تأثیرات جهاز المعرفة الاکتسابیّ مطلوبة فی میادین علمنا البشریّ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فلإجراء اختبار ما أو تفسیر تجربة أجریت کما فی الفیزیاء الّتی یعدّ القسم الأساسی منها تجربیاً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ترکّبه من جانبین عقلیّ وحسّی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المرور عبر بعض النّظریّات وإن سبق وتمّ ذلک فی مقطع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إذا ما أردنا اختبار انفصال إرسال الطّاقة عن استلامها، لا یمکن اجتناب نظریة عدم انفصال تیار الطّاقة فی هذا المقطع وإلّا فسوف یبتلع ویسقط عن العمل أیّ اختبار بواسطة نظریة عدم انفصال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أردنا التّعرّض لنقد قانون المیکانیک الأوّل لنیوتن الّذی یُدعی قانون الحرکة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الاستمراریّة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لا نأخذ النّظریّة الدّاعمة له بنظر الاعتبار، فإنّ تلک النّظریّة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 حالة الحرکة الرتیبة بمثابة سکون لحالة 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تثمر عمّا یحلّ لنا الإشکالات الواردة علی قانون الحرکة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فإنّه علی فرض أنّ وقوع التّجربة أو تفسیر التّجربة یکون فی امتداد النّظریّات المفروضة أو متوقّف علیها، لا یمکن التجاوز عن تلک النّظریّات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ونستنتج ممّا قلناه أنّه ینبغی أن تؤخذ المرحلة الثّامنة فی استخراج ومن ثمّ إستنباط العلوم من النّصوص الدّینیّة کی لا یتوقّف أو یتحوّر العمل الإستنباطی بواسطة الأراء البشریّة الخاصّة، وأیضاً فی الاستدلال العقلیّ أو الاستدلال العقلیّ التّجربیّ کی لا تقوم النّظریّات السّابقة بغلق الطّریق علی النّظریّات المستقبلیّة أو تفسیرها بشکل تعود فیه إلی النّظریّات السّابقة ذاتها</w:t>
      </w:r>
      <w:r>
        <w:rPr>
          <w:rFonts w:eastAsia="IRNazanin" w:cs="IRNazanin"/>
          <w:color w:val="111111"/>
          <w:sz w:val="28"/>
          <w:szCs w:val="28"/>
          <w:rtl w:val="true"/>
          <w:lang w:bidi="fa-IR"/>
        </w:rPr>
        <w:t>.</w:t>
      </w:r>
      <w:bookmarkStart w:id="118" w:name="pg5231_29741"/>
    </w:p>
    <w:p>
      <w:pPr>
        <w:pStyle w:val="BookText"/>
        <w:rPr/>
      </w:pPr>
      <w:bookmarkEnd w:id="118"/>
      <w:r>
        <w:rPr>
          <w:rFonts w:ascii="IRNazanin" w:hAnsi="IRNazanin" w:eastAsia="IRNazanin"/>
          <w:color w:val="111111"/>
          <w:sz w:val="28"/>
          <w:sz w:val="28"/>
          <w:szCs w:val="28"/>
          <w:rtl w:val="true"/>
          <w:lang w:bidi="fa-IR"/>
        </w:rPr>
        <w:t>وفی توضیح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المرحلة الثّامنة، قیام الاستدلالات علی المعاییر العمومیّة والاکتشافیّة وتقریبها من المستوی المعیاریّ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الخصوص المقصود الّذی یجعل الاستدلال منسجماً فی جمیع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العناصر والمآخذ وطرق توجیهها تبقی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یضرّ عدم الانسجام فی هذه الأمور علی انسجام ترکیبة الاستدلال</w:t>
      </w:r>
      <w:r>
        <w:rPr>
          <w:rFonts w:eastAsia="IRNazanin" w:cs="IRNazanin"/>
          <w:color w:val="111111"/>
          <w:sz w:val="28"/>
          <w:szCs w:val="28"/>
          <w:rtl w:val="true"/>
          <w:lang w:bidi="fa-IR"/>
        </w:rPr>
        <w:t>.</w:t>
      </w:r>
    </w:p>
    <w:p>
      <w:pPr>
        <w:pStyle w:val="Heading3"/>
        <w:numPr>
          <w:ilvl w:val="2"/>
          <w:numId w:val="1"/>
        </w:numPr>
        <w:rPr/>
      </w:pPr>
      <w:bookmarkStart w:id="119" w:name="__RefHeading___Toc283210_581953129"/>
      <w:bookmarkStart w:id="120" w:name="_Toc43"/>
      <w:bookmarkEnd w:id="119"/>
      <w:r>
        <w:rPr>
          <w:rtl w:val="true"/>
        </w:rPr>
        <w:t>نظریة امتناع تجرید الحسیّات عن الأمور العقلیّة</w:t>
      </w:r>
      <w:bookmarkEnd w:id="120"/>
    </w:p>
    <w:p>
      <w:pPr>
        <w:pStyle w:val="BookText"/>
        <w:rPr/>
      </w:pPr>
      <w:r>
        <w:rPr>
          <w:rFonts w:ascii="IRNazanin" w:hAnsi="IRNazanin" w:eastAsia="IRNazanin"/>
          <w:color w:val="111111"/>
          <w:sz w:val="28"/>
          <w:sz w:val="28"/>
          <w:szCs w:val="28"/>
          <w:rtl w:val="true"/>
          <w:lang w:bidi="fa-IR"/>
        </w:rPr>
        <w:t xml:space="preserve">ولشرح نظریة العلم الدّینی بشکل أوسع وعلی الخصوص العلم الدّینی العام الّذی یکشف عن اهتمام الدّین بالتّکامل التّکوینی للکائنات العاقلة، علی طریق انسجامها مع النّظام العام، نلحقها بثلاث تتمّات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التتمّة الأولی، ترتبط بإمکان تجرید الاستدلال أو المسألة والشّیء مورد البحث عن النّظریّات، والتتمّة الثّانیة، ترتبط بخواصِ العلومِ الّتی یعلّمها الدّین لتکامل الإنسان تکوینیاً والموجودات الأخری المشابهة له ویوفّر تمایزها عن سنخ العلوم بواسطة الاستدلال أو التّجربة</w:t>
      </w:r>
      <w:r>
        <w:rPr>
          <w:rFonts w:eastAsia="IRNazanin" w:cs="IRNazanin"/>
          <w:color w:val="111111"/>
          <w:sz w:val="28"/>
          <w:szCs w:val="28"/>
          <w:rtl w:val="true"/>
          <w:lang w:bidi="fa-IR"/>
        </w:rPr>
        <w:t>.</w:t>
      </w:r>
    </w:p>
    <w:p>
      <w:pPr>
        <w:pStyle w:val="Heading3"/>
        <w:numPr>
          <w:ilvl w:val="2"/>
          <w:numId w:val="1"/>
        </w:numPr>
        <w:rPr/>
      </w:pPr>
      <w:bookmarkStart w:id="121" w:name="__RefHeading___Toc283212_581953129"/>
      <w:bookmarkStart w:id="122" w:name="_Toc44"/>
      <w:bookmarkEnd w:id="121"/>
      <w:r>
        <w:rPr>
          <w:rtl w:val="true"/>
        </w:rPr>
        <w:t>التتمّة الأولی</w:t>
      </w:r>
      <w:r>
        <w:rPr>
          <w:rtl w:val="true"/>
        </w:rPr>
        <w:t xml:space="preserve">: </w:t>
      </w:r>
      <w:r>
        <w:rPr>
          <w:rtl w:val="true"/>
        </w:rPr>
        <w:t>التّجرید عن النّظریّة</w:t>
      </w:r>
      <w:bookmarkEnd w:id="122"/>
    </w:p>
    <w:p>
      <w:pPr>
        <w:pStyle w:val="Heading4"/>
        <w:numPr>
          <w:ilvl w:val="3"/>
          <w:numId w:val="1"/>
        </w:numPr>
        <w:rPr/>
      </w:pPr>
      <w:bookmarkStart w:id="123" w:name="__RefHeading___Toc283214_581953129"/>
      <w:bookmarkStart w:id="124" w:name="_Toc45"/>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کان إمکان القیام بالتّجربة الحسیّة من دون نظریّة من المفروغ منه فی المرحلة التّجربیّة للفلسفة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استقوی هذا الفرض فی مرحلة نشوء الاتّجاه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 بعد ذلک استحالة مثل هذه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کارل بوبر من ضمن نقّاد النزعة الحسیّة فی الفلسفة الغربیّة والّذی بیّن کون جمیع الإدراکات الحسیّة تنظیراً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فی انطلاقة الفلسفة الإسلامیّة بمفهومها العام أنّ التّجربة عمل ترکیبی من عمل العقل وعمل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فیها کذلک أنّ نطاق الحسّ ونطاق الشهود یدخلان فی مجال التصوّر والتّصدیق وإضافة علی هذا، انفصال العلم الحضوریّ عن العلم الحصولیّ دون أن یتعرّض انتساب کلّ مجال إلی الآخر إلی 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ّبیان رأی هذا الکاتب حول تقییم جهاز العقل وتدوین قسم منه، ویقول فی مسألة التجرید عن النّظریّة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أیّ قضیّة حسیّة أصیلة، غیر ممکنة ولهذا، فإنّ أیّ موضوع حسّی أصیل وأیّ محمول حسّی أصیل فی القضیّة، لا یمکن أن یتحقّق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والشّیء الّذی یتحقّق باعتباره موضوعاً أو محمولاً فی القضیّة یدلّل علی أنّ له جانباً عقلیّاً وأنّه قد خرج عن الوضع الحسّی الأصیل</w:t>
      </w:r>
      <w:r>
        <w:rPr>
          <w:rFonts w:eastAsia="Amiri" w:cs="Amiri" w:ascii="Amiri" w:hAnsi="Amiri"/>
          <w:color w:val="111111"/>
          <w:sz w:val="28"/>
          <w:szCs w:val="28"/>
          <w:rtl w:val="true"/>
          <w:lang w:bidi="ar-SA"/>
        </w:rPr>
        <w:t>.</w:t>
      </w:r>
      <w:bookmarkStart w:id="125" w:name="pg5231_29742"/>
    </w:p>
    <w:p>
      <w:pPr>
        <w:pStyle w:val="Heading4"/>
        <w:numPr>
          <w:ilvl w:val="3"/>
          <w:numId w:val="1"/>
        </w:numPr>
        <w:rPr/>
      </w:pPr>
      <w:bookmarkStart w:id="126" w:name="__RefHeading___Toc283216_581953129"/>
      <w:bookmarkStart w:id="127" w:name="_Toc46"/>
      <w:bookmarkEnd w:id="125"/>
      <w:bookmarkEnd w:id="126"/>
      <w:r>
        <w:rPr>
          <w:rtl w:val="true"/>
        </w:rPr>
        <w:t>حلّ مسألة التجرید عن النّظریّة</w:t>
      </w:r>
      <w:bookmarkEnd w:id="127"/>
    </w:p>
    <w:p>
      <w:pPr>
        <w:pStyle w:val="BookText"/>
        <w:rPr/>
      </w:pPr>
      <w:r>
        <w:rPr>
          <w:rFonts w:ascii="IRNazanin" w:hAnsi="IRNazanin" w:eastAsia="IRNazanin"/>
          <w:color w:val="111111"/>
          <w:sz w:val="28"/>
          <w:sz w:val="28"/>
          <w:szCs w:val="28"/>
          <w:rtl w:val="true"/>
          <w:lang w:bidi="fa-IR"/>
        </w:rPr>
        <w:t>فبدل السؤال عن إمکانیّة أو عدم إمکانیة تجرید الأمور عن النّظریّة طبقاً لهذا الرّأی، یأتی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إمکانیّة أو عدم إمکانیة تجرید المعطیات الحسیّة الواقعة فی معرض القضیّة عن العناصر والصّلات والوجوه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الجواب الّذی استنتجته من انتقاد جهاز العقل والّذی من الممکن أن یکون تتمّة‌لنظریّة الفلاسفة الإسلامیّین فی المراحل الإسلامیّة العشر وحتّی الآن، أشیر إلیه فی هذاالتقریر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تجرید الشّیء محلّ السؤال من القضیّة، لیس ممکناً وتجرید القضیّة وإن کانت حسّیة من العناصر والصور والعلامات العقلیّة هو أیضاً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تجرید الشّیء محلّ السؤال وتجرید استدلال أمر نظریّة اکتسابیّة من تلک النّظریّات الاکتسابیّة الّتی لا تکون مبنی للأمور المذکورة، یکون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النّسبة فیما بین الإمکان والوقوع، هی نسبة العموم والخصوص المطلق من جانب ونسبة العموم والخصوص غیر المطلق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تحقیق إمکان التجرید یجب طیّ عملیّات 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هناک رأی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التجرید عن النّظریّات غیر ممکن وأنّ الذهن علی الدوام یلج الأمور من خلال النّظریّات، وإن کانت الأمور من النّوع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الذهن أو جهاز المعرفة لا یمکنه أن یقوم بالکشف العلمیّ متحرّراً من النّظریّات الاکتسابیّة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هذا الإشکال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جهازالمعرفة یحمل معه الکثیر من النّظریّات الاکتسابیّة، لکنّه من جهة أنّه جهاز اکتشافیّ، یستطیع العبور من جدار النّظریّات طبقاً لمقتضی الاستدلال ویصل إلی نتائج تتصادم والنّظریّات أو علی الأقل لا تأخذها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مقصوده غیر هذا، ففی حالة قصده المفاهیم والأصول وآراء العقل العمومیّ، یمکن أن یکون صحیحاً وإذا کان مقصوده النّظریّات الأساسیّة فی مجالٍ ما، 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تجرید المجال محلّ الاستدلال عن النّظریّات الأساسیّة، لیس ممکناً</w:t>
      </w:r>
      <w:r>
        <w:rPr>
          <w:rFonts w:eastAsia="IRNazanin" w:cs="IRNazanin"/>
          <w:color w:val="111111"/>
          <w:sz w:val="28"/>
          <w:szCs w:val="28"/>
          <w:rtl w:val="true"/>
          <w:lang w:bidi="fa-IR"/>
        </w:rPr>
        <w:t>.</w:t>
      </w:r>
      <w:bookmarkStart w:id="128" w:name="pg5231_29743"/>
    </w:p>
    <w:p>
      <w:pPr>
        <w:pStyle w:val="Heading4"/>
        <w:numPr>
          <w:ilvl w:val="3"/>
          <w:numId w:val="1"/>
        </w:numPr>
        <w:rPr/>
      </w:pPr>
      <w:bookmarkStart w:id="129" w:name="__RefHeading___Toc283218_581953129"/>
      <w:bookmarkStart w:id="130" w:name="_Toc47"/>
      <w:bookmarkEnd w:id="128"/>
      <w:bookmarkEnd w:id="129"/>
      <w:r>
        <w:rPr>
          <w:rtl w:val="true"/>
        </w:rPr>
        <w:t>القضایا العمومیّة والأساس والموجّهة</w:t>
      </w:r>
      <w:bookmarkEnd w:id="130"/>
    </w:p>
    <w:p>
      <w:pPr>
        <w:pStyle w:val="BookText"/>
        <w:rPr/>
      </w:pPr>
      <w:r>
        <w:rPr>
          <w:rFonts w:ascii="IRNazanin" w:hAnsi="IRNazanin" w:eastAsia="IRNazanin"/>
          <w:color w:val="111111"/>
          <w:sz w:val="28"/>
          <w:sz w:val="28"/>
          <w:szCs w:val="28"/>
          <w:rtl w:val="true"/>
          <w:lang w:bidi="fa-IR"/>
        </w:rPr>
        <w:t>وفی کلّ الأحوال، لا یخلو جهاز المعرفة فی تعامله مع متعلّقات المعرفة والعلم؛ من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القضایا الّتی تشمل حتّی المحسوسات، تکون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جهاز المعرفة العمومیّ الّذی شُحن بالعقل النّظریّ، العقل العلمی والأخلاقیّ والعقل الحسیّ وکذلک العقل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الأساس لمتعلّقات البحث والتقییم والاستدلال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الموجّهة الّتی توضّح متعلّقات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وضّحت هذه القضایا المتعلّقات بشکل افتراضی أو بشکل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القضیّة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هو ذلک الشّیء الّذی یمکن عرضه فی قسم من الإمکان أو من الممکن تعقّبه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هذه القضیّة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هو ذلک الشّیء الّذی یمکن قیاس الحرکة من خلاله أو تشخیص مقدار لبث الشّیء فی محلّ ما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أمثال القضیّة الّتی تشرح جوهر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لا یتجزّأ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فرضیّ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جوهر الفرد هو ذلک الشّیء الّذی یکون ساکناً أو متحرکاً فی نقطة من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لا یمکن نسبة أیّ عموم طولیّ أو عرضیّ أو عمقیّ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أیّ حجم، لا طول، لا عرض، لا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تجرید الأشیاء من القضایا الدّالة، لأنّ حذف تلک القضایا، یعدم إمکانیّة أیّ تصوّر لها</w:t>
      </w:r>
      <w:r>
        <w:rPr>
          <w:rFonts w:eastAsia="IRNazanin" w:cs="IRNazanin"/>
          <w:color w:val="111111"/>
          <w:sz w:val="28"/>
          <w:szCs w:val="28"/>
          <w:rtl w:val="true"/>
          <w:lang w:bidi="fa-IR"/>
        </w:rPr>
        <w:t>.</w:t>
      </w:r>
    </w:p>
    <w:p>
      <w:pPr>
        <w:pStyle w:val="Heading3"/>
        <w:numPr>
          <w:ilvl w:val="2"/>
          <w:numId w:val="1"/>
        </w:numPr>
        <w:rPr/>
      </w:pPr>
      <w:bookmarkStart w:id="131" w:name="__RefHeading___Toc283220_581953129"/>
      <w:bookmarkStart w:id="132" w:name="_Toc48"/>
      <w:bookmarkEnd w:id="131"/>
      <w:r>
        <w:rPr>
          <w:rtl w:val="true"/>
        </w:rPr>
        <w:t>التتمّة الثّانیة</w:t>
      </w:r>
      <w:r>
        <w:rPr>
          <w:rtl w:val="true"/>
        </w:rPr>
        <w:t xml:space="preserve">: </w:t>
      </w:r>
      <w:r>
        <w:rPr>
          <w:rtl w:val="true"/>
        </w:rPr>
        <w:t>خصائص العلم الدّینی</w:t>
      </w:r>
      <w:bookmarkEnd w:id="1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المستنبط أو القابل للإستنباط من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استُخرج علم کالمیکانیک أو عموم الفیزیاء أو الکیمیاء أو الأحیاء من المصادر الدّینیّة، وثمّ وصل إلی مرحلة الإستنباط، فإنّ هذا العلم مع کونه من حیث الترکیبة ینسجم مع العلوم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هو أنّ ذلک العلم بما له من ترکیبة، نحصل علیه فی مرحلة من الاستدلال والتّجربة، ونوصله بنفسه فی مرحلة أخری، إلی مرحلة الإستنباط من النّصوص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خصیصة وعمل وعلاقة العلم النّاتج عن الدّین، یتفاوت وما للعلم العادی؛ لأنّ العلم العادی یکون تابعاً فقط للنتیجة المحرزة فی منطقة مطالبه، لکنّ هذا العلم نفسه عندما یتّخذ وصفاً دینیّاً، فإضافة إلی إحرازه نتائج علمیّة یکون فی صدد تکامل الإنسان</w:t>
      </w:r>
      <w:bookmarkStart w:id="133" w:name="pg5231_29744"/>
    </w:p>
    <w:p>
      <w:pPr>
        <w:pStyle w:val="BookText"/>
        <w:rPr/>
      </w:pPr>
      <w:bookmarkEnd w:id="133"/>
      <w:r>
        <w:rPr>
          <w:rFonts w:ascii="IRNazanin" w:hAnsi="IRNazanin" w:eastAsia="IRNazanin"/>
          <w:color w:val="111111"/>
          <w:sz w:val="28"/>
          <w:sz w:val="28"/>
          <w:szCs w:val="28"/>
          <w:rtl w:val="true"/>
          <w:lang w:bidi="fa-IR"/>
        </w:rPr>
        <w:t>وتحسین موقعه فی الانسجام مع النّظام الأحسن ووضعه فی طریق السیر التکاملیّ للاتّصال بالعنایة الإلهیّة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انطباقه علی المورد المعیّن، نشیر إلی أنموذج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تسعی البیولوجیا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معرفة شروطها، أقسامها، ارتباطاتها، إمکاناتها، نظمها، مساراتها، خصائصها وعلاماتها وعملیاتها فی سبیل معرفتها وتوضیحها فی داخل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الرأی لا یرتبط بالمسألة الأساسیّة للإنسان الّذی یستحقّ الوصول إلی السعادة بواسطة القانون الأخلاقیّ والأمر الإلهی، وتکون نتائج النّظریّات الحیاتیّة من حیث معرفة الإنسان غیر ملحوظة فیه، ولکنّ علم الأحیاء المعلَّم من طریق دینیّ ملحوظ فیه سواء ما یساعد علی معرفة الحیاة، أو ما یوجب حیاة أمثل وأجدر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 الکائنات العاقلة لمعرفة الوجود ومبدأ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جاء فی توحید المفضّل الّذی هو من الإملاءات المرویّة والمدوّنة للإمام الصادق علیه السلام أنّ المصدر الربوبیّ فی منظومة الخلق، یکون معروفاً فی جمیع أقسام معرفة العالم ومعرفة الإنسان ومن جملتها علم الأحیاء، ویکون ظهوره واضحاً من خلال تطبیقه علی نماذج معینة</w:t>
      </w:r>
      <w:r>
        <w:rPr>
          <w:rFonts w:eastAsia="IRNazanin" w:cs="IRNazanin"/>
          <w:color w:val="111111"/>
          <w:sz w:val="28"/>
          <w:szCs w:val="28"/>
          <w:rtl w:val="true"/>
          <w:lang w:bidi="fa-IR"/>
        </w:rPr>
        <w:t>.</w:t>
      </w:r>
    </w:p>
    <w:p>
      <w:pPr>
        <w:pStyle w:val="Heading3"/>
        <w:numPr>
          <w:ilvl w:val="2"/>
          <w:numId w:val="1"/>
        </w:numPr>
        <w:rPr/>
      </w:pPr>
      <w:bookmarkStart w:id="134" w:name="__RefHeading___Toc283222_581953129"/>
      <w:bookmarkStart w:id="135" w:name="_Toc49"/>
      <w:bookmarkEnd w:id="134"/>
      <w:r>
        <w:rPr>
          <w:rtl w:val="true"/>
        </w:rPr>
        <w:t>التتمّة الثّالثة</w:t>
      </w:r>
      <w:r>
        <w:rPr>
          <w:rtl w:val="true"/>
        </w:rPr>
        <w:t xml:space="preserve">: </w:t>
      </w:r>
      <w:r>
        <w:rPr>
          <w:rtl w:val="true"/>
        </w:rPr>
        <w:t>مراتب المعانی فی العلم الدّینی</w:t>
      </w:r>
      <w:bookmarkEnd w:id="135"/>
    </w:p>
    <w:p>
      <w:pPr>
        <w:pStyle w:val="BookText"/>
        <w:rPr/>
      </w:pPr>
      <w:r>
        <w:rPr>
          <w:rFonts w:ascii="IRNazanin" w:hAnsi="IRNazanin" w:eastAsia="IRNazanin"/>
          <w:color w:val="111111"/>
          <w:sz w:val="28"/>
          <w:sz w:val="28"/>
          <w:szCs w:val="28"/>
          <w:rtl w:val="true"/>
          <w:lang w:bidi="fa-IR"/>
        </w:rPr>
        <w:t>إنّ أیّ علم لا یمکنه تجاوز حدود نظریّاته والوصول إلی معانی أبعد، إذا استُخرج بواسطة النّظام السّببیّ والمسبّبی الّذی هو طریق بشری، إلّا إذا أبطل نظریّاته الفعلیّة تلک أو حصرها فی قسم خاص أو مرحلة خاصّة وأوجد نظریّات علمیّة أخری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العلم السّببیّ والمسبّبی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یستطیع أن یتضمّن جمیع المعانی السّابقة للعلم ویحمل جمیع الثمار العلمیّة السّابقة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وتکون هذه المحدودیّة للعلم السّببیّ والمسبّبی، تابعة لمحدودیّة الکائنات المحدودة وممکنة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العلم فی أیّ مقطع منه ولأجل أن لا یکون بادئاً من الصفر، فلا خیار له سوی الاعتماد علی المقاطع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حیث أنّنا نعیش فی حیطة قانون المحدودیّة والتدریجیّة وإمکان الخطأ فلا نستطیع أن نمتلک جمیع المراتب الطّولیّة والعرضیّة والإحاطیة السّابقة فی العلوم الحالیّة وإنّما نستفید من</w:t>
      </w:r>
    </w:p>
    <w:p>
      <w:pPr>
        <w:pStyle w:val="BookText"/>
        <w:rPr/>
      </w:pPr>
      <w:r>
        <w:rPr>
          <w:rFonts w:ascii="IRNazanin" w:hAnsi="IRNazanin" w:eastAsia="IRNazanin"/>
          <w:color w:val="111111"/>
          <w:sz w:val="28"/>
          <w:sz w:val="28"/>
          <w:szCs w:val="28"/>
          <w:rtl w:val="true"/>
          <w:lang w:bidi="fa-IR"/>
        </w:rPr>
        <w:t>بعض ما سبق فی النّظریّّات من خلال الحذوف، التشذیبات، الإسقاطات والضمائم وأمثالها کی لا یبتدأ أیّ مقطع من المقاطع من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بخصوص الماضی، أمّا بخصوص المستقبل، فإنّ علومنا تکون خالیة مباشرة من مراتب المستقبل، إلّا بقدر الممهّدات والاستعدادات والعناصر الموجودة فیها للمستقبل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فإنّ نظریّاتنا لیست جامعة وأنّ النّصوص الحاملة لها لیس لها قابلیّة الاستخراجات المضمونة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العلوم القابلة للاستخراج من النّصوص الدّینیّة من حیث أنّها نصوص دینیّة، والّتی تکون حاملة للعلم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علوم جامعة وتستطیع أن تکون جامعة لمراتب الماضی والمستقبل؛ وبالطّبع من جهة أنّها مستخرجة من النّصوص الدّینیّة؛ لأنّ الاستخراجات من النّصوص الدّینیّة تکون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أنّنا محدودون وأنّ علومنا غیر مضمونة الانطباق مع الواقع، لکنّ النّظریّات المستخرجة من مصادر الدّین إذا وصلت إلی مرحلة الإستنباط وطابقت فی هذه المرحلة ذات الإستنباطات الّتی هی مضمون کتاب الله وکلام المعصوم علیه السلام ، ففی ذلک الوقت تکون نظریّات جامعة من حیث المطابقة وطبقاً لمراتب المطابقة والّتی ستتّسع بواسطة الاستخراجات والإستنباطات المستقبلیّة من المصادر بانطباقها علی نفس الأمر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مع أنّ النّظریّات هی محصّلة استخراجاتنا وإستنباطاتنا ومع أنّها من حیث الاستناد إلی جهازنا المعرفیّ تأتی فی ذیل القانون الرقیب علی أحکام معرفتنا، لکنّها من حیث الاستناد إلی النّصوص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والأحادیث الصادرة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حاملة لعلم المعصوم، تکون نظریّات جامعة فی صورة مطابقتها لمحتوی کتاب الله وکلام المعصوم علیهم السلام وتکون طلیقة من القانون الرقیب علی أحکام 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فتوجد إذن فی إستنباطاتنا من النّصوص الدّینیّة، عدّة حیثیات مقوّمة، تقوم بتقویم تلک الإستنباطات وتحدّد ماهیّة اجتهادها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حیثیّة إمکان استخراجها من النّصوص الدّینیّة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إمکان إستنباطها من النّصوص وبالطّبع فإنّ الدلیل الأوّل یوفّر إمکان الدلیل الثّانی؛ لأنّ الإستنباط، هو المرحلة النهائیّة للنظریة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فالاستخراج یبین المعانی الممکنة فقط لکنّ المعانی المقصودة فی النصّ، تتّضح فی مرحلة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والإستنباط؛ عبارة عن استخراج المعانی المقصودة علی أساس تثبیت الأسانید وبحث المدلولات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مطابقة النّظریّات مع ذات الدّین الّذی هو محتوی کتاب الله وکلام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مراتب المطابقة ومقدار شمول النّظریّات المنتسبة إلی تلک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فی حالة تحقّق الحیثیّات الثلاثة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الملاحظات</w:t>
      </w:r>
    </w:p>
    <w:p>
      <w:pPr>
        <w:pStyle w:val="BookText"/>
        <w:rPr/>
      </w:pPr>
      <w:r>
        <w:rPr>
          <w:rFonts w:ascii="IRNazanin" w:hAnsi="IRNazanin" w:eastAsia="IRNazanin"/>
          <w:color w:val="111111"/>
          <w:sz w:val="28"/>
          <w:sz w:val="28"/>
          <w:szCs w:val="28"/>
          <w:rtl w:val="true"/>
          <w:lang w:bidi="fa-IR"/>
        </w:rPr>
        <w:t xml:space="preserve">لقد تطرّق السّید عابدی شاهرودی فی هذا المقال إلی بیان العلم الدّینی علی أساس تقییم المعادلات فیما بین العلم والدّین، المعادلات الّتی ترتکز علی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العقل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المقصود من العلم فی رأیه، أحد معنیین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العلم العمومی الّذی تشترک فیه الطّبیعة الموجودة العاقلة، والآخر العلم الاکتسابیّ الاستدلالیّ الّذی یأتی من خلال العلم العمومیّ والقواعد المنطقیّة الحاکمة علیه، سواء أمدّته التّجربة العامّة والتّجربة الخاصّة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الثّانی یمتیز بثلاث ممیّزات ترافقه وهی کونه محدوداً وتدریجیاً وعدم إمکان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إمکان العلم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الاکتسابی وغیر العمومی یکون غیر بدیهی وأنّ إمکان الخطأ وإمکان الصّدق من جهة رقابة العقل العمومی لا یتخلّی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طبیعة الدّین الّذی یأتی من العقل العمومی وجهاز الأخلاق، بغض النّظر عن الآراء المختلفة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لهذا المعنی، یکون الدّین عبارة عن نظام أصول الإیمان وقوانین العمل فی منطقة الاختیار، ومن هنا فإنّ نظام الأصول والقوانین هذا یقرّره الله ویبلّغه الموجودات المختارة عن طریق نوّابه المعاییر والمعصومین فی النّظام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فواقع الدّین فی عالم الإمکان له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 مرحلة نزول الدّین علی النّبیّ صلی الله علیه و آله وإیداعه لدی الأوصیاء علیهم السلام ؛ والمرحلة الثّانیة، مرحلة صدوره وإبلاغه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تکتسب الأصول والأحکام والقوانین والماهیّات التشریعیّة فعلیّتها بالنّسبة للموجودات المختارة؛ فعلیة تُعیّن علیهم ضرورة البحث عن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مرحلة الإبلاغ ینتقل الدّین بالطّریقین العمومیّ والاکتسابیّ إلی جهاز الإدراک الإنسانیّ وأنّ أیّ اکتشاف للأحکام وإستنباط للقواعد والوظائف العملیّة مأخوذ فی المرحلة الثّانیة من واقع الدّین وأنّ قانون ملازمة العقل والشّرع ملحوظ فی هذه المرحلة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لما مرّ، فقد اتّضح بأنّ الدّین فی مرتبته المحضة، یعنی مرحلة النزول والإبلاغ، منسجم ومترافق ومتلازم مع العلم فی المرتبة المحضة والبدیهیّة تلک؛ لأنّ</w:t>
      </w:r>
    </w:p>
    <w:p>
      <w:pPr>
        <w:pStyle w:val="BookText"/>
        <w:rPr/>
      </w:pPr>
      <w:r>
        <w:rPr>
          <w:rFonts w:ascii="IRNazanin" w:hAnsi="IRNazanin" w:eastAsia="IRNazanin"/>
          <w:color w:val="111111"/>
          <w:sz w:val="28"/>
          <w:sz w:val="28"/>
          <w:szCs w:val="28"/>
          <w:rtl w:val="true"/>
          <w:lang w:bidi="fa-IR"/>
        </w:rPr>
        <w:t>العلم فی مرحلة العقل البدیهی والعمومی یقتصر علی کشف وتصدیق القضایا البدیهیّة الصّدق وأنّ الدّین فی ذاته یقرّر ویشرّع القضایا الضروریّة الصّدق والأحکام والقوانین الضروریّة من حیث القانون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نقف وجهاً لوجه أمام أهمّ مسألة فی إشکالیّة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أیّ طریق وکیف وبأیّ وسیلة یمکن لعلمنا الاکتسابیّ الّذی یختصّ بجهاز العقل الخاصّ أن یقیم علاقة مع الدّین النازل من قبلِ الله وأن یکتشف حقیقته وإن کانت بصورة محدودة وتدریجیّة مع ما له من ممیّزات التدرّج والمحدودیّة وکونه ممکن الصدق؟ وبأیّ طریق وکیف وبأیّ معیار یمکنه اختبار إستنباطه؟ وکان جواب الاستاذ عابدی شاهرودی هو أنّ التلازم یحصل فی حال مطابقة العقل الخاص للواقع وأنّ الرأی الحاصل فیه یکون مطابقاً لرأی العقل البدیهی، ففی هذه الحالة فقط یکون ملازماً لرأی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فمعیار تعیین کونه مطابقاً أو غیر مطابق، وبعبارةٍ أخری، إنّ المعیار فی تقییم آراء العقل الخاصّ، هو العقل البدیهی والعمومی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فالعقل الخاصّ من جهة کونه عقلاً خاصّاً یبقی علی الدوام مشروطاً ومحدوداً ومع أنّه لا یوجد أدنی شک فی الجانب العلمی لاستدلالاته ونظریاته الاکتشافیّة، ولکنّ قیمته العلمیّة تقوم علی مدی اعتماده علی المصادر المستقلّة لجهاز الذّهن والمعرفة، یعنی کتاب الله وسُنة رسول الله صلی الله علیه و آله و الأوصیاء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یقوم العقل الخاص بمراجعة المصادر الدّینیّة فی استدلالاته الاکتشافیّة و إستنباطاته فحینئذ یتبلور العنصر المقوّم للعلم الدّینی ألاَ وهو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فالاجتهاد بشکله الواسع، عبارة عن استخراج التّعاریف أو المفاهیم، القضایا، الأصول، القوانین والأحکام من النّصوص الدّینیّة بحسب العناصر والمبانی والقواعد المستخرجة من تلک النّصوص وبحسب العناصر والضوابط المکتسبة من العقل البدیهی فی المرحلتین النّظریّة والأخلاقیّة وکذلک بحسب المکتشفین الآخرین الّذین أُمضوا أو قُرّروا أو ثُبّتوا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والقانون الحاکم علی الاجتهاد الّذی یوضع تحت ضابطة جامعة، عبارة عن أنّ نتیجة الاجتهاد، یعنی الآراء الإستنباطیّة ذاتها لها إمکانیّة المطابقة مع الواقع فقط ولیس ضرورة المطابقة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السّید عابدی إدامة لبحثه العلم الدّینی إلی قسمین خاصّ وعامّ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الدّینی الخاصّ، هو ذلک العلم الّذی یکون الدّین فیه من جهة أنّه دین، مسؤولاً عن تعلیمه وبیانه وثمّ ترویجه وتطبیقه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الدّینی العامّ مع أنّ الدّین من جهة کونه دیناً لا یکون مسؤولاً عن مراحل تعلیمه حتّی تطبیقه، ولکن من جهة أنّه یرید نقل الموجود العاقل إلی مراتب نفس الأمر ویجعله منسجماً مع النّظام الجمعیّ الإمکانیّ الأمثل، فهو یقوم بتعلیم هذا القسم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مقوّمات العلم الاجتهادی الخاصّ المتمثّلة بکتاب الله وسُنة المعصوم مرجعاً ومعیاراً لهذا العلم الدّینی وتؤدّی العناصر والقوانین الآلیّة، المحقِّقة لأصول الاجتهاد العام دور المنطق بالنّسبة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العلوم الاجتهادیّة الخاصّة یمکن الإشارة إلی العلم الإلهیّ الأخصّ، الکلام الإسلامی الخاصّ، الفلسفة الاسلامیّة الخاصّة، التّفسیر، الفقه وأصول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ویتمیّز العلم الدّینی العام بأنّه ممکن أوّلاً، ویمکن المبادرة إلی استخراجه من النّصوص الدّینیّة ومن ثمّ سوقه إلی مرحلة الإستنباط ضمن مراحل ثمانٍ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العلم مع أنّه من حیث الترکیبة یتماثل مع العلوم الأخری، إلّا أنّ خاصیّة وعمل العلم الناتج عن الدّین یتفاوت مع العلم الّذی یکون فیه 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العادی یحاول فقط الوصول إلی نتیجة تحقّق مطالبه، ولکن هذا العلم ذاته عندما یتّخذ صفة دینیّة، إضافة إلی کسب نتائج علمیّة، یحاول تحسین موقع الإنسان فی الانسجام مع النّظام الأمثل ویضعه علی جادّة سیره التکاملیّ للاتّصال بالعنایّة الإلهیّة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بیان مراحل نظریّة الاستاذ عابدی فی باب العلم الدّینی بهذا الشّکل الموجز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کون نظام طبیعة الدّین مکمّلاً لنظام عالم الممکن، ولهذا نُصّب الأدلاء المعاییر والمعصومین فی النّظام الإمکانیّ الأمثل من قِبل المبدأ العام، کما أنّ التّعاریف، المفاهیم والأصول البدیهیّة والعمومیّة تکون متحقّقة بالضرورة ویثبت من هذا الطّریق أسالیب المعاییر للنظام الاستدلالی والإستنباطی للعقل فی جهاز العقل علی الدوام ویأتی هذا من جهة أنّ نظام العقل هو أحد مراتب النّظام الأمثل أیضاً والّذی یقرّره واجب الوجود طبقاً لنظام عنایة الناحیة الربوبیّة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تثبیت أنّ طبیعة العقل وطبیعة الدّین کاشفة عن نفس الأمر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 قضایا العلوم البشریّة تکون منسجمة مع طبیعة العقل وکذلک مع طبیعة الدّین فیما إذا کانت 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أنّه وکما یکون من الممکن استخراج العلم من مصدر العقل والحس والتّجربة، فبالطّریقة ذاتها یمکن استخراج العلم من مصدر الدّین، لکن مادام العقل البشریّ محدوداً فی استخراج العلم من العقل والحس والتّجربة فکذلک یکون محدوداً فیما لو أراد استخراج العلم من مصدر الدّین وعلی الخصوص أنّ مصدر الدّین غیر متناهٍ وکذلک غیر محدود ونحن بفکرنا المحدود وجائز الخطأ قد وضعنا أنفسنا قبال اللّامحدود واللّامتناهی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تکون استخراجاتنا العلمیّة والدّینیّة إضافة إلی محدودیّتها تدریجیّة وممکنة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قد قُرّر علی شکل قانون؛ أنّ الطّریق الوحید لاستخراج العلم الدّینی هو طریق الاجتهاد، لکنّ طریق الاجتهاد له مقوّمات وضوابط تختبر جمیع النّظریّات الاجتهادیّة وتجعلها خاضعة لنظام استحالة النّقض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عملیّة اکتشافیّة، بمعنی أنّ طریق الاجتهاد ناظر إلی واقع فی الجهة الأخری من الاجتهاد الّذی یحاول الطّریق الاجتهادی کشفه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الاکتشاف شرطیّ، مع أنّ الاجتهاد تنجیزیّ ولیس شرطیّاً فمعنی کون الاکتشاف شرطیّاً هو أنّ القضیّة المستنبطة إذا کانت مطابقة للحقیقة الدّینیّة یکون للاکتشاف فعلیّة وإلّا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یندرج تحت ضابطة إمکان التخطئة، لکون الإمامیّة وکثیر من غیر الإمامیّة لا یقولون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فالتّصویب الأصیل هو بمعنی أن لا واقعیّة لما وراء الاجتهاد فی منطقة الأمور الظّنّیّة القابلة للاجتهاد، لکن لأنّ للقول بالتّصویب محذورات وعلی الخصوص أنّها تستلزم التّناقض، فمن هنا قال الإمامیّة وکثیر غیرهم بالتّخطئة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مذهب التّخطئة هو أنّ هناک واقعیّة لما وراء الاجتهاد قد قرّرها الشّرع فإذا استطاع الاجتهاد الوصول الیها یکون مصیباً وفی غیر هذه الحالة یکون مخطئاً، والمجتهد فی کلتا الحالّتین یکسب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صورة الخطأ یحصل علی أجر واحد فقط وفی حالة الإصابة یحصل علی أجرین</w:t>
      </w:r>
      <w:r>
        <w:rPr>
          <w:rFonts w:eastAsia="IRNazanin" w:cs="IRNazanin"/>
          <w:color w:val="111111"/>
          <w:sz w:val="28"/>
          <w:szCs w:val="28"/>
          <w:rtl w:val="true"/>
          <w:lang w:bidi="fa-IR"/>
        </w:rPr>
        <w:t>.</w:t>
      </w:r>
      <w:bookmarkStart w:id="136" w:name="pg5231_29751"/>
    </w:p>
    <w:p>
      <w:pPr>
        <w:pStyle w:val="Heading2"/>
        <w:numPr>
          <w:ilvl w:val="1"/>
          <w:numId w:val="1"/>
        </w:numPr>
        <w:rPr/>
      </w:pPr>
      <w:bookmarkStart w:id="137" w:name="__RefHeading___Toc283224_581953129"/>
      <w:bookmarkStart w:id="138" w:name="_Toc50"/>
      <w:bookmarkEnd w:id="136"/>
      <w:bookmarkEnd w:id="137"/>
      <w:r>
        <w:rPr>
          <w:rtl w:val="true"/>
        </w:rPr>
        <w:t>مراجعة لرأی الدّکتور مهدی کلشنی بخصوص العلم الدّینی</w:t>
      </w:r>
      <w:bookmarkEnd w:id="138"/>
    </w:p>
    <w:p>
      <w:pPr>
        <w:pStyle w:val="Heading3"/>
        <w:numPr>
          <w:ilvl w:val="2"/>
          <w:numId w:val="1"/>
        </w:numPr>
        <w:rPr/>
      </w:pPr>
      <w:bookmarkStart w:id="139" w:name="__RefHeading___Toc283226_581953129"/>
      <w:bookmarkStart w:id="140" w:name="_Toc51"/>
      <w:bookmarkEnd w:id="139"/>
      <w:r>
        <w:rPr>
          <w:rtl w:val="true"/>
        </w:rPr>
        <w:t>إشارة</w:t>
      </w:r>
      <w:bookmarkEnd w:id="140"/>
    </w:p>
    <w:p>
      <w:pPr>
        <w:pStyle w:val="BookText"/>
        <w:rPr/>
      </w:pPr>
      <w:r>
        <w:rPr>
          <w:rFonts w:ascii="IRNazanin" w:hAnsi="IRNazanin" w:eastAsia="IRNazanin"/>
          <w:color w:val="111111"/>
          <w:sz w:val="28"/>
          <w:sz w:val="28"/>
          <w:szCs w:val="28"/>
          <w:rtl w:val="true"/>
          <w:lang w:bidi="fa-IR"/>
        </w:rPr>
        <w:t xml:space="preserve">یعدّ الدّکتور مهدی کلشنی </w:t>
      </w:r>
      <w:r>
        <w:rPr>
          <w:rStyle w:val="FootnoteAnchor"/>
          <w:rtl w:val="true"/>
        </w:rPr>
        <w:footnoteReference w:id="28"/>
      </w:r>
      <w:r>
        <w:rPr>
          <w:rFonts w:ascii="IRNazanin" w:hAnsi="IRNazanin" w:eastAsia="IRNazanin"/>
          <w:color w:val="111111"/>
          <w:sz w:val="28"/>
          <w:sz w:val="28"/>
          <w:szCs w:val="28"/>
          <w:rtl w:val="true"/>
          <w:lang w:bidi="fa-IR"/>
        </w:rPr>
        <w:t xml:space="preserve">من المعتقدین بإمکانیّة ومطلوبیّة العلم الدّینی، وقد بیّن القسم الأعظم من فی هذا المجال وذلک فی أحد فصول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العلمانی إلی العلم الدّینی</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وبالطّبع فإنّ الفهم الأدقّ لرأی السّید کلشنی فی هذا المجال یستلزم مراجعة الأقسام الأخری من کتابه وکذلک کتب القرآن والعلوم الطّبیعیّة وتحلیل الآراء الفلسفیّة للفیزیائیّین المعاصرین، وکذلک مقالاته ومحاوراته ومن 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لما وراء العلم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والعلوم الحدیثة؛ تفاهم أم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للعلم الدّینی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وستترکّز نظرتنا بشکل أساسی فی هذا الاستعراض علی أوّل آثاره المذکورة ولا نشیر إلی آثاره الأخری إلّا فی موارد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ونتطرّق الآن بصورة إجمالیّة إلی رأی السّید کلشنی فی مجال العلم الدّینی</w:t>
      </w:r>
      <w:r>
        <w:rPr>
          <w:rFonts w:eastAsia="IRNazanin" w:cs="IRNazanin"/>
          <w:color w:val="111111"/>
          <w:sz w:val="28"/>
          <w:szCs w:val="28"/>
          <w:rtl w:val="true"/>
          <w:lang w:bidi="fa-IR"/>
        </w:rPr>
        <w:t>:</w:t>
      </w:r>
    </w:p>
    <w:p>
      <w:pPr>
        <w:pStyle w:val="Heading3"/>
        <w:numPr>
          <w:ilvl w:val="2"/>
          <w:numId w:val="1"/>
        </w:numPr>
        <w:rPr/>
      </w:pPr>
      <w:bookmarkStart w:id="141" w:name="__RefHeading___Toc283228_581953129"/>
      <w:bookmarkStart w:id="142" w:name="_Toc52"/>
      <w:bookmarkEnd w:id="141"/>
      <w:r>
        <w:rPr>
          <w:rtl w:val="true"/>
        </w:rPr>
        <w:t>سابقة البحث فی العلم الدّینی</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تمتدّ سابقة عرض مسألة العلم الدّینی إلی زمن أبعد من الثّورة الإسلامیّة وکانت موضوعاً معروفاً فی دائرة أوسع من إیران والعالم الإسلامی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 المرحوم أبوالأعلی</w:t>
      </w:r>
    </w:p>
    <w:p>
      <w:pPr>
        <w:pStyle w:val="BookText"/>
        <w:rPr/>
      </w:pPr>
      <w:r>
        <w:rPr>
          <w:rFonts w:ascii="IRNazanin" w:hAnsi="IRNazanin" w:eastAsia="IRNazanin"/>
          <w:color w:val="111111"/>
          <w:sz w:val="28"/>
          <w:sz w:val="28"/>
          <w:szCs w:val="28"/>
          <w:rtl w:val="true"/>
          <w:lang w:bidi="fa-IR"/>
        </w:rPr>
        <w:t xml:space="preserve">المودودی مسألة تأسیس الجامعة الإسلامیّة وکذلک مسألة أسلمة الجامعات قبل حدود سبعین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الثلاثینیات من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الأعوام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وأقیمت عدّة مؤتمرات دولیّة فی مجال التّعلیم والتربیة الإسلامیّة فی دول کالسعودیّة، الباکستان، مالیزیا وغیرها وقد تمّ فیها بحث ودراسة أسلمة الفروع العلمیّة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أُسّست فی هذه الحقبة جامعات إسلامیّة دولیّة وأُصدرت مجلّات علمیّة فی مجال العلم الإسلامی فی دول مختلفة أمثال الهند، امریکا، انجلترا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العالم المسیحی فقد طُرحت هذه المسألة بقوّة فی العقود الثلاثة الأخیرة حتّی وصلت مرحلة إقامة عدّة مؤتمرات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اصطلاح </w:t>
      </w:r>
      <w:r>
        <w:rPr>
          <w:rFonts w:eastAsia="Times New Roman" w:cs="Times New Roman" w:ascii="Times New Roman" w:hAnsi="Times New Roman"/>
          <w:color w:val="111111"/>
          <w:sz w:val="28"/>
          <w:szCs w:val="28"/>
          <w:lang w:val="en-US" w:bidi="en-US"/>
        </w:rPr>
        <w:t>Theistic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معتاداً فی المحافل العلمیّة والثّقافیة الغربیّة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واجهت مسألة العلم الدّینی فی إیران، معارضة منذ بدایة طرحها؛ وکان لهذه المعارضة سببان رئیسان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 یتمثّل فی عرض تعابیر غیر صحیحة عن العلم الدّینی تتعارض تعارضاً تاماً مع أهداف واضعی هذه الفکرة وأتباعها الأساسیّین؛ وکانت مخالفة بعض الباحثین لطرح مسألة العلم الدّینی ترتبط فی الحقیقة بهذاه التّعابیر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الإشارة إلی بعض التّعابیر غیر الصّحیحة الّتی طُرحت فی مجال العلم 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المقصود من العلم الإسلامی، هو العلم الّذی تأسّس واتّسع فی أجواء الثّقافیة والحضارة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المقصود من العلم الدّینی والإسلامی العلم الّذی یهدف إلی بیان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فتدرج علوم أمثال الفقه، الکلام والتّفسیر تحت العلم الدّینی حسب هذا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البعض أیضاً إنّه لیس من المهمّ من أین ینشأ العلم؛ فإذا فُسّرت المسائل العلمیّة فی إطار الرّؤیة الکونیّة الإسلامیّة، یمکن عدّها علوماً 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البعض أیضاً إنّ مقصود واضعیّ العلم الدّینی هو أنّ البحوث العلمیّة تتمّ بصورة حدیثة ولأجل القیام بالبحوث الفیزیائیّة، الکیمیائیّة والأحیائیة مثلاً یتمّ الرّجوع إلی القرآن والحدیث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واعتقد البعض الآخر أنّ العلم الإسلامی، یؤکّد علی الکشف عن المعجزات العلمیّة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البعض کذلک بأنّ العلم الإسلامی، نحّی جانباً المکاسب العلمیّة العظیمة فی القرون الماضیة بأبعادها النّظریّة والعلمیّة، ورحّب بالخطوات العلمیّة الّتی تتمّ بأسالیب ما قبل ألف عام</w:t>
      </w:r>
      <w:r>
        <w:rPr>
          <w:rFonts w:eastAsia="IRNazanin" w:cs="IRNazanin"/>
          <w:color w:val="111111"/>
          <w:sz w:val="28"/>
          <w:szCs w:val="28"/>
          <w:rtl w:val="true"/>
          <w:lang w:bidi="fa-IR"/>
        </w:rPr>
        <w:t>.</w:t>
      </w:r>
      <w:bookmarkStart w:id="143" w:name="pg5231_29753"/>
    </w:p>
    <w:p>
      <w:pPr>
        <w:pStyle w:val="BookText"/>
        <w:rPr/>
      </w:pPr>
      <w:bookmarkEnd w:id="143"/>
      <w:r>
        <w:rPr>
          <w:rFonts w:ascii="IRNazanin" w:hAnsi="IRNazanin" w:eastAsia="IRNazanin"/>
          <w:color w:val="111111"/>
          <w:sz w:val="28"/>
          <w:sz w:val="28"/>
          <w:szCs w:val="28"/>
          <w:rtl w:val="true"/>
          <w:lang w:bidi="fa-IR"/>
        </w:rPr>
        <w:t xml:space="preserve">أمّا السّبب الآخر لمخالفة العلم الدّینی والإسلامی فقد کان یتمثّل بالاعتقاد بعدم إمکان تحقّق هذا المشروع من جهة العلم المعرّفی والمیثولوجیا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کانت ترتکز مخالفتهم لهذا المشروع علی بُعد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الفئة تعتقد بأنّ العلم والدّین مستقلان عن بعضهما من الأساس ولا یؤثّر أحدهما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له أسلوبه الخاصّ الّذی یتمثّل بالتّجربة والتّنظیر وتطبیق التّجربة مع احتمالات النّظریّة وعلی هذا الأساس، فلا وجود للعلم، الشّرقی، الغربی، الدّینی وغیر الدّینی</w:t>
      </w:r>
      <w:r>
        <w:rPr>
          <w:rFonts w:eastAsia="IRNazanin" w:cs="IRNazanin"/>
          <w:color w:val="111111"/>
          <w:sz w:val="28"/>
          <w:szCs w:val="28"/>
          <w:rtl w:val="true"/>
          <w:lang w:bidi="fa-IR"/>
        </w:rPr>
        <w:t>.</w:t>
      </w:r>
    </w:p>
    <w:p>
      <w:pPr>
        <w:pStyle w:val="Heading3"/>
        <w:numPr>
          <w:ilvl w:val="2"/>
          <w:numId w:val="1"/>
        </w:numPr>
        <w:rPr/>
      </w:pPr>
      <w:bookmarkStart w:id="144" w:name="__RefHeading___Toc283230_581953129"/>
      <w:bookmarkStart w:id="145" w:name="_Toc53"/>
      <w:bookmarkEnd w:id="144"/>
      <w:r>
        <w:rPr>
          <w:rtl w:val="true"/>
        </w:rPr>
        <w:t>نقد وتقیّیم إجمالی لآراء المعارضین</w:t>
      </w:r>
      <w:bookmarkEnd w:id="145"/>
    </w:p>
    <w:p>
      <w:pPr>
        <w:pStyle w:val="BookText"/>
        <w:rPr/>
      </w:pPr>
      <w:r>
        <w:rPr>
          <w:rFonts w:ascii="IRNazanin" w:hAnsi="IRNazanin" w:eastAsia="IRNazanin"/>
          <w:color w:val="111111"/>
          <w:sz w:val="28"/>
          <w:sz w:val="28"/>
          <w:szCs w:val="28"/>
          <w:rtl w:val="true"/>
          <w:lang w:bidi="fa-IR"/>
        </w:rPr>
        <w:t>إنّ سبب عدم صحّة التّعابیر والتّعاریف المذکورة فی مجال ماهیة العلم الدّینی هو أنّها حدّدت العلم الإسلامی بالمعارف الدّینیة الخاصّة، مثل الفقه والتّفسیر والکلام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تعتبر نظرة ضیّقة جدّاً لا تتطابق والمعارف القرآنیّة والسُّنة الإسلامیّة هذا أوّلاً؛</w:t>
      </w:r>
    </w:p>
    <w:p>
      <w:pPr>
        <w:pStyle w:val="BookText"/>
        <w:rPr/>
      </w:pPr>
      <w:r>
        <w:rPr>
          <w:rFonts w:ascii="IRNazanin" w:hAnsi="IRNazanin" w:eastAsia="IRNazanin"/>
          <w:color w:val="111111"/>
          <w:sz w:val="28"/>
          <w:sz w:val="28"/>
          <w:szCs w:val="28"/>
          <w:rtl w:val="true"/>
          <w:lang w:bidi="fa-IR"/>
        </w:rPr>
        <w:t>ثانیاً إنّ غضّ النّظر عن المکاسب العلمیّة فی القرون القلیلة الماضیة غیر ممکن وغیر محبّذ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إنّ الإسلام لا یصرّح لنا بجزئیّات العلوم، فهذا أمر یلقی علی عواتقنا فی أن نسعی ونتأمّل فی ما یجری فی عالم الطّبیعة والنّاس لنکتشف القوانین الّتی تحکمه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مجال الاتّجاه الثّانی، یعنی نفی إمکان العلم الدّینی بناءً علی المتبنیات الفلسفیّة فی دوائر العلم المعرفی والمیثولوجیا فینبغی القول إنّ هذه الاستنتاجات حول العلم والدّین والعلم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ناجمة عن تضییق معنی الدّین والغفلة عن تناهیات العلم وناجمة کذلک عن القول بعینیّة جمیع تلک الأشیاء الّتی تُعلَّم باسم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الّذین لیس لهم ارتباط مباشر بالعلم أو غیر القائمین علیه، یعتقدون بأنّ کلّ ما جاء فی الکتب العلمیّة أو تحدّث عنه العلماء هو مکتشفات علمیّة واقعیّة وأنّها أمور قطعیّة، ویغفلون عن الدّور الّذی قامت وتقوم به الأیدیولوجیات والاتّجاهات الفلسفیّة فی البحث العلمی وفی تفسیر المعطیّات التّجربیّة</w:t>
      </w:r>
      <w:r>
        <w:rPr>
          <w:rFonts w:eastAsia="IRNazanin" w:cs="IRNazanin"/>
          <w:color w:val="111111"/>
          <w:sz w:val="28"/>
          <w:szCs w:val="28"/>
          <w:rtl w:val="true"/>
          <w:lang w:bidi="fa-IR"/>
        </w:rPr>
        <w:t>.</w:t>
      </w:r>
    </w:p>
    <w:p>
      <w:pPr>
        <w:pStyle w:val="Heading3"/>
        <w:numPr>
          <w:ilvl w:val="2"/>
          <w:numId w:val="1"/>
        </w:numPr>
        <w:rPr/>
      </w:pPr>
      <w:bookmarkStart w:id="146" w:name="__RefHeading___Toc283232_581953129"/>
      <w:bookmarkStart w:id="147" w:name="_Toc54"/>
      <w:bookmarkEnd w:id="146"/>
      <w:r>
        <w:rPr>
          <w:rtl w:val="true"/>
        </w:rPr>
        <w:t>الاستیعاب الصّحیح للعلم الدّینی</w:t>
      </w:r>
      <w:bookmarkEnd w:id="1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الفهم الصّحیح للعلم الدّینی والّذی له أتباع کثر فی العالم الإسلامی وأیضاً فی أوساط العلماء المسیحیین، هو ذلک العلم الّذی یتابع مطالعة الطّبیعة فی إطار المیتافیزیّة</w:t>
      </w:r>
      <w:bookmarkStart w:id="148" w:name="pg5231_29754"/>
    </w:p>
    <w:p>
      <w:pPr>
        <w:pStyle w:val="BookText"/>
        <w:rPr/>
      </w:pPr>
      <w:bookmarkEnd w:id="148"/>
      <w:r>
        <w:rPr>
          <w:rFonts w:ascii="IRNazanin" w:hAnsi="IRNazanin" w:eastAsia="IRNazanin"/>
          <w:color w:val="111111"/>
          <w:sz w:val="28"/>
          <w:sz w:val="28"/>
          <w:szCs w:val="28"/>
          <w:rtl w:val="true"/>
          <w:lang w:bidi="fa-IR"/>
        </w:rPr>
        <w:t>الدّینیة وینظر إلی عموم القضایا فی إطار الرّؤیة الکونیّة الدّینیّة؛ علماً یکون مؤثّراً فی معرفة الله وتأمین الحاجات المشروعة الشّخصیّة والإجتماعیّة للمجتمع الإسلامیّ الملتزم، وأخیراً فإنّ العلم الدّینی، هو ذلک العلم الّذی یسعی إلی تحکیم الرّؤیة الإلهیّة فی العالم من خلال إغناء وتطویر العلم الجدید محترزاً ومبتعداً عن آفاته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فیکون التّفسیر الأوّل، کاشفاً عن انسجام وتلاؤم القضایا العلمیّة مع القضایا الدّینیّة والفلسفیّة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الثّانی، مبیّناً لأهداف وغایات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الثّالث، مؤشّراً علی دور الرّؤیة العالمیّة الإلهیّة لتوجیه میادین الفعّالیّات العلمیّة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سیتمرکز بحثنا الآتی حول تحدید أقسام الفعّالیّات العلمیّة الّتی تتدخّل فیها القیم والرّؤی الدّینیّة والفلسفیّة، وبعبارةٍ أخری، ما هی میادین الفعّالیّات العلمیّة الّتی یمکن أن تتّصف بکونها دینیّة أو علمانیّة؟</w:t>
      </w:r>
    </w:p>
    <w:p>
      <w:pPr>
        <w:pStyle w:val="Heading3"/>
        <w:numPr>
          <w:ilvl w:val="2"/>
          <w:numId w:val="1"/>
        </w:numPr>
        <w:rPr/>
      </w:pPr>
      <w:bookmarkStart w:id="149" w:name="__RefHeading___Toc283234_581953129"/>
      <w:bookmarkStart w:id="150" w:name="_Toc55"/>
      <w:bookmarkEnd w:id="149"/>
      <w:r>
        <w:rPr>
          <w:rtl w:val="true"/>
        </w:rPr>
        <w:t>تأثیر الاتّجاهات الدّینیة والفلسفیّة للعلماء علی الفعّالیّات العلمیّة</w:t>
      </w:r>
      <w:bookmarkEnd w:id="150"/>
    </w:p>
    <w:p>
      <w:pPr>
        <w:pStyle w:val="Heading4"/>
        <w:numPr>
          <w:ilvl w:val="3"/>
          <w:numId w:val="1"/>
        </w:numPr>
        <w:rPr/>
      </w:pPr>
      <w:bookmarkStart w:id="151" w:name="__RefHeading___Toc283236_581953129"/>
      <w:bookmarkStart w:id="152" w:name="_Toc56"/>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لقد جذب تأثیر عوامل علم النّفس والاجتماع فی تبلور وتفسیر و ترویج النّظریّات العلمیّة أنظار علماء کثیرین فی العقود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أمثال باحثی مدرسة ادینبره، حکموا وبشکل مفرط بالتّأثیر التامّ لهذه العوامل فی کافّة مراحل تکوین وتفسیر وترویج النّظریّات، واعتقدوا بأنّ المعرفة بشکل عام تخضع للظروف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اتّخذوا جانباً تفریطیّاً فأنکروا بصورة عامّة تأثیر هذه العوامل فی تبلور وتفسیر وترویج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البعض أیضاً تأثیر عوامل علم النّفس والاجتماع فی بعض مراحل الفعّالیّات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سبیل المثال، ادّعی البعض أنّ العوامل النّفسیّة تلعب دوراً أکبر فی تبلور وتفسیر النّظریّات، وأنّ العوامل الإجتماعیّة تلعب دوراً أساسیّاً فی قبولها وانتشارها</w:t>
      </w:r>
      <w:r>
        <w:rPr>
          <w:rFonts w:eastAsia="IRNazanin" w:cs="IRNazanin"/>
          <w:color w:val="111111"/>
          <w:sz w:val="28"/>
          <w:szCs w:val="28"/>
          <w:rtl w:val="true"/>
          <w:lang w:bidi="fa-IR"/>
        </w:rPr>
        <w:t>.</w:t>
      </w:r>
    </w:p>
    <w:p>
      <w:pPr>
        <w:pStyle w:val="Heading4"/>
        <w:numPr>
          <w:ilvl w:val="3"/>
          <w:numId w:val="1"/>
        </w:numPr>
        <w:rPr/>
      </w:pPr>
      <w:bookmarkStart w:id="153" w:name="__RefHeading___Toc283238_581953129"/>
      <w:bookmarkStart w:id="154" w:name="_Toc57"/>
      <w:bookmarkEnd w:id="153"/>
      <w:r>
        <w:rPr>
          <w:rtl w:val="true"/>
        </w:rPr>
        <w:t>أ</w:t>
      </w:r>
      <w:r>
        <w:rPr>
          <w:rtl w:val="true"/>
        </w:rPr>
        <w:t xml:space="preserve">) </w:t>
      </w:r>
      <w:r>
        <w:rPr>
          <w:rtl w:val="true"/>
        </w:rPr>
        <w:t>بواعث العلماء للقیام بالفعّالیّات العلمیّة واختیار المسائل</w:t>
      </w:r>
      <w:bookmarkEnd w:id="1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الدواعی الّتی تدفع العلماء باتّجاه ممارسة الفعّالیّات العلمیة؟ وما هی الأهداف الّتی تجعل من المسألة مورد البحث تروق لهم؟ إنّ بواعث العلماء، مقولة ترتبط بنفسیّة الأفراد ومن الممکن أن تکون علی شکل بواعث دینیّة أو فلسفیّة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یمکن الإشارة إلی هذه النکتة</w:t>
      </w:r>
      <w:bookmarkStart w:id="155" w:name="pg5231_29755"/>
    </w:p>
    <w:p>
      <w:pPr>
        <w:pStyle w:val="BookText"/>
        <w:rPr/>
      </w:pPr>
      <w:bookmarkEnd w:id="155"/>
      <w:r>
        <w:rPr>
          <w:rFonts w:ascii="IRNazanin" w:hAnsi="IRNazanin" w:eastAsia="IRNazanin"/>
          <w:color w:val="111111"/>
          <w:sz w:val="28"/>
          <w:sz w:val="28"/>
          <w:szCs w:val="28"/>
          <w:rtl w:val="true"/>
          <w:lang w:bidi="fa-IR"/>
        </w:rPr>
        <w:t>وهی أنّ العلماء الکبار کانوا علی الدوام یحاولون الکشف عن أبعاد عالم الطّبیعة ویسعون لتعمیم استنتاجاتهم المحدودة، وعرض نظریّات ذات شمولیّة عالمیّة، نظریّات أبعد بکثیر من الدائرة الّتی تنالها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المجالات تبدو آثار اتّجاهاتهم الدّینیّة والفلسفیّة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فالعلماء المنبعثون دینیّاً یحاولون إثبات نظریّات معیّنة والعلماء المنبعثون لادینیّاً یحاولون إثبات نظریّات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ففی مسألة وحدة قوی الطّبیعة الّتی تعدّ من أهمِّ مسائل الفیزیاء النّظریّة المعاصرة، نال ثلاثة منظّرین فیزیائیّین عبد السلام، واینبرغ وغلاشکو جائزة نوبل بالاشتراک معاً وذلک فی مجال وحدة قوّتین ذریّة والکترو مغناطیسیّة ضعیفتین، لکن کانت دواعی کلٍّ منهم فی متابعة مسألة وحدة القوی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رأی عبدالسلام، أنّ وحدة قوی الطّبیعة دلیل علی وحدة التّدبیر وفی النهایة وحدة المدبِّر وکانت جذابیة هذه النّظریّة بالنّسبة له هی خصوص 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غلاشکو فإنّ ما کان یروق له هو فائدة وحدة القوی فی العمل، لکنّ واینبرغ وبسبب صیرورة القضایا الّتی یتابعها بسیطة، ففی رأیه أنّ العالم سیکون مجرّد نقاط متناثرة ومبعثرة لو لم تکن القضایا کذلک</w:t>
      </w:r>
      <w:r>
        <w:rPr>
          <w:rFonts w:eastAsia="IRNazanin" w:cs="IRNazanin"/>
          <w:color w:val="111111"/>
          <w:sz w:val="28"/>
          <w:szCs w:val="28"/>
          <w:rtl w:val="true"/>
          <w:lang w:bidi="fa-IR"/>
        </w:rPr>
        <w:t>.</w:t>
      </w:r>
    </w:p>
    <w:p>
      <w:pPr>
        <w:pStyle w:val="Heading4"/>
        <w:numPr>
          <w:ilvl w:val="3"/>
          <w:numId w:val="1"/>
        </w:numPr>
        <w:rPr/>
      </w:pPr>
      <w:bookmarkStart w:id="156" w:name="__RefHeading___Toc283240_581953129"/>
      <w:bookmarkStart w:id="157" w:name="_Toc58"/>
      <w:bookmarkEnd w:id="156"/>
      <w:r>
        <w:rPr>
          <w:rtl w:val="true"/>
        </w:rPr>
        <w:t>ب</w:t>
      </w:r>
      <w:r>
        <w:rPr>
          <w:rtl w:val="true"/>
        </w:rPr>
        <w:t xml:space="preserve">) </w:t>
      </w:r>
      <w:r>
        <w:rPr>
          <w:rtl w:val="true"/>
        </w:rPr>
        <w:t>دور مقدّمات العلماء فی الفعّالیّات العلمیّة</w:t>
      </w:r>
      <w:bookmarkEnd w:id="157"/>
    </w:p>
    <w:p>
      <w:pPr>
        <w:pStyle w:val="BookText"/>
        <w:rPr/>
      </w:pPr>
      <w:r>
        <w:rPr>
          <w:rFonts w:ascii="IRNazanin" w:hAnsi="IRNazanin" w:eastAsia="IRNazanin"/>
          <w:color w:val="111111"/>
          <w:sz w:val="28"/>
          <w:sz w:val="28"/>
          <w:szCs w:val="28"/>
          <w:rtl w:val="true"/>
          <w:lang w:bidi="fa-IR"/>
        </w:rPr>
        <w:t>یعدّ دور مقدّمات العلماء فی تحرّیاتهم العلمیّة؛ من الأمور الّتی یمکن ملاحظة تأثیرها فی مجالات کثیرة ولعلّ من أبسطها کون الطّبیعة ممکنة الفهم من قبل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الفکرة لا یمکن إثباتها بالتّجربة؛ ومن هنا فإنّ بعض العلماء کانشتاین اعتقدوا أنّ فکرة کون الطّبیعة قابلة للفهم هی فکرة مقتبسة من دائرة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آندریه لینده، عالم الکوزموغرافیا الروسی البارز والمعاصر علی رغم کونه ملحداً ویعتقد بأنّ العالم یتوالد ذاتیّاً، یری بأنّ فکرة البحث عن نظریّة شمولیّة فی الفیزیاء الحدیثة، ناشئة من الاعتقاد بإله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الکوزموغرافیا الحدیثة بجمیع أبعادها متأثّرة بالسُّنة التّوحیدیّة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الفکرة الّتی من الممکن أن تُفهمنا نهایة کلّ شیء فی العالم من خلال نظریّة، ناشئة من الاعتقاد بالله الواحد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إلی المقدّمات، کمقدّمة قابلیّة فهم الطّبیعة، الّتی تُستخدم فی جمیع العلوم، فإنّ لکلّ علم مقدّمات بحسب ما یناسبه أیضاً، وکمثال علی ذلک فإنّ بعض المقدّمات</w:t>
      </w:r>
      <w:bookmarkStart w:id="158" w:name="pg5231_29756"/>
    </w:p>
    <w:p>
      <w:pPr>
        <w:pStyle w:val="BookText"/>
        <w:rPr/>
      </w:pPr>
      <w:bookmarkEnd w:id="158"/>
      <w:r>
        <w:rPr>
          <w:rFonts w:ascii="IRNazanin" w:hAnsi="IRNazanin" w:eastAsia="IRNazanin"/>
          <w:color w:val="111111"/>
          <w:sz w:val="28"/>
          <w:sz w:val="28"/>
          <w:szCs w:val="28"/>
          <w:rtl w:val="true"/>
          <w:lang w:bidi="fa-IR"/>
        </w:rPr>
        <w:t>المستخدمة فی الکوزموغرافیا المتداولة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الفیزیاء المحلّیة معتبرة فی جمیع الأزمنة والأمکنة؛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موقعنا فی العالم لیس موقعاً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الکوزموغرافیا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للعالم أن یکون متّصلاً فضائیّاً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زمانیّاً بأبعاد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الانتقال إلی النّور الأحمر والبراکین هو فی الأساس ناجم عن تمدّد العالم</w:t>
      </w:r>
      <w:r>
        <w:rPr>
          <w:rFonts w:eastAsia="IRNazanin" w:cs="IRNazanin"/>
          <w:color w:val="111111"/>
          <w:sz w:val="28"/>
          <w:szCs w:val="28"/>
          <w:rtl w:val="true"/>
          <w:lang w:bidi="fa-IR"/>
        </w:rPr>
        <w:t>.</w:t>
      </w:r>
    </w:p>
    <w:p>
      <w:pPr>
        <w:pStyle w:val="Heading4"/>
        <w:numPr>
          <w:ilvl w:val="3"/>
          <w:numId w:val="1"/>
        </w:numPr>
        <w:rPr/>
      </w:pPr>
      <w:bookmarkStart w:id="159" w:name="__RefHeading___Toc283242_581953129"/>
      <w:bookmarkStart w:id="160" w:name="_Toc59"/>
      <w:bookmarkEnd w:id="159"/>
      <w:r>
        <w:rPr>
          <w:rtl w:val="true"/>
        </w:rPr>
        <w:t>ج</w:t>
      </w:r>
      <w:r>
        <w:rPr>
          <w:rtl w:val="true"/>
        </w:rPr>
        <w:t xml:space="preserve">) </w:t>
      </w:r>
      <w:r>
        <w:rPr>
          <w:rtl w:val="true"/>
        </w:rPr>
        <w:t>دور وأثر مقدّمات العلماء فی اختیار التّجربة والکشوفات</w:t>
      </w:r>
      <w:bookmarkEnd w:id="160"/>
    </w:p>
    <w:p>
      <w:pPr>
        <w:pStyle w:val="BookText"/>
        <w:rPr/>
      </w:pPr>
      <w:r>
        <w:rPr>
          <w:rFonts w:ascii="IRNazanin" w:hAnsi="IRNazanin" w:eastAsia="IRNazanin"/>
          <w:color w:val="111111"/>
          <w:sz w:val="28"/>
          <w:sz w:val="28"/>
          <w:szCs w:val="28"/>
          <w:rtl w:val="true"/>
          <w:lang w:bidi="fa-IR"/>
        </w:rPr>
        <w:t>إنّ العلوم التّجربیّة تبتدأ من خلال التّجربة والکشوفات والاستطلاعات بمتابعة المصادیق وتُحدث مقدّمات الباحث أثرها فی انتخاب التّجربة والکشوفات تلک، فعلی سبیل المثال، إذا کان هناک عالِم مخالف لفکرة ما بناءً علی آرائه الفلسفیّة فإنّه سوف یحجم عن تخصیص میزانیّة لتأسیس المختبرات اللازمة وإجراء المقدّمات للقیام بالتجارب المتعلّقة بإثبات نظریّة ما، وبذلک یحول دون الدّراسة العلمیّة لنظریّات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نری هایزنبرغ ونظراً لآرائه الفلسفیّة المخالفة لفکرة قبول الأشیاء الذریّة للتجزئة غیر المحدودة قد اعترض علی صنع أجهزة طرد قویّة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الممکن أن یستفاد من هذه الأجهزة کمختبر لدراسة بعض النّظریّات الفیزیائیّة الذریّة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أقدم علیه هایزنبرغ أدّی إلی تأخیر البحوث علی مدی أعوام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الالتفات بالطّبع إلی أنّ قابلیّة تأثیر هذا المجال من الفعّالیّات العلمیّة کان قلیلاً حسب الآراء القِیمیّة والفکریة للعلماء، ومن الممکن أنّ یکون ذلک الشّیء الّذی یقوم به أو یشاهده الباحث فی المختبر؛ واحداً فی جمیع العالم ولا یختلف فی مکان عنه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القبول بهذا الأمر یستلزم اتّخاذ اتّجاه علمیّ واقعیّ</w:t>
      </w:r>
      <w:r>
        <w:rPr>
          <w:rFonts w:eastAsia="IRNazanin" w:cs="IRNazanin"/>
          <w:color w:val="111111"/>
          <w:sz w:val="28"/>
          <w:szCs w:val="28"/>
          <w:rtl w:val="true"/>
          <w:lang w:bidi="fa-IR"/>
        </w:rPr>
        <w:t>.</w:t>
      </w:r>
    </w:p>
    <w:p>
      <w:pPr>
        <w:pStyle w:val="Heading4"/>
        <w:numPr>
          <w:ilvl w:val="3"/>
          <w:numId w:val="1"/>
        </w:numPr>
        <w:rPr/>
      </w:pPr>
      <w:bookmarkStart w:id="161" w:name="__RefHeading___Toc283244_581953129"/>
      <w:bookmarkStart w:id="162" w:name="_Toc60"/>
      <w:bookmarkEnd w:id="161"/>
      <w:r>
        <w:rPr>
          <w:rtl w:val="true"/>
        </w:rPr>
        <w:t>د</w:t>
      </w:r>
      <w:r>
        <w:rPr>
          <w:rtl w:val="true"/>
        </w:rPr>
        <w:t xml:space="preserve">) </w:t>
      </w:r>
      <w:r>
        <w:rPr>
          <w:rtl w:val="true"/>
        </w:rPr>
        <w:t>دور مقدّمات العلماء فی التّنظیر العلمی</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أثبتت تجارب الأعوام الأخیرة تأثیر العقائد الدّینیّة فی اقتراح النّظریّات العلمیّة وأنّ الرّؤیة الکونیّة للعلماء بمثابة موجّه لهم فی عملیّة 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فکنموذج علی ذلک نری هویل، الفیزیائی الفلکی المعاصر البارز، الّذی یعدّ من مؤسّسی نظریّة العالم الخالد فی الکوزموغرافیا یسعی کلّما طرحت شواهد تجربیّة تدلّ علی تأیید نظریّة الانفجار الکبیر فإنّه یتهرّب إلی نظریات بدیلة وتفسیرات أخری لها وذلک للفرار من التّسلیم بنتیجة ذلک، لأنّه یعلم بأنّ وجود بدایة</w:t>
      </w:r>
      <w:bookmarkStart w:id="163" w:name="pg5231_29757"/>
    </w:p>
    <w:p>
      <w:pPr>
        <w:pStyle w:val="BookText"/>
        <w:rPr/>
      </w:pPr>
      <w:bookmarkEnd w:id="163"/>
      <w:r>
        <w:rPr>
          <w:rFonts w:ascii="IRNazanin" w:hAnsi="IRNazanin" w:eastAsia="IRNazanin"/>
          <w:color w:val="111111"/>
          <w:sz w:val="28"/>
          <w:sz w:val="28"/>
          <w:szCs w:val="28"/>
          <w:rtl w:val="true"/>
          <w:lang w:bidi="fa-IR"/>
        </w:rPr>
        <w:t>زمانیّة للعالم یستلزم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هاکینغ، عالم الکوزموغرافیا الانجلیزی الشهیر، الّذی کان ملتفتاً إلی أنّ وجود بدایة للعالم یستلزم وجود الله، ولأنّه لا یرید أن یستسلم لهذه النّتیجة، فقد سعی من خلال بعض الحیل کالاستفادة من الزّمان الموهوم لنفی وجود تقنیة فی خلق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بدایة زمانیّة للعالم</w:t>
      </w:r>
      <w:r>
        <w:rPr>
          <w:rFonts w:eastAsia="IRNazanin" w:cs="IRNazanin"/>
          <w:color w:val="111111"/>
          <w:sz w:val="28"/>
          <w:szCs w:val="28"/>
          <w:rtl w:val="true"/>
          <w:lang w:bidi="fa-IR"/>
        </w:rPr>
        <w:t>).</w:t>
      </w:r>
    </w:p>
    <w:p>
      <w:pPr>
        <w:pStyle w:val="Heading4"/>
        <w:numPr>
          <w:ilvl w:val="3"/>
          <w:numId w:val="1"/>
        </w:numPr>
        <w:rPr/>
      </w:pPr>
      <w:bookmarkStart w:id="164" w:name="__RefHeading___Toc283246_581953129"/>
      <w:bookmarkStart w:id="165" w:name="_Toc61"/>
      <w:bookmarkEnd w:id="164"/>
      <w:r>
        <w:rPr>
          <w:rtl w:val="true"/>
        </w:rPr>
        <w:t>ه</w:t>
      </w:r>
      <w:r>
        <w:rPr>
          <w:rtl w:val="true"/>
        </w:rPr>
        <w:t xml:space="preserve">-) </w:t>
      </w:r>
      <w:r>
        <w:rPr>
          <w:rtl w:val="true"/>
        </w:rPr>
        <w:t>دور مقدّمات العلماء فی اختیار معاییر تقیّیم ونقد النّظریّات العلمیّة</w:t>
      </w:r>
      <w:bookmarkEnd w:id="165"/>
    </w:p>
    <w:p>
      <w:pPr>
        <w:pStyle w:val="BookText"/>
        <w:rPr/>
      </w:pPr>
      <w:r>
        <w:rPr>
          <w:rFonts w:ascii="IRNazanin" w:hAnsi="IRNazanin" w:eastAsia="IRNazanin"/>
          <w:color w:val="111111"/>
          <w:sz w:val="28"/>
          <w:sz w:val="28"/>
          <w:szCs w:val="28"/>
          <w:rtl w:val="true"/>
          <w:lang w:bidi="fa-IR"/>
        </w:rPr>
        <w:t>ما هی المعاییر الّتی یعتمد علیها العلماء لتقییم ونقد النّظریّات العلمیّة؟ وتقریر قبول أو رفض تلک النّظریّات؟ فهل أنّ الشّواهد التّجربیّة القویّة والاستدلال الریاضی المحکم، هو المعیار الوحید الّذی یعتمده العلماء لتقییم ونقد النّظریّات العلمیّة؟ یعتقد البعض أنّ الشّواهد المتعدّدة لتأریخ العلم تدلّ علی أنّ العلماء یعتمدون فی قبول أو رفض النّظریّات العلمیّة علی معاییر أخری إضافة إلی الشّواهد التّجربیّة والاستدلال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تجارب الأعوام الأخیرة إلی أنّ العقائد الدّینیّة کانت مؤثّرة أیضاً فی اختیار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یرید العالم انتخاب نظریة من بین النّظریّات المطروحة، فستکون لذهنیّته السّابقة أثر علی انتخابه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طرح المیکانیکیّة الغوانتومیّة وعرض تفسیر إحصائی لها، إنبری انشتاین لمعارضة بعض أهمّ الأدلّة التّفسیریّة لهذه النّظریّة وانتقد الآراء غیر الواقعیّة وغیر الإیجابیّة للمدرسة الکبنهاکنیّة واتّهم فیزیائیّ الغوانتومیّة بقصر النّظر والإعراض عن الواقعیّة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سرد أهمّ اعتراضات انشتاین علی الفیزیائیّین الغوانتومیّین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المیکانیک الغوانتومی ناقصاًَ؛ وکان استدلال انشتاین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حقیقة فیزیائیّة مستقلّة عن علمنا والعلم یهدف إلی وصف هذه الحقیقة کما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فالنّظریّة العلمیّة تکون ناقصة؛ إذا لم تحوِ عناصر من الحقیقة الفیزیائیّة، وأنّ الشّرط اللّازم لکی تکون النّظریّة الفیزیائیّة کاملة هو أنّها تعرض کلّ عنصر من عناصر الحقیقة الفیزیائیّة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الشّرط اللّازم لکی تکون کمیّة ما متعلّقة بالحقیقة الفیزیائیّة هو أنّنا نستطیع تحدید مقدارها بالدقّة دون الإخلال بالنّظام المرتبط بها، فنظراً لهذه المقدّمات العقلیّة والفلسفیّة ومن خلال القیام باختبار ذهنیّ، سعی انشتاین لإثبات نقص الفیزیاء الغوانتومی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خضوع عالم الطّبیعة للحظ؛ کان انشتاین غیر راضٍ عن طالع الإحصاء الوصفی للغوانتومیة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إدراک عالماً یقوم علی الحظ بشکل کامل أهون بالنّسبة</w:t>
      </w:r>
      <w:bookmarkStart w:id="166" w:name="pg5231_29758"/>
    </w:p>
    <w:p>
      <w:pPr>
        <w:pStyle w:val="BookText"/>
        <w:rPr/>
      </w:pPr>
      <w:bookmarkEnd w:id="166"/>
      <w:r>
        <w:rPr>
          <w:rFonts w:ascii="IRNazanin" w:hAnsi="IRNazanin" w:eastAsia="IRNazanin"/>
          <w:color w:val="111111"/>
          <w:sz w:val="28"/>
          <w:sz w:val="28"/>
          <w:szCs w:val="28"/>
          <w:rtl w:val="true"/>
          <w:lang w:bidi="fa-IR"/>
        </w:rPr>
        <w:t>لی من عالم تحکمه قوانین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لا أصدّق حتی الساعة أنّ الله یلعب النرد؛ ففیما لو أراد أن یقوم بهذا العمل، فإنّه سیؤدّیه بشکل کامل وعام، لا أنّه یقامر فی مجرّد مشروع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الأمر کذلک لم نکن من الأساس مجبرین علی البحث عن القوانین الحاکمة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کان یعتقد بأنّ النّظریّة الفیزیائیّة کی تکون کاملة یجب أن تصف ظواهرها ولیس مجرّد احتمال وقوعها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الواقعیّة؛ جاء فی التّفسیر الکبنهاکنی للمیکانیکیّة الغوانتومیّة بما بیانه أنّ أیّ ظاهرة ذرّیة لا تکون لها واقعیّة بمفردها ومستقلّة عن الرقیب وأنّ هدف الفیزیاء لا یتمثّل بالکشف عن الماهیّة الواقعیّة للظواهر، هدف الفیزیاء هو الوصول إلی العلاقات الّتی تربط الجوانب المختلفة للتجارب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عقیدة انشتاین أنّ الوضع الّذی وصله أتباع النّظریّة الغوانتومیّة یعبّر عن فکرة واقعیّة بارکلی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 أنّ هذه المدرسة مدرسة مخدّرة تبعث أتباعها علی الاستغراق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ینبغی الإشارة إلی هذه النکتة وهی أنّ انشتاین یری أنّ المیکانیکیّة الغوانتومیّة تعدّ متقدّمة نوعاً ما نسبة إلی الفیزیاء التقلیدیّة، ولکنّه یری فی الوقت ذاته بأنّ هذه النّظریّة لم تصل إلی الآن إلی کشف حالة الحدود التّنظیریّة الّتی ینبغی صیاغتها علی غیر مبانی النّظریّة الغوانتومیة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وعلاوة علی المعاییر الآنفة، یستفید العلماء فی مرحلة قبول ورفض النّظریّات العلمیّة من معاییر أخری،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انشتاین البساطة والجمال والوحدة والشمولیة العالمیّة من معاییر أیّ نظریّة معتبرة</w:t>
      </w:r>
      <w:r>
        <w:rPr>
          <w:rFonts w:eastAsia="IRNazanin" w:cs="IRNazanin"/>
          <w:color w:val="111111"/>
          <w:sz w:val="28"/>
          <w:szCs w:val="28"/>
          <w:rtl w:val="true"/>
          <w:lang w:bidi="fa-IR"/>
        </w:rPr>
        <w:t>.</w:t>
      </w:r>
    </w:p>
    <w:p>
      <w:pPr>
        <w:pStyle w:val="Heading4"/>
        <w:numPr>
          <w:ilvl w:val="3"/>
          <w:numId w:val="1"/>
        </w:numPr>
        <w:rPr/>
      </w:pPr>
      <w:bookmarkStart w:id="167" w:name="__RefHeading___Toc283248_581953129"/>
      <w:bookmarkStart w:id="168" w:name="_Toc62"/>
      <w:bookmarkEnd w:id="167"/>
      <w:r>
        <w:rPr>
          <w:rtl w:val="true"/>
        </w:rPr>
        <w:t>و</w:t>
      </w:r>
      <w:r>
        <w:rPr>
          <w:rtl w:val="true"/>
        </w:rPr>
        <w:t xml:space="preserve">) </w:t>
      </w:r>
      <w:r>
        <w:rPr>
          <w:rtl w:val="true"/>
        </w:rPr>
        <w:t>دور الأسس المیتافیزیّة فی عرض النّظریّات العلمیّة</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یحکی تأریخ العلم عن موارد لعبت فیها الأصول المیتافیزیّة دوراً حاسماً فی الإعلان عن بعض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نظریة النّسبیّة العامّة مثلاً، الّتی تعدّ مجرّد نظریّة فیزیائیّة، یصرّح انشتاین بأنّه حینما توصّل إلی معادلات النّسبیّة العامّة أحجم عن نشرها علی مدی عامّین، لأنّه کان یراها تتعارض وأصل العلّیة العمومیّة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یقدم علی إعلانها إلّا عندما ارتفعت شبهة التّعارض بالنّسبة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الکلام أنّ هذه الشبهة لو لم یراها مرتفعة، لم یکن لیُقدم علی الإعلان عن النّظریّة النّسبیّة العامّة ولانتهی أمر الفیزیاء إلی نحو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الرّؤیة الکونیّة فی تفسیر النّظریّات العلمیّة</w:t>
      </w:r>
    </w:p>
    <w:p>
      <w:pPr>
        <w:pStyle w:val="BookText"/>
        <w:rPr/>
      </w:pPr>
      <w:r>
        <w:rPr>
          <w:rFonts w:ascii="IRNazanin" w:hAnsi="IRNazanin" w:eastAsia="IRNazanin"/>
          <w:color w:val="111111"/>
          <w:sz w:val="28"/>
          <w:sz w:val="28"/>
          <w:szCs w:val="28"/>
          <w:rtl w:val="true"/>
          <w:lang w:bidi="fa-IR"/>
        </w:rPr>
        <w:t>إنّ أهمّ قسم من الفعّالیات العلمیّة والّذی تلعب الرّؤیة الکونیّة للعالم دوراً أساسیّاً فیه هو مرحلة تفسیر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فنتائج تجربة ما یمکن تفسیرها بصور مختلفة علی ضوء الرؤی الکونیّة المختلفة، فلا یکون الاستنتاج الّذی یعرضه العلماء عن تجاربهم یمثّل نتیجة التّجربة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الالتفات إلی أنّه فیما لو عرض عالم تفسیراً مادّیاً بحتاً عن العالم، فإنّه قد هبط بالوجود إلی مجرّد مادّة، فهذه النّتیجة لا تعبّر مباشرة عن تجاربه الفیزیائیّة؛ لأنّه لا یمکن مطلقاً أن یتمّ بواسطة تجربة مادّیة استحصال نتیجة لا یوجد فیها ما هو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شواهد متعدّدة فی تأریخ العلم یمکن نقلها فی هذا المجال؛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کُشف فی الأعوام الأخیرة عن أنّ العلاقة بین الثّوابت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شحنة الکهرباء، ثابت البلانک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نُظّمت بشکل یسمح بظهور الحیاة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قوّة شدّ الثقل أقوی قلیلاً من مقدارها الفعلی لتوقّف تمدّد العالم بشکل أسرع، ولظهر العالم بصورة هوّة مظلمة وذلک بسبب الانکماش قبل أن تسمح الفرصة بتشکیل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لو کانت قوّة شدّ الثقل أضعف ممّا هی علیه لتمدّد العالم بشکل أسرع واجتمعت مادّة العالم علی شکل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کلتا الحالّتین لما کان من الممکن أن تتهیأ ظروف ظهور الحیاة، ومن ضمنها تشکیل الذرّات الکاربونیّة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إنّ قوانین الفیزیاء وضعت بشکل وکأنّه قد أعدّت لکی یکون تکوّن الحیاة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توضیحان لهذه المسألة الموسومة بأساس الأنتروبیا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فمؤمنو الفیزیاویّین، یعتقدون بأنّ ذلک یحکی عن نظام إلهی، لکنّ ملحدیهم ولأجل تفسیر ذلک توسّلوا بالعوالم المتعدّدة الّتی تتغیّر الثوابت الطّبیعیّة فی کلٍّ منها، ومن بین تریلیونات التریلیون من العوالم، یوجد عالم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عدّة 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ثوابت مناسبة لظهور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 تقدّم الفیزیاء أیّ دلیل أو شاهد علی هذه العوالم المستقلّة، فلا یرتکز التّنظیر الآنف علی أیّ تجربة مستقلّة، ولم یسوقهم إلی النّظریّة هذه سوی محاولتهم للفرار من الاعتقاد بالله</w:t>
      </w:r>
      <w:r>
        <w:rPr>
          <w:rFonts w:eastAsia="IRNazanin" w:cs="IRNazanin"/>
          <w:color w:val="111111"/>
          <w:sz w:val="28"/>
          <w:szCs w:val="28"/>
          <w:rtl w:val="true"/>
          <w:lang w:bidi="fa-IR"/>
        </w:rPr>
        <w:t>.</w:t>
      </w:r>
      <w:bookmarkStart w:id="169" w:name="pg5231_29760"/>
    </w:p>
    <w:p>
      <w:pPr>
        <w:pStyle w:val="Heading4"/>
        <w:numPr>
          <w:ilvl w:val="3"/>
          <w:numId w:val="1"/>
        </w:numPr>
        <w:rPr/>
      </w:pPr>
      <w:bookmarkStart w:id="170" w:name="__RefHeading___Toc283250_581953129"/>
      <w:bookmarkStart w:id="171" w:name="_Toc63"/>
      <w:bookmarkEnd w:id="169"/>
      <w:bookmarkEnd w:id="170"/>
      <w:r>
        <w:rPr>
          <w:rtl w:val="true"/>
        </w:rPr>
        <w:t>ز</w:t>
      </w:r>
      <w:r>
        <w:rPr>
          <w:rtl w:val="true"/>
        </w:rPr>
        <w:t xml:space="preserve">) </w:t>
      </w:r>
      <w:r>
        <w:rPr>
          <w:rtl w:val="true"/>
        </w:rPr>
        <w:t>دور الرّؤیة الکونیّة فی توجیه استخدامات العلم</w:t>
      </w:r>
      <w:bookmarkEnd w:id="171"/>
    </w:p>
    <w:p>
      <w:pPr>
        <w:pStyle w:val="BookText"/>
        <w:rPr/>
      </w:pPr>
      <w:r>
        <w:rPr>
          <w:rFonts w:ascii="IRNazanin" w:hAnsi="IRNazanin" w:eastAsia="IRNazanin"/>
          <w:color w:val="111111"/>
          <w:sz w:val="28"/>
          <w:sz w:val="28"/>
          <w:szCs w:val="28"/>
          <w:rtl w:val="true"/>
          <w:lang w:bidi="fa-IR"/>
        </w:rPr>
        <w:t>إذا ما تمّت الممارسة العلمیّة فی ضوء الرّؤیة الکونیّة الإلهیّة، فستکون نتیجتها باتّجاه توفیر الحاجات المادّیة والمعنویة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لو تمّت فی ضوء الرّؤیة الکونیّة العلمانیّة، فلا ضمانة علی عدم کونها مخرّبة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 الإنسان فی الأدیان الإبراهیمیة علی أنّه خلیفة الله فی الأرض وأنّه مسؤول عن إعمارها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عُرّف العلم إلی جانب الإیمان بأنّه وسیلة الإعمار والسّعادة فی الأحادیث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ینبغی الاستفادة من أداة العلم فی ضوء الرّؤیة الکونیّة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فالمشاریع الّتی أدّت إلی تخریب البیئة أو القضاء علی النّاس، تعدّ علامة مناسبة علی العلم الموجّه بشکل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الدّینی بإمکانه أن یوجّه الاستخدامات العلمیّة بالاتّجاه المناسب ویحول دون الاستخدامات المخرّبة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قول جان 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لاتّجاه واستخدامات البحوث العلمیّة أن تکون مختلفة بشکل واضح فی النّظم القِیمیة المختلفة ولأنّ القیم الإنسانیّة غالباً ما یکون لها ارتباط عضوی بالعقائد الدّینیّة، فبمقدور العقائد الدّینیّة حتّی السّاعة أن تکون مرتبطة بتوجیه العلم والتقنیة</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72" w:name="__RefHeading___Toc283252_581953129"/>
      <w:bookmarkStart w:id="173" w:name="_Toc64"/>
      <w:bookmarkEnd w:id="172"/>
      <w:r>
        <w:rPr>
          <w:rtl w:val="true"/>
        </w:rPr>
        <w:t>تحقّق العلم الدّینی علی مدی تأریخ الحضارة الإسلامیّة</w:t>
      </w:r>
      <w:bookmarkEnd w:id="173"/>
    </w:p>
    <w:p>
      <w:pPr>
        <w:pStyle w:val="BookText"/>
        <w:rPr/>
      </w:pPr>
      <w:r>
        <w:rPr>
          <w:rFonts w:ascii="IRNazanin" w:hAnsi="IRNazanin" w:eastAsia="IRNazanin"/>
          <w:color w:val="111111"/>
          <w:sz w:val="28"/>
          <w:sz w:val="28"/>
          <w:szCs w:val="28"/>
          <w:rtl w:val="true"/>
          <w:lang w:bidi="fa-IR"/>
        </w:rPr>
        <w:t>یبدو من خلال الموارد المتقدّمة فی بیان وتصوّر العلم الدّینی وتفسیره بشکل صحیح، أنّ العلم الدّینی لیس ممکناً فحسب، بل قد تحقّق فی بعض المراحل التأریخیّة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عدنا بالذاکرة إلی الوضع الفکری للعلماء فی المرحلة المشرقة للحضارة الإسلامیّة، لرأینا بأنّهم عندما کانوا یعملون فی الخط الأخیر الّذی وصله العلم فی حقبتهم، کان الفکر الإلهی حینها مسیطراً علی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سعوا إلی العلم فی سبیل الله وکانوا یهدفون إلی الکشف عن الآثار الإلهیّة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التّفکّر مستولیاً أیضاً علی مؤسّسی العلم الحدیث نظیر کوبلر، نیوتن، بویل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یعدّ علامة علی إمکان وتحقّق تأثّر العلم التّجربی بالقیم والأفکار الدّینیّة والفلسفیّة</w:t>
      </w:r>
      <w:r>
        <w:rPr>
          <w:rFonts w:eastAsia="IRNazanin" w:cs="IRNazanin"/>
          <w:color w:val="111111"/>
          <w:sz w:val="28"/>
          <w:szCs w:val="28"/>
          <w:rtl w:val="true"/>
          <w:lang w:bidi="fa-IR"/>
        </w:rPr>
        <w:t>.</w:t>
      </w:r>
      <w:bookmarkStart w:id="174" w:name="pg5231_29761"/>
    </w:p>
    <w:p>
      <w:pPr>
        <w:pStyle w:val="Heading3"/>
        <w:numPr>
          <w:ilvl w:val="2"/>
          <w:numId w:val="1"/>
        </w:numPr>
        <w:rPr/>
      </w:pPr>
      <w:bookmarkStart w:id="175" w:name="__RefHeading___Toc283254_581953129"/>
      <w:bookmarkStart w:id="176" w:name="_Toc65"/>
      <w:bookmarkEnd w:id="174"/>
      <w:bookmarkEnd w:id="175"/>
      <w:r>
        <w:rPr>
          <w:rtl w:val="true"/>
        </w:rPr>
        <w:t>اختلاف العلوم الإنسانیّة والعلوم الطّبیعیّة</w:t>
      </w:r>
      <w:bookmarkEnd w:id="176"/>
    </w:p>
    <w:p>
      <w:pPr>
        <w:pStyle w:val="Heading4"/>
        <w:numPr>
          <w:ilvl w:val="3"/>
          <w:numId w:val="1"/>
        </w:numPr>
        <w:rPr/>
      </w:pPr>
      <w:bookmarkStart w:id="177" w:name="__RefHeading___Toc283256_581953129"/>
      <w:bookmarkStart w:id="178" w:name="_Toc66"/>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وفی الختام نری من اللازم ذکر هذه النکتة وهی أنّ تدخّل القیم الدّینیّة والآراء المیتافیزیّة فی العلوم هو أوسع جدّاً فی الفعّالیات العلمیّة ممّا علیه فی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إذا اعتقدنا فی علم النّفس بأنّ الإنسان مجرّد مادّة وأنّه حصیلة للفعل والانفعالات الکیمیاویّة، أو إذا اعتقدنا أنّ الإنسان له روح إلهیّة، فإنّ ذلک سیکون له أبعد الأثر فی انتخاب المسائل وأسالیب البحث، والتّنظیرات واختیار النّظریّات وستکون جمیع نظریّات العلوم الإنسانیّة مختلفة بحسب ابتنائها علی أیٍّ من هایتن المقدّمتین، فعلی سبیل المثال، هل أنّ منشأ الدّین ما ذهب إلیه فروید، وهو المرض النّفسیّ أم ما یقوله بعض علماء الاجتماع من أنّه ظاهرة اجتماعیّة یتأثّر بخلفیّات العلماء الدّینیّة والفلسفیّة ویلزم علی الباحثین العلمیّین الاهتمام الجادّ بهذه الأدلّة والخلفیّات ولا یتوهّمون أنّ إبداء الأراء هذه هو مجرّد نتائج تجربیّة أو مؤیّدة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المسألة أنّه ینبغی الالتفات إلی هذه النکتة وهی عدم خلو أیّ علم من أحکام قِیمیّة وأنّ الاختلاف فیما بین العلوم الإنسانیّة والعلوم الطّبیعیّة یتمثّل فقط فی قوّة وضعف هذا التّأثیر</w:t>
      </w:r>
      <w:r>
        <w:rPr>
          <w:rFonts w:eastAsia="IRNazanin" w:cs="IRNazanin"/>
          <w:color w:val="111111"/>
          <w:sz w:val="28"/>
          <w:szCs w:val="28"/>
          <w:rtl w:val="true"/>
          <w:lang w:bidi="fa-IR"/>
        </w:rPr>
        <w:t>.</w:t>
      </w:r>
    </w:p>
    <w:p>
      <w:pPr>
        <w:pStyle w:val="Heading4"/>
        <w:numPr>
          <w:ilvl w:val="3"/>
          <w:numId w:val="1"/>
        </w:numPr>
        <w:rPr/>
      </w:pPr>
      <w:bookmarkStart w:id="179" w:name="__RefHeading___Toc283258_581953129"/>
      <w:bookmarkStart w:id="180" w:name="_Toc67"/>
      <w:bookmarkEnd w:id="179"/>
      <w:r>
        <w:rPr>
          <w:rtl w:val="true"/>
        </w:rPr>
        <w:t>الملاحظات</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الرأی المطروح من قبل الدّکتور کلشنی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العلمانی إلی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الفلسفیّة للفیزیائیین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تفسیره بشکلین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نُعرّف العلم بأنّ له أبعاداً دینیّة وفلسفیّة حسب تعبیره، والآخر وعلی اعتبار أنّ العلماء لهم خلفیّات دینیة وفلسفیّة مسبّقة، أنّه معرفة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النکتة کانت أیضاً موضع اهتمام السّید کلشنی ولذا فقد سعی لأنّ یبیّن بأنّ التّفسیر الثّانی غیر صحیح فکانت عبارته فی خصوص هذه المسألة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عُرضت الکتب العلمیة علی أنّها مجرّد نتائج تجربیّة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مسبوقة بنظریّات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بمعزل عن تعابیر وتفاسیر وتحالیل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مسبوقة بافتراضات فلسفیّة وأیدیولوجیّة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نستطیع أن نتصوّر أنّ العلم ذاته خالٍ من الرّؤی الکونیّة علی نحو ما وأنّ الصفات الدّینیّة أو العلمانیّة تختصّ بالعلماء، ولیس صفاتاً للعلم ذاته، ولکنّ الأمر لیس کذلک فی التطبیق العملی فعرض النّتائج العلمیّة یحمل علی الدوام افتراضات 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حال أنّه یوصی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الباحثین العلمیین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تعریة المعطیات التّجربیّة من افتراضات وأحکام العلماء المسبقة وأن یدرکوا جیداً حدود العلوم التّجربیّة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العبارة الأخیرة للسید کلشنی؛ لا یمکن إطلاق العلم علی کلّ ما جاء فی الکتب العلمیة وما قاله وکتبه العلماء، فهناک إمکانیة للتفکیک فیما بین المعطیات التّجربیّة وتعابیر العلماء الفلسفیّة عن النّظریّات العلمیة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أنّ هناک إمکانیّة إطلاق العلم علی قسم من الکتب العلمیّة الّتی هی فی صدد بیان النّتائج التّجربیّة وبقول السّید کلشنی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النّتائج الفلسفیّة تمثّل القسم الأساسی للعلم وأنّه لا یعرف شرقاً أو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رأیه أنّ هذه المجموعة تفتقد القیم والرّؤی الدّینیة ولا معنی لاستخدام الأوصاف الدّینیّة أو العلمانیّة فی موردها، وفی المقابل إمّا أن ننسب الصفة الدّینیّة والعلمانیّة إلی العلماء، أو أن نعرّفها علی أنّها صفة لقسم خاصّ من تصریحات العلماء، فلا تکوّن معطیات علمیّة وتجربیة فی حقیقة الأمر، وتمثّل جزءاً من القضایا الفلسفیّة والدّینیّة من حیث الهیکلیّة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أنّ الدّکتور کلشنی رفض هذا الاقتراح بشدّة،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النّتائج التّجربیّة الّتی تفتقد التّفسیر، هی مجرّد حفنة قضایا متفرّقة لیس لها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یعدّ کلاماً صائباً فی أنّ القضایا المشاهداتیّة الّتی تأتی فی ضوء المشاهدة والاختبار التّجربی، تبقی مجرّد حفنة قضایا مبعثرة وبلا معنی حتّی تنتظم متوحّدة فی نظریّة 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تکون ذات معنی فمن اللازم أن تکون هذه المشاهدات ضمن إطار نظریّة تُبیّن وتُفسَّر، لکن هل أنّ تدخّل القیم والرؤی الدّینیّة والفلسفیّة یکون علی مستوی واحد فی کلّ مرحلة من التّفسیر العلمی وإلی حدّ تستطیع النّظریّة العلمیّة أن تتّصف بکونها دینیّة أو غیر دینیّة؟یبدو أنّ ذلک القسم من فعّالیات العلماء أو تلک المرحلة من تفسیر وتمعنی النّتائج التّجربیّة، الّتی تتأثّر بشدّة بالاعتقادات والقیم الدّینیّة والفلسفیّة، یوضع إمّا فی دائرة الاعتقادات المیتافیزیّة والفلسفیّة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الّذی نطویه للوصول إلی المسائل الحدودیّة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المتعلّقة بمبدأ ونهایة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وللکشف عن التکلیف الأوّل والآخر للعالم أو فی الحدّ الّذی نحاول فی مقامه تفسیر القضایا وإعطاء صورة عامّة عن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وکمثال نرید أن نجیب عن هذا السؤال وهو هل أنّ الله خلق هذا العالم 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أو أنّها ترتبط بدائرة العقل العملی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الّذی یطرح فیه البحث عن الاتّجاهات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ففی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الرّؤی والأیدیولوجیات إلی الفعّالیات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هل أنّ هذه المجالات موجودة داخل العلم؟</w:t>
      </w:r>
    </w:p>
    <w:p>
      <w:pPr>
        <w:pStyle w:val="BookText"/>
        <w:rPr/>
      </w:pPr>
      <w:r>
        <w:rPr>
          <w:rFonts w:ascii="IRNazanin" w:hAnsi="IRNazanin" w:eastAsia="IRNazanin"/>
          <w:color w:val="111111"/>
          <w:sz w:val="28"/>
          <w:sz w:val="28"/>
          <w:szCs w:val="28"/>
          <w:rtl w:val="true"/>
          <w:lang w:bidi="fa-IR"/>
        </w:rPr>
        <w:t>یبدو أنّنا ومن أجل بیان هذا البحث بحاجة إلی تعریف وتحدید دقیق للعلم فی أنموذج العلم الدّینی للدکتور کلشنی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یصرّ الدّکتور کلشنی علی أنّ تأریخ العلم قد برهن علی أنّ العقائد الدّینیّة والفلسفیّة تتدخّل فی اقتراح، تقییم، اختیار وتفسیر النّظریّات العلمیّة، لکنّه لا یوضّح کیفیّة هذا التدخّل وطبق أیّ آلیة یتمّ ذلک؟</w:t>
      </w:r>
    </w:p>
    <w:p>
      <w:pPr>
        <w:pStyle w:val="BookText"/>
        <w:rPr/>
      </w:pPr>
      <w:r>
        <w:rPr>
          <w:rFonts w:ascii="IRNazanin" w:hAnsi="IRNazanin" w:eastAsia="IRNazanin"/>
          <w:color w:val="111111"/>
          <w:sz w:val="28"/>
          <w:sz w:val="28"/>
          <w:szCs w:val="28"/>
          <w:rtl w:val="true"/>
          <w:lang w:bidi="fa-IR"/>
        </w:rPr>
        <w:t>والنکتة المهمّة هنا أنّ مجرّد إثبات الاستفادة من العقائد الدّینیّة والفلسفیّة فی الفعّالیّات العلمیّة، لا یمکن أن یکون دلیلاً علی کون الاستفادة منها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البحث الأکثر أساسیّة هو هل أنّ تدخّل العقائد الدّینیّة والفلسفیّة فی الفعّالیات العلمیّة یتمّ بشکل جائز؟ فعلی سبیل المثال، إذا اعتبرنا أنّ أحد نماذج تدخّل العقائد الدّینیّة فی الفعّالیّات العملیّة هو هذا الشاهد من التّأریخ العلمی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نظریّة محوریّة الأرض علی أساس کون الإنسان أشرف المخلوقات والأرض باعتبارها مرکز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یمکن استناداً لهذا الشاهد التّأریخی تجویز تدخّل القیم الدّینیّة فی الفعّالیّات العلمیّة؟ وهل یقبل الفیزیائیّون أنّ العقائد الفلسفیّة لهایزنبرغ وقفت حائلاً دون صنعه أجهزة لازمة للقیام بتجارب علمیّة خاصّة؟ وهل یقبل الفیریائیّون أنّ إسناد ظاهرة فیزیائیّة إلی إرادة الله نظیر نسبة نیوتن مسألة الحفاظ علی توازن سیارات المنظومة الشّمسیّة إلی إرادة وتدخّل الله، یؤدّی إلی إقامة سدّ بوجه التّنظیرات الفیزیائیّة؟ فإذا کانت الشّواهد التّأریخیّة للعلم یمکنها طرح إمکان تدخّل القیم والرؤی الدّینیة والفلسفیّة للعلماء فی الفعاّلیّات العلمیّة، فممّا لا ریب فیه أنّه لا یمکن إثبات کون ذلک مجازاً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أشرنا فی المقطع السابق، فإنّ الأمثلة الّتی طرحها السّید کلشنی بخصوص تدخّل القیم والرؤی الدّینیّة والفلسفیّة فی میادین الفعّالیّات العلمیّة المختلفة، لا تصوّر حدوداً واضحة لمقدار جواز هذا التدخّل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یقودنا إلی مشکلة معرفیّة نواجهها من هذه النّاحیة وهی أنّه بدون تشخیص حدود مثل هذا التدخّل فإنّ هذا الرأی سیستلزم الاعتقاد بنسبیّة العلم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فالدّکتور کلشنی ولأجل اجتناب العلوق فی ورطة نسبیّة</w:t>
      </w:r>
    </w:p>
    <w:p>
      <w:pPr>
        <w:pStyle w:val="BookText"/>
        <w:rPr/>
      </w:pPr>
      <w:r>
        <w:rPr>
          <w:rFonts w:ascii="IRNazanin" w:hAnsi="IRNazanin" w:eastAsia="IRNazanin"/>
          <w:color w:val="111111"/>
          <w:sz w:val="28"/>
          <w:sz w:val="28"/>
          <w:szCs w:val="28"/>
          <w:rtl w:val="true"/>
          <w:lang w:bidi="fa-IR"/>
        </w:rPr>
        <w:t xml:space="preserve">العلم المعرّفی یشیر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النّتائج التّجربیّة تمثّل المقدار الأساسی من العلم وأنّه لا یعرف شرقاً أو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فقط لم یوضّح هذا القسم من العلم بشکل دقیق، وإنّما ما ساقه من الأمثلة یعدّ شواهد علی دخالة وتدخّل العقائد الدّینیّة والفلسفیّة فی جمیع مجالات الأنشطة العلمیّة، حتی فی مجال اختیار التجارب والمشاهدات لعلم کالفیزیاء أضف إلی أنّه إذا کان المقصود من النّتائج التّجربیّة هی المشاهدات، فإنّ مسألة استلهام المشاهدات من النّظریّات حظت بقبول فلاسفة العلم، وإذا کان المقصود شیء آخر غیر المشاهدات فهو فی الحامل للنظریّة بطریق أولی، ولذا لا یمکن القول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الأساسی من العلم، هو نتائج تجربیّة، فإذن لا یعرف شرقاً ولا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النّظریّات وحتّی المشاهدات تصطبغ باللون الشّرقی والغربی فکیف بالقوانین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أنّه من دون عرض حدود مجازة لمثل هذا التّدخّل، فسنواجه مشکلة النّسبیّة فی العلم المعرّفی ومن اللازم تحدید وتعیین حدّ فاصل فیما بین نسبیّة العلم المعرفی وعینیته، ممّا حدا بالسّید کلشنی إلی التزام جانب الاتّجاه الواقعی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بین الدّکتور کلشنی فی مجال أتباع نظریّة العوالم المستقلّة عن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شاهد فیزیائی فعلی لإثبات العوالم المستقلّة عن بعضها ولم یسق بعض العلماء إلی هذه النّظریّة سوی الفرار من الاعتقاد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هذا المطلب یصدُق أیضاً فی مجال تفسیر؛ فرض وجود الله لبیان النّظم فی الثوابت الفیزیائیّة البنیویّة فلا یوجد أیّ شاهد تجربی مستقلّ لهذه النّظریّة، فیلزم النّظر فی؛ أیٍّ من النّظریّتین لها قدرة أکبر علی الدفاع عن نفسها، وما هی المعاییر الأخری الّتی یمکن الاستفادة منها لانتخاب النّظریّة مع غیاب الشّواهد التّجربیّة الکافیة؟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أن یقول الفیزیائیّون المعتقدون بالله بأنّه من الأفضل الاستفادة من الأدلّة المیتافیزیّة فی حالة عدم إمکان الاستفادة من الشّواهد التّجربیّة لتأیید نظریّة ما، ولأنّ وجود الله قد أُثبت بکافّة الطّرق أو لأنّا نؤمن بوجود الله فنستعین به باعتباره مخطّط وخالق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فإنّ البعض الآخر من الفیزیائیّین یحتمل أن یختاروا هذا الرأی وهو أنّه من الأفضل الکشف عن علّة مادّیة لهذه الظّاهرة المادّیة لجعل الفیزیاء مستقلّة عن باقی المجالات المعرفتیّة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نغلق</w:t>
      </w:r>
    </w:p>
    <w:p>
      <w:pPr>
        <w:pStyle w:val="BookText"/>
        <w:rPr/>
      </w:pPr>
      <w:r>
        <w:rPr>
          <w:rFonts w:ascii="IRNazanin" w:hAnsi="IRNazanin" w:eastAsia="IRNazanin"/>
          <w:color w:val="111111"/>
          <w:sz w:val="28"/>
          <w:sz w:val="28"/>
          <w:szCs w:val="28"/>
          <w:rtl w:val="true"/>
          <w:lang w:bidi="fa-IR"/>
        </w:rPr>
        <w:t>الطّریق علی الفیزیاء من خلال التوسّل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الاتّجاه ولأسباب تأتی تباعاً راجح علی الاتّجاه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الباب مفتوحاً علی إمکانیّة الکشف عن الشّواهد التّجربیّة وتطوّر العلم؛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إلحاد أو إیمان العالِم لا یعدّ شرطاً فی مجال هذا المعیار ویستطیع الفیزیائی المعتقد بالله أیضاً العمل وفقاً لهذه العقیدة فی ذات کونه معتقداً بوجود 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شواهد تأریخیّة متعدّدة فی خصوص اتّخاذهم الله غطاءً للمسائل الفیزیائیّة المیؤوس من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نتذکّر کیف سعت مجموعة لتوضیح الانحراف فی مدار سیارة أورانوس بالتوسّل بإرادة ومشیئة الله، لکنّ أولئک الّذین لم یثقوا بهذه النّظریّة وتلمّسوا العلّة الطّبیعیّة، لذلک استطاعوا اکتشاف وتحدید مکان سیارة نبتون قبل أن یروها بالتلسکوب</w:t>
      </w:r>
      <w:r>
        <w:rPr>
          <w:rFonts w:eastAsia="IRNazanin" w:cs="IRNazanin"/>
          <w:color w:val="111111"/>
          <w:sz w:val="28"/>
          <w:szCs w:val="28"/>
          <w:rtl w:val="true"/>
          <w:lang w:bidi="fa-IR"/>
        </w:rPr>
        <w:t>.</w:t>
      </w:r>
      <w:bookmarkStart w:id="181" w:name="pg5231_29767"/>
    </w:p>
    <w:p>
      <w:pPr>
        <w:pStyle w:val="Heading2"/>
        <w:numPr>
          <w:ilvl w:val="1"/>
          <w:numId w:val="1"/>
        </w:numPr>
        <w:rPr/>
      </w:pPr>
      <w:bookmarkStart w:id="182" w:name="__RefHeading___Toc283260_581953129"/>
      <w:bookmarkStart w:id="183" w:name="_Toc68"/>
      <w:bookmarkEnd w:id="181"/>
      <w:bookmarkEnd w:id="182"/>
      <w:r>
        <w:rPr>
          <w:rtl w:val="true"/>
        </w:rPr>
        <w:t>النّموذج التّأسیسیّ للعلم الدّینی فی رأی الدّکتور خسرو باقری</w:t>
      </w:r>
      <w:bookmarkEnd w:id="183"/>
    </w:p>
    <w:p>
      <w:pPr>
        <w:pStyle w:val="Heading3"/>
        <w:numPr>
          <w:ilvl w:val="2"/>
          <w:numId w:val="1"/>
        </w:numPr>
        <w:rPr/>
      </w:pPr>
      <w:bookmarkStart w:id="184" w:name="__RefHeading___Toc283262_581953129"/>
      <w:bookmarkStart w:id="185" w:name="_Toc69"/>
      <w:bookmarkEnd w:id="184"/>
      <w:r>
        <w:rPr>
          <w:rtl w:val="true"/>
        </w:rPr>
        <w:t>إشارة</w:t>
      </w:r>
      <w:bookmarkEnd w:id="185"/>
    </w:p>
    <w:p>
      <w:pPr>
        <w:pStyle w:val="BookText"/>
        <w:rPr/>
      </w:pPr>
      <w:r>
        <w:rPr>
          <w:rFonts w:ascii="IRNazanin" w:hAnsi="IRNazanin" w:eastAsia="IRNazanin"/>
          <w:color w:val="111111"/>
          <w:sz w:val="28"/>
          <w:sz w:val="28"/>
          <w:szCs w:val="28"/>
          <w:rtl w:val="true"/>
          <w:lang w:bidi="fa-IR"/>
        </w:rPr>
        <w:t xml:space="preserve">هویة العلم الدّینیّ، نظرة معرفیّة إلی علاقة الدّین بالعلوم الإنسانیّة </w:t>
      </w:r>
      <w:r>
        <w:rPr>
          <w:rStyle w:val="FootnoteAnchor"/>
          <w:rtl w:val="true"/>
        </w:rPr>
        <w:footnoteReference w:id="33"/>
      </w:r>
      <w:r>
        <w:rPr>
          <w:rFonts w:ascii="IRNazanin" w:hAnsi="IRNazanin" w:eastAsia="IRNazanin"/>
          <w:color w:val="111111"/>
          <w:sz w:val="28"/>
          <w:sz w:val="28"/>
          <w:szCs w:val="28"/>
          <w:rtl w:val="true"/>
          <w:lang w:bidi="fa-IR"/>
        </w:rPr>
        <w:t xml:space="preserve">اسم کتابٍ للدکتور خسرو باقری </w:t>
      </w:r>
      <w:r>
        <w:rPr>
          <w:rStyle w:val="FootnoteAnchor"/>
          <w:rtl w:val="true"/>
        </w:rPr>
        <w:footnoteReference w:id="34"/>
      </w:r>
      <w:r>
        <w:rPr>
          <w:rFonts w:ascii="IRNazanin" w:hAnsi="IRNazanin" w:eastAsia="IRNazanin"/>
          <w:color w:val="111111"/>
          <w:sz w:val="28"/>
          <w:sz w:val="28"/>
          <w:szCs w:val="28"/>
          <w:rtl w:val="true"/>
          <w:lang w:bidi="fa-IR"/>
        </w:rPr>
        <w:t xml:space="preserve">الّذی دوّن علی أساس مقالة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طبعت سنة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دوریة الحوزة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سیأتی یمثّل خلاصة للمباحث المطروحة فی هذا الکتاب، وهی ذات صلة وثیقة بموضوع البحث فی هذه المجموعة من المقالات</w:t>
      </w:r>
      <w:r>
        <w:rPr>
          <w:rFonts w:eastAsia="IRNazanin" w:cs="IRNazanin"/>
          <w:color w:val="111111"/>
          <w:sz w:val="28"/>
          <w:szCs w:val="28"/>
          <w:rtl w:val="true"/>
          <w:lang w:bidi="fa-IR"/>
        </w:rPr>
        <w:t>.</w:t>
      </w:r>
    </w:p>
    <w:p>
      <w:pPr>
        <w:pStyle w:val="Heading3"/>
        <w:numPr>
          <w:ilvl w:val="2"/>
          <w:numId w:val="1"/>
        </w:numPr>
        <w:rPr/>
      </w:pPr>
      <w:bookmarkStart w:id="186" w:name="__RefHeading___Toc283264_581953129"/>
      <w:bookmarkStart w:id="187" w:name="_Toc70"/>
      <w:bookmarkEnd w:id="186"/>
      <w:r>
        <w:rPr>
          <w:rtl w:val="true"/>
        </w:rPr>
        <w:t>مقدّمة</w:t>
      </w:r>
      <w:bookmarkEnd w:id="187"/>
    </w:p>
    <w:p>
      <w:pPr>
        <w:pStyle w:val="BookText"/>
        <w:rPr/>
      </w:pPr>
      <w:r>
        <w:rPr>
          <w:rFonts w:ascii="IRNazanin" w:hAnsi="IRNazanin" w:eastAsia="IRNazanin"/>
          <w:color w:val="111111"/>
          <w:sz w:val="28"/>
          <w:sz w:val="28"/>
          <w:szCs w:val="28"/>
          <w:rtl w:val="true"/>
          <w:lang w:bidi="fa-IR"/>
        </w:rPr>
        <w:t>إنّ البحث فی مجال العلم الدّینی یثیر تحدّیات من جهة أنّ جوّ نشوء وظهور العلوم التّجربیّة المعاصرة کان جوّاً غیر دینی وأحیاناً مضادّاً للدین؛ فمن هذه الجهة أصبح البحث حول أیّ ترکیبة من العلم والدّین؛ فاقداً للمعنی حسب فئة من الفلاسفة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إبداء أیّ وجهة نظر قطعیّة حول معنائیّة أو إمکان تحقّق العلم الدّینی ینبغی دراسة ماهیّة العلم والدّین والتّأمّل فی العلاقة فیما بینهما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اللازم القول،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هو العلم التّجربی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التّأکید علی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التّأکید علی الإسلام</w:t>
      </w:r>
      <w:r>
        <w:rPr>
          <w:rFonts w:eastAsia="IRNazanin" w:cs="IRNazanin"/>
          <w:color w:val="111111"/>
          <w:sz w:val="28"/>
          <w:szCs w:val="28"/>
          <w:rtl w:val="true"/>
          <w:lang w:bidi="fa-IR"/>
        </w:rPr>
        <w:t>).</w:t>
      </w:r>
      <w:bookmarkStart w:id="188" w:name="pg5231_29768"/>
    </w:p>
    <w:p>
      <w:pPr>
        <w:pStyle w:val="Heading3"/>
        <w:numPr>
          <w:ilvl w:val="2"/>
          <w:numId w:val="1"/>
        </w:numPr>
        <w:rPr/>
      </w:pPr>
      <w:bookmarkStart w:id="189" w:name="__RefHeading___Toc283266_581953129"/>
      <w:bookmarkStart w:id="190" w:name="_Toc71"/>
      <w:bookmarkEnd w:id="188"/>
      <w:bookmarkEnd w:id="189"/>
      <w:r>
        <w:rPr>
          <w:rtl w:val="true"/>
        </w:rPr>
        <w:t>الآراء الفلسفیّة المطروحة حول العلم</w:t>
      </w:r>
      <w:bookmarkEnd w:id="190"/>
    </w:p>
    <w:p>
      <w:pPr>
        <w:pStyle w:val="BookText"/>
        <w:rPr/>
      </w:pPr>
      <w:r>
        <w:rPr>
          <w:rFonts w:ascii="IRNazanin" w:hAnsi="IRNazanin" w:eastAsia="IRNazanin"/>
          <w:color w:val="111111"/>
          <w:sz w:val="28"/>
          <w:sz w:val="28"/>
          <w:szCs w:val="28"/>
          <w:rtl w:val="true"/>
          <w:lang w:bidi="fa-IR"/>
        </w:rPr>
        <w:t>إنّ محاولة تقییم العلاقة والرّابطة فیما بین العلم والدّین، تستلزم معرفة ماهیّة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فی العلم المعرّفی الفلسفی اتّجاهان أساسیان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الوضعی والاتّجاه ماوراء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کان العلم المعرفی مبتنیاً علی الاتّجاه الوضعی فی النّصف الأوّل من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 ممیّزات هذا الاتّجاه الّتی تتعلّق بموضوع العلم الدّینی فهی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العلم عن المیتافیزیا، انفصال المشاهدة عن النّظریّة؛ انفصال أمور الواقع عن الأمور القِیمیة وانفصال مجالات الکشف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فإنّ قراءة ما وراء الوضعیّة للعلم، قراءة تمخّضت عن الانتقادات المهمّة لفلاسفة العلم فی النّصف الثّانی من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بعض مؤشّرات هذا الاتّجاه للفلسفة العلمیة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العلم والمیتافیزیا، تأثیر المیتافیزیا علی العلم، تداخل المشاهدة والنّظریّة، تعیّن عدم استنتاج النّظریّة بالمشاهدة والاختبار، تطوّر العلم من خلال تنافس النّظریّات والنماذج العلمیّة وأخیراً تأثیر العلم علی المیتافیزیا</w:t>
      </w:r>
      <w:r>
        <w:rPr>
          <w:rFonts w:eastAsia="IRNazanin" w:cs="IRNazanin"/>
          <w:color w:val="111111"/>
          <w:sz w:val="28"/>
          <w:szCs w:val="28"/>
          <w:rtl w:val="true"/>
          <w:lang w:bidi="fa-IR"/>
        </w:rPr>
        <w:t>.</w:t>
      </w:r>
    </w:p>
    <w:p>
      <w:pPr>
        <w:pStyle w:val="Heading3"/>
        <w:numPr>
          <w:ilvl w:val="2"/>
          <w:numId w:val="1"/>
        </w:numPr>
        <w:rPr/>
      </w:pPr>
      <w:bookmarkStart w:id="191" w:name="__RefHeading___Toc283268_581953129"/>
      <w:bookmarkStart w:id="192" w:name="_Toc72"/>
      <w:bookmarkEnd w:id="191"/>
      <w:r>
        <w:rPr>
          <w:rtl w:val="true"/>
        </w:rPr>
        <w:t>الآراء المطروحة حول هویة الدّین والمعرفة الدّینیّة</w:t>
      </w:r>
      <w:bookmarkEnd w:id="192"/>
    </w:p>
    <w:p>
      <w:pPr>
        <w:pStyle w:val="BookText"/>
        <w:rPr/>
      </w:pPr>
      <w:r>
        <w:rPr>
          <w:rFonts w:ascii="IRNazanin" w:hAnsi="IRNazanin" w:eastAsia="IRNazanin"/>
          <w:color w:val="111111"/>
          <w:sz w:val="28"/>
          <w:sz w:val="28"/>
          <w:szCs w:val="28"/>
          <w:rtl w:val="true"/>
          <w:lang w:bidi="fa-IR"/>
        </w:rPr>
        <w:t xml:space="preserve">إنّ الدّین باعتباره العنصر الأساسی الثّانی فی ترکیبة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أبعاداً مختلفة ویمثّل کلّ بُعد منها موضوعاً لأحد علوم علم النّفس، علم الاجتماع، الفلسفة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أسئلة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تُفهم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الأمور الّتی یتکفّل الدّین ببیانها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ضمن المسائل الّتی ینبغی دراستها لتوضیح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وتقییم إمکانیّته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الاتّجاهات الأساسیّة فی بحث معرفة الدّین فتتمثّل، بالاتّجاه الموسوعی للدین، النّظریّة الهرمنطیقیّة فی فهم الدّین؛ نظریّة القبض والبسط النّظریّ للشّریعة ونظریّة الانتقاء الاستنطاقی للنصوص الدّینیّة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من الاتّجاه الموسوعی، من خلال الإشارة إلی جامعیة وکمال الدّین، بأنّ الدّین یتضمّن کلّ حقائق الوجود وإجابات علی جمیع الحاجات البشریّة وتبیین القوانین الثابتة الّتی تبحث عنها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لهذه النّظریّة فجمیع الحقائق والأمور العلمیّة الّتی تعمّ الکلّیات والجزئیات إمّا أن تکون قد بُیّنت بصورة صریحة فی النّصوص الدّینیّة، وإمّا اقتصر البیان منها علی الأصول وکلّیات الأمور وینبغی استخدام العقل لاستخراج الجزئیّات من</w:t>
      </w:r>
    </w:p>
    <w:p>
      <w:pPr>
        <w:pStyle w:val="BookText"/>
        <w:rPr/>
      </w:pPr>
      <w:r>
        <w:rPr>
          <w:rFonts w:ascii="IRNazanin" w:hAnsi="IRNazanin" w:eastAsia="IRNazanin"/>
          <w:color w:val="111111"/>
          <w:sz w:val="28"/>
          <w:sz w:val="28"/>
          <w:szCs w:val="28"/>
          <w:rtl w:val="true"/>
          <w:lang w:bidi="fa-IR"/>
        </w:rPr>
        <w:t>رحم هذه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الانتقادات الموجّهة لهذا الاتّجاه هو أنّه ینقض الحکمة الإلهیّة وکونه مجرّد إستنباط خاطئ للآیات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الهرمنطیق، فهو علم کیفیّة تفسیر النّصوص، وقد شهد ظهور اتّجاهات متنوّعة فی تأریخه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فالاتّجاهات المحافظة، تعتقد بأنّ المفسِّر بإمکانه من خلال اتّخاذ أسلوب صحیح الوصول إلی مقاصد النصّ والحقیقة العینیة المتعلّقة بالأثر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الاتّجاهات المعتدلة فی اتّجاهها الهرمنطقی تری أنّ التّفسیر خلّاق علی الدوام، وبعبارة أخری أنّ هناک حواراً فیما بین المفسِّر والنّص؛ ولذا لا یمکن الحدیث عن الوصول إلی الحقیقة العینیّة أو المعنی المقصود للنّصّ، وعلی أفضل التقادیر یکون هناک 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الآفاقی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المفسِّر والمفسَّر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 العام للاتّجاه الهرمنطیقی المتطرّف هو أنّه وبسبب الخلاقیّة الموجودة فی التّفسیر لا یمکن للمفسِّر علی الإطلاق إقامة علاقة مع المعنی الأساسی والأوّلی للنصّ وأنّ جمیع القراءات هی فی الواقع معانی احتمالیّة ونسبیّة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الاتّجاهات الهرمنطیقیّة الانتقادیّة الّتی تعتقد بأنّه من الممکن من خلال التأمّل النّقدی فی النصّ الاطّلاع بصورة أکبر علی ما یرتبط بالسُّنة واتّقاء الانحرافات الناشئة من الجهویّة الأیدلویوجیّة، الثّقافیة والاجتماعیة للسُّنة، لکن من غیر الممکن التحرّر الکامل من هذه الانحرافات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نظریّة القبض والبسط النّظریّ للشریعة، تعدّ أوّل نموذج من الجهد المنظّم لنظرة معمّقة فی مجال نسیج المعرفة الدّینیّة والّتی ابتنیت علی ثلاثة أصول 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تغاذی وتلاؤم المعرفة الدّینیّة والمعرفة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والبسط الانسجامی للمعرفة الدّینیّة والمعرفة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التطوّر فی المعرفة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وترتکز أسس العلم المعرفی لهذه النّظریّة علی رکیزتین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الشمولیّة المتطرّفة والتّعدّدیّة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فالنقود الّتی أوردت علی ذینیک النّظریّتین، ترد أیضاً علی نظریّة القبض والبسط النّظریّ للشریعة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الانتقاء الاستنطاقی، تعکس أنّ الدّین قد أطلق تسعة ألسنة لبیان جمیع حقائق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تدّعی النّظریّة الموسوعیة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ألسنته التسعة هذه صامتة إلی درجة لیس لها قدرة علی الحدیث إلّا عن طریق العلوم والمعارف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تبیّنه نظریّة الهرمنطیق أو القبض والبسط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فالدّین فی هذه النّظریّة، یمتلک حدیثاً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الإنسان إلی السّاحة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لیقوله حیث یعجز الإنسان عن سماعه من مکان آخر وقد بیّن هذا الحدیث بأسلوب واضح ومحدّد وأشار أحیاناً اقتضاءً لبیان ذلک الغرض</w:t>
      </w:r>
    </w:p>
    <w:p>
      <w:pPr>
        <w:pStyle w:val="BookText"/>
        <w:rPr/>
      </w:pPr>
      <w:r>
        <w:rPr>
          <w:rFonts w:ascii="IRNazanin" w:hAnsi="IRNazanin" w:eastAsia="IRNazanin"/>
          <w:color w:val="111111"/>
          <w:sz w:val="28"/>
          <w:sz w:val="28"/>
          <w:szCs w:val="28"/>
          <w:rtl w:val="true"/>
          <w:lang w:bidi="fa-IR"/>
        </w:rPr>
        <w:t>الأساسی للدین، إلی حقائق علمیّة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تعلّق قلب أحد بغرض غیر الغرض الأساسیّ للدین فإنّه لا یمکنه أن یحصل من القرآن علی ما یتوخّاه من النفع الأمثل بالرّجوع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فی هذه النّظریّة ذلک القسم من الحاجات والمیزات الإنسانیّة بالتفصیل فی موضوع الإنسان فی النّصوص الدّینیّة ممّا له علاقة وثیقة بهدایته، لکنّه تحدّث بشکل إجمالی فی مجال باقی میزاته وحاجاته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المنطقة المرکزیّة للنصوص الدّینیّة فی هذه النّظریّة تعالیم الدّین الأساسیّة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القیم، الأحکام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وُضّحت بصورة واضحة فی هذا القسم وکون الدّین یرتبط أساساً بهذا القسم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المنطقة الثّانیة، هی المنطقة الوسطی الّتی تعکس التّعالیم المقصود منها بیان واستحکام تعالیم الدّین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المنطقة الثّالثة، هی منطقة حدودیة تمثّل الدائرة المشترکة فیها بین النّصوص الدّینیّة وعالم المخاطبین بهذه النّصوص، وتشمل هذه المنطقة، الاعتقادات العقلیّة السلیمة، مترافقة مع الاستدلالات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وبالاعتماد علی الاعتقادات العمومیّة للناس، وباستخدام الاستدلالات المختلفة فی هذه المنطقة، یتمّ الدفاع عن صحّة التّعالیم الأساسیّة المتعلّقة بالمنطقة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هذه النّظریّة بأنّ بإمکان النّاس اکتساب هذه الحلقة الوصلیّة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 الثّالثة للنصوص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یواجهوا الدّین، وعلی هذا تزید سرعة تقبّلهم للتعالیم الدّینیّة عند وقوع تلک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بعض فعالیات المنطقة الثّالثة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ضرورة وجود الدّین، بیان التّعالیم الأساسیة المقصودة للدین، زعزعة الأسس الفکریّة الباطلة والإجابة علی التحدّیات الفکریّة للخصوم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ونظراً للبّاقة الّتی یتمیّز بها الدّین والّتی تحدّث من خلالها عن ضرورته وتعالیمه الأساسیّة، لا یمکن القول بأنّ المعارف البشریّة بجمیع ما تتمیّز به من سعة تکون بدیهیّة بشکل تتقدّم تقدّماً کاملاً ومن طرف واحد علی المعرفة الدّینیّة؛ بل إنّ بعض المعارف الدّینیّة قد أثّرت علی المعرفة البشریة وجعلتها تواجه مشاکل فی بعض المجالات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نظریّة الانتقاء الاستنطاقی، یمکن تصوّر العلاقات فیما بین المعرفة الدّینیّة والمعرفة البشریّة فی خمس حالات</w:t>
      </w:r>
      <w:r>
        <w:rPr>
          <w:rFonts w:eastAsia="IRNazanin" w:cs="IRNazanin"/>
          <w:color w:val="111111"/>
          <w:sz w:val="28"/>
          <w:szCs w:val="28"/>
          <w:rtl w:val="true"/>
          <w:lang w:bidi="fa-IR"/>
        </w:rPr>
        <w:t>:</w:t>
      </w:r>
      <w:bookmarkStart w:id="193" w:name="pg5231_29775"/>
    </w:p>
    <w:p>
      <w:pPr>
        <w:pStyle w:val="BookText"/>
        <w:rPr/>
      </w:pPr>
      <w:bookmarkEnd w:id="1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الاشتراک فی النطاق الناجم عن وجود العناصر المتعلّقة بالعقل السلیم وأسالیب الاستدلال العمومیّة فی مجال المعرفة الدّینیّة والمعرفة البشریّة؛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المعارف البشریّة غیر المنسجمة مع المرکز المقاوم للمعارف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المعارف الفلسفیّة والعرفانیّة المتجانسة، لتعمیق المعرفة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المعارف العملیة لتفضیل المعرفة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المعارف الفلسفیّة والعرفانیّة والعلمیّة هادفة</w:t>
      </w:r>
      <w:r>
        <w:rPr>
          <w:rFonts w:eastAsia="IRNazanin" w:cs="IRNazanin"/>
          <w:color w:val="111111"/>
          <w:sz w:val="28"/>
          <w:szCs w:val="28"/>
          <w:rtl w:val="true"/>
          <w:lang w:bidi="fa-IR"/>
        </w:rPr>
        <w:t>.</w:t>
      </w:r>
    </w:p>
    <w:p>
      <w:pPr>
        <w:pStyle w:val="Heading3"/>
        <w:numPr>
          <w:ilvl w:val="2"/>
          <w:numId w:val="1"/>
        </w:numPr>
        <w:rPr/>
      </w:pPr>
      <w:bookmarkStart w:id="194" w:name="__RefHeading___Toc283270_581953129"/>
      <w:bookmarkStart w:id="195" w:name="_Toc73"/>
      <w:bookmarkEnd w:id="194"/>
      <w:r>
        <w:rPr>
          <w:rtl w:val="true"/>
        </w:rPr>
        <w:t>هویة العلم الدّینی</w:t>
      </w:r>
      <w:bookmarkEnd w:id="195"/>
    </w:p>
    <w:p>
      <w:pPr>
        <w:pStyle w:val="Heading4"/>
        <w:numPr>
          <w:ilvl w:val="3"/>
          <w:numId w:val="1"/>
        </w:numPr>
        <w:rPr/>
      </w:pPr>
      <w:bookmarkStart w:id="196" w:name="__RefHeading___Toc283272_581953129"/>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وبعد الاتّضاح النّسبیّ لمعنی الدّین والعلم تصل النوبة إلی اتّخاذ موقف فی مجال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وإمکان تحقّقه</w:t>
      </w:r>
      <w:r>
        <w:rPr>
          <w:rFonts w:eastAsia="IRNazanin" w:cs="IRNazanin"/>
          <w:color w:val="111111"/>
          <w:sz w:val="28"/>
          <w:szCs w:val="28"/>
          <w:rtl w:val="true"/>
          <w:lang w:bidi="fa-IR"/>
        </w:rPr>
        <w:t>.</w:t>
      </w:r>
    </w:p>
    <w:p>
      <w:pPr>
        <w:pStyle w:val="Heading4"/>
        <w:numPr>
          <w:ilvl w:val="3"/>
          <w:numId w:val="1"/>
        </w:numPr>
        <w:rPr/>
      </w:pPr>
      <w:bookmarkStart w:id="198" w:name="__RefHeading___Toc283274_581953129"/>
      <w:bookmarkStart w:id="199" w:name="_Toc75"/>
      <w:bookmarkEnd w:id="198"/>
      <w:r>
        <w:rPr>
          <w:rtl w:val="true"/>
        </w:rPr>
        <w:t>معنائیّة العلم الدّینی</w:t>
      </w:r>
      <w:bookmarkEnd w:id="199"/>
    </w:p>
    <w:p>
      <w:pPr>
        <w:pStyle w:val="BookText"/>
        <w:rPr/>
      </w:pPr>
      <w:r>
        <w:rPr>
          <w:rFonts w:ascii="IRNazanin" w:hAnsi="IRNazanin" w:eastAsia="IRNazanin"/>
          <w:color w:val="111111"/>
          <w:sz w:val="28"/>
          <w:sz w:val="28"/>
          <w:szCs w:val="28"/>
          <w:rtl w:val="true"/>
          <w:lang w:bidi="fa-IR"/>
        </w:rPr>
        <w:t xml:space="preserve">یمکن القول علی وجه الإیجاز بأنّ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اقتصر معناه علی بعض موارد العلم المعرّفی ومعرّفة الدّین، وهو یعدّ تعبیراً لا معنی له فی بعض موارد العلم المعرفی، کما هو الحال فی نزعة الوحدویّة ونزعة التّعدّدیّة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سنقوم ابتداءً بتوضیح هذا المطلب وهو أنّه فی أیّ موارد العلم المعرفی لا یکون للعلم الدّینی معنی وفی أیّ تعابیر العلم والدّین یکون له معنی</w:t>
      </w:r>
      <w:r>
        <w:rPr>
          <w:rFonts w:eastAsia="IRNazanin" w:cs="IRNazanin"/>
          <w:color w:val="111111"/>
          <w:sz w:val="28"/>
          <w:szCs w:val="28"/>
          <w:rtl w:val="true"/>
          <w:lang w:bidi="fa-IR"/>
        </w:rPr>
        <w:t>.</w:t>
      </w:r>
    </w:p>
    <w:p>
      <w:pPr>
        <w:pStyle w:val="Heading4"/>
        <w:numPr>
          <w:ilvl w:val="3"/>
          <w:numId w:val="1"/>
        </w:numPr>
        <w:rPr/>
      </w:pPr>
      <w:bookmarkStart w:id="200" w:name="__RefHeading___Toc283276_581953129"/>
      <w:bookmarkStart w:id="201" w:name="_Toc76"/>
      <w:bookmarkEnd w:id="200"/>
      <w:r>
        <w:rPr>
          <w:rtl w:val="true"/>
        </w:rPr>
        <w:t>النزعة الوحدویّة للمیثولوجیا وعدم معنائیّة العلم الدّینی</w:t>
      </w:r>
      <w:bookmarkEnd w:id="2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الاتّجاه الوحدوی للمیثولوجیا یعتقد بأنّ العلم البشری ذو سنخیّة واحدة وعلامة ذلک کونه تجربیّاً، وبناءً علی هذا، فالدّین یفتقد أساساً الماهیّة العلمیّة وقد قام الوضعیون المناطقة وذو النزعة العملیّة بتبنّی الاتّجاه الوحدوی للمیثولوجیا بشکل واضح وهذا بذاته یعدّ انعکاساً لعدّة آراء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 یعتقد الوضعیّون المناطقة أنّ القضایا التألیفیّة والترکیبیّة هی وحدها الّتی تتضمّن المعنائیّة الّتی تشکّل المعرفة البشریّة، والّتی یتبیّن صدقها من کذبها من خلال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القضایا التفصیلیّة فی هذه النّظریّة یکون لها معنی لکن لیس لها صفة 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وتقتضی هذه النّظریّة أن</w:t>
      </w:r>
    </w:p>
    <w:p>
      <w:pPr>
        <w:pStyle w:val="BookText"/>
        <w:rPr/>
      </w:pPr>
      <w:r>
        <w:rPr>
          <w:rFonts w:ascii="IRNazanin" w:hAnsi="IRNazanin" w:eastAsia="IRNazanin"/>
          <w:color w:val="111111"/>
          <w:sz w:val="28"/>
          <w:sz w:val="28"/>
          <w:szCs w:val="28"/>
          <w:rtl w:val="true"/>
          <w:lang w:bidi="fa-IR"/>
        </w:rPr>
        <w:t>یکون تعبیر العلم الدّینی تعبیراً لا معنی له؛ لأنّ القضایا الدّینیّة وبسبب صفة عدم قابلیتها للاختبار التّجربی لا یمکن أن یکون لها معنی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الانتقادات الکثیرة للوضعیّة المنطقیّة اتّضح أنّ هذه النّظریّة قد فشلت فی رسم الحدود فیما بین المعارف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فلاسفة ومؤرّخی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جملتهم کوین، کوهن، ویزدم، لاکتوش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هذه المسألة علی أنحاء مختلفة وهی أنّ هیکلیّة النّظریّات العلمیّة لا تتشکّل من القضایا العینیّة والترکیبیّة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 رایشنباخ موضوعاً أکثر انعطافاً؛ فهو بتفریقه مقام التحکیم عن مقام التولیف، ادّعی أنّ 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دینی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فی مقام الکشف أو التولیف التأثیر علی الفعّالیّات الذهنیّة للعالِم، لکن فی نطاق التحکیم تکون التّجربة لوحدها هی الّتی تحسم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هذه النّظریّة فما یجعل العلم علماً، هو مقام التّحکیم التّجربی، ولیس مقام الکشف والتولیف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فقد بیّن بعض الباحثین من خلال الاستفادة من تفریق مقام التولیف عن التحکیم ما مضمونه أنّ التّعبیر بالعلم الدّینی فی مقام التولیف ممکن وفی مقام التحکیم غیر ممکن، ویبدو أنّ مثل هذه الاستفادة خاطئة من جوانب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یمکن الإشارة إلی هذه النکتة وهی أنّه وفقاً لتقسیم رایشنباخ، لم تتجلّی أیّ علمیّة فی مقام الکشف کی تتّصف بکونها دینیّة أو غیر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 فی الاتّجاه الوحدوی للعلم المعرفی الّذی یکون العلم الدّینی فاقداً للمعنی فی ضوئه، هو موقف الاتّجاه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فالموقف المتقدّم لتلک الفئة من أتباع الاتّجاه العملی، الّذین یعتبرون الاتّجاه العملی بمنزلة نظریّة فی باب المعنی، مشابه لموقف الوضعیّین المناطقة، لکنّ کوین الّذی کان بذاته عملیّاً اتّخذ موقفاً مختلفاً فی مقابل الوضعیّین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عقیدة کوین أنّ معارفنا هی تجربیّة من الأساس وهی تدور حول العالم؛ وإن وجدت جوانب تحلیلیة ومنطقیة ترافقها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نزعة کوین الشمولیّة تّجاه العلم تحمل أیضاً هذه الفکرة وهی عدم وجود فرق حاسم فیما بین القضایا المشاهداتیّة والقضایا النّظریّة؛ وإنّما یمکن الاقتصار علی القول بأنّ بعض قضایانا أکثر صراحة وترتبط بالتّجربة والمشاهدة بشکل أکثر مباشرة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فمع أنّ العملیّون لا یتّفقون مع ممارسة التّجربة الحسّیة، لکنّهم ما زالوا یعتقدون بأنّ المعرفة التّجربیّة هی النّموذج الأساسی للمعرفة؛ ومن هنا، یکون العلم</w:t>
      </w:r>
      <w:bookmarkStart w:id="202" w:name="pg5231_29779"/>
    </w:p>
    <w:p>
      <w:pPr>
        <w:pStyle w:val="BookText"/>
        <w:rPr/>
      </w:pPr>
      <w:bookmarkEnd w:id="202"/>
      <w:r>
        <w:rPr>
          <w:rFonts w:ascii="IRNazanin" w:hAnsi="IRNazanin" w:eastAsia="IRNazanin"/>
          <w:color w:val="111111"/>
          <w:sz w:val="28"/>
          <w:sz w:val="28"/>
          <w:szCs w:val="28"/>
          <w:rtl w:val="true"/>
          <w:lang w:bidi="fa-IR"/>
        </w:rPr>
        <w:t>الدّینی فی نظرهم فاقداً للمعنی؛ لأنّ الدّین بمثابة نوع من المعرفة الإلهیّة ومع عدم ارتباطه بالتّجربة لا یمکن جعله صفة للعلم التّجربی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الانتقادات الّتی أُوردت علی هذه النّظریّة أنّه لا یمکن القبول بأنّ معرفتنا تجربیّة بشکل 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یتعرّض باتنم فی مقام نقد کوین إلی هذا البحث وهو أنّ العلم المعرفی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رأی 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اتّخاذ الموقف الثّانی وهذا یحکی عن وجود معرفة فلسفیّة لا یمکن وضعها فی نطاق المعرفة التّجربیّة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النقود الّتی أوردت علی النّظریّة الأولیّة لکوین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دعته لأن یعرض نظریّة أکثر ملائمة فی مجال العلم المعرفی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فقد قبل کوین بأنّ للعلم التّجربی منزلة خاصّة وممتازة من بین الأقسام المختلفة للمعرفة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ذوی الاتّجاه العملی المتأخّرین، نظیر ریتشارد رورتی، انبروا لمخالفة هذا الرأی ولم یقولوا بأیّ منزلة متمیّزة للعلم</w:t>
      </w:r>
      <w:r>
        <w:rPr>
          <w:rFonts w:eastAsia="IRNazanin" w:cs="IRNazanin"/>
          <w:color w:val="111111"/>
          <w:sz w:val="28"/>
          <w:szCs w:val="28"/>
          <w:rtl w:val="true"/>
          <w:lang w:bidi="fa-IR"/>
        </w:rPr>
        <w:t>.</w:t>
      </w:r>
    </w:p>
    <w:p>
      <w:pPr>
        <w:pStyle w:val="Heading4"/>
        <w:numPr>
          <w:ilvl w:val="3"/>
          <w:numId w:val="1"/>
        </w:numPr>
        <w:rPr/>
      </w:pPr>
      <w:bookmarkStart w:id="203" w:name="__RefHeading___Toc283278_581953129"/>
      <w:bookmarkStart w:id="204" w:name="_Toc77"/>
      <w:bookmarkEnd w:id="203"/>
      <w:r>
        <w:rPr>
          <w:rtl w:val="true"/>
        </w:rPr>
        <w:t>التّعدّدیّة التباینیّة وعدم معنائیّة العلم الدّینی</w:t>
      </w:r>
      <w:bookmarkEnd w:id="204"/>
    </w:p>
    <w:p>
      <w:pPr>
        <w:pStyle w:val="BookText"/>
        <w:rPr/>
      </w:pPr>
      <w:r>
        <w:rPr>
          <w:rFonts w:ascii="IRNazanin" w:hAnsi="IRNazanin" w:eastAsia="IRNazanin"/>
          <w:color w:val="111111"/>
          <w:sz w:val="28"/>
          <w:sz w:val="28"/>
          <w:szCs w:val="28"/>
          <w:rtl w:val="true"/>
          <w:lang w:bidi="fa-IR"/>
        </w:rPr>
        <w:t>إنّ التّعدّدیّة التباینیّة تقسّم دائرة العلم والمعرفة البشریّة إلی مجالات تختلف اختلافاً تامّاً عن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الفلسفیّة الوجودیّة والفلسفیّة التّحلیلیّة من أهمّ المذاهب الفکریّة الّتی تعتقد بنظریّة الکلام الأرثوذکسی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الوضعیّین المناطقة کانوا یعتقدون بالتّمایز التامّ فیما بین دائرة العلم والفلسفة والدّین، ولکن بما أنّهم أساساً یرون عدم معنائیّة مجالات کالدّین والفلسفة، فلا یذکرونها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نظریة التّعدّدیّة التباینیّة فإنّ اختلاف العلم والدّین فی الموضوع والمنهج والغایة متمایز إلی درجة لا یبقی معه معنی لأیّ ترکیب من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صور العلم السبعة فی هذا الاتّجاه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والریاضیّات، العلوم الفیزیائیّة، العلم المتعلّق بذهننا 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التأریخ والعلوم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الأخلاق، علم الجمال، العلم الدّینی والعلم الفلسفی، وهذه کلّها تتمایز تمایزاً منطقیّاً عن بعضها البعض</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الآخر من التّعدّدیّة التباینیّة یعتقد بأنّ التوضیحات العلمیّة والدّینیّة ذات طبیعة واحدة، ولکن لا تصل النّوبة إلی التّوضیحات الدّینیّة إلّا حینما تصل التوضیحات العلمیّة إلی طریق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التوضیحات الدّینیّة تمارس دور التغطیة علی الخلل فی التوضیحات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تعبیر العلم الدّینی فی هذه النّظریّة فاقداً للمعنی أیضاً</w:t>
      </w:r>
      <w:r>
        <w:rPr>
          <w:rFonts w:eastAsia="IRNazanin" w:cs="IRNazanin"/>
          <w:color w:val="111111"/>
          <w:sz w:val="28"/>
          <w:szCs w:val="28"/>
          <w:rtl w:val="true"/>
          <w:lang w:bidi="fa-IR"/>
        </w:rPr>
        <w:t>.</w:t>
      </w:r>
      <w:bookmarkStart w:id="205" w:name="pg5231_29781"/>
    </w:p>
    <w:p>
      <w:pPr>
        <w:pStyle w:val="BookText"/>
        <w:rPr/>
      </w:pPr>
      <w:bookmarkEnd w:id="205"/>
      <w:r>
        <w:rPr>
          <w:rFonts w:ascii="IRNazanin" w:hAnsi="IRNazanin" w:eastAsia="IRNazanin"/>
          <w:color w:val="111111"/>
          <w:sz w:val="28"/>
          <w:sz w:val="28"/>
          <w:szCs w:val="28"/>
          <w:rtl w:val="true"/>
          <w:lang w:bidi="fa-IR"/>
        </w:rPr>
        <w:t>النّظریّة الأخری فی هذا النّطاق هی أنّ العلم والدّین یعطیان توضیحات مختلفة عن ظواهر متماثلة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العلم والدّین، کلّ یقوم ببیانٍ موضوعٍ واحد ولکن من زوایا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 یکون هذان النّوعان من التّوضیحات من طبیعة واحدة ولا یمکن الجمع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للعلم والدّین فی هذه النّظریّة الاصطفاف إلی جوار أحدهما الآخر، فیکمّل أحدهما الآخر لیضعان فی أیدی الباحث رؤیة أکمل للظاهرة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الالتفات إلی أنّ أیٍّ من هذین، لا یحلّ مشکلة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 الانتقادات الموجّهة لنظریّة التّعدّدیّة التباینیّة أنّها وخلافاً للتصویر الّذی تعطیه للمعرفة البشریّة؛ لا تری انفصال العلوم المختلفة بشکل تامّ عن بعضها من حیث الموضوع، المنهج، الغایة،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206" w:name="__RefHeading___Toc283280_581953129"/>
      <w:bookmarkStart w:id="207" w:name="_Toc78"/>
      <w:bookmarkEnd w:id="206"/>
      <w:r>
        <w:rPr>
          <w:rtl w:val="true"/>
        </w:rPr>
        <w:t>التّعدّدیّة التداخلیّة ومعنائیّة العلم الدّینی</w:t>
      </w:r>
      <w:bookmarkEnd w:id="207"/>
    </w:p>
    <w:p>
      <w:pPr>
        <w:pStyle w:val="BookText"/>
        <w:rPr/>
      </w:pPr>
      <w:r>
        <w:rPr>
          <w:rFonts w:ascii="IRNazanin" w:hAnsi="IRNazanin" w:eastAsia="IRNazanin"/>
          <w:color w:val="111111"/>
          <w:sz w:val="28"/>
          <w:sz w:val="28"/>
          <w:szCs w:val="28"/>
          <w:rtl w:val="true"/>
          <w:lang w:bidi="fa-IR"/>
        </w:rPr>
        <w:t>التّعدّدیّة التّداخلیّة تری وجود مجالات مختلفة للعلم البشری، لکنّ هذه المجالات فی عین اختلافها وتفاوتها فی الموضوع، المنهج والغایة تتضمّن حدوداً ومناطق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تطالع الأشیاء المادّیة والأوضاع اللاإرادیّة فی العلوم الطّبیعیّة، والعنایة بالأعمال الإرادیة للإنسان والضوابط والقواعد الأخلاقیّة فی المعرّفة الأخلاقیّة، وبالموجودات من حیث ارتباطها بالله فی المعرفة الدّینیّة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 هذا الرأی بعض عناصر العلوم الطّبیعیّة فی نطاق الأخلاق؛ وکمثال علی ذلک، یحدّد العلم الطّبیعیّ الأعمال الّتی یمکن إنجازها، وتحدّد الأخلاق جواز القیام بهذا العمل أو ذاک من الوجهة الأخلاقیّة ومن حیث الأسلوب، فعلی رغم الاختلاف فی مناهج العلوم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التّحلیلی فی الرّیاضیّات والمنطق، المنهج التّجربی فی الفیزیاء، المنهج التّفسیری والتّأویلی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الهرمنطیقی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المعرفة الدّینیّة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تداخلات فیما بینها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یمکن القول بأنّه قد استُفید فی القرآن من الاستدلالات الفلسفیّة لإثبات بعض الاعتقادات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الدّینی فی الاتّجاه التّعدّدی التّداخلی لا ینسجم لا مع هویة العلم ولا مع هویّة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الدّین کمعرفة مقدّم علی العلم، ویکون مصدراً مهمّاً للمفاهیم، الفرضیّات، النماذج والمناهج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یضفی العبور من مرحلة التّحکیم التّجربیّة إلی الفرضیّات المستخرجة من المصادر الدّینیّة صفة علمیّة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فإعمال مثل هذا الاتّجاه فی العلوم لیس ظاهرة غریبة أبداً وبالخصوص فی العلوم الإنسانیّة؛ لأنّ جمیع النّظریّات الموجودة فی العلوم الإنسانیّة تتضمّن قیداً ظاهراً أو مستوراً من مصدر غیر علمی</w:t>
      </w:r>
      <w:r>
        <w:rPr>
          <w:rFonts w:eastAsia="IRNazanin" w:cs="IRNazanin"/>
          <w:color w:val="111111"/>
          <w:sz w:val="28"/>
          <w:szCs w:val="28"/>
          <w:rtl w:val="true"/>
          <w:lang w:bidi="fa-IR"/>
        </w:rPr>
        <w:t>.</w:t>
      </w:r>
      <w:bookmarkStart w:id="208" w:name="pg5231_29783"/>
    </w:p>
    <w:p>
      <w:pPr>
        <w:pStyle w:val="Heading4"/>
        <w:numPr>
          <w:ilvl w:val="3"/>
          <w:numId w:val="1"/>
        </w:numPr>
        <w:rPr/>
      </w:pPr>
      <w:bookmarkStart w:id="209" w:name="__RefHeading___Toc283282_581953129"/>
      <w:bookmarkStart w:id="210" w:name="_Toc79"/>
      <w:bookmarkEnd w:id="208"/>
      <w:bookmarkEnd w:id="209"/>
      <w:r>
        <w:rPr>
          <w:rtl w:val="true"/>
        </w:rPr>
        <w:t>الصّحیح وغیر الصّحیح فی العلم الدّینی</w:t>
      </w:r>
      <w:bookmarkEnd w:id="210"/>
    </w:p>
    <w:p>
      <w:pPr>
        <w:pStyle w:val="BookText"/>
        <w:rPr/>
      </w:pPr>
      <w:r>
        <w:rPr>
          <w:rFonts w:ascii="IRNazanin" w:hAnsi="IRNazanin" w:eastAsia="IRNazanin"/>
          <w:color w:val="111111"/>
          <w:sz w:val="28"/>
          <w:sz w:val="28"/>
          <w:szCs w:val="28"/>
          <w:rtl w:val="true"/>
          <w:lang w:bidi="fa-IR"/>
        </w:rPr>
        <w:t xml:space="preserve">ولو افترضنا القبول بمعنائیة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القرائن الخاصّة للعلم والدّین، فیجب تحدید أیّ واحد من النماذج المعروضة للعلم الدّینی صحیح وأیّها غیر صحیح، فیبدو أنّ بعض المعانی المختلفة الّتی عرضت للعلم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الإستنباطی والتهذیبی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القبول بها والبعض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الدفاع عنها من حیث المیثولوجیا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وسنتعرّض إدامة لهذا البحث لتوضیح موجز لکلٍّ من موارد هذه المعانی</w:t>
      </w:r>
      <w:r>
        <w:rPr>
          <w:rFonts w:eastAsia="IRNazanin" w:cs="IRNazanin"/>
          <w:color w:val="111111"/>
          <w:sz w:val="28"/>
          <w:szCs w:val="28"/>
          <w:rtl w:val="true"/>
          <w:lang w:bidi="fa-IR"/>
        </w:rPr>
        <w:t>.</w:t>
      </w:r>
    </w:p>
    <w:p>
      <w:pPr>
        <w:pStyle w:val="Heading3"/>
        <w:numPr>
          <w:ilvl w:val="2"/>
          <w:numId w:val="1"/>
        </w:numPr>
        <w:rPr/>
      </w:pPr>
      <w:bookmarkStart w:id="211" w:name="__RefHeading___Toc283284_581953129"/>
      <w:bookmarkStart w:id="212" w:name="_Toc80"/>
      <w:bookmarkEnd w:id="211"/>
      <w:r>
        <w:rPr>
          <w:rtl w:val="true"/>
        </w:rPr>
        <w:t>الاتّجاه الإستنباطی</w:t>
      </w:r>
      <w:bookmarkEnd w:id="212"/>
    </w:p>
    <w:p>
      <w:pPr>
        <w:pStyle w:val="BookText"/>
        <w:rPr/>
      </w:pPr>
      <w:r>
        <w:rPr>
          <w:rFonts w:ascii="IRNazanin" w:hAnsi="IRNazanin" w:eastAsia="IRNazanin"/>
          <w:color w:val="111111"/>
          <w:sz w:val="28"/>
          <w:sz w:val="28"/>
          <w:szCs w:val="28"/>
          <w:rtl w:val="true"/>
          <w:lang w:bidi="fa-IR"/>
        </w:rPr>
        <w:t>یرتکز هذا الاتّجاه علی الاتّجاه الموسوعی لمعرفة الدّین ویعتقد بأنّ الدّین یتضمّن علوماً وأفکاراً مختلفة یحتاجها الإنسان، أو علی الأقل الأصول العامّة الّتی تتحصّل من الدّین؛ ومن هنا فینبغی حسب الرّأی الأوّل السّعی لإستنباط واستخراج مواد العلوم المقصودة من خلال المطالعة الدّقیقة للنصوص الدّینیّة، ومن ثمّ ومن خلال تصنیفها القیام بتنظیم بنیة العلم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الرّأی الثّانی ینبغی أیضاً استخراج الأصول وعمومات العلم المقصود من النّصوص الدّینیّة، ومن ثمّ وباستخدام المنهج الإستنباطی القیام بتحصیل العلم الدّینی من هذه الأصول والعمومات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الاتّجاه عدّة نقود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 إشکال علی اتّجاه معرفة الدّین المستنَد علیه فی هذا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یتّخذ العلم الدّینی الّذی یُستخرج من النّصوص الدّینیّة بالطّریق المذکورة طابعاً اعتقادیّاً وقطعیّاً ولا یعیر التّجربة أهمّیة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یصاحب هذا الاتّجاه أیّ مکسب علمی جدید أبداً، إذ إنّه یسعی لاستخراج معرفة جزئیة أخری من جوف المعارف الموجودة، أو یکتشف تبریراً ومحملاً للنّتائج العلمیّة من بطون النّصوص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الاتّجاه یتمیّز بالالتقاطیّة الشّدیدة؛ إذ إنّه یوفّر خلیطاً غیر متجانس من المکاسب العلمیّة والمستندات الدّینیّة، ویقوم بتفسیر وتأویل النّصوص الدّینیّة بذهنیّة تبلورت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العلم التّجربی</w:t>
      </w:r>
      <w:r>
        <w:rPr>
          <w:rFonts w:eastAsia="IRNazanin" w:cs="IRNazanin"/>
          <w:color w:val="111111"/>
          <w:sz w:val="28"/>
          <w:szCs w:val="28"/>
          <w:rtl w:val="true"/>
          <w:lang w:bidi="fa-IR"/>
        </w:rPr>
        <w:t>.</w:t>
      </w:r>
      <w:bookmarkStart w:id="213" w:name="pg5231_29785"/>
    </w:p>
    <w:p>
      <w:pPr>
        <w:pStyle w:val="Heading3"/>
        <w:numPr>
          <w:ilvl w:val="2"/>
          <w:numId w:val="1"/>
        </w:numPr>
        <w:rPr/>
      </w:pPr>
      <w:bookmarkStart w:id="214" w:name="__RefHeading___Toc283286_581953129"/>
      <w:bookmarkStart w:id="215" w:name="_Toc81"/>
      <w:bookmarkEnd w:id="213"/>
      <w:bookmarkEnd w:id="214"/>
      <w:r>
        <w:rPr>
          <w:rtl w:val="true"/>
        </w:rPr>
        <w:t>اتّجاه تهذیب واستکمال العلوم الفعلیّة</w:t>
      </w:r>
      <w:bookmarkEnd w:id="215"/>
    </w:p>
    <w:p>
      <w:pPr>
        <w:pStyle w:val="BookText"/>
        <w:rPr/>
      </w:pPr>
      <w:r>
        <w:rPr>
          <w:rFonts w:ascii="IRNazanin" w:hAnsi="IRNazanin" w:eastAsia="IRNazanin"/>
          <w:color w:val="111111"/>
          <w:sz w:val="28"/>
          <w:sz w:val="28"/>
          <w:szCs w:val="28"/>
          <w:rtl w:val="true"/>
          <w:lang w:bidi="fa-IR"/>
        </w:rPr>
        <w:t>یعتقد هذا الاتّجاه بتهذیب العلوم الحاضرة من الشوائب والانحرافات من خلال الفکر الإسلامی ویری أنّه من المحتمل إضافة أقسام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نماذج متعدّدة لهذا الاتّجاه فی المجتمع العلمی نتطرّق لبعضها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من طرح نظریة أسلمة العلم هو السّید محمّد نقیب العطّاس وتابعها فی إطار المؤسّسة الدولیّة للفکر والحضارة الإسلامیّة فی مالیزیا ثم قام بتوسیعها إسماعیل الفاروقی فی إطار المؤسّسة الدولیّة للفکر الإسلامی فی أمریکا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العطّاس بأنّ العلوم الغربیة المعاصرة لا یمکنها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أیدی المسلمین وذلک بسبب تلوّثها وامتزاجها بمفاهیم أفرزتها الحضارة الغربیّة؛ ومن هنا فللحصول علی علم حقیقی ینبغی ابتداءً تنقیة هذه العناصر والمفاهیم من جسد العلم المعاصر ومن ثمّ زرق المفاهیم والعناصر الإسلامیّة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أهمّ عناصر السُّنة الفکریّة الغربیّة الّتی ینبغی نفیها عن جسد العلم فی رأی العطّاس هی إثنیة الواقعیة والحقیقة، تضادّ الفکر والجسم، الشّرخ فیما بین الاتّجاه العقلانی والتّجربی، الاتّجاه الإنسانی أو المادّی، أمّا المعارف الإسلامیّة الّتی یجب أن تستقّر فی نواة ترکیبة العلم فهی عبارة عن تفسیر القرآن، السُّنة، الشّریعة أو الفقه، الکلام والفلسفة الإسلامیّة، التّصوّف واللّغة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یعتقد العطّاس أنّ العلم فی الإسلام هو نوع من التّأویل أو التّفسیر الرمزیّ للموجودات التّجربیّة ویری أنّ النّتائج العلمیّة للغرب یجب أن تُصب فی هذا الإطار بعد تهذیبها من المفاهیم الغربیّة کی تنعکس علی شکل علم حقیقیّ وإسلامیّ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یتمثّل معیار الصدق فی رأی العطّاس بمجرد المطابقة مع الواقع اعتماداً علی الشّواهد التّجربیّة، بل یجب فی رأیه أن تنعکس الأمور الواقعیّة والشّواهد التّجربیّة فی إطار تفسیر رمزی للعالم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إسماعیل الفاروقی کذلک بأنّه ومن أجل أسلمة العلوم یجب ترمیم الفروع العلمیّة الحدیثة، کی تتضمّن أصول الإسلام فی المیثولوجیا، خطّة العمل، الأهداف والطّموحات المقصودة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عرض ما هو موجود من العلوم الحدیثة فی عملیة التّرمیم هذه والّتی هی أعمّ من الأهداف، المناهج والنّتائج العلمیة من خلال المفهوم الجوهری للتوحید وتغییرها وفقاً لذلک؛ لأنّ التوحید یتضمّن وحدة العلم والحقیقة، وحدة الحیاة والخلق، وحدة الإنسانیة ووحدة التّأریخ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وتعرّض اتّجاه التهذیب واستکمال العلوم الحاضرة للنقد من بعض الجوانب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الاتّجاه یخاطر بتعریض وحدة النّظریّات العلمیّة الّتی تتجلّی فی فرضیّاتها وأسالیبها ونتائجها لعدم أخذها بنظر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تکوین مجامیع غیر منسجمة هو الإشکال الآخر الوارد علی هذه النّظریّة؛ لأنّ النّظریّات العلمیّة تعتمد علی افتراضات فلسفیّة، ثقافیّة، وفکریّة معیّنة ویظهر تأثیرها بنحو ما فی أشکالها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القیام بتهذیب وتنقیة هیکل النّظریّات وإضفاء عناصر من الفکر الإسلامی علیها، ربّما یؤدّی إلی إنتاج مجامیع غیر متناسبة باللّحاظ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بأنّ الجهود الّتی بذلت علی هذا الصعید فی التّأریخ المعاصر للعلوم الإنسانیّة فی العالم الإسلامی واجهت الفشل وذلک بسبب عدم الالتفات إلی افتقادها التناسق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المشکلة الأخری، التّطبیق المتکلّف للآیات والرّوایات علی المطالب والمباحث الّتی طُرحت فی رأی أو نظریّة، لأنّه ولأجل تطبیق آیة أو روایة ما علی مطلب مقبول قد لوحظ فی نظریّة ما، تُحمّل تلک الآیة أو الرّوایة معنیً لا یمکن استفادته من ذلک النصّ حسب الأسس المنهجیّة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الصعوبة الأخری فی هذا الاتّجاه تتمثّل فی وضع مطالب مجملة من النّصوص الدّینیة إلی جانب المباحث الدّقیقة والتّفصیلیّة للنظریّات العلمیّة ویتولّد لدینا من خلال ذلک إحساس کاذب بعدم الحاجة إلی أنّ الإسلام له رأی أیضاً فی هذا المجال والنکتة الّتی یجب الالتفات إلیها فی هذا المجال هو أنّ الخطاب القصیر والمجمل لا یمکنه أبداً أن یؤدّی إلی اطّلاع دقیق وتفصیلی تستطیع العلوم المختلفة الحصول علیه، لکنّ أمثال هذه الفعّالیّات، علی القول بأنّ النّصوص الدّینیّة قد تحدّثت عنها، ستهدّئ فی الوقت ذاته من القلق الذهنی للباحثین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اتّجاه تهذیب واستکمال العلوم الحاضرة یؤدّی إلی طراز معیّن من المضامین التّعلیمیّة الّذی تصطفّ فیه المطالب المختلفة للنظریّات العلمیّة والمضامین المأخوذة من الآیات والرّوایات جنباً إلی جنب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الطّراز من تنظیم المضمون ونظراً للمشکلات السّابقة یؤدّی إلی قلّة ما یعرض من الدّین والنّصوص الدّینیّة؛ فیُلقی فی ذهن القارئ تصوّراً بأنّ النّصوص الدّینیّة تستحسن</w:t>
      </w:r>
      <w:bookmarkStart w:id="216" w:name="pg5231_29789"/>
    </w:p>
    <w:p>
      <w:pPr>
        <w:pStyle w:val="BookText"/>
        <w:rPr/>
      </w:pPr>
      <w:bookmarkEnd w:id="216"/>
      <w:r>
        <w:rPr>
          <w:rFonts w:ascii="IRNazanin" w:hAnsi="IRNazanin" w:eastAsia="IRNazanin"/>
          <w:color w:val="111111"/>
          <w:sz w:val="28"/>
          <w:sz w:val="28"/>
          <w:szCs w:val="28"/>
          <w:rtl w:val="true"/>
          <w:lang w:bidi="fa-IR"/>
        </w:rPr>
        <w:t>الإشارات القصیرة والمجملة، فی حال أنّ العلماء والنّظریّات العملیّة تبیّن مطالب ومباحث دقیقة وکثیرة فی هذا المجال ذاته</w:t>
      </w:r>
      <w:r>
        <w:rPr>
          <w:rFonts w:eastAsia="IRNazanin" w:cs="IRNazanin"/>
          <w:color w:val="111111"/>
          <w:sz w:val="28"/>
          <w:szCs w:val="28"/>
          <w:rtl w:val="true"/>
          <w:lang w:bidi="fa-IR"/>
        </w:rPr>
        <w:t>.</w:t>
      </w:r>
    </w:p>
    <w:p>
      <w:pPr>
        <w:pStyle w:val="Heading3"/>
        <w:numPr>
          <w:ilvl w:val="2"/>
          <w:numId w:val="1"/>
        </w:numPr>
        <w:rPr/>
      </w:pPr>
      <w:bookmarkStart w:id="217" w:name="__RefHeading___Toc283288_581953129"/>
      <w:bookmarkStart w:id="218" w:name="_Toc82"/>
      <w:bookmarkEnd w:id="217"/>
      <w:r>
        <w:rPr>
          <w:rtl w:val="true"/>
        </w:rPr>
        <w:t>الاتّجاه التّأسیسیّ فی العلم الدّینی</w:t>
      </w:r>
      <w:bookmarkEnd w:id="218"/>
    </w:p>
    <w:p>
      <w:pPr>
        <w:pStyle w:val="BookText"/>
        <w:rPr/>
      </w:pPr>
      <w:r>
        <w:rPr>
          <w:rFonts w:ascii="Amiri" w:hAnsi="Amiri" w:eastAsia="Amiri" w:cs="Amiri"/>
          <w:color w:val="111111"/>
          <w:sz w:val="28"/>
          <w:sz w:val="28"/>
          <w:szCs w:val="28"/>
          <w:rtl w:val="true"/>
          <w:lang w:bidi="ar-SA"/>
        </w:rPr>
        <w:t>یعدّ الاتّجاه التأسیسیّ، نموذجاً للعلم الدّینی والّذی یعتقد بأنّه یمتلک ظهیراً نظریّاً یمکنه الدّفاع بشکل أقوی من النماذج الآنفة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الدّینی فی هذا الاتّجاه وکأیّ جهد علمیّ آخر یجب أن ینشأ فی ضوء القدرة الإلهامیّة لخلفیّاته الخاصّة من جهة وفی صراع الجهد التّجربی من جهة أخری ویستفاد فی هذه النّظریّة من أجزاء من الفکر الإسلامی باعتباره رصیداً میتافیزیّاً للبحث فی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فنظراً للنفوذ العمیق للأرصدة المیتافیزیّة فی المراحل المختلفة لتوسّع وانتشار نظریّة علمیّة، یمکن للنظریّات العلمیّة المبتکرة من خلال الخلفیّات المیتافیزیّة أن تنتمی علی نحو معنائیّ إلی رصیدها المیتافیزیّ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تمکّن الأفکار الإسلامیّة من أن یکون لها مثل هذا النفوذ العمیق فی تأسیس فرع أو فروع من العلوم الإنسانیّة، یمکنها أیضاً أن تجعل من الفرضیّة المستخرجة أن تنتسب إلی الطّابع الإسلامی من خلال هذا النفوذ المضمونی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تأسیس الفرضیّة تصل النوبة إلی اختبارها تجربیّاً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برزت شواهد کافیة لتأیید الفرضیّات فی هذا القسم یمکن حینها ادّعاء إنتاج نظریّة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وباختصار فإنّ الآراء الّتی تجتاز هاتین المرحلتین تتمیّز بالعلمیّة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اجتازت بوتقة الاختبار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وبالدّینیّة من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إنّها تکتسی لون ارتباطها بالمقدّمات الدّینیّة</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219" w:name="__RefHeading___Toc283290_581953129"/>
      <w:bookmarkStart w:id="220" w:name="_Toc83"/>
      <w:bookmarkEnd w:id="219"/>
      <w:r>
        <w:rPr>
          <w:rtl w:val="true"/>
        </w:rPr>
        <w:t>مبنی العلم المعرّفی للنموذج التأسیسیّ العلم الدّینی</w:t>
      </w:r>
      <w:bookmarkEnd w:id="2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یرتکز النّموذج التأسیسی للعلم الدّینی علی العلم المعرفی لاتّجاه ما بعد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تنحّی فی هذا الاتّجاه الکشوفیّة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الإفراطیّة جانباً؛ ویعتمد فیه التّداخل والتّرابط</w:t>
      </w:r>
      <w:bookmarkStart w:id="221" w:name="pg5231_29791"/>
    </w:p>
    <w:p>
      <w:pPr>
        <w:pStyle w:val="BookText"/>
        <w:rPr/>
      </w:pPr>
      <w:bookmarkEnd w:id="221"/>
      <w:r>
        <w:rPr>
          <w:rFonts w:ascii="IRNazanin" w:hAnsi="IRNazanin" w:eastAsia="IRNazanin"/>
          <w:color w:val="111111"/>
          <w:sz w:val="28"/>
          <w:sz w:val="28"/>
          <w:szCs w:val="28"/>
          <w:rtl w:val="true"/>
          <w:lang w:bidi="fa-IR"/>
        </w:rPr>
        <w:t>فیما بین المشاهدة والنّظریّة وعدم تعیّن النّظریّة بحدودها التامّة من خلال المشاهدة والاختبار، ولا یقتصر العلم فی هذه النّظریّة علی عدم کونه نتاجاً خالصاً لمشاهدة الواقع؛ بل إنّ الشکّ یسری أیضاً إلی أنّ للمشاهدة دوراً حاسماً وذلک فی مقام الحکم وتفسّر الفعّالیّات العلمیّة أساساً علی أنّها تمثّل القابلیّة الفکریّة والنّظریّة للعلماء فی فهم وتفسیر المشاهدات وإزالة عدم الانسجام فیما بین المعتقدات والمشاهدات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وتنهار المواجهة التامّة فیما بین العلم والقیم فی هذه النّظریّة وتعتمد المشاهدات العلمیّة فیها علی خلفیّة نظریّة وقِیمیّة، ویعتمد فی قبول أو رفض النّظریّات العلمیّة علی نوع معیّن من نظام المفاضلة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التطوّر العلمی حسب رأی ما بعد الوضعیّة فهو لیس فقط لا یمرّ عبر طریق معیّن واحد من خلال تنافس النّظریّات العلمیّة للعلم، وإنّما یستلزم إثارة التنافس فیما بین النماذج الفکریّة المختلفة فی مجالاته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تدمّر الإمکانات الکامنة فی النماذج الفکریّة الغربیّة والمنزویة الأسالیب والرسوم المعتادة</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222" w:name="__RefHeading___Toc283292_581953129"/>
      <w:bookmarkStart w:id="223" w:name="_Toc84"/>
      <w:bookmarkEnd w:id="222"/>
      <w:r>
        <w:rPr>
          <w:rtl w:val="true"/>
        </w:rPr>
        <w:t>مبنی معرفة الدّین للنموذج التّأسیسی للعلم الدّینی</w:t>
      </w:r>
      <w:bookmarkEnd w:id="223"/>
    </w:p>
    <w:p>
      <w:pPr>
        <w:pStyle w:val="BookText"/>
        <w:rPr/>
      </w:pPr>
      <w:r>
        <w:rPr>
          <w:rFonts w:ascii="IRNazanin" w:hAnsi="IRNazanin" w:eastAsia="IRNazanin"/>
          <w:color w:val="111111"/>
          <w:sz w:val="28"/>
          <w:sz w:val="28"/>
          <w:szCs w:val="28"/>
          <w:rtl w:val="true"/>
          <w:lang w:bidi="fa-IR"/>
        </w:rPr>
        <w:t>ومن جهة أخری، فإنّ هذا النّموذج یرتکز علی نظریةِ الانتقاءِ الاستنطاقی فی الدّین وعلی أنّ المهمّة الأساسیّة للدین تتمثّل فی هدایة الإنسان إلی الدائرة الإلهیّة وأنّ الدّین تمکّن من أداء وظیفته هذه علی أمثلِ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یعدّ عرض رأی خاصّ للدین فی أیٍّ من المسائل العلمیّة أمراً لازماً حسب هذا الاتّجاه وأنّ تأسیس علم دینی لا یعدّ من المسائل الّتی یتکفّل بها الدّین، کی یکون عدم تحقّقها نقصاً فی الدّین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بذلت جهود لتأسیس علم دینیّ، وفقاًَ لهذه النّظریّة، فهی لأجل أنّ الدّین أضافة إلی أدائه هدفه الأساسی بشکل جیّد أی هدایة النّاس إلی الله، یمکنه أن یُبدی طاقاته لبلورة الأنظمة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فإنّ حذاقة الإنسان تقتضی منه البحث عن حلول مناسبة لمشاکله من خلال المراجعة الذکیّة لجمیع ما یمتلکه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ضمنها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والافتراض واختبار الفرضیّات المقترحة و</w:t>
      </w:r>
      <w:r>
        <w:rPr>
          <w:rFonts w:eastAsia="IRNazanin" w:cs="IRNazanin"/>
          <w:color w:val="111111"/>
          <w:sz w:val="28"/>
          <w:szCs w:val="28"/>
          <w:rtl w:val="true"/>
          <w:lang w:bidi="fa-IR"/>
        </w:rPr>
        <w:t>... .</w:t>
      </w:r>
      <w:bookmarkStart w:id="224" w:name="pg5231_29793"/>
    </w:p>
    <w:p>
      <w:pPr>
        <w:pStyle w:val="Heading3"/>
        <w:numPr>
          <w:ilvl w:val="2"/>
          <w:numId w:val="1"/>
        </w:numPr>
        <w:rPr/>
      </w:pPr>
      <w:bookmarkStart w:id="225" w:name="__RefHeading___Toc283294_581953129"/>
      <w:bookmarkStart w:id="226" w:name="_Toc85"/>
      <w:bookmarkEnd w:id="224"/>
      <w:bookmarkEnd w:id="225"/>
      <w:r>
        <w:rPr>
          <w:rtl w:val="true"/>
        </w:rPr>
        <w:t>قابلیّة النّقض فی النّموذج التأسیسیّ للعلم الدّینی</w:t>
      </w:r>
      <w:bookmarkEnd w:id="226"/>
    </w:p>
    <w:p>
      <w:pPr>
        <w:pStyle w:val="BookText"/>
        <w:rPr/>
      </w:pPr>
      <w:r>
        <w:rPr>
          <w:rFonts w:ascii="IRNazanin" w:hAnsi="IRNazanin" w:eastAsia="IRNazanin"/>
          <w:color w:val="111111"/>
          <w:sz w:val="28"/>
          <w:sz w:val="28"/>
          <w:szCs w:val="28"/>
          <w:rtl w:val="true"/>
          <w:lang w:bidi="fa-IR"/>
        </w:rPr>
        <w:t>إنّ القضایا الدّینیّة فی النّموذج التأسیسی للعلم الدّینی لیست بمنزلة الفرضیّات العلمیّة، بل علیّ العلماء استنتاجها کما هی المقدّمات العلمیة، ولذا فالفرضیّات النّاتجة عن الاختبار التّجربی تکون معرّضة للنقض من جهة أنّها نتاج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النّظریّات العلمیّة حسب هذه النّظریّة یتمّ نقضها لکونها استنتاجات ساذجة لا تتناسب والمقدّمات الدّینیّة ولم یستطیع العلماء والمنظّرون نظراً لتعقید موضوع البحث إقامة ارتباط مناسب فیما بینها وبین التّعالیم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النّقض التّجربی لفرضیّة ما؛ یمکن للعلماء طرق أبواب مصادرهم الإلهامیّة مرّة أخری واستلهام افتراضات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للاختبارات التّجربیّة فی هذه النّظریّة الطّعن فی التّعالیم الدّینیّة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القول فیما لو تکرّرت عملیة نقض الفرضیّات المستلهمة من المعتقدات الدّینیّة بأنّ المقدّمات قد تمّ نقضها؛ لأنّ هذه المقدّمات لیس لها شکل تجربی ولا یمکن نقضها من خلال التّجربة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مثل هذا الوضع، لا یوجد فی ید العلماء المنظّرین حیلة سوی استخلاص هذه النّتیجة وهی عدم استطاعتهم بناء فرضیّة من هذا المصدر الإلهامی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أعانهم علی بیان واحتمال وتقییم الظّاهرة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الأخری فی هذه النّظریّة هی وجود احتمال عدم قابلیة تأسیس علم دینی فی جمیع المیادین العلمیّة، لأجل أنّ المقدّمات الّتی نحتاجها فی تلک المیادین غیر مبیّنة وغیر موجودة فی التّعالیم الدّینیّة، ویوجد احتمال آخر أیضاً وهو عدم تأسیس أیّ علم دینی من الأساس؛ وذلک لأنّ جمیع الفرضیّات النّاجمة عن التّعالیم الدّینیّة تتعرّض للنقض التّجربی، ولکن نظراً لنظریّة الانتقاء الاستنطاقی یمکن إثبات أنّه لا یمکن لأیٍّ من هذه الاحتمالات إضعاف المکانة الّتی یتمتّع بها الدّین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نظرة إلی تأریخ العلوم، وعلی الخصوص العلوم الإنسانیّة، نستنتج بأنّ العملیّة الّتی تتقدّم فی هذا النّموذج من تدوین العلم، هی العملیّة ذاتها الّتی ترعرعت العلوم الإنسانیّة المعاصرة فی حاقّها وأنّ اختلاف العلم الدّینی المؤسَّس فی هذا النّموذج مع</w:t>
      </w:r>
      <w:bookmarkStart w:id="227" w:name="pg5231_29795"/>
    </w:p>
    <w:p>
      <w:pPr>
        <w:pStyle w:val="BookText"/>
        <w:rPr/>
      </w:pPr>
      <w:bookmarkEnd w:id="227"/>
      <w:r>
        <w:rPr>
          <w:rFonts w:ascii="IRNazanin" w:hAnsi="IRNazanin" w:eastAsia="IRNazanin"/>
          <w:color w:val="111111"/>
          <w:sz w:val="28"/>
          <w:sz w:val="28"/>
          <w:szCs w:val="28"/>
          <w:rtl w:val="true"/>
          <w:lang w:bidi="fa-IR"/>
        </w:rPr>
        <w:t>العلوم الإنسانیّة المعاصرة، یشبه إلی حدّ ما الاختلاف الموجود حالیّاً فیما بین النّظریّات المتنافسة فی میدان العلوم الإنسانیّة</w:t>
      </w:r>
      <w:r>
        <w:rPr>
          <w:rFonts w:eastAsia="IRNazanin" w:cs="IRNazanin"/>
          <w:color w:val="111111"/>
          <w:sz w:val="28"/>
          <w:szCs w:val="28"/>
          <w:rtl w:val="true"/>
          <w:lang w:bidi="fa-IR"/>
        </w:rPr>
        <w:t>.</w:t>
      </w:r>
    </w:p>
    <w:p>
      <w:pPr>
        <w:pStyle w:val="Heading3"/>
        <w:numPr>
          <w:ilvl w:val="2"/>
          <w:numId w:val="1"/>
        </w:numPr>
        <w:rPr/>
      </w:pPr>
      <w:bookmarkStart w:id="228" w:name="__RefHeading___Toc283296_581953129"/>
      <w:bookmarkStart w:id="229" w:name="_Toc86"/>
      <w:bookmarkEnd w:id="228"/>
      <w:r>
        <w:rPr>
          <w:rtl w:val="true"/>
        </w:rPr>
        <w:t>نفی الاتّجاه النّسبی للعلم المعرّفی عن النّموذج التأسیسیّ للعلم الدّینیّ</w:t>
      </w:r>
      <w:bookmarkEnd w:id="229"/>
    </w:p>
    <w:p>
      <w:pPr>
        <w:pStyle w:val="BookText"/>
        <w:rPr/>
      </w:pPr>
      <w:r>
        <w:rPr>
          <w:rFonts w:ascii="IRNazanin" w:hAnsi="IRNazanin" w:eastAsia="IRNazanin"/>
          <w:color w:val="111111"/>
          <w:sz w:val="28"/>
          <w:sz w:val="28"/>
          <w:szCs w:val="28"/>
          <w:rtl w:val="true"/>
          <w:lang w:bidi="fa-IR"/>
        </w:rPr>
        <w:t xml:space="preserve">من الانتقادات الموجّهة لهذا النّموذج هو أنّ نسبة النّظریّات العلمیّة إلی خلفیّاتها المیتافیزیّة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کوضع قیود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الکانتیّة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العلم الدّینی إلی أن یصبح نسبیّاً فی علمه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وللإجابة علی هذا الانتقاد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نسبیّة العلم المعرّفی یزیل فی الأساس إمکانیّة التحدّث عن العلم، العینیّة العلمیّة والتّوافق الذّهنی بین العلماء؛ ولکنّ هناک نوع آخر من النّسبیّة کان منسجماً والواقعیّة الانتقادیّة الّتی لا تخدش هویّة العلم فوق التّأریخیّة فحسب، وإنّما لا یمکن الوصول إلی فهم مناسب للعلم إلّا من خلال الاستفادة منها فوفقاً لهذه النّظریّة الخاصّة فی النّسبیّة؛ أنّ الواقعیّة المعقّدة وبطیئة الاکتشاف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یهیؤها تجویز خلفیّات وآراء العلماء، تقع تحت مبضع البحث بدرجةِ معینة وتُرشد إلی مظاهر مختلفة من واقعیّات الإنسان وتُسهم فی نسبة من 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المحدود للإنسان بهذا اللحاظ یعدّ بمثابة اکتشاف علمی وما فوق التّأریخیّة ویکون مقبولاً بعد قبوله تجربیّاً</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230" w:name="__RefHeading___Toc283298_581953129"/>
      <w:bookmarkStart w:id="231" w:name="_Toc87"/>
      <w:bookmarkEnd w:id="230"/>
      <w:r>
        <w:rPr>
          <w:rtl w:val="true"/>
        </w:rPr>
        <w:t>مقدّمات و مراحل تأسیس العلم الدّینی</w:t>
      </w:r>
      <w:bookmarkEnd w:id="231"/>
    </w:p>
    <w:p>
      <w:pPr>
        <w:pStyle w:val="Heading4"/>
        <w:numPr>
          <w:ilvl w:val="3"/>
          <w:numId w:val="1"/>
        </w:numPr>
        <w:rPr/>
      </w:pPr>
      <w:bookmarkStart w:id="232" w:name="__RefHeading___Toc283300_581953129"/>
      <w:bookmarkStart w:id="233" w:name="_Toc88"/>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یلزم لتحقّق العلم الدّینی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للتّعالیم الدّینیّة غزارة وثراء فی نطاق العلم التّجربی المقصود یمکن معها الاستفادة منها کخلفیّات لذلک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الخلفیّات المعدَّة لتنظیم الفرضیّات فی نطاق العلم المقصود؛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استخلاص شواهد فی مقام اختبار هذه الفرضیّات لأجل البیانات والتصوّرات والفحوصات الناشئة منها</w:t>
      </w:r>
      <w:r>
        <w:rPr>
          <w:rFonts w:eastAsia="IRNazanin" w:cs="IRNazanin"/>
          <w:color w:val="111111"/>
          <w:sz w:val="28"/>
          <w:szCs w:val="28"/>
          <w:rtl w:val="true"/>
          <w:lang w:bidi="fa-IR"/>
        </w:rPr>
        <w:t>.</w:t>
      </w:r>
      <w:bookmarkStart w:id="234" w:name="pg5231_29798"/>
    </w:p>
    <w:p>
      <w:pPr>
        <w:pStyle w:val="BookText"/>
        <w:rPr/>
      </w:pPr>
      <w:bookmarkEnd w:id="23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عدد هذا النّوع من الفرضیات المدعومة بالشّواهد حدّاً یمکن معه بلورة نظریّة فی مجال الموضوع المطالَع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أساس هذه الأسس المطروحة، وبعد الإجابة عن سؤالین بنیویین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الصورة الّتی یصوَّر بها الإنسان فی النّصوص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القواعد المأخوذة فی بیان عمل الإنسان من خلال هذا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استخلاص المضامین المیتافیزیّة الموجودة فی الفکر الإسلامی بخصوص الإنسان وأعماله والاستفادة منها فی عملیّة التّوجیه الخاصّ فی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قمنا بمثل هذا الإجراء فی مجال علم النّفس الإسلامی</w:t>
      </w:r>
      <w:r>
        <w:rPr>
          <w:rFonts w:eastAsia="IRNazanin" w:cs="IRNazanin"/>
          <w:color w:val="111111"/>
          <w:sz w:val="28"/>
          <w:szCs w:val="28"/>
          <w:rtl w:val="true"/>
          <w:lang w:bidi="fa-IR"/>
        </w:rPr>
        <w:t>.</w:t>
      </w:r>
    </w:p>
    <w:p>
      <w:pPr>
        <w:pStyle w:val="Heading4"/>
        <w:numPr>
          <w:ilvl w:val="3"/>
          <w:numId w:val="1"/>
        </w:numPr>
        <w:rPr/>
      </w:pPr>
      <w:bookmarkStart w:id="235" w:name="__RefHeading___Toc283302_581953129"/>
      <w:bookmarkStart w:id="236" w:name="_Toc89"/>
      <w:bookmarkEnd w:id="235"/>
      <w:r>
        <w:rPr>
          <w:rtl w:val="true"/>
        </w:rPr>
        <w:t>الملاحظات</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أولی مراحل تولید العلم الدّینی فی رأی الدّکتور باقری هی معرفة المنطقة الأولی للدین، المنطقة الّتی هی حسب تعبیره تختصّ ببیان العقائد، القیّم والأحکام الّتی لا یمکن للإنسان الوصول إلیها إلّا بواسطة الوحی والّتی یتولّی بیانها بأصرح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عقیدته أنّ بلاغات وخطابات هذه المنطقة قد بُیّنت بدرجة من الشّفافیّة والصِّراحة لا یحتاج معها الاستفادة من العلوم البشریّة لمعرفتها وفهمها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الّتی ینبغی الالتفات إلیها فی مجال هذا الرّأی هی أنّ استخلاص المعارف من النّصوص الدّینیّة ینبغی لزوماً أن یتمّ بشکل ممنهج حیث تتولّی البحوث المتعلّقة بالأسالیب الإجتهادیّة ودراسة عوامل وکیفیة فهم النّصوص الدّینیّة؛ بیان تلک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تُستخدم أصول عرفیّة عقلیّة کثیرة فی هذا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الأخری أنّه ومن خلال عبارات الدّکتور باقری تقفز إلی الأذهان فکرة أنّ محتویات هذه المنطقة ینبغی أن تکون حائزة علی إجماع المسلمین وذلک للوضوح والصراحة الّتی یتمّ بها الدّین فی هذه المنطقة؛ لکن یجب الالتفات إلی أنّ الفهم الواقعی للقضایا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منطقتها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یستلزم الفهم الدّقیق لمعنی الألفاظ المستخدمة فیها و أنّ معانی هذه الألفاظ لها کثیر ارتباط کذلک بالأطر والأجهزة الفکریّة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من الممکن حدوث إجماع فیما بین المسلمین بشأن أحد القضایا الدّینیّة، لکن توجد تفاسیر وأفهام متعدّدة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هذه التّفاصیل یبدو أنّ الدّکتور باقری لم یستقرئ بشکل واضح الأبعاد المختلفة للمنطقة الأولی للدین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المرحلة الثّانیة فی عملیّة تولید العلم الدّینی فی المثال المقترح للسید باقری، فتتمثّل بتقدیم نموذج؛ الحدس أو الافتراض المرتکز علی 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أنّ السّید باقری لا یری ضرورة منهجة استخراج المثال أو الفرضیّة من المعارف الدّینیّة فی هذه المرحلة، فهو یعتقد بکفایة مجرّد الاستفادة من التّعالیم والمفاهیم الدّینیّة فی الفرضیّة والنّموذج فی اتّصاف هذه الفرضیّة والنّموذج بکونها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وتبرز هنا مسألة، وهی أنّ مجرّد الاستفادة من المفاهیم الدّینیّة فی فرضیّةٍ ما أو الاستفادة من نظریّة دینیّة رئیسة حول الإنسان، العالم والمجتمع فی بلورة فرضیّة ما، لا یمکنه ضمان کون هذه الفرضیّة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اصطباغ النّموذج والفرضیّة بلون دینی یختلف عن کونها دینیّة؛ فلطالما اصطبغت بعض النّظریّات بلون دینی من خلال الاستفادة من مفاهیم إسلامیّة، ولکنّها لم تعدّ إسلامیّة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المرحلة الثّالثة فی عملیّة تولید العلم الدّینی هی مرحلة القضاء التّجربی، فحسب تعبیر الدّکتور باقری أنّه بعد تأسیس الفرضیّات تصل النّوبة إلی اختبارها تجربیاً وإذا ما حصلنا علی شواهد کافیة لتأیید النّظریّة، یمکن حینها التّحدّث عن نتائج 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الکلام، لا ینسجم وطبیعة اتّجاه ما بعد الوضعیّة فی مثاله التّأسیسی للعلم الدّینی الّذی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تعیّن نظریّة المشاهدة والاختبار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الأصول الأساسیّة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هذه الصفة، لا یتمّ إثبات وإبطال النّظریّات العلمیّة من خلال المشاهدة والاختبار، ویوکل القول الأوّل فی هذه المرحلة إلی إجماع المجتمع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فلو کان المجتمع العلمیّ، هو مجتمع المسلمین یکفی حینها فی ثقتهم بالفرضیّة انتسابها المنهجی إلی 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ذلک المجتمع مجتمعاً علمیّاً دولیّاً ففی هذه الحالة لا یوجد أیّ أجماع حاسم فیما بین العلماء علی الأقل فی مجال العلوم الإنسانیّة والإجتماعیّة فسیفقد حینها القضاء التّجربی مکانته فی المیثولوجیا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العلوم الإنسانیّة علی أدنی تقدیر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الفرار من هذه المشکلة، یحاول السّید باقری بیان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إعطاء النّظریّة قیمة لا ینبغی الإفراط کثیراً فی جعل المشاهدة تابعة للرأی والنّظریّة بشکل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من دون عرض ملاک عینیّ لحدود الإفراط والتّفریط فی هذا المجال لا یمکن طرح مثل هذا الاقتراح ولکون أمثال جون تامس کوهین وبول فایربند المؤسّسین لاتّجاه ما بعد الوضعیّة، قد أوصدوا الطّریق فی هذا المجال من خلال طرحهم مبحث عدم قابلیّة النماذج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المسألة أنّه یبدو أنّ السّید باقری قد عدل عن مبناه فی العلم المعرفی فی هذا المجال، ولم یلزم نفسه بجمیع لوازم وتبعات اتّجاه ما بعد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یرید السّید باقری الالتزام بمبنی العلم المعرّفی لاتّجاه ما بعد الوضعیّة، فیجب علیه الإجابة عن جمیع الانتقادات الموجهة لهذا الاتّجاه وعلی الخصوص بحث نسبیّة العلم المعرّفی وعدم إمکانیّة القیاس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السّید باقری ولأجل الاحتراز من الانزلاق أکثر فی نسبیّة العلم المعرفی، فقد طرح نوعاً آخر من النّسبیّة المعرّفیّة بحسب تعبیره لا تقتصر علی عدم تهدیدها للهویّة ما فوق التّأریخیّة للعلم فحسب، وإنّما یمکن الوصول وبواسطتها فقط إلی فهم مناسب للعلم وهی النّسبیّة المعرفیّة الإدراکیّة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والمقصود من هذا النّوع من النّسبیّة هو أنّ الحقیقة المعقّدة والنادرة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شباک البحث بدرجة معیّنة علی ضوء الرخصة الّتی تهیّؤها خلفیّات وآراء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فالخلفیّات المختلفة تدلّل علی مظاهر متفاوتة من حقیقة الإنسان وتُقبل علی أنّها نتائج علمیّة وخارج نطاق التأریخ إلی أن تزکّی کلٌّ منها بالشّواهد التّجربیّة؛ ولکنّ الاثنین یکونان محکومان بنوع من النّسبیّة فی ذات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النّسبیّة هو ذاته الّذی یبرّر وجود نظریّات مختلفة فی فروع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ابتدأ کلّ واحد من العلماء عمله بنوع معیّن من الخلفیّات والآراء فمن الطّبیعیّ أنّه یجب أن توفّر مفاهیم وفرضیات ونظریّات مختلفة تتناسب وتتلائم کلٌّ منها مع مجالها الخاصّ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 إظهار هذا التناسب مع إضافة قیود علی لفظة العلم إلی عدم تورّطنا فی نسبیة العلم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اقتراح السّید باقری فی مبحث النّسبیّة المعرفیّة لا یتّسم بالوضوح فی مجال ارتباط الخلفیّات بالشّواهد التّجربیّة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أردنا أن نعتقد بأنّ النجاح التّجربی هو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لجانب من وجود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یکون البحث مرتبطاً بهذه النّظریّة المعروفة فی فلسفة العلم وهی أنّ النجاحات التّجربیّة للنظریّات العلمیّة علامة علی الصّدق النّسبیّ لها، النّظریّة الّتی حازت علی دعم الواقعیّین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مکان للخلفیّات وسعتها الوجودیّة فی هذه النّظریّة وإذا ما اتّصفت النّظریّات العلمیّة بحیازتها شواهد تجربیّة تتوافق معها فسیکون لها جانب من الحقیقة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یبدو أنّ منهج السّید الدّکتور باقری لم یکن واضحاً بطرحه بحث النّسبیّة المعرّفیّة للفرار من نسبیّة العلم المعرّفی، وهو بحاجة إلی عرض إیضاحات أکثر فی هذا المجال</w:t>
      </w:r>
      <w:r>
        <w:rPr>
          <w:rFonts w:eastAsia="IRNazanin" w:cs="IRNazanin"/>
          <w:color w:val="111111"/>
          <w:sz w:val="28"/>
          <w:szCs w:val="28"/>
          <w:rtl w:val="true"/>
          <w:lang w:bidi="fa-IR"/>
        </w:rPr>
        <w:t>.</w:t>
      </w:r>
      <w:bookmarkStart w:id="237" w:name="pg5231_29804"/>
    </w:p>
    <w:p>
      <w:pPr>
        <w:pStyle w:val="Heading2"/>
        <w:numPr>
          <w:ilvl w:val="1"/>
          <w:numId w:val="1"/>
        </w:numPr>
        <w:rPr/>
      </w:pPr>
      <w:bookmarkStart w:id="238" w:name="__RefHeading___Toc283304_581953129"/>
      <w:bookmarkStart w:id="239" w:name="_Toc90"/>
      <w:bookmarkEnd w:id="237"/>
      <w:bookmarkEnd w:id="238"/>
      <w:r>
        <w:rPr>
          <w:rtl w:val="true"/>
        </w:rPr>
        <w:t>المیول وتقییم دینیة العلوم</w:t>
      </w:r>
      <w:bookmarkEnd w:id="239"/>
    </w:p>
    <w:p>
      <w:pPr>
        <w:pStyle w:val="Heading3"/>
        <w:numPr>
          <w:ilvl w:val="2"/>
          <w:numId w:val="1"/>
        </w:numPr>
        <w:rPr/>
      </w:pPr>
      <w:bookmarkStart w:id="240" w:name="__RefHeading___Toc283306_581953129"/>
      <w:bookmarkStart w:id="241" w:name="_Toc91"/>
      <w:bookmarkEnd w:id="240"/>
      <w:r>
        <w:rPr>
          <w:rtl w:val="true"/>
        </w:rPr>
        <w:t>الدّکتور سعید زیبا کلام</w:t>
      </w:r>
      <w:bookmarkEnd w:id="241"/>
    </w:p>
    <w:p>
      <w:pPr>
        <w:pStyle w:val="BookText"/>
        <w:rPr/>
      </w:pPr>
      <w:r>
        <w:rPr>
          <w:rStyle w:val="FootnoteAnchor"/>
          <w:rtl w:val="true"/>
        </w:rPr>
        <w:footnoteReference w:id="39"/>
      </w:r>
    </w:p>
    <w:p>
      <w:pPr>
        <w:pStyle w:val="Heading3"/>
        <w:numPr>
          <w:ilvl w:val="2"/>
          <w:numId w:val="1"/>
        </w:numPr>
        <w:rPr/>
      </w:pPr>
      <w:bookmarkStart w:id="242" w:name="__RefHeading___Toc283308_581953129"/>
      <w:bookmarkStart w:id="243" w:name="_Toc92"/>
      <w:bookmarkEnd w:id="242"/>
      <w:r>
        <w:rPr>
          <w:rtl w:val="true"/>
        </w:rPr>
        <w:t>مقدّمة</w:t>
      </w:r>
      <w:bookmarkEnd w:id="2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أُبدیت وجهات نظر واُجریت بحوث بعناوین مختلفة حول دور الدّین فی صناعة العلوم فی الأعوام القلیلة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نظری أنّ أغلب هذه المواقف والتّنظیرات تصطبغ بصبغة واحدة وهی أنّها ناشئة إلی حدّ ما عن هیمنة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فالباحث الّذی یعتقد بأنّ للدین مکانة مهمّة وأثر بالغ فی العلوم أو یجب أن یکون له ذلک، فهو أساساً ومن خلال تناوله الوضعی والسلبی للعلوم والاستفادة من مفاهیم من قبیل المعقولیّة، الموضوعیّة، </w:t>
      </w:r>
      <w:r>
        <w:rPr>
          <w:rStyle w:val="FootnoteAnchor"/>
          <w:rtl w:val="true"/>
        </w:rPr>
        <w:footnoteReference w:id="40"/>
      </w:r>
      <w:r>
        <w:rPr>
          <w:rFonts w:ascii="IRNazanin" w:hAnsi="IRNazanin" w:eastAsia="IRNazanin"/>
          <w:color w:val="111111"/>
          <w:sz w:val="28"/>
          <w:sz w:val="28"/>
          <w:szCs w:val="28"/>
          <w:rtl w:val="true"/>
          <w:lang w:bidi="fa-IR"/>
        </w:rPr>
        <w:t xml:space="preserve">الواقعیّة واستخدام التّمایز المدمّر للواقعیّة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وتمایز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المثیر للتساؤل، یتحدّث بشکل قطعی عن دور الدّین فی العلوم وضرورته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والباحثون الّذی لا یعتقدون بضرورة حضور وقیام الدّین بدور فی میدان العلوم، فهم یلجأون وبغرابة إلی ذات المفاهیم والتّعالیم وینکرون دوره ویبعدونه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ویستدلّون علی سبیل المثال بأنّ العلوم التّجربیّة ولأنّها تعرض الواقع وتتمیّز بالموضوعیّة والحیاد تّجاه القیم من جهة ولکون الدّین متضمّناً وعارضاً للقیّم من جهة أخری، فلا یمکنه إذن ولا ینبغی علیه التدخّل فی صناعة العلوم</w:t>
      </w:r>
      <w:r>
        <w:rPr>
          <w:rFonts w:eastAsia="IRNazanin" w:cs="IRNazanin"/>
          <w:color w:val="111111"/>
          <w:sz w:val="28"/>
          <w:szCs w:val="28"/>
          <w:rtl w:val="true"/>
          <w:lang w:bidi="fa-IR"/>
        </w:rPr>
        <w:t>.</w:t>
      </w:r>
      <w:bookmarkStart w:id="244" w:name="pg5231_29806"/>
    </w:p>
    <w:p>
      <w:pPr>
        <w:pStyle w:val="BookText"/>
        <w:rPr/>
      </w:pPr>
      <w:bookmarkEnd w:id="244"/>
      <w:r>
        <w:rPr>
          <w:rFonts w:ascii="IRNazanin" w:hAnsi="IRNazanin" w:eastAsia="IRNazanin"/>
          <w:color w:val="111111"/>
          <w:sz w:val="28"/>
          <w:sz w:val="28"/>
          <w:szCs w:val="28"/>
          <w:rtl w:val="true"/>
          <w:lang w:bidi="fa-IR"/>
        </w:rPr>
        <w:t xml:space="preserve">ولیس قصدی من هذا أنّی أؤید الأسلوب الآنف، وإنّما أسعی لدراسة وتحلیل وإعادة تقیّیم میادین مختلفة من العلوم لیتّضح هل أنّها بحاجة إلی القیم وبعض میول النّاس؟ وهل هناک مجال لحضور وتدخّل المعارف والقیم الدّینیة فی هذه المیادین؟ وهل بإمکان التّعالیم الدّینیّة أن تقوم بدور تقویمیّ فی أهمّ وأکثر نقاط ترکیبة العلوم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الإنسانیّة حساسیّة؟ </w:t>
      </w:r>
      <w:r>
        <w:rPr>
          <w:rStyle w:val="FootnoteAnchor"/>
          <w:rtl w:val="true"/>
        </w:rPr>
        <w:footnoteReference w:id="41"/>
      </w:r>
    </w:p>
    <w:p>
      <w:pPr>
        <w:pStyle w:val="Heading3"/>
        <w:numPr>
          <w:ilvl w:val="2"/>
          <w:numId w:val="1"/>
        </w:numPr>
        <w:rPr/>
      </w:pPr>
      <w:bookmarkStart w:id="245" w:name="__RefHeading___Toc283310_581953129"/>
      <w:bookmarkStart w:id="246" w:name="_Toc93"/>
      <w:bookmarkEnd w:id="245"/>
      <w:r>
        <w:rPr>
          <w:rtl w:val="true"/>
        </w:rPr>
        <w:t>دور العقائد الثّقافیّة فی تحدید العوامل المؤثّرة فی الظّواهر الطّبیعیّة</w:t>
      </w:r>
      <w:bookmarkEnd w:id="246"/>
    </w:p>
    <w:p>
      <w:pPr>
        <w:pStyle w:val="BookText"/>
        <w:rPr/>
      </w:pPr>
      <w:r>
        <w:rPr>
          <w:rFonts w:ascii="IRNazanin" w:hAnsi="IRNazanin" w:eastAsia="IRNazanin"/>
          <w:color w:val="111111"/>
          <w:sz w:val="28"/>
          <w:sz w:val="28"/>
          <w:szCs w:val="28"/>
          <w:rtl w:val="true"/>
          <w:lang w:bidi="fa-IR"/>
        </w:rPr>
        <w:t>إنّ رودلف کارنب، الفیلسوف والعالِم الألمانی، یعدّ من أشدّ منظّری المدرسة الوضعیّة المنطقیّة تأثیراً کما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أصدر أحد کتبه فی سنیّه المتأخّرة وفی مرحلة نضوجه الفکری والموسوم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حول فلسفة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ویطرح فی أحد فصول هذا الکتاب مباحث لافتة حول منهج الاختبار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رأیه أنّ العلماء وفی جمیع مجالات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الطّبیعیّة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یقومون ابتداءً حین المطالعة أو بیان الظّواهر بحدس العوامل الّتی یحتملون علاقتها بتلک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المعارف، النّظریّات، والتّعالیم الموجودة فی ذلک المجال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یسعون بعد هذا الحدس الأوّلی، لاکتشاف صحیح هذه الحدسیّات من سقیمها ویقومون بإجراء اختبارات فی هذا السبیل وبعد تشخیص کون تلک العوامل الّتی حُدست مؤثّرة، یقومون بمطالعة الکیفیّة والمقدار الأدقّ لارتباط هذه العوامل بالاختبارات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منهج الاختبارات العلمیّة کما بیّنه وفهمه کارنب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کارنب یطرح تنبیهاً مهمّاً فی هذا المجال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الاحتیاط کثیراً فی المجالات البکر وغیر المطروقة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کارنب،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 الآن ما هی الملاحظات والأمور الّتی یقصدها تنبیه کارنب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المنشأ الحقیقی لتحذیر کارنب؟ إذ یبدو أنّ هذا التحذیر والتنبیه یشیر إلی نقاط مهمّة جدّاً یلزم القیام بتحلیلها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الشّیء الوحید الّذی تقوله الاختبارات وفی أیٍّ من مجالات العلوم هو هل أنّ العوامل الّتی حدسناها دخیلة ومؤثّرة فی تلک الظّاهرة الخاصّة أم لا؟ فالاختبارات لا تحدّد</w:t>
      </w:r>
    </w:p>
    <w:p>
      <w:pPr>
        <w:pStyle w:val="BookText"/>
        <w:rPr/>
      </w:pPr>
      <w:r>
        <w:rPr>
          <w:rFonts w:ascii="IRNazanin" w:hAnsi="IRNazanin" w:eastAsia="IRNazanin"/>
          <w:color w:val="111111"/>
          <w:sz w:val="28"/>
          <w:sz w:val="28"/>
          <w:szCs w:val="28"/>
          <w:rtl w:val="true"/>
          <w:lang w:bidi="fa-IR"/>
        </w:rPr>
        <w:t>العوامل الّتی یحتمل أن یکون لها دخل فی الظّاهرة مورد البحث أو العوامل الّتی نُفیت أو غُفل عنها وکانت عوامل مؤثّرة وقد أخطأنا فی اتّخاذ قرار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فالاختبار والتّجربة، فی أیّ مجال من العلوم، لا تجیب إلّا علی الأسئلة الّتی نطرحها، ولیس علی الأسئلة الّتی لم نطرحها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أنّ هناک خمسة عوامل مؤثّرة فی ظاهرة ما فی حدسنا الأوّلی، فالاختبار والتّجربة تقول لنا بأنّ هناک ثلاثة عوامل مثلاً تتوافق وما حدسنا من هذه العوامل الخمسة المفروضة، أمّا العاملان الآخران فلیس لهما تأثیر فی تلک الظّاهرة، ولکن بالنّسبة للعوامل الأخری، غیر تلک العوامل الخمسة، لا تخبرنا بأیّ شیء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باستطاعة الاختبار والتّجربة أن تحدّد لنا العوامل المؤثّرة فی الظّواهر دون أن نطرح أسئلة بخصوصها لتمکّن العلماء من الإجابة علی جمیع المجاهیل والأسئلة قبل ألفی أو ثلاثة آلاف سنة خلت ولم تبق الیوم مسألة أو مجال للبحث دون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المسألة، نفترض أنّنا نرید البحث والتحقیق حول ظاهرة جدیدة وفی مجال خاصّ وجدید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ونظراً لحداثة وعدم طرق ذلک المجال وتلک الظّاهرة سابقاً، لا تتوفّر بین أیدینا آثار وآراء مدوّنة أو غیر مدوّنة یمکن الاعتماد علیها کی نتمکّن من خلالها القیام بحدس تأمّلی فی مجال العوامل الدّخیلة فی الظّاهرة المقصودة ثمّ القیام بتقییمها بالتّجربة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الموارد یُحتمل أن تتعرّض بعض العوامل المؤثّرة فی الظّاهرة مورد البحث للنفی بشکل کامل أو أن یُغفل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والاختبار والتّجربة لا تقول لنا أیضاً أیّ العوامل قد أخطأنا فی نفیها أو إغفالها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ولهذا السّبب، أن لا یُلتفت خلال البحث إلی بعض العوامل الّتی هی دخیلة حقیقة فی الظّاهرة ولمدّة طویلة أو بشکل دائم، ممّا یؤدّی إلی عدم تعرّضها للفحص والتّحلیل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یعدّ تحذیر کارنب تحذیراً جادّاً وفی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نخضع علی الدّوام لقیود وحدود فی اختباراتنا وأنّ إحدی هذه القیود هی أنّنا لا نستطیع اختبار وتجربة جمیع العوامل المحتملة فی ظاهرة ما من النّواحی الزّمانیّة والمالیّة والإمکانیة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 أنّنا لا نستطیع اختبار ومشاهدة ما للون، الحجم، شکل غرفة الاختبار، موضع النّجوم والسّیارات وآلاف الخصوصیّات الأخری الموجودة حین الاختبار من دور فَی الظّاهرة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القیود هی کالحدود المتعلّقة بالاختبارات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 xml:space="preserve">شرحناها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بنا إلی أن نتقدّم بحذر شدید فی الظّواهر والمجالات البکر والحدیثة لعلم الطّبیعة، لأنّنا نضطرّ لنفی عوامل کثیرة جدّاً من المحتمل أن یکون لها تأثیر حقیقی فی تلک الظّاهرة أو أن نغفل عنها عن جهل وبلا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یجول فی الذّهن هذا السّؤال وهو ما هی القاعدة الّتی تجعل العلماء یتفاعلون لنفی هذه العوامل أو ینفعلون لإغفالها؟ من المؤکّد أنّهم لا یقومون بعملیة التخمین فی جوّ خال من المعلومات والمعارف والأفکار والقیم، وغالباً ما تکون تخمیناتهم مبتنیة علی اعتبارات وأسباب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وبلا تردّد، بأنّه لیس هناک أیّ أهمّیة لأن تکون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المعلومات والمعارف والأفکار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أو کاذبة، وهمیّة أو حقیقیّة نتاجاً لهوی النّفس أو مستخلصة من تعالیم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أنّه ینبغی أن یکون هناک شیء أو شُییء کی یمکن التّخمین أو التّخامن اعتماداً علیه أو تبعاً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الأساس الرصین والرّاسخ نودعه الصّدور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التّفکیر و الحدس و التّکهّن بأیّ وجود عار من المیول و خال من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کهذا من الصّعب بل المحال علی الأنسان تصوّره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الموضوع مورد البحث، بکراً وغیر مسبوق، فسیجبر حینها العلماء علی الاستعانة بالعقائد الثّقافیّة الموجودة فی المجتمع العلمی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حتّی مجتمع شامل للمجتمع العلمی وسائر فئات المجتمع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فیمکن علی أساس هذا التّحلیل؛ استنتاج أنّ العلماء یضطرّون إلی اللجوء إلی المعارف والاعتقادات الّتی یکتشفوها فی المجتمع حول أنفسهم فی المواضیع البکر وغیر المطروقة الّتی هی بدایة ظهور جمیع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الزمن الّذی لا توجد فی ذلک الموضوع مجموعة مدوّنة من المفاهیم، النّظریّات، التّعالیم والأفکار الجزئیّة والأساسیّة والمنقّحة تجربیّاً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هذه المعارف والأفکار لیست سوی الآراء والاعتقادات العرفیّة والعمومیّة للمجتمع الّتی لا تکون موضعاً لتفکیر ومعایشة أولئک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الأمر فی غیر محلّه إذا ما أضفنا هنا بأنّ نتیجة هذا التحلیل هی ذاتها الّتی نُظّمت وبُیّنت علی لسان بعض علماء الفلسفة، أمثال انشتاین من أنّ العلوم المعاصرة هی إدامة وشرح للآراء والاعتقادات العرفیّة والمشترکة الجامعة لمنشأ تلک العلوم</w:t>
      </w:r>
      <w:r>
        <w:rPr>
          <w:rFonts w:eastAsia="IRNazanin" w:cs="IRNazanin"/>
          <w:color w:val="111111"/>
          <w:sz w:val="28"/>
          <w:szCs w:val="28"/>
          <w:rtl w:val="true"/>
          <w:lang w:bidi="fa-IR"/>
        </w:rPr>
        <w:t>.</w:t>
      </w:r>
      <w:bookmarkStart w:id="247" w:name="pg5231_29812"/>
    </w:p>
    <w:p>
      <w:pPr>
        <w:pStyle w:val="BookText"/>
        <w:rPr/>
      </w:pPr>
      <w:bookmarkEnd w:id="247"/>
      <w:r>
        <w:rPr>
          <w:rFonts w:ascii="IRNazanin" w:hAnsi="IRNazanin" w:eastAsia="IRNazanin"/>
          <w:color w:val="111111"/>
          <w:sz w:val="28"/>
          <w:sz w:val="28"/>
          <w:szCs w:val="28"/>
          <w:rtl w:val="true"/>
          <w:lang w:bidi="fa-IR"/>
        </w:rPr>
        <w:t>والآن ینبغی النّظر فی هل أنّ کارنب یوافق علی نتیجة التحلیل الآنف لتحذیره المناسب والحدود الّتی ذکرها وکونه کان ملتفتاً لهذا التأثیر الملحّ للعقائد الثّقافیّة فی المواضیع البکر وغیر المسبوقة للعلوم؟ إنّ الجواب هو الإیجاب علی العموم، لأنّه یصرّح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الثّقافیّة تأثیر فی تحدید العوامل المتعلّقة بالعلوم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إنّ جواب کارنب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إیجابی وهذا یعنی أنّنا نواجه مشکلة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فکارنب وللأسف لا یعرض فی أیٍّ من آثاره أیّ دلیل وحجّة 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أظن ومن خلال التّحلیل الّذی عرضناه سابقاً، أنّه اتّضح بأنّ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الأمر فیه کذلک من أنّ العقائد الثّقافیّة فی المواضیع البکر وغیر المسبوقة أو فی بدایة ظهور أیٍّ من شُعب العلوم، تکون مؤثّرة فی تحدید العوامل الدّخیلة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مشکلتنا الأولی الّتی یسبّبها تفطّن کارنب إلی دور العقائد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مشکلتنا الثّانیة هی أنّ العقائد الثّقافیّة، إضافة إلی کونها مؤثّرة فی تحدید العوامل الدخیلة، فإنّها تساهم ولها دور جادّ فی إنکار العوامل الأخری والغفلة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قد تمّ بیانها وافیاً فی ذیل شرح وتحلیل المحدودیّة الأولی من التحلیل السابق ولا حاجة لتکرارها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فنظراً للاستدلالات الآنفة، یتّضح لنا بأنّ حضور العقائد الثّقافیّة فی مجال جمیع العلوم التّجربیّة، وعلی الخصوص فی مرحلتها التّقویمیّة والجنینیّة، هو حضور جادّ وحاسم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کارنب وعلی رغم التزاماته وارتباطاته البنیویّة القِیمیّة الفکریّة الاشتراکیّة الخاصّة الّتی یؤمن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کارنب، </w:t>
      </w:r>
      <w:r>
        <w:rPr>
          <w:rFonts w:eastAsia="IRNazanin" w:cs="IRNazanin"/>
          <w:color w:val="111111"/>
          <w:sz w:val="28"/>
          <w:szCs w:val="28"/>
          <w:lang w:bidi="fa-IR"/>
        </w:rPr>
        <w:t>1991/1993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اضطر للاعتراف بهذا الحضور وهذه الدّخالة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وأودّ الآن أن أطرح هذا السّؤال وهو ألا یفتح هذا الوضع الطّریق للحضور التقویمیّ للعقائد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تمثّل قسماً مهمَّاً جدّاً من ثقافة المجتمعات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العلوم؟ </w:t>
      </w:r>
      <w:r>
        <w:rPr>
          <w:rStyle w:val="FootnoteAnchor"/>
          <w:rtl w:val="true"/>
        </w:rPr>
        <w:footnoteReference w:id="42"/>
      </w:r>
    </w:p>
    <w:p>
      <w:pPr>
        <w:pStyle w:val="Heading3"/>
        <w:numPr>
          <w:ilvl w:val="2"/>
          <w:numId w:val="1"/>
        </w:numPr>
        <w:rPr/>
      </w:pPr>
      <w:bookmarkStart w:id="248" w:name="__RefHeading___Toc283312_581953129"/>
      <w:bookmarkStart w:id="249" w:name="_Toc94"/>
      <w:bookmarkEnd w:id="248"/>
      <w:r>
        <w:rPr>
          <w:rtl w:val="true"/>
        </w:rPr>
        <w:t>دور المیول والطّموحات فی اختبار النّظریّات</w:t>
      </w:r>
      <w:bookmarkEnd w:id="2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علی یقین ممّا لهذا العنوان من عجب وغرابة وسخف فی الثّقافة الجامعیّة الشّدیدة السّذاجة وضعیّاً والأشدّ سذاجة نقضیّاً وفی الحوزة العلمیّة المعاصرة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ما تغلبنا علی التّعالیم شبه الوضعیّة لمرحلة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وللأسف تستمرّ حتّی مرحلة</w:t>
      </w:r>
    </w:p>
    <w:p>
      <w:pPr>
        <w:pStyle w:val="BookText"/>
        <w:rPr/>
      </w:pPr>
      <w:r>
        <w:rPr>
          <w:rFonts w:ascii="IRNazanin" w:hAnsi="IRNazanin" w:eastAsia="IRNazanin"/>
          <w:color w:val="111111"/>
          <w:sz w:val="28"/>
          <w:sz w:val="28"/>
          <w:szCs w:val="28"/>
          <w:rtl w:val="true"/>
          <w:lang w:bidi="fa-IR"/>
        </w:rPr>
        <w:t xml:space="preserve">الدّکتوراه التّخصّیصیّة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إذا ما تخلّصنا من السیطرة المؤدّبة ولکن السّطحیّة والمغلوطة غالباً للتعالیم النّقضیّة علی المجتمع الفکری المعاصر سنری بوضوح من أنّ المیول والطّموحات، وکما فی جمیع الفعالیّات البشریّة، تلعب دوراً تقویمیّاً ومصیریّاً فی اختبار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w:t>
      </w:r>
    </w:p>
    <w:p>
      <w:pPr>
        <w:pStyle w:val="BookText"/>
        <w:rPr/>
      </w:pPr>
      <w:r>
        <w:rPr>
          <w:rFonts w:ascii="IRNazanin" w:hAnsi="IRNazanin" w:eastAsia="IRNazanin"/>
          <w:color w:val="111111"/>
          <w:sz w:val="28"/>
          <w:sz w:val="28"/>
          <w:szCs w:val="28"/>
          <w:rtl w:val="true"/>
          <w:lang w:bidi="fa-IR"/>
        </w:rPr>
        <w:t xml:space="preserve">فوفقاً لنظریّة العلم المنهجی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المعرفی لبوبر، حینما نرید تقیّیم نظریّة ما نبتدئ وبشکل منطقیّ باستنتاج نتائج من تلک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وعلی ضوء النّظریّة ذاتها، نجری الاختبار، ونتوصّل لبعض القضایا المشاهدتیّة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کان هناک انسجام فیما بین النّتاجات المنطقیّة للنظریّة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للقضایا ذاتها الّتی حصلنا علیها بالاستنتاج القیاسی، والّتی تکهّنا ببعضها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والنّتاجات التّجربیّة للنظریّة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ذاتها الّتی توصّلنا إلیها بالتّجربة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الحالة یمکن التحدّث عن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هناک انسجام فیما بین قضایا المجموعتین وکانتا متعارضتین، فستواجهنا معضلات ومشاکل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بإمکاننا نفی مثل هذه الموارد بالقیام بعملین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نعتقد ببطلان النّظریّة وإمّا بنقص فی القضایا المشاهداتیّة، فنقوم باختبارها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w:t>
      </w:r>
    </w:p>
    <w:p>
      <w:pPr>
        <w:pStyle w:val="BookText"/>
        <w:rPr/>
      </w:pPr>
      <w:r>
        <w:rPr>
          <w:rFonts w:ascii="IRNazanin" w:hAnsi="IRNazanin" w:eastAsia="IRNazanin"/>
          <w:color w:val="111111"/>
          <w:sz w:val="28"/>
          <w:sz w:val="28"/>
          <w:szCs w:val="28"/>
          <w:rtl w:val="true"/>
          <w:lang w:bidi="fa-IR"/>
        </w:rPr>
        <w:t>فنقول؛ بما أنّ القضایا المشاهداتیّة قد بُیّنت بالاستعانة بالمفاهیم العامّة، وأنّ کلّ واحد من هذه المفاهیم، یمثّل جانباً مهمّاً من النّظریّة، فستکون للقضایا المشاهداتیّة فی النّتیجة جانباً ومحتویً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للقضایا المشاهداتیّة صفة افتراضیّة أو نظریّة، وعلی هذا، یمکن إخضاعها للتقیّیم والاختبار کما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الحصول علی نتائج منطقیّة منها ومقارنة هذه النّتائج مع القضایا المشاهداتیّة النّاتجة عن الاختبار التّجربی للقضایا المشاهداتیّة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رأی بوبر، أنّه فی الوضع النّقضی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الّتی یوجد فیها تعارض فیما بین النّتاجات المنطقیّة والنّتاجات التّجربیّة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اعتمد العلماء علی القضایا المشاهداتیّة، نستطیع من خلال الاستعانة بقاعدة رفع التّالی، أن نستنتج بطلان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فی هذا المجال التّذکیر بأنّه فی حالة نقضیّة، لا یمکن لا للمنطق ولا للتجربة أن یفصح عن أیّ طرف من الطّرفین هو، کاذب أم خاطئ، أو غیر مقبول وغیر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فأقصی ما یستطیع أن یقوم به المنطق والتّجربة هو وضع کلٍّ من المجموعتین من القضایا الّتی شوهدت والقضایا</w:t>
      </w:r>
    </w:p>
    <w:p>
      <w:pPr>
        <w:pStyle w:val="BookText"/>
        <w:rPr/>
      </w:pPr>
      <w:r>
        <w:rPr>
          <w:rFonts w:ascii="IRNazanin" w:hAnsi="IRNazanin" w:eastAsia="IRNazanin"/>
          <w:color w:val="111111"/>
          <w:sz w:val="28"/>
          <w:sz w:val="28"/>
          <w:szCs w:val="28"/>
          <w:rtl w:val="true"/>
          <w:lang w:bidi="fa-IR"/>
        </w:rPr>
        <w:t>القابلة للمشاهدة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یتمّ ذلک یُطبق المنطق والتّجربة فمه ویقبع فی الظّلام ولابدّ من اکتشاف عوامل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بأنّه فی حالة عدم تمکّن العلماء إجماعاً أو إجمالاً من الاعتماد والوثوق لأیّ سبب أو أسباب بالقضایا المشاهداتیّة فإنّه یمکنهم إخضاع هذه القضایا کما النّظریّات إلی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یتمکّنوا من التّوصّل مجدّداً إلی إجماع بخصوص القضایا المشاهداتیّة الجدیدة ولأیّ سبب أو أسباب وجعلوها أساساً لتحدید قیمة النّظریّات مورد الاختبار، ففی هذه الحالة یمکنهم تعریض هذه القضایا للاختبار کالنّظریّات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أنّنا نواجه هنا تسلسلاً توقّف عنده بوبر وهو عبارة عن أنّه یمکن لهذه السّلسلة من التقهقر الاختباری الاستمرار دون توقّف، من دون أن یکون لأیّ منطق قدرة علی إیقافها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فیصرّح بوبر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اختبار لنظریّة، سواء أدّی إلی تصویبها أو إبطالها، یجب أن یتوقّف علی القضیّة البنیویّة الّتی قرّرنا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نتوصّل إلی أیّ قرار، ولم نقبل بالقضیّة البنیویّة، فسوف لا یصل الاختبار فی هذه الحالة إلی أیّ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حسب الرّؤیة المنطقیّة، والضعیفة فإنّنا لا نکون مجبرین فی أیّ حال من الأحوال علی التوقّف علی قضیة بنیویّة خاصّة، أو أن ندَع الاختبار بشکل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قضیّة بنیویّة یمکنها بدورها أن تتعرّض للاختبار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لهذا المسار أیّ نهایة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فإذا أردنا أن یکون لاختبارنا نهایّة، فلا یوجد أیّ مفرّ سوی التوقّف علی نقطة ما ونقول قد رضینا مضطرّین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بوبر بتصریحه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أیّ نهایة طبیعیة، لهذا المسار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یکشف عن تنبّهه لوجود التّسلسل، ویتحدّث عن ضرورة تقریرنا للقبول بالقضیّة البنیویّة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 هنا أن نسأل عن سبب تحدّث بوبر عن ضرورة تقریرنا للقبول بالقضیّة البنیویّة؟</w:t>
      </w:r>
    </w:p>
    <w:p>
      <w:pPr>
        <w:pStyle w:val="BookText"/>
        <w:rPr/>
      </w:pPr>
      <w:r>
        <w:rPr>
          <w:rFonts w:ascii="IRNazanin" w:hAnsi="IRNazanin" w:eastAsia="IRNazanin"/>
          <w:color w:val="111111"/>
          <w:sz w:val="28"/>
          <w:sz w:val="28"/>
          <w:szCs w:val="28"/>
          <w:rtl w:val="true"/>
          <w:lang w:bidi="fa-IR"/>
        </w:rPr>
        <w:t>والجواب، نیابة عن بوبر، هو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 المنطق ولا التّجربة بإمکانهما وضع الأغلال فی قدمی تلک السّلسلة التقهقریّة اللامتناهیّة للاختبارات، لإیقاف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لماذا؟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دور المنطق یتلخّص بالقول بأنّ أحد الطّرفین صادق والآخر کاذب فی حالة کون الافتراضات والمشاهدات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النّتاجات المنطقیّة والنّتاجات التّجربیّة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منسجمین، لکنّه لا یعیّن مطلقاً أیّهما الصّادق وأیّهما الکاذب؛ لأنّه لیس بمقدوره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الواقع، ونظراً إلی أنّ هذه الافتراضات والمشاهدات غیر متناقضة وإنّما متعارضة لیس إلّا، فلیس لأحد الشکوی من وجود معضلة التّعارض هذه إلّا المنطق والمنطق وحده، لأنّه منطقیّاً توجد</w:t>
      </w:r>
    </w:p>
    <w:p>
      <w:pPr>
        <w:pStyle w:val="BookText"/>
        <w:rPr/>
      </w:pPr>
      <w:r>
        <w:rPr>
          <w:rFonts w:ascii="IRNazanin" w:hAnsi="IRNazanin" w:eastAsia="IRNazanin"/>
          <w:color w:val="111111"/>
          <w:sz w:val="28"/>
          <w:sz w:val="28"/>
          <w:szCs w:val="28"/>
          <w:rtl w:val="true"/>
          <w:lang w:bidi="fa-IR"/>
        </w:rPr>
        <w:t xml:space="preserve">إمکانیّة کذبهما معاً وأن توجد قضیّة مشاهداتیّة أخری غیر جاهزة فعلاً 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فمنطقنا لا یمکنه تقدیم أیّ مساعدة فی التّقریر بشأن جعل قضیّة مشاهداتیّة ما مبنائیّة وفی النّتیجة إیقاف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هو حال التّجربة؟</w:t>
      </w:r>
    </w:p>
    <w:p>
      <w:pPr>
        <w:pStyle w:val="BookText"/>
        <w:rPr/>
      </w:pPr>
      <w:r>
        <w:rPr>
          <w:rFonts w:ascii="IRNazanin" w:hAnsi="IRNazanin" w:eastAsia="IRNazanin"/>
          <w:color w:val="111111"/>
          <w:sz w:val="28"/>
          <w:sz w:val="28"/>
          <w:szCs w:val="28"/>
          <w:rtl w:val="true"/>
          <w:lang w:bidi="fa-IR"/>
        </w:rPr>
        <w:t>ممّا لا یحتاج إلی کثیر تأمّل وتحلیل هو أنّنا عرفنا بأنّ مهمّة التّجربة فقط وفقط وضع القضایا المشاهداتیّة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تستطیع التّجربة مطلقاً القفز فوق مستواها وتقول لنا بأنّ القضایا المشاهداتیّة صادقة أو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لاحظنا حتّی الآن لِمَ لیس للمنطق والتّجربة أیّ قدرة، فی تقریر مبنائیّة القضایا المشاهداتیّة، وإیقاف التّسلسل ولِمَ یضطرّ بوبر للتحدّث عن ضرورة التقریر للقبول والتوافق علی القضایا المشاهداتیّة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لا یبقی أیّ مجال للشک والتّردید یؤکّد بوبر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اختبار نظریّة ما من وجهة النّظر المنطقیّة، موکول بالقضایا المبنائیّة الّتی تعتمد مسألة قبولها أو رفضها بدورها علی ما نقرّره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فالقرارات هی الّتی تحدّد مصیر النّظریّات</w:t>
      </w:r>
      <w:r>
        <w:rPr>
          <w:rFonts w:eastAsia="IRNazanin" w:cs="IRNazanin"/>
          <w:color w:val="111111"/>
          <w:sz w:val="28"/>
          <w:szCs w:val="28"/>
          <w:rtl w:val="true"/>
          <w:lang w:bidi="fa-IR"/>
        </w:rPr>
        <w:t>»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التّأکیدات من بوبر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اتّضح أنّ قراراتنا هی الّتی تحدّد مصیر النّظریّات، من المناسب أن نسأل ما المبنی الّذی نرتکز علیّه فی اتّخاذ مثل هذه القرارات؟</w:t>
      </w:r>
    </w:p>
    <w:p>
      <w:pPr>
        <w:pStyle w:val="BookText"/>
        <w:rPr/>
      </w:pPr>
      <w:r>
        <w:rPr>
          <w:rFonts w:ascii="IRNazanin" w:hAnsi="IRNazanin" w:eastAsia="IRNazanin"/>
          <w:color w:val="111111"/>
          <w:sz w:val="28"/>
          <w:sz w:val="28"/>
          <w:szCs w:val="28"/>
          <w:rtl w:val="true"/>
          <w:lang w:bidi="fa-IR"/>
        </w:rPr>
        <w:t>النقطة الأولی الملفتة للنظر هی أنّه وکما صرّح نورود راسل هانسن والبحث الّذی جری حول ثقافة العلم المعرّفی إثره، فی کون القضایا المشاهداتیّة محمّلة بعبء النّظریّات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بوبر وبشکل جیّد الوجه الآخر لذّلک القول وهو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تبریر القضایا المبنائیّة بواسطة تجاربنا الفوریّة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ومن خلال الرّؤیة المنطقیّة، تُقبل بواسطة القیام بعمل؛ أی بواسطة قرار 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الأساس؛ إذا لم تُبرّر القضایا المشاهداتیّة بواسطة تجاربنا الإدراکیّة الذاتیّة، فکیف وعلی أیّ أساس باستطاعتنا أو یجب علینا انتخابها؟ وهنا، یفرّق بوبر بین إجابته وإجابة ذوی النّزعة التّوافقیّة بشکل 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 بوبر علی هذا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الجواب الّذی طرحه التّوافقیّون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یقّر بوبر بأنّنا لا نمتلک حیلة سوی التّوافق، کما قال به التّوافقیّون، لکنّ؛ هذا التّوافق والقرار، لا یعیّن بشکل فوریّ قبول القضایا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علی العکس، فهو یعیّن قبول القضایا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القضایا المبنائیّة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أنّ بوبر، متنبّه، وبشکل ذکیّ لدخول نوع من التوافقیّة فی العلم المنهجی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المعرفی الخاصّ به ویؤیّد بأنّه لا یمکننا التّخلّص من التوافق إلّا إذا جری هذا الأمر علی القضایا المبنائیّة ولیس علی النّظریّات، بالشّکل الّذی یقول به التّوافقیّون المألوفون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أصررنا علی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إلی أنّ هذا العمل التّوافقیّ لا ینشأ فی فراغ، فحول أیّ أشیاء، أمور، طموحات، میول أو حاجات نتوافق وعلی هذا، فمن اللّازم أن نستفسر عن المیول والطّموحات المقوّمة لقرارنا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وبوبر بدوره یعرف هذا الأمر جیّداً لأنّه یصرّح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الانتخاب تحدّده إلی حدّ ما الملاحظات النفعیّة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وللأسف، فإنّ بوبر لم یوضّح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من مواضع منطق الاکتشاف العلمیّ، ولا فی سائر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ظنّی الرّاجح هو أنّ سبب عدم شرح بوبر الملاحظات النفعیّة هو أنّ تحدید الحدود والثغور فی هذا المجال غیر ممکن وغیر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تحدید مثل هذه الملاحظات لجمیع موارد قرارات القضایا المبنائیّة دفعة واحدة وبصورةٍ دائمة، لکن لماذا لا یمکن؟</w:t>
      </w:r>
    </w:p>
    <w:p>
      <w:pPr>
        <w:pStyle w:val="BookText"/>
        <w:rPr/>
      </w:pPr>
      <w:r>
        <w:rPr>
          <w:rFonts w:ascii="IRNazanin" w:hAnsi="IRNazanin" w:eastAsia="IRNazanin"/>
          <w:color w:val="111111"/>
          <w:sz w:val="28"/>
          <w:sz w:val="28"/>
          <w:szCs w:val="28"/>
          <w:rtl w:val="true"/>
          <w:lang w:bidi="fa-IR"/>
        </w:rPr>
        <w:t>لأنّ أمثال هذه الملاحظات، لا یمکن فی معنی من المعانی إحصاؤها؛ أوّلاً، ولا یوجد لدینا أیّ معیار وملاک ولا یمکن أن یکون لیقول لنا أیّ ملاحظات جائزة وأیّها غیر جائزة وغیر صائبة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یمکن لأیّ مجموعة وحیدة من میول وطموحات إنسان أو مجموعة من النّاس، أن تؤدّی إلی اتّخاذ قرار وانتخاب خاصّ، وأنّ الملاحظات النفعیّة، الّتی اتّضح تبعیّتها لمیولنا وطموحاتنا، یمکنها نظراً لکثرة وعدم إمکان إحصاء میولنا وطموحاتنا، أن تکون کثیرة وغیر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الحدیث،</w:t>
      </w:r>
    </w:p>
    <w:p>
      <w:pPr>
        <w:pStyle w:val="BookText"/>
        <w:rPr/>
      </w:pPr>
      <w:r>
        <w:rPr>
          <w:rFonts w:ascii="IRNazanin" w:hAnsi="IRNazanin" w:eastAsia="IRNazanin"/>
          <w:color w:val="111111"/>
          <w:sz w:val="28"/>
          <w:sz w:val="28"/>
          <w:szCs w:val="28"/>
          <w:rtl w:val="true"/>
          <w:lang w:bidi="fa-IR"/>
        </w:rPr>
        <w:t>هو أنّ الّذی یقیّم ویقدّر الملاحظات النفعیّة، هو میولنا وطموحاتنا، وبما أنّه لا یمکن إحصاء هذه المیول والطّموحات فلا یمکن تحدید وتعیین تلک الملاحظات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حدیث بوبر، یتضمّن قیداً جدیراً بالبحث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فبوبر یرجع انتخاب القضایا المشاهداتیّة المبنائیّة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الملاحظات النفعیّة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وجود نوع آخر من الملاحظات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 خلال ضمّها إلی الملاحظات النفعیّة یتحدّد قرارنا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أقول ثانیة بأنّ بوبر لا یتعرّض مطلقاً لشرح وتفصیل الملاحظات غیر النفعیّة لا فی منطق الاکتشاف العلمیّ، ولا أیٍّ من مؤلّفاته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بعد الإشارة إلی قیام</w:t>
      </w:r>
    </w:p>
    <w:p>
      <w:pPr>
        <w:pStyle w:val="BookText"/>
        <w:rPr/>
      </w:pPr>
      <w:r>
        <w:rPr>
          <w:rFonts w:ascii="IRNazanin" w:hAnsi="IRNazanin" w:eastAsia="IRNazanin"/>
          <w:color w:val="111111"/>
          <w:sz w:val="28"/>
          <w:sz w:val="28"/>
          <w:szCs w:val="28"/>
          <w:rtl w:val="true"/>
          <w:lang w:bidi="fa-IR"/>
        </w:rPr>
        <w:t>التوافقیّین بجعل انتخاب القضایا العامّة طبقاً لأصالة سذاجتهم، یذکّر بأنّ فهمه للسّذاجة یختلف کثیراً عن فهم التّوافقیّون لها، ولکنّه علی أیّ حال، لا یحدّد أبداً فیما إذا کانت السّذاجة تمثلّ جزءاً من الملاحظات النّفعیّة ذاتها، أو جزءاً من الملاحظات غیر النّفعیّة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نظری، أنّ ما یبعث علی السّرور أنّ بوبر ملتفت إلی أنّ إدراکه للسّذاجة، یختلف کثیراً عن إدراک التوافقیّین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السّرور؟</w:t>
      </w:r>
    </w:p>
    <w:p>
      <w:pPr>
        <w:pStyle w:val="BookText"/>
        <w:rPr/>
      </w:pPr>
      <w:r>
        <w:rPr>
          <w:rFonts w:ascii="IRNazanin" w:hAnsi="IRNazanin" w:eastAsia="IRNazanin"/>
          <w:color w:val="111111"/>
          <w:sz w:val="28"/>
          <w:sz w:val="28"/>
          <w:szCs w:val="28"/>
          <w:rtl w:val="true"/>
          <w:lang w:bidi="fa-IR"/>
        </w:rPr>
        <w:t>لأنّ تنبّه بوبر هذا، یمکّنه من التقدّم خطوة إلی الأمام، ویذکّر بأنّ معیاراً نظیر السّذاجة، بتبعیّته للمیول والطّموحات، لا یضمّن أبداً أن یکون له تصوّر وفهم مشترک، وأنّ إطلاقه یتمّ بشکل متساو ، بمجرّد الانتخاب؛ وهذا یعنی، لیس الفهم أو التصوّر وحده بأیّ مقدار کان هو من قبیل الإفادة، الدّقّة، الجمال، قابلیّة البیان، کفاءة التّجربة، وغیره، لا یکون واحداً إلزاماً، وإنّما حتّی أنّ إطلاق واستخدام ذلک المقدار، یمکنه أیضاً أن یتمّ بشکل مختلف ومن قِبل أشخاص مختلفین، ویمکنه أیضاً أن یکون مختلفاً فی أزمنة وظروف مختلفة بواسطةِ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ویصرّح بوبر حول مصیر النّظریّات 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لی، أنّ ما یقرر مصیر نظریّة ما فی نهایة الأمر هو ما یسفر عنه الاختبار من نتیجة؛ أی، التوافق حول القضایا المبنائیّة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التّأکید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بأنّ مصیر النّظریّات یرتبط بنتیجة الاختبارات، وأنّ نتیجة الاختبارات أیضاً موکول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نتوصّل نحن العلماء إلیه حول القضایا المبنائیّة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یلعب دوراً فی هذا الاتّفاق والقرار الجمعی حول القضایا المبنائیّة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بیان بوبر المهمّ والملتوی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الملاحظات النفعیّة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وضّحنا فی تحلیلنا، بعضاً من الملاحظات غیر النّفعیّة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یکون بوبر غیر مرتاح جدّاً لهذا الوضع، لأنّه کان ابتدأ نظریّته المیثولوجیّة بهذا الوعد والأمل من أنّ إبطال النّظریّات العلمیّة یتمّ فی النّهایة من خلال الاستعانة بجناحیها الرئیسین القدیرین والغیر القابلین للخطأ؛ المنطق والتّجربة، وأنّ المعرفة العلمیة ستتطوّر نتیجة هکذا عملیّة میثولوجیّة متقنة ولا یتطرّق إلیها الخلل من خلال نفی ورفض النّظریّات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متابعة لوازم ولواحق نظریّته فی العلم المنهجی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المعرفی ینتهی إلی أنّ اختلافه مع التّوافقیّین المألوفین یتمثّل فقط فی مقام وموقف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فالتّوافقیّون یتوافقون فی مستوی القضایا العامّة وهو فی مستوی القضایا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ولأجل أن یعطی هذا الاختلاف أهمّیة قصوی وفی غضون ذلک یخفّف بنحو ما من دور المجتمع العلمی والقرار الإجماعی للعلماء بل یلغیه، یتعرّض مرّة أخری إلی کیفیّة الانتخاب والعوامل المؤثّرة فی قبول القضایا المبنائیّة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واتّفاقاً مع التّوافقیین، اعتقد بأنّ انتخاب أیّ نظریّة هو مسألة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الانتخاب بالنّسبة لی یتحدّد بنحوٍ حاسمٍ من قبل تطبیق النّظریّة وقبول القضایا المبنائیّة فی ارتباطها بهذا التّطبیق، فی حال أنّ بواعث علم الجمال، تکون هی الحاسمة بالنّسبة إلی التّوافقیّین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التّأکید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تکون بواعث علم الجمال هی الحاسمة بالنّسبة إلی التّوافقیّین، فهذا ما لا نفهمه، وإنّ بوبر وللأسف لا یستشهد بأدلّته ولا أنّه، یوضّح نیابة عن التّوافقیین ما هو المقصود من بواعث علم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عرفنا بأنّ السّذاجة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أکثر ما کان ینسبها بوبر إلی التوافقیّین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جملة هذه البواعث، ففی هذه الحالة فإنّ بوبر یلزم نفسه بهذه العقیدة، مع کون 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ادّعاء بوبر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إدراک التوافقیّین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موقف التّوافقیین، فإنّ ما له أهمیّة قصوی هو أن نلتفت إلی أنّ انتخاب النّظریّات حین الاختبار، لا یکون أمراً منطقیّاً ولا أمراً تجربیّاً، بل غایة ما هنالک أنّه أمر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إیضاحات بوبر حول انتخاب النّظریّة لا تقللّ وللأسف من الجانب البراغماتی لانتخابه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انتخابه یتمّ فی نهایة الأمر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المبنائیّة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وما هو مدلولها؟ وإضافةً،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المبنائیّة، ما هی العوامل والملاحظات الّتی تستلزمها؟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السؤالان الأساسیّان جدّاً والحاسمان لا نعثر علی أیّ جواب عنهما فی أیٍّ من آثار بوبر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لا یلزمنا کثیر تحلیل وتأمّل کی نعلم بأنّ النّظریّات لا یکون قد فُرغ منها فی الملکوت ولا فی میدان ملائکة السماء، وأیضاً، أنّ قبول القضایا المبنائیّة لا یتمّ من قِبل الجن أو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مجتمع العلماء فی کلا الموردین هو الّذی یقرّر وبناءً علی میوله وطموحاته المتزایدة والمتغیرة؛ أین وبأیّ قصد وحاجة یؤسّس نظریّة أو أیّ قضایا أو أیٍّ من میوله وطموحاته یجعلها أساساً للاختبار ویتمّ الإجماع بشأنها</w:t>
      </w:r>
      <w:r>
        <w:rPr>
          <w:rFonts w:eastAsia="IRNazanin" w:cs="IRNazanin"/>
          <w:color w:val="111111"/>
          <w:sz w:val="28"/>
          <w:szCs w:val="28"/>
          <w:rtl w:val="true"/>
          <w:lang w:bidi="fa-IR"/>
        </w:rPr>
        <w:t>.</w:t>
      </w:r>
      <w:bookmarkStart w:id="250" w:name="pg5231_29826"/>
    </w:p>
    <w:p>
      <w:pPr>
        <w:pStyle w:val="BookText"/>
        <w:rPr/>
      </w:pPr>
      <w:bookmarkEnd w:id="250"/>
      <w:r>
        <w:rPr>
          <w:rFonts w:ascii="IRNazanin" w:hAnsi="IRNazanin" w:eastAsia="IRNazanin"/>
          <w:color w:val="111111"/>
          <w:sz w:val="28"/>
          <w:sz w:val="28"/>
          <w:szCs w:val="28"/>
          <w:rtl w:val="true"/>
          <w:lang w:bidi="fa-IR"/>
        </w:rPr>
        <w:t>إنّ ما هو واضح ویعترف به بوبر أیضاً، هو أنّ اختبار النّظریّات، أمر عملیّ فی أشدّ مراحلها ومواقفها حساسیّة وأکثرها حسماً وأنّ المنطق والتّجربة لا یمارس أیّ دور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ونظراً لهذا البحث الشّائک، نعود إلی موضوعنا الأساسی ونسأل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لمجموعة میول وطموحات مجتمع العلماء ذات الأبعاد والتّعقیدات الاستقاء والتّغذی من العیون العمیقة والفوّارة للکلام الإلهی وتعالیم الأنبیاء والأوصیاء؟ وألا تقوم التّعالیم الإلهیّة، تبعاً لذلک، بدور مهمّ جدّاً فی تأسیس العلوم الطّبیعیّة والاجتماعیة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251" w:name="__RefHeading___Toc283314_581953129"/>
      <w:bookmarkStart w:id="252" w:name="_Toc95"/>
      <w:bookmarkEnd w:id="251"/>
      <w:r>
        <w:rPr>
          <w:rtl w:val="true"/>
        </w:rPr>
        <w:t>دور القیم الدّینیةّ فی المعیار التّمییزی للمعارف</w:t>
      </w:r>
      <w:bookmarkEnd w:id="252"/>
    </w:p>
    <w:p>
      <w:pPr>
        <w:pStyle w:val="BookText"/>
        <w:rPr/>
      </w:pPr>
      <w:r>
        <w:rPr>
          <w:rFonts w:ascii="IRNazanin" w:hAnsi="IRNazanin" w:eastAsia="IRNazanin"/>
          <w:color w:val="111111"/>
          <w:sz w:val="28"/>
          <w:sz w:val="28"/>
          <w:szCs w:val="28"/>
          <w:rtl w:val="true"/>
          <w:lang w:bidi="fa-IR"/>
        </w:rPr>
        <w:t>المورد الآخر الّذی أرید الخوض فی بحثه، یتعلّق کذلک بالعلم المعرفی لبوبر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نعلم أنّ بوبر یقترح جعل قابلیّة النّقض بمثابة التّوافق لتمییز العلم من غیر العلم أو شبه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لهذا الاقتراح، فإنّ قابلیّة النّقض، فی أبسط بیان وأکثره اختصاراً،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المنطقی لإبطال نظریّة ما تجربیّاً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یسمح لنا الوضع هنا لطرح ونقد رؤیة بوبر حول الأهمّیة الکبیرة جدّاً لمعیار التّمییز فی العلم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أنّنا لا نرید بحث ودراسة الهبوط الشّدید لاعتقاد بعض فلاسفة العلم المعاصرین الّذین یقولون بأهمّیة معیار التّمییز أو أنّ عرض مثل هذا المعیار لا أهمّیة له 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یهمّ غایتنا هو إذعان بوبر الصّریح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تمییزنا یجب أن یکون الاقتراح من ناحیة الموافقة أو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تختلف الرؤی حول المیزان المناسب والکافی لمثل هذا التّوافق،؛ وأنّ البحث المعقول حول هذه المسائل تکون ممکنة فقط فی أوساط الأفراد الّذی لدّیهم هدف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انتخاب الهدّف یتعلّق أخیراً بقرار الأفراد، القرار الّذی یفوق نطاق التأمّلات المعقولة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بوبر،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التّأکیدات من بوبر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یتعرّض إلی ما یمکن أن یفهمه الأفراد علی اختلافهم من هذا الهدف ویقول بأنّه یمکن لهذا الهدف أن یکون مختلفاً جدّاً للأفراد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یلفت النّظر هذه النقطة وهی أنّه لا یسعی مطلقاً لتبریر هدفه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أنّه فی الأساس ینکر استطاعة هدفه المقصود أن یکون صادقاً أو متضمّناً جوهر العلم المعرفی وأن یبرّره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بوبر بأنّ النّموذج الأعلی للعلم یتمثّل فی نظریّة انشتاین، ولیس فی نظریّات مارکس، فروید وادلر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الّذی یُطرح هنا هو ما هی القیم والمیول الّتی تّدخّلت فی هذا الانتخاب؟ فبوبر یعرض معیاره التّمییزی لوضع فاصلة فیما بین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نموذجه الأعلی فی نظریّة انشتاین حسب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نظریات مارکس وفروید وادلر حسب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یعترف بوبر وبشجاعة بأنّ معیاره التّمایزی هو التّوافق لإلغاء هذا التّمایز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المسألة لیست هی أنّ العلم له جوهر یختلف عن جوهر وماهیة شبه العلم أو غیر العلم، کی یسعی بوبر لإراءة هذه الماهیّات والجواهر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ذلک مجرّد تنظیم توافقی متعارف یمکن للعلماء والفلاسفة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التّمییزی لبوبر هو أمر توافقی باعترافه هو، کجمیع التّوافقات الّتی یضعها ویجعلها النّاس، تهدف إلی خدمة هدف أو عدّة أهداف، ولا تحتاج إلی تحلیل أکثر من أنّ هذه الأهداف بدورها ولیدة ونتاج میولنا وطموحاتنا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فبوبر یعرف ذلک جیداً لأنّه یعّلن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أوافق وبلا ضغوط بأنّی قد وُجّهت من قبّل أحکامی القِیمیّة ومیولی وسلائقی لأن یتحقّق اقتراحی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 بوبر علی درجة من الوضوح والصراحة لا نحتاج معها لأیّ تفسیر وإستنباطات قریبة أو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فالفائدة الّتی نراها هنا هی القیام بعرض مواقف وبحوث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معیار تمییز العلم عن غیر العلم، هو أمر توافقی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إنّ المعیار التّوافقی للتمییز، یخدم ویتبّع الهدف أو الأهداف الّتی نتابعها نحن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العالِم وغیر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تمییز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إنّ انتخاب ونیل الأهداف، منوط بقرار الأفراد، القرار الّذی لا یخضع للبحث والتّحلیل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وأنّ أهدافنا، بدورها، ولیدة ونتاج مجموعة متعدّدة وأبعادیّة من میولنا وطموحاتنا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أودّ أن أسأل، ألا یمکن لتعالیم الأنبیاء والأولیاء الإلهیّین تحدید وتقدیر أهدافنا من خلال تقویم میولنا وطموحاتنا؟ ألا یمکن للتعالیم الإلهیّة أن یکون لها دور تقویمی وتقدیری فی تمییز بعض المعارف عن البعض الآخر وذلک فی معیارنا التوافقی بخصوص تمییز العلم عن غیر العلم أو شبه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ماهیّة المعیار الافتراضی، طبیعیة المسألة تحکی عن نوع من التّعظیم والتکریم والتّرجیح للعلم أی نوع من النزعة</w:t>
      </w:r>
      <w:bookmarkStart w:id="253" w:name="pg5231_29830"/>
    </w:p>
    <w:p>
      <w:pPr>
        <w:pStyle w:val="BookText"/>
        <w:rPr/>
      </w:pPr>
      <w:bookmarkEnd w:id="253"/>
      <w:r>
        <w:rPr>
          <w:rFonts w:ascii="IRNazanin" w:hAnsi="IRNazanin" w:eastAsia="IRNazanin"/>
          <w:color w:val="111111"/>
          <w:sz w:val="28"/>
          <w:sz w:val="28"/>
          <w:szCs w:val="28"/>
          <w:rtl w:val="true"/>
          <w:lang w:bidi="fa-IR"/>
        </w:rPr>
        <w:t xml:space="preserve">العلمیّة الّتی یکون لتمییز قسم من المعارف من القسم الآخر دور تقویمی وتقدیری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تقول لنّا أیّ المعارف ینبغی فصلها عن غیرها وحسب أیّ معیار ینبغی أن یتجسّد هذا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ألا یمکن بناءً علی هذا الملاک، ملاک النّفع والضّرر المراد لهذه الحجج الإلهیّة، اقتراح معیار التّمییز والاستعانة به لتنظیم المعارف؟</w:t>
      </w:r>
    </w:p>
    <w:p>
      <w:pPr>
        <w:pStyle w:val="Heading3"/>
        <w:numPr>
          <w:ilvl w:val="2"/>
          <w:numId w:val="1"/>
        </w:numPr>
        <w:rPr/>
      </w:pPr>
      <w:bookmarkStart w:id="254" w:name="__RefHeading___Toc283316_581953129"/>
      <w:bookmarkStart w:id="255" w:name="_Toc96"/>
      <w:bookmarkEnd w:id="254"/>
      <w:r>
        <w:rPr>
          <w:rtl w:val="true"/>
        </w:rPr>
        <w:t>القیم والرّؤی الدّینیة باعتبارها أرکاناً للعلوم الإنسانیّة والإجتماعیّة</w:t>
      </w:r>
      <w:bookmarkEnd w:id="2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الآخر الّذی أودّ بحثه، یرتبط بمجالات العلوم السّیاسیّة، الاقتصاد، علم النّفس، علم الاجتماع، الفلسفة السّیاسیّة، وفلسفة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عقیدتی أنّ جمیع التّنظیرات الجزئیّة والرئیسة فی العلوم الإنسانیّة والإجتماعیّة، ترتکز علی رکنین رئیسین فی تحلیلها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ماهیّة الإنسان والآخر ماهیّة سعادة وکمال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أنّه من الممکن عدم قیام المنظّرین ببیان مواقفهم بشأن هذین السّؤالین بشکل صریح، ولکنّنا عندما نطالع مدوّناتهم بدقّة، فإنّنا نواجه موارد تتضمّن إدراکات لماهیّة الإنسان وسعادته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المعلوم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آخری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تقبع خلف أمثال هذه الإشارات، نظریّة أو فهم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لا یدور حول صدق أو کذب مثل هذه التّصریحات أو الإدراکات، بل إنّ جمیع النّظریّات المطروحة فی مجالات العلوم الإنسانیّة والإجتماعیّة، ترتکز علی هاتین الرّؤیتین لتعریف الإنسان ویمکن أیضاً تفسیر اختلاف النّظریّات بناءً علی اختلاف هاتین النّظرتین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عندما یتحدّث جان ستیوارت مل عن الحرّیة غیر المحدودة وغیر المقیدة فی المجال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یعبّر ذلک فی الواقع عن وجود إدراک لماهیة وکیفیة الإنسان وإدراک لسعادته وکماله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الاستعدادات والتّنظیمات الّتی یوحی بها المنظّرین بشکل مباشر أو العادات الّتی تستبطنها نظریاتهم، هی فی الحقیقة آلات وأدوات لنقل الإنسان من موقعه الّذی هو فیه إلی الموضع الّذی ینبغی أن یکون فیه، إلی موقع یکون فیه سعیداً ومبتهجاً فی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یتوصّل الفلاسفة السّیاسیّون والاجتماعیّون وعلماء الإنسان منذ ما قبل السّقراطیّین وحتّی الآن إلی إجماع فی مجال ماهیّة الإنسان وسعادته وشقائه وحتّی یمکن الإقرار بعدم وجود إطار فی آراء المفکّرین والفلاسفة للوصول إلی مثل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ونکرّر سؤالنا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الموقع الّذی یستطیع الدّین والقیم والرّؤی الدّینیّة أن تلعب دوراً رئیساً جدّاً فیه</w:t>
      </w:r>
      <w:bookmarkStart w:id="256" w:name="pg5231_29832"/>
    </w:p>
    <w:p>
      <w:pPr>
        <w:pStyle w:val="BookText"/>
        <w:rPr/>
      </w:pPr>
      <w:bookmarkEnd w:id="256"/>
      <w:r>
        <w:rPr>
          <w:rFonts w:ascii="IRNazanin" w:hAnsi="IRNazanin" w:eastAsia="IRNazanin"/>
          <w:color w:val="111111"/>
          <w:sz w:val="28"/>
          <w:sz w:val="28"/>
          <w:szCs w:val="28"/>
          <w:rtl w:val="true"/>
          <w:lang w:bidi="fa-IR"/>
        </w:rPr>
        <w:t>لتأسیس العلوم الإنسانیّة والإجتماعیّة، غیر موجود؟ أفلا تستطیع التّعالیم الإلهیّة فی رؤیة تتجاوز فیه النّظرة التأریخیّة والإنسانیة والإجتماعیّة، وبعبارة کِلای تری، فی صورة خالیة من المیول والقیم والرّؤی البشریّة صنیعة التأریخ وصنیعة المجتمع؛ من احتواء الرّکنین الرّکینّین والمقوّمین لجمیع العلوم الإنسانیّة والاجتماعیة وإنهاء هذا الجدال البنیوی الّذی یبدو أنّه لا نهایة له؟</w:t>
      </w:r>
    </w:p>
    <w:p>
      <w:pPr>
        <w:pStyle w:val="Heading3"/>
        <w:numPr>
          <w:ilvl w:val="2"/>
          <w:numId w:val="1"/>
        </w:numPr>
        <w:rPr/>
      </w:pPr>
      <w:bookmarkStart w:id="257" w:name="__RefHeading___Toc283318_581953129"/>
      <w:bookmarkStart w:id="258" w:name="_Toc97"/>
      <w:bookmarkEnd w:id="257"/>
      <w:r>
        <w:rPr>
          <w:rtl w:val="true"/>
        </w:rPr>
        <w:t>القیم والرّؤی الدّینیة، العناصر الضّروریّة للتنظیر فی العلوم الإجتماعیّة</w:t>
      </w:r>
      <w:bookmarkEnd w:id="258"/>
    </w:p>
    <w:p>
      <w:pPr>
        <w:pStyle w:val="BookText"/>
        <w:rPr/>
      </w:pPr>
      <w:r>
        <w:rPr>
          <w:rFonts w:ascii="IRNazanin" w:hAnsi="IRNazanin" w:eastAsia="IRNazanin"/>
          <w:color w:val="111111"/>
          <w:sz w:val="28"/>
          <w:sz w:val="28"/>
          <w:szCs w:val="28"/>
          <w:rtl w:val="true"/>
          <w:lang w:bidi="fa-IR"/>
        </w:rPr>
        <w:t>البحث التّالی نتابعه مع فلسفة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هیوم یعتقد بأنّ الأحکام الأخلاقیّة خارجة عن مسؤولیة العقل البشری وأنّ العواطف والأحاسیس تلعب دوراً حاسماً فی الأحکام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رأیه، أنّ أکثر الأحاسیس أساسیة للحیاة الإجتماعیّة، هو إحساس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اعتقاد هیوم، أنّ هذا الإحساس هو الوجه الممیّز للطبیعة الإنسانیّة وأنّ جمیع النّاس یتمتّعون بهذا الإحساس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فقد طرح هیوم فی بحث فلسفته الأخلاقیّة هذه الرّؤیة وهی أنّه عندما ننظر وبشکل عامّ ودون اعتناء بالمیول الخاصة إلی خصلة ما، فإنّه یتولّد لدینا إحساس أخلاقی نصفها من خلاله بالخیر أو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هیوم بأنّ إحساس التّعاطف هذا والّذی یبلور أحکامنا الأخلاقیّة، یقع تحت تأثیر أنواع من الظّروف والأوضاع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أن إحساس التّعاطف بالنّسبة إلی الأقرباء والأصدقاء یکون أقوی منه بالنّسبة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هیوم فی کتابه الخالد، بحث حول الإدراک الإنسانی وأصول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التّعاطف مع الآخرین، أضعف جدّاً من المیل الموجود فینا نسبة إلی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التّعاطف مع الأشخاص الّذین هم بعیدین عنّا، أشدّ ضعفاً من التّعاطف نسبة إلی الأفراد القریبین والمرتبطین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لهذا السّبب ذاته، یکون من الضّروری لنا أن نغضّ الطّرف عن جمیع هذه الاختلافات وأن نجعل أحاسیسنا أکثر عمومیّة واجتماعیّة کی تکون أحکامنا ومحاوراتنا هادئة حول خصال النّاس </w:t>
      </w:r>
      <w:r>
        <w:rPr>
          <w:rFonts w:eastAsia="IRNazanin" w:cs="IRNazanin"/>
          <w:color w:val="111111"/>
          <w:sz w:val="28"/>
          <w:szCs w:val="28"/>
          <w:rtl w:val="true"/>
          <w:lang w:bidi="fa-IR"/>
        </w:rPr>
        <w:t>(</w:t>
      </w:r>
      <w:r>
        <w:rPr>
          <w:rFonts w:eastAsia="IRNazanin" w:cs="IRNazanin"/>
          <w:color w:val="111111"/>
          <w:sz w:val="28"/>
          <w:szCs w:val="28"/>
          <w:lang w:bidi="fa-IR"/>
        </w:rPr>
        <w:t>1975/1777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النّوع من معرفة الإنسان یصبح أساساً للفکر والفلسفة السّیاسیّة لهیوم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أنّ لهیوم فهماً خاصّاً لماهیّة الإنسان وعلی أساس هذا الفهم الفلسفی الخاصّ ومع الأخذ بنظر الاعتبار اتّجاه خاصّ فی فلسفة الأخلاق، یستنتج بأنّه یجب إلقاء القرب والبعد جانباً عند حکمنا علی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المسألة الأولی الّتی تخطر فی الذّهن بعد التأمّل والدقّة وتحلیل هذا الکلام هی أنّ هیوم وبعد بحث داخلی وتأمّل ذکی فی نفسه والآخرین، یصل إلی هذه النّتیجة من أنّ إحساس التّعاطف، یتأثّر بشدّة بعوامل أمثال المعارف والأقرباء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ویستنتج هیوم فی إثر ذلک بأنّه لا یمکن إقامة نظام اجتماعی وسیاسی علی أساس هذا الإحساس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ویلتجأ هیوم أخیراً ودون طرح دلیل وحجّة، إلی إذن ووصیة مبنائیة تتعارض بوضوح مع نظرته التّجربیّة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ونستطیع أن نسأل هیوم لماذا یجب أن نغضّ الطّرف عن هذا الإحساس؟ فمن أین أتی هیوم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معتقداً بأنّه لا یمکن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بیجب هذه؟ ولا یوجد أیّ دلیل لهذا الاستنتاج فی آثار هیوم وینبغی الإقرار بأنّه لا یمکن تصوّر أیّ دلیل أیضاً فی إطار نزعة هیوم التّجربیّة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فهیوم ولأجل الوصول إلی النّتیجة الّتی یریدها یستعین بنوع من التقییمیّة؛ یبدو لی، أنّه لا مفرّ لأیّ فیلسوف آخر یوضع فی موقع اجتماعی وسیاسی من أن یلتجأ إلی اختراع قیم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ویرتبط حدیثی بصنّاع العلوم الإنسانیّة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قد قطعوا ارتباطهم بالوحی فی القرن الثّامن والتّاسع عشر، وأُجبروا أثر ذلک علی ابتداع قیم جدیدة فی تنظیراتهم فعلی سبیل المثال، إنّ هیوم الّذی یُلغی الوحی فی تجربیّته لا حیلة له للتنظیر فی الفلسفة السّیاسیّة سوی إدخال صنیعته أو صنیعة المجتمع من القیم أو القیم الموروثة وصنیعة التّأریخ؛ فی نظریّته واستخدامها فی المواقع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وکما ذکرنا، یوجد تصوّر لماهیة الإنسان وتصوّر أیضاً لسعادته وکماله فی نظریّات العلوم الإنسانیّة والإجتماعیّة وعلی أساس هذین التّصوّرین اقترح المنظّرین أنظمة ومؤسّسات لانتقال الإنسان من وضعه الفعلی إلی الوضع المبتغی المرغوب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ولنری الآن کیف یمکن للدّین حلّ هذه المعضلة الفکریّة للإنسان؟ إنّ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بالضّبط إلی هذه</w:t>
      </w:r>
      <w:bookmarkStart w:id="259" w:name="pg5231_29837"/>
    </w:p>
    <w:p>
      <w:pPr>
        <w:pStyle w:val="BookText"/>
        <w:rPr/>
      </w:pPr>
      <w:bookmarkEnd w:id="259"/>
      <w:r>
        <w:rPr>
          <w:rFonts w:ascii="IRNazanin" w:hAnsi="IRNazanin" w:eastAsia="IRNazanin"/>
          <w:color w:val="111111"/>
          <w:sz w:val="28"/>
          <w:sz w:val="28"/>
          <w:szCs w:val="28"/>
          <w:rtl w:val="true"/>
          <w:lang w:bidi="fa-IR"/>
        </w:rPr>
        <w:t>المعضلة من الإحساس بالتّعاطف مع الأقرباء والأصدقاء وتشیر إلی طریقة الحلّ أیضاً بهذا الشّکل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أولَی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الالتفات إلی أنّ طریق الحلّ هذا یناسب من یعتقد 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بإمکان الدّین فی مثل هذه المواقع تذلیل مشکلة ومعضلة العلوم ولعب دور فی تأسیسها؟</w:t>
      </w:r>
    </w:p>
    <w:p>
      <w:pPr>
        <w:pStyle w:val="Heading3"/>
        <w:numPr>
          <w:ilvl w:val="2"/>
          <w:numId w:val="1"/>
        </w:numPr>
        <w:rPr/>
      </w:pPr>
      <w:bookmarkStart w:id="260" w:name="__RefHeading___Toc283320_581953129"/>
      <w:bookmarkStart w:id="261" w:name="_Toc98"/>
      <w:bookmarkEnd w:id="260"/>
      <w:r>
        <w:rPr>
          <w:rtl w:val="true"/>
        </w:rPr>
        <w:t>دور القیم والرّؤی الدّینیّة فی تمییز النّطاق الخصوصی والعمومی فی مجال الحقوق</w:t>
      </w:r>
      <w:bookmarkEnd w:id="261"/>
    </w:p>
    <w:p>
      <w:pPr>
        <w:pStyle w:val="BookText"/>
        <w:rPr/>
      </w:pPr>
      <w:r>
        <w:rPr>
          <w:rFonts w:ascii="IRNazanin" w:hAnsi="IRNazanin" w:eastAsia="IRNazanin"/>
          <w:color w:val="111111"/>
          <w:sz w:val="28"/>
          <w:sz w:val="28"/>
          <w:szCs w:val="28"/>
          <w:rtl w:val="true"/>
          <w:lang w:bidi="fa-IR"/>
        </w:rPr>
        <w:t xml:space="preserve">المبحث الآخر یدور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الدّین فی صناعة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ویرتبط بالفکر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 أصعب وأعصی مسائل ومعضلات هذا المجال، هو فصل المجال الشّخصی عن المجال العمومی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أهمّیة هذه المسألة تنبع من أنّنا وفی مقام التقنین یجب أن نعلم ما الدائرة الّتی ینبغی وضع قانون لها، فهل یمکن وضع القوانین للنطاق الشّخصی للأفراد أم أنّ وضع القوانین، یختصّ بالنطاق العمومی؟ وفی الحالة الثّانیة، أین یقع الحدّ فیما بین النّطاق العمومی والشّخصی؟ فهذه تعدّ من المسائل الحسّاسة جدّاً فی مجال الفلسفة الحقوقیة والفلسفة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یکون الّذین هم فی موقع التقنین والعمل أقلّ ابتلاءً بمثل هذه المسألة ویؤدّون أعمالهم دون التفات لهذا المبنی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ما دقّقنا النّظر، نکتشف بأنّ أیّ قانون، وفی أیّ مکان من العالم، یرتکز علی افتراض رئیسی یتمّ تحدید دائرة التقنین علی ضوئه، وأنّ تحدید الدائرة هذه یرتکز أیضاً علی تصوّر للحدود العمومیّة والشّخصیّة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فإینما عُیّنت دائرة عمومیّة، فللمشرّع الحقّ فی وضع القانون، فی حال أنّه لا یمکنه وضع قانون للدائرة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الآن النّظر فی کیفیّة تشخیص الحریم الشّخصیّ والعمومی؟ وقد تعرّض جان لاک، أحد مؤسّسی اللّیبرالیّة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أبوها بتعبیر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التّفکیک البنیوی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جان لاک، جاء جان ستیورات مل لیسعی وبشکل آخر للإجابة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هذا الّتیار حتّی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نتحوّل صوب منتجی العلوم الإجتماعیّة ونخوض فی تحلیل هذه المسألة، فما هی المقدّمات الّتی رسموا علی أساسها هذه الحدود؟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فإنّه من الممکن أن یقول البعض بأنّ المعنی الشّخصی والعمومی واضح وبدیهی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البعض بوجود نوعین من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البدیهی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البدیهی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البدیهی نسبة إلی مجموعة ومجتمع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فالبدیهی بذاته،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أکبر</w:t>
      </w:r>
    </w:p>
    <w:p>
      <w:pPr>
        <w:pStyle w:val="BookText"/>
        <w:rPr/>
      </w:pPr>
      <w:r>
        <w:rPr>
          <w:rFonts w:ascii="IRNazanin" w:hAnsi="IRNazanin" w:eastAsia="IRNazanin"/>
          <w:color w:val="111111"/>
          <w:sz w:val="28"/>
          <w:sz w:val="28"/>
          <w:szCs w:val="28"/>
          <w:rtl w:val="true"/>
          <w:lang w:bidi="fa-IR"/>
        </w:rPr>
        <w:t>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القضیّة لها صدق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من اللّازم الذّهاب إلی الکلّیات والأجزاء لتحلیل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معرفة معنی الکلّ والجزء، عند ذاک یکون صدق هذه القضیة محرزاً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تأمّلنا هنا قلیلاً سنفطن إلی أنّ البدیهی فی نفسه یعود إلینا أیضاً، یعنی إلی الفئة والمجتمع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أنّنا نستخدم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یکون محمّلاً بالمفهوم والمدلول وکذلک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أنّه لا یتوصّل کلّ شخص یواجه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أکبر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کذلک فالوحید الّذی یؤیّدها ویصحّحها ویعدّها بدیهیّة هو الّذی تعرّف سابقاً وبنحو خاصّ علی کلِ‌ّ واحدٍ من مفاهیم تلک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ونکتفی هنا بهذا المقدار ونتحوّل إلی البدیهی نسبة إلی مجموعة أو مجتمع،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تدور حول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القضیّة، کانت واضحة وبدیهیة، فی مرحلة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تغیّر المجموعة والمجتمع، ومعهم، علماء الاجتماع والمتکلّمون والفلاسفة بمرور الزّمن، فمثل هذه البدیهیّات تتعرّض للتغییر والتبدّل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مفاهیم الشّخصی والعمومی، بزّعم البعض، من البدیهیّات أیضاً، فسوف لا یؤدّی ذلک إلی حلّ عقدة مشکلتنا لأنّها إذا کانت من بدیهیات النّوع الأوّل فستعود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مستخدمی هذه المفاهیم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 تتوصّل إلی أیّ فهم وتصوّر واحد لهذه المفاهیم حتّی الیوم أو نقول بشکل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تتمکّن مطلقاً من استخدام هذه المفاهیم بشکل متماثل وبصورة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کانت من النّوع الثّانی من البدیهیّات، فعندها یجب الإذعان بعدم وجود أیّ إجماع حولها علی مرّ التّأریخ وفی مختلف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فبالرّجوع إلی معنی لفظَی الخصوصی والعمومی، لا یمکن الإجابة عن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وننتقل الآن إلی الأحاسیس الشّهودیّة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لیس بمعنی الشّهود المستعمل فی العرفان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لننظر هل من الممکن الإجابة عن هذا السّؤال 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لی أنّ الإحساس الشّهودی الّذی یستخدم فی الفلسفة الجدیدة وعلی الخصوص فی الفلسفة التّحلیلة، هو ولید ونتاج المجتمع الّذی نعیش فیه بشکل کامل ولیس له أیّ نوعٍ من الملاکات والأدلّة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 یمتلک طریق الحلّ هذا جواباً بهذا الخصوص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من الواجب النّظر بنظرة أبعد إلی هذا المجال لتمییز الدّائرة الخصوصیّة عن العمومیّة وأنّ هذه النّظرة لا یمکنها مطلقاً أن تکون خالیة من المیول والقیم الجماعیة أو</w:t>
      </w:r>
      <w:bookmarkStart w:id="262" w:name="pg5231_29840"/>
    </w:p>
    <w:p>
      <w:pPr>
        <w:pStyle w:val="BookText"/>
        <w:rPr/>
      </w:pPr>
      <w:bookmarkEnd w:id="262"/>
      <w:r>
        <w:rPr>
          <w:rFonts w:ascii="IRNazanin" w:hAnsi="IRNazanin" w:eastAsia="IRNazanin"/>
          <w:color w:val="111111"/>
          <w:sz w:val="28"/>
          <w:sz w:val="28"/>
          <w:szCs w:val="28"/>
          <w:rtl w:val="true"/>
          <w:lang w:bidi="fa-IR"/>
        </w:rPr>
        <w:t>الفردیة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وعلی هذا، فقد توصّل کثیر من العلماء السّیاسین الیوم إلی هذه النّتیجة وهی أنّه لا مفرّ سوی أن یتمّ التّعرّض فی کلّ زمان ومجتمع لتحدید الدّائرة الخصوصیّة والعمومیّة علی ضوء إجماع ممثلی ذلک المجتمع وأن نضع قوانینا علی أساس هذا الإجماع، مع أنّ مثل هذا القرار لیس له أیّ داعم معرفتی وهو علی الدّوام یکشف ویحقّق میول وطموحات فئة خاصّة من المجتمع الّتی أوکلت إلیها مهمّة تمییز هاتین الدّائرتین عن بعضهما البعض ومن هنا یمکنها علی الدّوام، وعلی ضوء أنّها کاشفة أو محقّقة للمیول والطّموحات الخّاصة، أن تناقش وتعارض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یطرح هنا، هو ألا یمکن دخول وحضور المعارف الدّینیة المحمّلة بالقیم والرّؤی بشکل حاسم وفاصل فی هذا المجال؟ فإذا لم یمکن علی الإطلاق خلو النّاس من المیول والطّموحات فاتّبعوا میولهم وطموحاتهم عند تمییزهم بین هاتین الدّائرتین، فستکون النّتیجة أنّ جمیع التّمییزات منحازة، أفلا یمکن للأوامر والنّواهی الدّینیة وتعالیم الأنبیاء الإلهیّین أن تمکّننا من تلک النّظرة المتعالیة العاریة من المیول الفئویّة، الجنسیّة، القومیّة، العرقیّة، الوطنیّة والمدنیّة؟</w:t>
      </w:r>
    </w:p>
    <w:p>
      <w:pPr>
        <w:pStyle w:val="Heading3"/>
        <w:numPr>
          <w:ilvl w:val="2"/>
          <w:numId w:val="1"/>
        </w:numPr>
        <w:rPr/>
      </w:pPr>
      <w:bookmarkStart w:id="263" w:name="__RefHeading___Toc283322_581953129"/>
      <w:bookmarkStart w:id="264" w:name="_Toc99"/>
      <w:bookmarkEnd w:id="263"/>
      <w:r>
        <w:rPr>
          <w:rtl w:val="true"/>
        </w:rPr>
        <w:t>الإجابة عن بعض المعوّقات المطروحة لدور الدّین التّقویمی فی ترکیبة العلوم</w:t>
      </w:r>
      <w:bookmarkEnd w:id="264"/>
    </w:p>
    <w:p>
      <w:pPr>
        <w:pStyle w:val="BookText"/>
        <w:rPr/>
      </w:pPr>
      <w:r>
        <w:rPr>
          <w:rFonts w:ascii="IRNazanin" w:hAnsi="IRNazanin" w:eastAsia="IRNazanin"/>
          <w:color w:val="111111"/>
          <w:sz w:val="28"/>
          <w:sz w:val="28"/>
          <w:szCs w:val="28"/>
          <w:rtl w:val="true"/>
          <w:lang w:bidi="fa-IR"/>
        </w:rPr>
        <w:t>وأشیر أخیراً إلی بعض النقاط الهامشیة، ولکن المهمّة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المنهج الّذی یدخل به الدّین فی صناعة العلوم؟ وبعبارة أخری، ماهیة میثولوجیا تدخّل الدّین فی العلم؟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للإجابة عن هذا السّؤال ینبغی التّصریح والتّأکید علی أنّه لیس لعلماء وفلاسفة السّیاسة والاجتماع، میثیولوجیا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ینتجون نظریّات تتّفق وطبائعهم ومیولهم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ففلاسفة العلم لا یقومون بالکشف عن میثولوجیا العلماء والفلاسفة وإنّما یقومون عادة بتجویزها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وقلیلاً ما تجد عالماً أو فیلسوفاً 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اجتماعیاً یقول أو یمکنه أن یقول فی ابتداء عمله أنّ میثولوجیتی هی کذا وقام بممارسة التّنظیر علی ذلک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عن میثولوجیا حضور الدّین فی صناعة العلم،</w:t>
      </w:r>
    </w:p>
    <w:p>
      <w:pPr>
        <w:pStyle w:val="BookText"/>
        <w:rPr/>
      </w:pPr>
      <w:r>
        <w:rPr>
          <w:rFonts w:ascii="IRNazanin" w:hAnsi="IRNazanin" w:eastAsia="IRNazanin"/>
          <w:color w:val="111111"/>
          <w:sz w:val="28"/>
          <w:sz w:val="28"/>
          <w:szCs w:val="28"/>
          <w:rtl w:val="true"/>
          <w:lang w:bidi="fa-IR"/>
        </w:rPr>
        <w:t xml:space="preserve">یمثّل أحد الترسّبات المتشدّدة والمتحجّرة المتخلّفة عن الفهم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النّقضی فی جامعاتنا وحوزاتنا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إحدی الموانع الأخری الّتی تُطرح لتأسیس علم اجتماع دینی، ترتکز علی التّمییز المزعوم فیما بین مجال وضع النّظریّات ومجال نقد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التّفصیل وهو أنّ، الدّین بإمکانه الحضور فی مجال وضع النّظریّات العلمیّة، ولکنّ نقد وتقییم النّظریّات لا یتمّ إلّا علی أساس المنهج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الاعتقاد له جذور أیضاً فی الفکر الوضعی والنّقضی فهذا التّمییز لم یُطرح إلّا من خلال هاتین النّظریّتین المندرستین للمیثولوجیا، والّذی لیس له الیوم أیّ دور فی فلسفة العلم، مع أنّه وللأسف نلاحظ وجود اعتقاد واهتمام طفیف غیر موجّه به فی جامعاتنا وحتّی حوزاتنا العلمیّة، ولم یلاحظ بأنّ هذه الفکرة متعلّقة بخمسین سنة خلت ومنذ ذلک التّأریخ تعرّضت لنقود جادّة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کنا قد أشرنا إلی أنّ بوبر ذاته یری أیضاً وجود دور للقیم والرّؤی الثّقافیة والاجتماعیّة فی مقام النقد والتقییم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فالقضایا المبنائیّة لبوبر والّتی تتکفّل بإبطال أو بتعبیر أفضل بتقییم النّظریّة لا یمکن أن نحصل علیها إلّا من خلال إجماع العلماء وهذا الإجماع بدوره له جذور فی القیم والمیول المتعلّقة بالمجتمع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نظریّات ما بعد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النّقضیّة فی فلسفة العلوم تمکّنت المیول والقیم الفردیة والجمعیّة من إیجاد مکانة مهمّة لها فی تقییم العلوم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المعوّق الآخر الّذی طرح للحضور التّقویمی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التّزیینی أو الّتیمّنی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للتعالیم الدّینیة والثّقافیّة فی تأسیس العلوم، هو أنّه إذا دخلت مثل هذه القیم فی العلوم، فستقضی علی موضوعیّة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الّذی قال بأنّ العلوم التّجربیّة موضوعیّة، أو یجب أن تکون موضوعیّة؟ فإذا طالعنا بحوث العقود الثّلاثة الأخیرة فی فلسفة العلم فی المجلّات الدّولیّة، لاتّضح لنا وجود نقاشات جادّة فی مفهوم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فنحن نکرّر وببساطة تامّة أنّ العلوم موضوعیّة ولذا لا یستطیع الدّین ولا ینبغی له أن یکون له دور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مفاهیم الموضوعیّة والمعقولیّة الّتی استفید منها وبکثرة فی القرن الثّامن عشر وفی تیار الحرکة التّنویریة، أضحت الیوم مورد تساؤل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واجه فلاسفة الغرب مشاکل کثیرة فی مجال العمل والاستفادة من هذه المفاهیم، واضطرّوا إلی التّفکیر وإعادة النّظر</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هذا الموجز سعینا لکی یتّضح وعلی أساس شواهد من العلوم المختلفة بأنّ العلم وفی أیٍّ من معانیه غیر محاید باللّحاظ القِیمی وأنّه قد تبلور وتقوّم لأجل تحقّق المیول والطّموحات الخاصّة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أن أکون قد تمکّنت فی هذا المجال الضّیق من توضیح کیف أنّ القیم والرّؤی الدّینیة بإمکانها أن تلعب دوراً تقویمیّاً فی صناعة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والشّواهد المؤیّدة لهذا الرّأی، لا تقتّصر أبداً علی الأمثلة الّتی عرضناها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 إلمام وعن قرب بکلّ علم من العلوم الاجتماعیة، وعلی الخصوص بتأریخ العلوم الإجتماعیّة، ودرس کیفیّة صناعة وطرح وعرض النّظریّات فی تلک العلوم، فسیکتشف وبوضوح مذهل کیف أنّ المیول والطّموحات البنیویّة الفردیّة والإجتماعیّة قد قوّمت وأسّست العلوم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والمعوّقات الّتی یطرحها أکثر الجامعیّین وبعض الحوزویّین باعتبارها موانع لحضور الدّین فی میدان العلوم، هی بقول ماکین تایر، لها جذور فی أیدیولوجیة العلوم </w:t>
      </w:r>
      <w:r>
        <w:rPr>
          <w:rStyle w:val="FootnoteAnchor"/>
          <w:rtl w:val="true"/>
        </w:rPr>
        <w:footnoteReference w:id="46"/>
      </w:r>
      <w:r>
        <w:rPr>
          <w:rFonts w:ascii="IRNazanin" w:hAnsi="IRNazanin" w:eastAsia="IRNazanin"/>
          <w:color w:val="111111"/>
          <w:sz w:val="28"/>
          <w:sz w:val="28"/>
          <w:szCs w:val="28"/>
          <w:rtl w:val="true"/>
          <w:lang w:bidi="fa-IR"/>
        </w:rPr>
        <w:t xml:space="preserve">ولیدة أوربا القرن الثّامن عشر والتّاسع عشر وینبغی أن لا تقف هذه الأیدیولوجیة مانعاً بوجه جهود علماء فکر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علماء فکر الحداثة العلمانی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الدّائرة الضّروریة</w:t>
      </w:r>
      <w:r>
        <w:rPr>
          <w:rFonts w:eastAsia="IRNazanin" w:cs="IRNazanin"/>
          <w:color w:val="111111"/>
          <w:sz w:val="28"/>
          <w:szCs w:val="28"/>
          <w:rtl w:val="true"/>
          <w:lang w:bidi="fa-IR"/>
        </w:rPr>
        <w:t xml:space="preserve">. </w:t>
      </w:r>
      <w:r>
        <w:rPr>
          <w:rStyle w:val="FootnoteAnchor"/>
          <w:rtl w:val="true"/>
        </w:rPr>
        <w:footnoteReference w:id="47"/>
      </w:r>
      <w:bookmarkStart w:id="265" w:name="pg5231_29849"/>
    </w:p>
    <w:p>
      <w:pPr>
        <w:pStyle w:val="Heading2"/>
        <w:numPr>
          <w:ilvl w:val="1"/>
          <w:numId w:val="1"/>
        </w:numPr>
        <w:rPr/>
      </w:pPr>
      <w:bookmarkStart w:id="266" w:name="__RefHeading___Toc283324_581953129"/>
      <w:bookmarkStart w:id="267" w:name="_Toc100"/>
      <w:bookmarkEnd w:id="265"/>
      <w:bookmarkEnd w:id="266"/>
      <w:r>
        <w:rPr>
          <w:rtl w:val="true"/>
        </w:rPr>
        <w:t>المصادر</w:t>
      </w:r>
      <w:bookmarkEnd w:id="267"/>
    </w:p>
    <w:p>
      <w:pPr>
        <w:pStyle w:val="Heading3"/>
        <w:numPr>
          <w:ilvl w:val="2"/>
          <w:numId w:val="1"/>
        </w:numPr>
        <w:rPr/>
      </w:pPr>
      <w:bookmarkStart w:id="268" w:name="__RefHeading___Toc283326_581953129"/>
      <w:bookmarkStart w:id="269" w:name="_Toc101"/>
      <w:bookmarkEnd w:id="268"/>
      <w:r>
        <w:rPr>
          <w:rtl w:val="true"/>
        </w:rPr>
        <w:t>القرآن الکریم</w:t>
      </w:r>
      <w:bookmarkEnd w:id="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Carnap.R. (1966) An Introduction to the Philosophy of science (New York,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Carnap.R. (1963/1991)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Intellectual Autobiography " , in P.A. Schilppced. The philosophy of Rudolf Carnap (Iasalle, Iltinois, open Court). 4. Hume, D. (1777/1975) Enquiries conceming Human understanding and concerning the Principtes of Morals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Edition by P.H. Nidditch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Maclntyre, A. (1988)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Pauel Discussion " , in E. McMullinc (ed). construction and Consraint (?) (No tredame, Notredame Universify Press) 6. Popper, K.R. (1959/1980) The Logic of Scieutific Discovery (London, Hutchinson Co)</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83328_581953129"/>
      <w:bookmarkStart w:id="271" w:name="_Toc102"/>
      <w:bookmarkEnd w:id="270"/>
      <w:r>
        <w:rPr>
          <w:rtl w:val="true"/>
        </w:rPr>
        <w:t>الملاحظات</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السّید الدّکتور زیبا کلام ومن خلال ذکره بعض الشّواهد کان فی صدد إثبات أنّ القیم والاعتقادات الدّینیّة والفلسفیّة لها دخالة فی الفعّالیّات العلمیّة ولهذا السّبب یمکن الاستفادة أیضاً من قیمنا واعتقاداتنا الدّینیة فی نقد العلم الجدید وصناعة 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الّذی نحصل علیه من خلال هذا الطّریق، ینسجم مع الدّین ویمکن إطلاق العلم الدّینی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لدینا بعض الملاحظات بخصوص رأی السّید زیبا کلام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ومن خلال ذکره شواهد تجربیّة کان یحاول إثبات أنّ القیم والاعتقادات الدّینیّة والفلسفیّة لها دخالة فی الفعّالیّات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مبلغ اعتبار هذه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وسنشیر</w:t>
      </w:r>
    </w:p>
    <w:p>
      <w:pPr>
        <w:pStyle w:val="BookText"/>
        <w:rPr/>
      </w:pPr>
      <w:r>
        <w:rPr>
          <w:rFonts w:ascii="IRNazanin" w:hAnsi="IRNazanin" w:eastAsia="IRNazanin"/>
          <w:color w:val="111111"/>
          <w:sz w:val="28"/>
          <w:sz w:val="28"/>
          <w:szCs w:val="28"/>
          <w:rtl w:val="true"/>
          <w:lang w:bidi="fa-IR"/>
        </w:rPr>
        <w:t>إلیها فی الملاحظات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منهج السّید زیبا کلام یرتکز علی الاستفادة من الاستقراء الّذی لا ینسجم مع نظریة علمه المعرفی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إثبات مدّعی السّید زیبا کلام، فإنّه لا یشیر سوی إلی أنّ مثل هذه الدّخالة موجودة، ولکن علی أیّ أساس تجوّز قابلیّة، أو حتّی وجوب، الاستفادة من هذا الإمکان؟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صدر الإذن بالاستفادة من الاعتقادات والقیم الفلسفیّة والدّینیة فی الفعّالیّات العلمیّة، فإنّ مهمّة الدّکتور زیبا کلام ستتوقّف عند حدّ بیان العلم الدّینی؛ لأنّه لا یطرح أیّ حلّ وأسلوب للاستفادة من هذه القیم والرّؤی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فإنّه یبدو ونظراً لمبنی العلم المعرفی المختار من قِبل السّید زیبا کلام، لا یمکن وتحت أیّ عنوان الحدیث عن تفوّق العلم الدّینی نسبة إلی النّظریّات العلمیّة الأخری؛ لأنّ هذه العلوم لا تقبل القیاس فی مقابل بعضها البعض، وأنّ کلّ واحد منها یصف عالمه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نکات أیضاً فی مورد الشّواهد الّتی استُفید منها فی مقالة السّید زیبا کلام یمکن التّطرّق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فتعبیره فی أوّل المقالة یتمثّل فی أنّه یرید دراسة مجالات مختلفة من العلوم، ویوضّح بأنّه هل أنّ هذه العلوم بحاجة إلی قیم وبعض میول الإنسان؟ وهل هناک مجال لدخول وحضور الرّؤی والقیم الدّینیّة فی هذه العلوم؟</w:t>
      </w:r>
    </w:p>
    <w:p>
      <w:pPr>
        <w:pStyle w:val="BookText"/>
        <w:rPr/>
      </w:pPr>
      <w:r>
        <w:rPr>
          <w:rFonts w:ascii="IRNazanin" w:hAnsi="IRNazanin" w:eastAsia="IRNazanin"/>
          <w:color w:val="111111"/>
          <w:sz w:val="28"/>
          <w:sz w:val="28"/>
          <w:szCs w:val="28"/>
          <w:rtl w:val="true"/>
          <w:lang w:bidi="fa-IR"/>
        </w:rPr>
        <w:t>ولکن یبدو أنّ تحلیلاته غالباً ما تکون ناظرة إلی مبانی وفلسفة العلوم، أو الفلسفة السّیاسیّة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ویصرّح السّید زیبا کلام بخصوص ذلک فی القسم الأخیر لمقالته، ویقدّم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وفلاسفة السّیاسة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کمتعلّق لبحثه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بحث السّید زیبا کلام ناظر إلی الفلسفة السّیاسیّة والإجتماعیّة، لأمکن بشکل أسهل قبول تأثیر القیم والرّؤی غیر العلمیّة فی عرض الآراء الفلسفیّة، وأنّ المدارس السّیاسیّة، الاقتصادیّة، الإجتماعیّة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وتکون مشحونه علی الدّوام بالآراء الفلسفیّة القِیمیّة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العلوم الإجتماعیّة والإنسانیّة تتبلور من خلال هذه المدارس، فباستطاعة هذه الآراء الفلسفیّة والقِیمیّة التدخّل وبشکل غیر مباشر فی الفعّالیّات العلمیّة، ولکنّ هذا یختلف مع مبتغاه الّذی طرحه فی بدء مقالته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بحث کارنب أنسب شاهد من بین الشّواهد الّتی استند إلیها السّید زیبا کلام، لکن ینبغی أخذ نکتة بنظر الاعتبار فی مجال بحث کارنب واستفادة السّید زیبا کلام منه، وهی أنّنا حتّی لو قبلنا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العقائد الثّقافیّة هو حضور جادّ وحاسم فی میدان جمیع العلوم التّجربیّة، وعلی الخصوص فی مرحلتها التّقویمیّة</w:t>
      </w:r>
    </w:p>
    <w:p>
      <w:pPr>
        <w:pStyle w:val="BookText"/>
        <w:rPr/>
      </w:pPr>
      <w:r>
        <w:rPr>
          <w:rFonts w:ascii="IRNazanin" w:hAnsi="IRNazanin" w:eastAsia="IRNazanin"/>
          <w:color w:val="111111"/>
          <w:sz w:val="28"/>
          <w:sz w:val="28"/>
          <w:szCs w:val="28"/>
          <w:rtl w:val="true"/>
          <w:lang w:bidi="fa-IR"/>
        </w:rPr>
        <w:t>والجنینیّة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لا ینبغی إغفال أنّه إذا لم یؤخذ عامل ما بنظر الاعتبار فی مرحلة الحدس وکان لهذا العامل تأثیر حقیقی فی وقوع الظّاهرة، فإنّ هذا العامل فی النّهایة سیبزر نفسه فی قالب حدوث عدم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لقد کان العلماء علی الدّوام یواجهون مقاومة الحقیقة فی مقابل الحدوس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وتأریخ العلم ملیء بالموارد الّتی لم یؤخذ عامل ما فی المرحلة الأولی للتنظیر، ولکن بعد مدّة یضطرّ الباحث إلی حدس آخر حول وجود أو دور ذلک العامل إثر عدم حصول التّطابق بین التّوقّعات والنّتائج المختبریّة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الحدس والاختبار یسری فی جمیع مسار تبلور ونمو وتطوّر علم ما ولیس أنّ الحدس الأوّلی یشکّل العملیّة الکلّیة للعلم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بحث بوبر ففیهِ مجال للتأمّل من جهات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یصرّح الدّکتور زیبا کلام بأنّ فلاسفة العلم التّجویزی، لا یدّعون الکشف عن طبیعة عمل العلماء، وإنّما هم فی صدد التّرخیص فی حلول معقولة لعمل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الّتی یمکن استخلاصها من بحث بوبر فی مجال معیار التّمییز، هی أنّه إذا اعتقد أحد بکون ملاک معقولیّة العلم یقتصر علی خصوص التّجربیّة والمنطقیّة، فسیکون مجبراً علی القول بدور خاص لدخالة المیول والقیم الثّقافیّة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امتیاز بوبر فی هذا البحث هو أنّه یطرح دور واضح لمثل هذه الدّخاله؛ لأنّه بدون أخذ هذا الدّور للمعرفة المنهجیّة وفی حال أنّنا نرید تجویز دخالة القیم فی کلّ قسم من الفعّالیّات العلمیّة، فسوف تُستبدل الفعّالیّات العلمیّة إلی فعّالیّة أیدیولوجیّة محضة، وسنشهد تکرار ظواهر ارتبط وقوعها بردّة فعل المعسکر الشّرقی، فی مجال نظریّة النّسبیّة أو النّظریّة الجینیّة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انتهاء اتّجاه بوبر إلی بحث الاتّجاه التّوافقی یمکن تفسیره بشکلین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بأنّ کلام بوبر صحیح ولا یمکن للعلم أن یدّعی معقولیّة متجاوزة للتّأریخ وللاجتماع ویکون علی الدّوام مقیداً بالاتّجاه التّوافقی؛ وإمّا أن ندّعی بأنّ العلم یتمیّز فی الحقیقة بالممیّزات المذکورة، ولکنّ الملاک الاقتراحی لبوبر، لم یکن ملاکاً صحیحاً ولم یتمکّن من عرض معقولیّة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استفاد الدّکتور زیبا کلام فی بحثه فی باب علاقة القیم بالعلوم من آراء فلاسفة العلم، کی یبیّن بأنّ الاعتقادات الثّقافیّة والمیول الشّخصیّة تلعب دوراً فی الفعّالیّات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 اعتمدنا بیانه فی آخر المقالة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العلم لا یکشفون عن میثولوجیا</w:t>
      </w:r>
    </w:p>
    <w:p>
      <w:pPr>
        <w:pStyle w:val="BookText"/>
        <w:rPr/>
      </w:pPr>
      <w:r>
        <w:rPr>
          <w:rFonts w:ascii="IRNazanin" w:hAnsi="IRNazanin" w:eastAsia="IRNazanin"/>
          <w:color w:val="111111"/>
          <w:sz w:val="28"/>
          <w:sz w:val="28"/>
          <w:szCs w:val="28"/>
          <w:rtl w:val="true"/>
          <w:lang w:bidi="fa-IR"/>
        </w:rPr>
        <w:t>العلماء، بل عادةً ما یجوّزون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فحینذاک لا یمکن الحصول بسهولة علی نتیجة من أقوال کارنب وبوبر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باعتبارهما فلاسفة العلم الوضعی والنّقضی، فی أنّ کلاهما یتبّع فلسفة العلم التّجویزی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استفادة العلماء من القیم والرّؤی الثّقافیّة والمیول الشّخصیّة فی فعّالیّاتهم العلمیّة؛ هو لأنّهم وحسب تعبیر السّید زیبا کلام فی مقام التجویز لا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فإنّ تلک الفئة من فلاسفة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توماس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تهتمّ بمباحث تأریخ العلم والعلم الاجتماعی للعلم، قد تطرّقت إلی لعب ملاکات أمثال الجمال، السّذاجة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فی قبول ورفض النّظریّات العلمیّة وبما أنّ هذه الملاکات، لیس لها ضابطة منطقیّة وواضحة، فمن المتیقّن أنّ إعمال هذه الملاکات سیستلزم الاستفادة من المیول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سیکون من الأنسب الرّجوع مباشرة إلی عمل العلماء لإثبات دخالة الاعتقادات غیر العلمیّة فی الفعّالیّات العلمیّة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یُستنتج من آراء السّید زیبا کلام ما صورته أنّه یعتقد بدخالة وتدخّل عوامل علم النّفس وعلم الاجتماع وبشکل تامّ فی جمیع مجالات الفعّالیّات العلمیّة ولا یوجد أیّ‌مرکز فوق تأریخی وفوق اجتماعی مستقلّ عن القیم والمیول الفردیّة والجماعیّة لتقییم النّظریّات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حال صحّة هذا الاستنتاج یبدو بأنّه لیس لهذا الرّأی أیّ نتیجة سوی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وجود ملاک معقول للحکم وترجیح نظریّة علی أخری، لا یمکن أن یکون هناک حوار معقول مع أحد وتوقّع قبول فکرة خاصة بشکل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اختیر هذا المبنی، فلا وجه لعرض سبب لرد النّظریّة الوضعیّة لأنّها قد حازت فی برهة من الزّمان علی إجماع المجتمع العلمی ومادام مثل هذا الإجماع باقیاً فسوف لا یسبّب قبولها باعتبارها مبنی فی الفعّالیّات العلمیّة أیّ 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الرّئیسیّة هی أنّ اتّخاذ هذا الاتّجاه لا یُسقط العلم وفلسفات العلم عن الاعتبار فحسب، بل سیجعل مدّعیات المتدینین بخصوص تجاوز المعارف الدّینیّة الاجتماع والتأریخ ومناظرتها للواقعیّة بلا أساس</w:t>
      </w:r>
      <w:r>
        <w:rPr>
          <w:rFonts w:eastAsia="IRNazanin" w:cs="IRNazanin"/>
          <w:color w:val="111111"/>
          <w:sz w:val="28"/>
          <w:szCs w:val="28"/>
          <w:rtl w:val="true"/>
          <w:lang w:bidi="fa-IR"/>
        </w:rPr>
        <w:t>.</w:t>
      </w:r>
      <w:bookmarkStart w:id="272" w:name="pg5231_29856"/>
    </w:p>
    <w:p>
      <w:pPr>
        <w:pStyle w:val="Heading2"/>
        <w:numPr>
          <w:ilvl w:val="1"/>
          <w:numId w:val="1"/>
        </w:numPr>
        <w:rPr/>
      </w:pPr>
      <w:bookmarkStart w:id="273" w:name="__RefHeading___Toc283330_581953129"/>
      <w:bookmarkStart w:id="274" w:name="_Toc103"/>
      <w:bookmarkEnd w:id="272"/>
      <w:bookmarkEnd w:id="273"/>
      <w:r>
        <w:rPr>
          <w:rtl w:val="true"/>
        </w:rPr>
        <w:t>العلم الدّینی أداة تطبیق الإسلام فی العمل الاجتماعی</w:t>
      </w:r>
      <w:bookmarkEnd w:id="274"/>
    </w:p>
    <w:p>
      <w:pPr>
        <w:pStyle w:val="Heading3"/>
        <w:numPr>
          <w:ilvl w:val="2"/>
          <w:numId w:val="1"/>
        </w:numPr>
        <w:rPr/>
      </w:pPr>
      <w:bookmarkStart w:id="275" w:name="__RefHeading___Toc283332_581953129"/>
      <w:bookmarkStart w:id="276" w:name="_Toc104"/>
      <w:bookmarkEnd w:id="275"/>
      <w:r>
        <w:rPr>
          <w:rtl w:val="true"/>
        </w:rPr>
        <w:t>حوار مع حجّة الإسلام السّید مهدی میرباقری</w:t>
      </w:r>
      <w:bookmarkEnd w:id="2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تأسّست فی إطار بحث العلم الدّینی أو أسلمة العلوم مراکز عرضت اتّجاهاً إسلامیاً علی أنّه فلسفتها الوجودیّة لتدوین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هامش هذا البحث العام دخلت أیضاً مباحث أخری أمثال مفهوم، إمکان، وضرورة العلم الدّینی فی مجال المسائل الفلسفیّة والکلامیّة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غایتنا من هذا الحوار هو دراسة الأعمال الّتی أنجزها مجمع العلوم الإسلامیّة خلال هذین العقدین والأسس والمقدّمات الّتی یقوم علیها ونری أنّه من الواجب الابتداء ببسط الکلام فی الهدف من طرح العلم الدّینی قبل أیّ شیء آخر ومن ثمّ النّظر فی مدی نجاح هذا المجمع فی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لم تتمکّنوا من إحراز نجاحات متقدّمة فی هذا المجال ما هی المعوّقات الّتی حالت دون ذلک؟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الآراء الّتی طُرحت فی مجال ضرورة العلم الدّینی خلال هذه العقود متماثلة 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قد وضع مجمع العلوم الإسلامیّة قدمه فی مجال طرح نظریّة العلم الدّینی بهدف التطبیق الکامل للإسلام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هذه النّظرة فی إثر الإنجازات الملموسة والدّور الفعّال للدّین فی میدان الحیاة الإجتماعیّة وأنّ تحقیق مثل هذا الهدف یفرض أن یکون لدینا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فبحثنا هو أنّ تطبیق الإسلام یحتاج إلی مفاهیم تطبیقیّة فإذا ما فصلت العلاقة المبدئیّة لهذه المفاهیم عن الدّین، فلا یمکن لهذه المفاهیم أن تصبّ فی خدمة الأهداف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المفاهیم التّطبیقیّة تعدّ طریقاً لتحقّق الدّین فی الواقع</w:t>
      </w:r>
      <w:bookmarkStart w:id="277" w:name="pg5231_29857"/>
    </w:p>
    <w:p>
      <w:pPr>
        <w:pStyle w:val="BookText"/>
        <w:rPr/>
      </w:pPr>
      <w:bookmarkEnd w:id="277"/>
      <w:r>
        <w:rPr>
          <w:rFonts w:ascii="IRNazanin" w:hAnsi="IRNazanin" w:eastAsia="IRNazanin"/>
          <w:color w:val="111111"/>
          <w:sz w:val="28"/>
          <w:sz w:val="28"/>
          <w:szCs w:val="28"/>
          <w:rtl w:val="true"/>
          <w:lang w:bidi="fa-IR"/>
        </w:rPr>
        <w:t>الاجتماعی وهذا یفرض أن یکون لها نوع من الارتباط المنطقی مع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الضّرورة أرغمتنا علی السعی لإنتاج علم دینی کی نستطیع أن نصل إلی التّطبیق الحقیقی للدّین فی المجتمع وإیصال الحضارة الإسلامیّة إلی منصّة الظّهور علی أساسه</w:t>
      </w:r>
      <w:r>
        <w:rPr>
          <w:rFonts w:eastAsia="IRNazanin" w:cs="IRNazanin"/>
          <w:color w:val="111111"/>
          <w:sz w:val="28"/>
          <w:szCs w:val="28"/>
          <w:rtl w:val="true"/>
          <w:lang w:bidi="fa-IR"/>
        </w:rPr>
        <w:t>.</w:t>
      </w:r>
    </w:p>
    <w:p>
      <w:pPr>
        <w:pStyle w:val="Heading3"/>
        <w:numPr>
          <w:ilvl w:val="2"/>
          <w:numId w:val="1"/>
        </w:numPr>
        <w:rPr/>
      </w:pPr>
      <w:bookmarkStart w:id="278" w:name="__RefHeading___Toc283334_581953129"/>
      <w:bookmarkStart w:id="279" w:name="_Toc105"/>
      <w:bookmarkEnd w:id="278"/>
      <w:r>
        <w:rPr>
          <w:rtl w:val="true"/>
        </w:rPr>
        <w:t>الثّورة السّیاسیّة والثّورة الثّقافیّة مقدّمتان ضروریّتان للوصول إلی العلم الدّینی</w:t>
      </w:r>
      <w:bookmarkEnd w:id="279"/>
    </w:p>
    <w:p>
      <w:pPr>
        <w:pStyle w:val="BookText"/>
        <w:rPr/>
      </w:pPr>
      <w:r>
        <w:rPr>
          <w:rFonts w:ascii="IRNazanin" w:hAnsi="IRNazanin" w:eastAsia="IRNazanin"/>
          <w:color w:val="111111"/>
          <w:sz w:val="28"/>
          <w:sz w:val="28"/>
          <w:szCs w:val="28"/>
          <w:rtl w:val="true"/>
          <w:lang w:bidi="fa-IR"/>
        </w:rPr>
        <w:t>أمّا مدی نجاح هذه الضّرورة وهذا الهدف فهذا یرتبط بماهیّة مفهومنا عن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نحدّده؟ ففی رأینا ولأجل تحقیق هذا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المفاهیم التّطبیقیّة وتأسیس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قطع طریق طویل وتوفیر مستلزمات تحقّقه أیضاً للوصول إلی نتیجة لیمکن تقییم مدی نجاحه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 مجمعنا، أنّ إحدی مستلزمات تحقّق هذا الهدف، هو قیام ثورة 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هذا الهدف لا یمکن تحقیقه إلّا من خلال ثورة ثقافیّة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حدوث الثّورة الثّقافیّة یجب التّمهید لها فی المجالین الفردی والاجتماعی وإعداد الأسس الکفیلة لتحقیقها کی تتوفّر الأرضیّة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إیجاد إحساس بضرورة تلک الثّورة الثّقافیّة وخلق الحاجة للتطوّر فی المفاهیم التّطبیقیّة فی المجتمع وتبعاً لذلک یحتاج تأسیس العلم الدّینی إلی ثورة سیاسیّة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حدوث ثورة سیاسیّة عظیمة لا یمکن تحقیق مثل هذه الثّورة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أرضیّة تحقّق ثورة ثقافیّة یعتمد علی‌حدوث ثورة سیاسیّة والّتی تأتی عقب تحقّق أهداف الدّین وکفاءة تطبیقه فی المجال‌الاجتماعی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الثّورة الإسلامیّة الإیرانیّة فی رأینا، هی ثورة سیاسیّة ثقافیّة قد تحقّقت بمثل هذه الأهداف والغایات وتعتقد بضرورة حضور الدّین فی الحیاة البشریّة وأن یتمّ ذلک علی مستوی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النّظام السّیاسی یعتقد بأنّ الدّین یُمکنه ویجب علیه التّدخل لتحدید العدالة السّیاسیّة، الثّقافیّة والاقتصادیّة علی المستویین الوطنی والعالمی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مجمعنا هذا یری بأنّ تحقّق مثل هذه الثّورة العظیمة یمکن أن یکون ظهیراً للثورة الثّقافیّة العظیمة؛ لأنّ مثل هذه الثّورة تحتاج إلی سلسلة من العلوم والمفاهیم التطبیقیّة للوصول إلی أهدافها وغایتها کی تتمکّن من تهیئة الأرضیّة للتحقّق الخارجی للعلاقة فیما بین الأفکار والأهداف فی المجال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ضرورة ظهور ثورة ثقافیّة یعدّ من آثار الثّورة السّیاسیّة وأداة لنجاحها وأنّ مرحلة ظهور مثل هذه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تتهیّأ أساساً عندما یبرز</w:t>
      </w:r>
      <w:bookmarkStart w:id="280" w:name="pg5231_29858"/>
    </w:p>
    <w:p>
      <w:pPr>
        <w:pStyle w:val="BookText"/>
        <w:rPr/>
      </w:pPr>
      <w:bookmarkEnd w:id="280"/>
      <w:r>
        <w:rPr>
          <w:rFonts w:ascii="IRNazanin" w:hAnsi="IRNazanin" w:eastAsia="IRNazanin"/>
          <w:color w:val="111111"/>
          <w:sz w:val="28"/>
          <w:sz w:val="28"/>
          <w:szCs w:val="28"/>
          <w:rtl w:val="true"/>
          <w:lang w:bidi="fa-IR"/>
        </w:rPr>
        <w:t>التّعارض فیما بین رؤی الثّورة وآلیات المدیریّة العلمیّة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یظهر التّعارض بین الرّؤی والقیم والآلیات الثّقافیّة فی المجتمع لا یمکن أن یتولّد شعور بضرورة القیام بتغییر ثقافی فی المجال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بروز هذا التّعارض لا یحصل إلّا بعد تجارب عدیدة وطویلة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ینبغی ولأجل وصول ثورة سیاسیّة إلی 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وحسب الباثولوجیا </w:t>
      </w:r>
      <w:r>
        <w:rPr>
          <w:rStyle w:val="FootnoteAnchor"/>
          <w:rtl w:val="true"/>
        </w:rPr>
        <w:footnoteReference w:id="49"/>
      </w:r>
      <w:r>
        <w:rPr>
          <w:rFonts w:ascii="IRNazanin" w:hAnsi="IRNazanin" w:eastAsia="IRNazanin"/>
          <w:color w:val="111111"/>
          <w:sz w:val="28"/>
          <w:sz w:val="28"/>
          <w:szCs w:val="28"/>
          <w:rtl w:val="true"/>
          <w:lang w:bidi="fa-IR"/>
        </w:rPr>
        <w:t>الإجتماعیّة والسّیاسیّة عندما یصل المسؤولون والمجتمع عامّة إلی هذه النّتیجة وهی وجود مثل هذا التّعارض فعند ذاک تظهر ضرورة التّغییر الثّقافی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نحن نعتقد بإنّه إذا حدثت ثورة سیاسیّة فلأجل أن تبقی مستمرّة وأن تکون لها قابلیّة علی الاستمرار یجب أن تنتهی إلی ثورة ثقافیّة، لأنّ مثل هذه الثّورة ولأجل تحقیق متبنّیاتها من الضّروری أن تنتج آلیات ثقافیّة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تعتمد علی البواعث والمیول الّتی تحدثها فی أوساط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قابلیّة هذه البواعث والمیول عالیة فستولّد عادة آلیات تحقّق تلک المتبنّیات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ضوء هذا، اعتقد أنّ الإجراءات الّتی اتُّخذت علی مدی هذین العقدین فی مجال المسائل الثّقافیّة، کانت إجراءات إیجابیّة</w:t>
      </w:r>
      <w:r>
        <w:rPr>
          <w:rFonts w:eastAsia="IRNazanin" w:cs="IRNazanin"/>
          <w:color w:val="111111"/>
          <w:sz w:val="28"/>
          <w:szCs w:val="28"/>
          <w:rtl w:val="true"/>
          <w:lang w:bidi="fa-IR"/>
        </w:rPr>
        <w:t>.</w:t>
      </w:r>
    </w:p>
    <w:p>
      <w:pPr>
        <w:pStyle w:val="Heading3"/>
        <w:numPr>
          <w:ilvl w:val="2"/>
          <w:numId w:val="1"/>
        </w:numPr>
        <w:rPr/>
      </w:pPr>
      <w:bookmarkStart w:id="281" w:name="__RefHeading___Toc283336_581953129"/>
      <w:bookmarkStart w:id="282" w:name="_Toc106"/>
      <w:bookmarkEnd w:id="281"/>
      <w:r>
        <w:rPr>
          <w:rtl w:val="true"/>
        </w:rPr>
        <w:t>دعوی التّوصّل إلی فلسفة للعلم الدّینی باعتبارها مرکزاً للتنسیق بین العلوم</w:t>
      </w:r>
      <w:bookmarkEnd w:id="2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ففی رأیکم أنّه ینبغی ابتداءً حصول بواعث اجتماعیّة لإحداث ثورة ومن ثمّ السّعی وفی إطار تحقّق تلک البواعث باتّجاه قیام ثورة ثقافیّة کی تتمکّن هذه الثّورة الثّقافیّة من تولید مفاهیم تطبیقیّة مناسبة وتنتهی إلی ثورة علمیّة تتمثّل بظهور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أیّ مقرّرات تطبیقیّة فی مجال التّطوّر الثّقافی والاجتماعیة ترتکز بدورها علی نظریّة أو عدّة نظریّات علمیّة، فلأجل تحقیق هذا المراد یجب ابتداءً إیجاد نظام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ینبغی علیکم لأجل إبراز مدی نجاحکم فی هذا المشروع الّذی تتابعونه خلال هذین العقدین، عرض نظام منسجم من المفاهیم النّظریّة الّتی استحدثتموها والّتی استُخرجت من صمیم النّظرة الدّینیّة من جهة، والّتی تمتلک قابلیة بیان الظّواهر الإجتماعیّة من جهة أخری ویمکنها إنتاج المفاهیم والنّظریّات التّطبیقیّة الّتی تبغیها هذه الثّورة فی نهایة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ولأجل تقییم مقدار النّجاح الّذی حقّقته جمیع المراکز الّتی تعمل فی هذا النّطاق ومن ضمنها مجمع</w:t>
      </w:r>
    </w:p>
    <w:p>
      <w:pPr>
        <w:pStyle w:val="BookText"/>
        <w:rPr/>
      </w:pPr>
      <w:r>
        <w:rPr>
          <w:rFonts w:ascii="IRNazanin" w:hAnsi="IRNazanin" w:eastAsia="IRNazanin"/>
          <w:color w:val="111111"/>
          <w:sz w:val="28"/>
          <w:sz w:val="28"/>
          <w:szCs w:val="28"/>
          <w:rtl w:val="true"/>
          <w:lang w:bidi="fa-IR"/>
        </w:rPr>
        <w:t>العلوم الإسلامیّة، ینبغی النّظر فی مدی اقترابها من قالب العلم الدّینی بمیزاته الثّلاث الآنفة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رأیی أنّه ولأجل أن یأخذ البحث منحاً منطقیاً، ینبغی أوّلاً التّعرّض إلی ضرورة تأسیس العلم الدّینی لنری هل توجد ضرورة فعلاً لهذه المسألة؟ وبعد بیان هذه الضّرورة، یجب النّظر فی أین یقع مجال هذا العلم الدّینی؟ فهل أنّ مفهوم العلم الدّینی یشمل العلوم المحضة، العلوم التّجربیّة والعلوم الإنسانیّة بشکل متساو؟ ثمّ تصل النّوبة إلی طرح أسس تحقّق مثل هکذا هدف وهنا نصل عادة إلی النّقطة الّتی طرحتموها من أنّه یجب أن تکون لدینا نظریّة منسجمة تتمیّز بالقدرة علی التّحلیل والتّفسیر لتکون هذه النّظریّة قاعدة لإیجاد علم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ولأجل مطالعة النّجاحات المنجزة فی مجال العلم الدّینی، ینبغی القیام بدراسة وتقییم فی مجالات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 فی مجال بیان ضرورة تحقّق العلم الدّینی، النجاح فی مجال جمع المبادئ وأخیراً النجاح فی مجال التّحقّق الواقعی للعلم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الّذی تفضّلتم بطرحه یرتبط بالمرحلة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مجال المرحلة الأولی أثبتنا تهیّؤ ضرورة تحقّق وتأسیس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مرحلة من النّجاح نالها المجمع أمّا فی مجال الإجابة عن السّؤال الأوّل فقد سبق وأن عرضت توضیحات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المرحلة الثّانیة فنحن ندّعی أیضاً الوصول إلی نجاحات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ففی مجال الأسس لتولید مفاهیم ونظریّات دینیّة؛ نحن ندّعی أیضاً تولید مثل هذه 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فالمجمع یدّعی حالیاً إنتاج فلسفة عملیّة ترتکز علی الأسس الدّینیّة من جهة وتمتلک القدرة علی قیادة العلوم من جهةٍ أخری، أی یمکنها الانتهاء إلی الفلسفات الجانبیّة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ندّعی أنّ الفلسفة العلمیّة المعدّة یمکنها أن تجعل المناهج منسجمة وأن توجِد الانسجام الّذی نبغیه فی مجال تولید المعرفة الدّینیّة والعلمیّة والإجرائیّة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ففلسفة المنهج هذه قد تمّ إنتاجها حسب رأینا وأنّ أسالیبها العامّة قد أُنتجت أیضاً ونحن نعتقد بأنّ إنتاج فلسفة المنهج هذه أهمّ من إنتاج الفلسفة ذاتها والنّظریّات الفلسفیّة والعلمیّة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إیضاح هذه المسألة ینبغی أن نشیر إلی تأریخ الفلسفة والنّظریّات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تلاحظون فی تأریخ الفلسفة وجود فلاسفة أسّسوا نظاماً فلسفیاً، ولکنّهم لم یتمکّنوا من أنتاج منطق یتناسب مع تلک الفلسفة ولذا لم ینجحوا ذلک النّجاح فی تنمیة مفاهیم نظریّاتهم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أنتجه مجمعنا خلال هذه العشرین سنة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العمل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الصّیرورة</w:t>
      </w:r>
    </w:p>
    <w:p>
      <w:pPr>
        <w:pStyle w:val="BookText"/>
        <w:rPr/>
      </w:pPr>
      <w:r>
        <w:rPr>
          <w:rFonts w:ascii="IRNazanin" w:hAnsi="IRNazanin" w:eastAsia="IRNazanin"/>
          <w:color w:val="111111"/>
          <w:sz w:val="28"/>
          <w:sz w:val="28"/>
          <w:szCs w:val="28"/>
          <w:rtl w:val="true"/>
          <w:lang w:bidi="fa-IR"/>
        </w:rPr>
        <w:t>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بإمکانه أن یکون بنیة تحتیّة للمناهج الخاصّة فی المجالات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النّجاح الّذی حقّقناه نجاحاً باهراً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هدفنا الأساسی کما أشرنا إلیه فی أوّل البحث هو إنتاج العلم الدّینی ومن الطّبیعیّ أنّ دراسة معیار النّجاح فی تحقّق هذا الهدف لا یتمّ إلّا علی أساس مقدار ما أُنتج من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أنّه إذا کان بالإمکان الدّلالة علی وجود نوع من العلاقة المنطقیّة وبالخصوص علاقة تولیدیّة أو علاقة علّیة فیما بین فلسفة العلم والعلوم المختلفة، فلعلّه یمکن القول حینها بأنّ نجاحاتکم فی هاتین المرحلتین کانت نجاحات مقبولة فی مجال مشروع تأسیس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من الصّحیح وجود علاقة تولیدیّة فیما بین المباحث المختلفة لفلسفة العلم ومواضیع أمثال میثولوجیا العلوم وإنتاج العلم؟ إنّ الفلسفة العلمیّة الّتی ظهرت فی الغرب، کانت ترتبط عملیّاً بوصف وبیان عمل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من النّاحیة المنطقیّة والعملیّة لم تکن فلسفة العلم ولا تکون؛ مقدّمة لتولید العلم بواسطة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ففلاسفة العلم هم الّذین یصفون ویبیّنون عمل العلماء إثر إیجاد العلم بواسطة العلماء وبعد مراقبة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یتمکّن مجمعکم من أیجاد علاقة تولیدیّة فیما بین الفلسفة العلمیّة والعلم الدّینی الّذی یستتبعها، فلا یمکن عندها ترقّب النّجاح فی إتمام المرحلة الثّالثة علی أساس النّجاح الّذی تمّ فی المرحلتین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الالتفات إلی أنّه إذا أردتم الوصول إلی انسجام فی شبکة اعتقاداتکم عن المسیرة التّکاملیّة للمعنویّة فی العالم، فأنتم مجبرون علی الاستفادة من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یکون فی نیّتنا تنظیم علمنا واعتقاداتنا، وبعبارةٍ أخری، لیس لدینا قرار إدارة تولید الثّقافة والعلم فی المجتمع کی یظهر ویعمل هذا العلم والمعرفة المولّدة علی شکل شبکة منسجمة فی المجالات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الظّروف، یمکن للعلماء المضی فی تطویر العلم مع ما یواجهونه أحیاناً من وقوع تعارضات أساسیّة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ما قرّرنا إیجاد وحدة منهجیّة وانسجام فی تولید العلم والثّقافة، فسنکون مضطرّین عندها الوصول إلی شبکة أو نموذج یتمّ علی أساسه إیجاد الانسجام المطلوب وإذا ما أردنا أن یکون هذا التّنظیم الانسجامی مطابقاً للتعالیم الدّینیّة، فینبغی أن یکون ذلک النّموذج نموذجاً دینیّاً بطبیعة الحال ویعتمد علی الافتراضات الدّینیّة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فعندما تدرسون ظاهرة قد حدثت 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المعرفة العلمیّة أو المعرفة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تتوصّلوا إلی إطار وأساس یمکنه بیان مسیر الحرکة الصّحیحة</w:t>
      </w:r>
      <w:bookmarkStart w:id="283" w:name="pg5231_29861"/>
    </w:p>
    <w:p>
      <w:pPr>
        <w:pStyle w:val="BookText"/>
        <w:rPr/>
      </w:pPr>
      <w:bookmarkEnd w:id="283"/>
      <w:r>
        <w:rPr>
          <w:rFonts w:ascii="IRNazanin" w:hAnsi="IRNazanin" w:eastAsia="IRNazanin"/>
          <w:color w:val="111111"/>
          <w:sz w:val="28"/>
          <w:sz w:val="28"/>
          <w:szCs w:val="28"/>
          <w:rtl w:val="true"/>
          <w:lang w:bidi="fa-IR"/>
        </w:rPr>
        <w:t>للآخرین بشکل واضح ویکون کفوءاً فی تنمیة الظّاهرة المقصودة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توضیح آخر یمکن القول بإنّه یمکن فی العلاقة المتبادلة فیما بین العلم وفلسفة العلم، أن تتکامل فلسفة العلم وتنمو وکذا العلم فی أن یستفید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قصدی لیس أنّ فلسفة العلم مقدّمة دائماً علی العلم وأنّ لها علاقة تولیدیّة معه، وإنّما هو أنّ فلسفة العلم تتکامل بتفاعل الفلسفات الموجودة والعلم وتأریخ العلم من جانب، ویمکنها أن تکون أساساً للحرکات العلمیّة اللّاحقة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یمکنکم الاستفادة من فلسفة العلم باعتبارها عاملاً فی تحقیق الانسجام بین بحوثکم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الخصوص فی المرحلة الّتی تسعون فیها لإیجاد انسجام فی شبکة معارفکم واعتقاداتکم والّتی یجب أن یکون لدیکم نموذج لتولید تلک الشّبکة وتوجیهها وفلسفة العلم تمتلک تلک القدرة والقابلیّة الّتی بإمکانها إیجاد نوع من الانسجام فیما بین معارفکم</w:t>
      </w:r>
      <w:r>
        <w:rPr>
          <w:rFonts w:eastAsia="IRNazanin" w:cs="IRNazanin"/>
          <w:color w:val="111111"/>
          <w:sz w:val="28"/>
          <w:szCs w:val="28"/>
          <w:rtl w:val="true"/>
          <w:lang w:bidi="fa-IR"/>
        </w:rPr>
        <w:t>.</w:t>
      </w:r>
    </w:p>
    <w:p>
      <w:pPr>
        <w:pStyle w:val="Heading3"/>
        <w:numPr>
          <w:ilvl w:val="2"/>
          <w:numId w:val="1"/>
        </w:numPr>
        <w:rPr/>
      </w:pPr>
      <w:bookmarkStart w:id="284" w:name="__RefHeading___Toc283338_581953129"/>
      <w:bookmarkStart w:id="285" w:name="_Toc107"/>
      <w:bookmarkEnd w:id="284"/>
      <w:r>
        <w:rPr>
          <w:rtl w:val="true"/>
        </w:rPr>
        <w:t>عدم أفضلیّة الارتباط المنطقی بین الدّین والعلم فی الماضی</w:t>
      </w:r>
      <w:bookmarkEnd w:id="2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جاءت فلسفة العلم هذه أو میثولوجیا البحث العلمی؟ فهل هی ناظرة إلی علم دینی متحقّق؟ وبعبارةٍ أخری، فهل أنتم تعتقدون بتحقّق العلم الدّینی فی مقطع من تأریخ الفکر البشری أم بتحقّق العلم الإسلامی بشکل خاصّ فی مقطع من تأریخ الإسلام وبعد مطالعة هذه العلوم سعیتم إلی الوصول إلی القواعد ومنهج البحث المستخدم فیها؟ أم أنّ عملکم قام علی أساس مجرّد تصوّر لمفهوم العلم الدّینی أو العلم الإسلامی وسعیتم بعد ذلک لاستخراج المستلزمات والتبعات المنطقیّة لهذا المفهوم، والوصول إلی میثولوجیا العلم الدّینی؟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بنحو ما بأنّه لم یکن لدینا علم دینی بالمفهوم الدّقیق أبداً وهذا فی حالة کون مرادکم من العلم، علوماً أمثال الطّب، النجوم، الرّیاضیّات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رأینا أنّه حتّی فی المرحلة الّتی تُذکر علی أنّها عصر الحضارة الإسلامیّة، لم یکن لدینا علم دینی وإسلامی، لأنّه لم یثبت ارتباط منطقی فیما بین الدّین والعلم فی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فقد کان لدینا علماء متّقون کثیرون کأطباء أو ریاضیین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المرحلة، ولکنّ هذا لا یمثّل ارتباطاً منطقیاً فیما بین العلم والدّین، لذا فلا نری العلم الّذی أنتجوه أو اتّسع من خلالهم علماً دینیّاً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أنّی أعتقد بعدم وجود فلسفة إسلامیّة بمفهومها الدّقیق، لأنّ هذه الفلسفة لیست إسلامیّة من ناحیة المفاهیم، المبادئ والمنهج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بعض موضوعاتها ولیدة الثّقافة الإسلامیّة وکانت للبواعث الدّینیة للفلاسفة</w:t>
      </w:r>
    </w:p>
    <w:p>
      <w:pPr>
        <w:pStyle w:val="BookText"/>
        <w:rPr/>
      </w:pPr>
      <w:r>
        <w:rPr>
          <w:rFonts w:ascii="IRNazanin" w:hAnsi="IRNazanin" w:eastAsia="IRNazanin"/>
          <w:color w:val="111111"/>
          <w:sz w:val="28"/>
          <w:sz w:val="28"/>
          <w:szCs w:val="28"/>
          <w:rtl w:val="true"/>
          <w:lang w:bidi="fa-IR"/>
        </w:rPr>
        <w:t>تأثیر واضح فی هذه الفلسفة، ولکن مع ذلک لم یحدث ارتباط منطقی فیما بین العقل والوحی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الحس والعقل والدّین تعایشوا مترافقین جنباً إلی جنب علی مرّ التّأریخ ولم یظهر تعارض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منذ أن ظهر نظام فی ذهن الإنسان وقرّر تنسیق نظام اعتقاداته تسبّب هذا التّنسیق بانهیار المعنویّة فی الحضارة الغربیّة وبرز للعیان التّعارض الخفی فیما بین العقل والحس العلمانی المعتمد علی نفسه من جانب والوحی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أن تسأل هنا بأنّه إذا کان یوجد تعارض حقیقی بین هذه الأسالیب الثّلاثة فلماذا لم یلتفت العلماء إلی ذلک؟ وللإجابة علی ذلک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رؤیة الإنسان کانت رؤیة ترتکز علی أصالة الشّیء والماهیّة وینظر إلی الأمور ویدرسها بشکل مستقلّ عن بعضها البعض فلم یلتفت إلی العلاقات فیما بین المجالات المختلفة للحس والعقل والتّجربة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دعاهم ذلک إلی إطلاق العلم الدّینی علی العلم الّذی یولّده العالِم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بالضّبط ما یعتقده البعض الآن بخصوص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فبواعث العلماء فی هذه المرحلة کانت تؤثّر فی علمهم وفکرهم لاإرادیاً ولا تمرّ عبر تطبیق المنطق والأسالیب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التطوّر الصّناعی والظّهور التّدریجی لإدراک المجموعات والتّأکید علی المدیریّة المنظّمة وفی إطار عرض نمودج یغطّی جمیع أبعاد الحیاة البشریّة، انتبه الغربیون إلی أنّه من غیر الممکن الجمع فیما بین الدّین والعلم العلمانی فی هذا النّموذج وأدّی هذا الأمر إلی اعتبار الدّین فی هذا المقطع الزّمانی من أکبر المعوّقات الرّئیسیّة للتنمیة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حسب التّعریف الّذی تنطوی علیه أذهانهم وهی تنمیة اللذّة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 بتحقّق العلم الدّینی أو الإسلامی إذا کان مرادنا من العلم، مجموعة من المفاهیم، المسائل وأسالیب البحث وأسالیب حلّ المسائل؛ فالفقه علی سبیل المثال یعتبر علماً إسلامیّاً لأنّ له صبغة إسلامیّة من حیث البواعث، المواضیع، المسائل، المفاهیم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الّذی یجعل الفقه علماً إسلامیّاً برأینا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وحسب تعبیرکم الأخیر إدخال کثیر من المجالات الأخری بنحو ما فی نطاق العلم الدّینی فعلم الأخلاق وعلم الکلام مثلاً یکون من حیث المفاهیم، المواضیع، الغایات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 أیضاً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فی النّماذج الّتی ذکرتها لأنّها إضافة إلی مواضیعها وغایاتها فإنّ</w:t>
      </w:r>
    </w:p>
    <w:p>
      <w:pPr>
        <w:pStyle w:val="BookText"/>
        <w:rPr/>
      </w:pPr>
      <w:r>
        <w:rPr>
          <w:rFonts w:ascii="IRNazanin" w:hAnsi="IRNazanin" w:eastAsia="IRNazanin"/>
          <w:color w:val="111111"/>
          <w:sz w:val="28"/>
          <w:sz w:val="28"/>
          <w:szCs w:val="28"/>
          <w:rtl w:val="true"/>
          <w:lang w:bidi="fa-IR"/>
        </w:rPr>
        <w:t>مفاهیمها قد تبلورت تأثّراً بالمصادر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الانتباه إلی أنّ محلّ الخلاف فی العلم الدّینی لا یقع عادة حول هذا النّوع من العلم وإنّما حول العلوم الجامعیّة الّتی تقوم علی أساس الخبرة فی الأمور الخارجیّة والإجتماعیّة</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نکرّر السّؤال السّابق، هل أنّ فلسفة العلم ومنهجکم فی البحث ناظر إلی العلوم الدّینیّة المتحقّقة کالفقه؟ وأنّ سعیکم ینصبّ فی الکشف عن القواعد وأسالیب البحث فی هذه العلوم؟ أم أنّ عملکم یقوم علی أساس تصوّرٍ لمفهوم العلم الدّینی فحسب وأنّ المستلزمات والتّبعات المنطقیّة لهذا المفهوم کانت قد استُخرجت؟ وفی الحالة الأولی، هل أنّ فلسفة العلم ومنهجکم العلمی فی البحث، اقتصر علی أصول الفقه الفعلیّة فحسب؟ وهل تجیب أصول الفقه هذه عن جمیع الحاجات العلمیّة والإجتماعیّة؟ أم أنّکم أحدثتم تطوّرات مبنائیّة فی هذه الأصول تتمکّن من الإجابة علی مسائل متعدّدة ومتنوّعة فی المجالات المختلفة الفردیّة والإجتماعیّة؟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اتّضح بناءً علی التّوضیحات الآنفة أنّه ینبغی التّفریق فیما بین نطاق العلوم الجامعیّة الّتی کثیراً ما تتمیّز بجانب تطبیقی وتسعی نحو المسک بزمام التّغییر ونطاق علوم کالفقه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المجموعة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یرتبط أساس البحث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عدم قیام ارتباط منطقی فیما بین الدّین وهذا النّوع من العلوم فی الماضی وعدم انبعاث المنظّرین العلمیین للخوض فی البحث العلمی من خلال هذا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فالمطالعة السّابقة لتأریخ العلم لم تضع بین أیدینا صورة عن کیفیّة الوصول إلی العلم الدّینی مع أنّه یمکن إجمالاًَ مشاهدة کیفیة تأثیر الأسس غیر الدّینیّة علی تبلور العلم من خلال المطالعة الممنهجة لتأریخ العلم مع أنّه یمکن الاستفادة من هذه التّجربة السلبیّة بشکل إیجابی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المجموعة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تُلاحظ أساساً فی العلوم الحوزویّة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المسألة مختلفة ومن المؤکّد أنّه یمکن حصد فوائد جمّة من خلال جعلها أکثر 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هنالک أنّ هذا الکلام لیس بمعنی کفایة أصول الفقه أو علم الکلام والأخلاق السّابقة فی الإجابة عن الحاجات العلمیّة والإجتماعیّة، ویحتاج توضیح هذا المعنی لموضوع مستقل</w:t>
      </w:r>
      <w:r>
        <w:rPr>
          <w:rFonts w:eastAsia="IRNazanin" w:cs="IRNazanin"/>
          <w:color w:val="111111"/>
          <w:sz w:val="28"/>
          <w:szCs w:val="28"/>
          <w:rtl w:val="true"/>
          <w:lang w:bidi="fa-IR"/>
        </w:rPr>
        <w:t>.</w:t>
      </w:r>
      <w:bookmarkStart w:id="286" w:name="pg5231_29864"/>
    </w:p>
    <w:p>
      <w:pPr>
        <w:pStyle w:val="Heading3"/>
        <w:numPr>
          <w:ilvl w:val="2"/>
          <w:numId w:val="1"/>
        </w:numPr>
        <w:rPr/>
      </w:pPr>
      <w:bookmarkStart w:id="287" w:name="__RefHeading___Toc283340_581953129"/>
      <w:bookmarkStart w:id="288" w:name="_Toc108"/>
      <w:bookmarkEnd w:id="286"/>
      <w:bookmarkEnd w:id="287"/>
      <w:r>
        <w:rPr>
          <w:rtl w:val="true"/>
        </w:rPr>
        <w:t>ضرورة تنظیم العلم الدّینی علی أساس فلسفة العلم الدّینی</w:t>
      </w:r>
      <w:bookmarkEnd w:id="2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العلاقة التّولیدیّة لفلسفة العلم للعلم موضوعاً دارت حوله مناقشات جادّة فی فلسفة العلم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فی مجال الفقه الّذی تعتقدون بأنّه علم دینی، حدثت تطوّرات لم تقم علی أساس منطق ومنهج محدّد ومدوّن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وکمثال علی ذلک الفقه الحکومی للإمام والّذی أبدی کفاءة عالیة فی المجال الثّقافی والاجتماعی لا یمکن إحراز کونه مستمدّاً وبشکل کامل من أصول الفقه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هذا السّؤال وهو کیف ترید هذه الشّبکة الّتی تنتجوها وتعرّفونها علی أنّها نموذج لمعقولیّة الاعتقادات والسّلوکیات، الوصول إلی علاقة تولیدیّة مع العلم؟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منطقکم إقامة علاقة بین المفاهیم النّظریّة، المفاهیم التّطبیقیّة والعملیّات الاختباریّة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فسیستطیع أن یکون رکیزة لمطالعاتکم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فإنّ هذا المنطق ذاته یمکن أن یصحَّح ویتکامل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الأخری الّتی سبق وأن أشرنا إلیها هی هل أنّکم تریدون التنسیق بین المجالات والاتّجاهات المختلفة للعلوم أم لا؟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مثل هذا النّموذج فهو المقصود، غایة ما هنالک هل أنّ عمل العلماء یتوقّف علی عرض هذا النّموذج؟ أفلا توجد للعلماء أو المجتمع العلمی مجموعة قواعد وجدانیّة ینظّمون سلوکهم طبقاً لها؟ فهل یتمثّل عملنا بالکشف عن هذه القواعد غیر المکتوبة؟ أم أنّه تقع علی کاهلنا مسؤولیّة إنشاء وتجویز قواعد ومقرّرات جدیدة؟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بحثنا یتمثّل بأنّکم تستطیعون إیجاد طریق بنحوٍ ما لتنظیم احتمالات واختیارات واستنتاجات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یستتبعها نمو واتّساع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نوعاً من الانسجام بین المعارف المختلفة علی أساس محوریة الفکر الدّینی؛ فالبحث هو أنّ هذا التّنسیق الهادف هل هو ممکن أم لا؟ وهل أنّ المطلوب فی عالم العلم الیوم هو الاختلاف بین المجالات المختلفة للعلوم أم الانسجام فیما بینها؟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توجد أیّ ضرورة لأن تکون النّظریّات الجدیدة منسجمة أو متضادّة مع نظریّات سائر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سعی العلماء ینصبّ فی إیجاد تقارب فیما بین النّظریّات فی المجالات المختلفة من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کالفیزیاء مثلاً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بأنّ الالتفات إلی هذه الضّرورة ناجم عن هذه الغفلة وهی عدم رؤیة العلوم المختلفة وحتّی النّظریّات فی إطار علم ما؛ علی أنّها بمثابة أجزاء نظام واحد یجب أن یکون</w:t>
      </w:r>
    </w:p>
    <w:p>
      <w:pPr>
        <w:pStyle w:val="BookText"/>
        <w:rPr/>
      </w:pPr>
      <w:r>
        <w:rPr>
          <w:rFonts w:ascii="IRNazanin" w:hAnsi="IRNazanin" w:eastAsia="IRNazanin"/>
          <w:color w:val="111111"/>
          <w:sz w:val="28"/>
          <w:sz w:val="28"/>
          <w:szCs w:val="28"/>
          <w:rtl w:val="true"/>
          <w:lang w:bidi="fa-IR"/>
        </w:rPr>
        <w:t>لها ظهور واحد بمجموعها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هذه الالتفاتة یظهر بأنّ عدم التّضادّ بل انسجام أجزاء النّظام أمر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أرید تحقیق تقارب فی مجال من العلم فهو بحاجة إلی منطق وشبکة مرشدة ومن الممکن أن تقول بعدم وجود مثل هذه الشّبکة فی تأریخ العلم، ولکنّهم فی حالة اقتراب من تقارب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کلامی بأنّه لابدّ أن یکون لهذا التّقارب المحقّق شبکة ومنطق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یحدث هذا التّقارب علی وجه الصّدفة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نرید قوله هو أنّه لأجل النمو الأمثل للعلم والتّنسیق فیما بین المجالات العلمیّة المختلفة بشکل إرادی ومنظّم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بحاجة إلی شبکة تتولّی مسؤولیّة إحداث هذا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هناک فارق بین أن نذکر ما حدث فی الماضی وهل کانت هناک شبکة علمیّة فی تأریخ العلم تقوم بهدایة البحوث العلمیّة وبین أن نرید هدایة النمو والتطوّر العلمی نحو مسار خاصّ فی المستقبل وتقلیل التّعارض فیما بین المجالات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نرید قوله هو أنّه ینبغی ولأجل تحقّق هذا الهدف و هذا الباعث تنسیق معارفکم وإدارة تولید علمکم بحکمة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أدوات القرارات منسجمة، فلن تکون القرارات منسجمة أیضاً وسیحدث بینها تعارض استنزافی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عدم حصول ذلک ینبغی التّفکیر فی تنظیم تولید وتطویر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ینبغی أخذ الحقائق بنظر الاعتبار للقیام بهذا 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الحقائق، خصوصیّات الباحثین الّتی أشرتم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سابقة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افتراض تحقّق کلّ ذلک یجب أن تتمکّنوا من تصمیم شبکة تؤمّن فی ذات الوقت الّذی توجب فیه حرّیة عمل الأفراد، التنسیق الدّائم فی نمو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أنّنا قبلنا بضرورة التّنسیق بین مجالات العلوم المختلفة وقبلنا کذلک بأنّنا بحاجة إلی شبکة مرشدة لإدارة الّتیار العلمی وتولید العلم فی إطار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استطاع مجمعکم التّوصّل إلی هذه الشّبکة خلال هذه الفترة بحیث ترتکز علی مفاهیم، أسّس ومنهج دینی من جهة وتکون قادرة علی هدایة تیار النّمو والتّطوّر العلمی من جهة أخری؟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تولّد هذه الشّبکة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فتولید مثل هذه الشّبکة بحدّ ذاته بحاجة إلی تمهیدات افتراضیة وتمهیدات حاجویّة وما لم تتحقّق جمیع لوازمها الضّروریّة، فلن توجد مثل هذه الشّبکة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نفترض أنّکم استطعتم إنتاج مثل هذه الشّبکة باعتبارکم فیلسوفاً أو عالماً دینیاً وأقامت علاقة تولیدیّة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نتعرّف علی من یدّعی تولید العلم</w:t>
      </w:r>
    </w:p>
    <w:p>
      <w:pPr>
        <w:pStyle w:val="BookText"/>
        <w:rPr/>
      </w:pPr>
      <w:r>
        <w:rPr>
          <w:rFonts w:ascii="IRNazanin" w:hAnsi="IRNazanin" w:eastAsia="IRNazanin"/>
          <w:color w:val="111111"/>
          <w:sz w:val="28"/>
          <w:sz w:val="28"/>
          <w:szCs w:val="28"/>
          <w:rtl w:val="true"/>
          <w:lang w:bidi="fa-IR"/>
        </w:rPr>
        <w:t>فی هذه الشّبکة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العلم الدّینی الّذی تسعون نحوه هل یصنعه علماء العلوم الدّینیة أم الفلاسفة أم العلماء المتخصّصون فی ذلک العلم الخاصّ؟ وما هی الکیفیّة الّتی یمکن تقییم نجاح هذا العلم المنتَج؟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فالعلم الدّینی من إنتاج المجتمع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والنّجاح فی تولید العلم الدّینی یرتبط أیضاً بمدی القدرة العلمیّة فی المجتمع العلمی فهل هی بحدّ تستطیع من خلاله السّعی فی إطار تدوین علم یتناسب وهذه الشّبکة؟ وبالطّبع ینبغی الالتفات إلی أنّه من الممکن إیجاد القدرة العلمیّة فی المجتمع ولیس من الضّروری أن تکون هذه القدرة العلمیّة موجودة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للمسیرة التّکاملیّة للمعنویّة فی العالم من وجود القدرة علی تولید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تنمیة عبادة الدّنیا یؤدّی تدریجیّاً إلی تنمیة العلوم الحسّیة، فإنّ المعنویّة إذا أرادت أن تنمو فی نطاق الحیاة الإجتماعیّة ویکون الدّین محوراً لتنسیق أفکار وأعمال الإنسان، یلزم أن تنتهی إلی تولید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فکلّما وُجدت ضرورة فی المجال الفردی والاجتماعی وظهرت حاجّة ماسة إلی العلم الدّینی، فسیکون هناک تحقّقاً ووجوداً خارجیّ للعلم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مجال نجاح العلم الدّینی المولَّد فیجب القول أنّه من اللازم تعریض هذا العلم لمیدان العملیّات الاختباریّة بعد ظهوره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القائمین علی تصمیم هذه الشّبکة یقومون بإعداد برامجیّات لتربیة علماء تتوفّر فیهم قابلیّة تولید العلم أیضاً؟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نتوفّر علی القیام بهذا العمل حسب طاقاتنا المحدودة، ولکنّ المسألة المهمّة هی هل أنّ إنجاز هذا العمل ممکن أساساً أم لا؟ فهذا بحث یرتبط بالفلسفة التّأریخیّة ویرجع إثباته إلی الأسالیب الخاصّة المتّبعة فی نطاق فلسفة التّأریخ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مدعانا هو أنّ هذه الثّورة الإسلامیّة الّتی حدثت، تعدّ منطلقاً حاسماً فی ازدهار المعنویّة وتمتلک القابلیّة أیضاً لإحداث ثورة ثقافیّة وأنّ ما أُنجز وأنتج حتّی الآن یمکن أن یکون مرکزاً للتفاهم والوفاق</w:t>
      </w:r>
      <w:r>
        <w:rPr>
          <w:rFonts w:eastAsia="IRNazanin" w:cs="IRNazanin"/>
          <w:color w:val="111111"/>
          <w:sz w:val="28"/>
          <w:szCs w:val="28"/>
          <w:rtl w:val="true"/>
          <w:lang w:bidi="fa-IR"/>
        </w:rPr>
        <w:t>.</w:t>
      </w:r>
      <w:bookmarkStart w:id="289" w:name="pg5231_29867"/>
    </w:p>
    <w:p>
      <w:pPr>
        <w:pStyle w:val="Heading3"/>
        <w:numPr>
          <w:ilvl w:val="2"/>
          <w:numId w:val="1"/>
        </w:numPr>
        <w:rPr/>
      </w:pPr>
      <w:bookmarkStart w:id="290" w:name="__RefHeading___Toc283342_581953129"/>
      <w:bookmarkStart w:id="291" w:name="_Toc109"/>
      <w:bookmarkEnd w:id="289"/>
      <w:bookmarkEnd w:id="290"/>
      <w:r>
        <w:rPr>
          <w:rtl w:val="true"/>
        </w:rPr>
        <w:t>کیفیّة توفیر الظّروف اللازمة لتحقّق الثّورة العلمیّة</w:t>
      </w:r>
      <w:bookmarkEnd w:id="2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أنّنا ولإبداع نظریّة جدیدة بحاجة لعدّة أشیاء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أحداث أزمة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ینبغی علی المجتمع العلمی وبناءً علی النّظریّة الفعلیّة أن یصل إلی طریق مسدود فی تفسیر الظّواهر الّتی شوهدت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هو واضح لم تظهر حتّی الآن ضرورة مثل هذا الأمر فی المجتمع کلّه وعلی الخصوص مجتمعنا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مع أنّ بعض مسؤولی الدّولة لدیهم اطّلاع إلی حدّ ما علی معوّقات استخدام النّظریّات العلمیّة للغرب، لکنّ المجتمع العلمی والإداری للدولة مازال لدیه العزم وعلی أساس هذه النّظریّات الموجودة ذاتها أو نسخها المعدّلة، علی محاولة تذلیل المشاکل العلمیّة والإداریّة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وکما ذکرتم أنّ وضع وإبداع علم جدید ذی هویّة دینیّة مسألة ملقاة علی کاهل العلماء لإنجازها والقیام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هذه الثّورة السّیاسیّة والثّقافیّة أوجدت حقیقة ذلک الباعث فی المجتمع العلمی؟ فإذا لم یکن الأمر کذلک فما هو السّبب فی عدم تمکّنهم من تحمّل عبء هذا الأمر المهمّ؟ وإذا کان الجواب بالإیجاب فأین هی الإحصاءات والأرقام الّتی تُثبت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ثورة علمیّة وعلی مثل هذا المستوی والاتّساع لابدّ وأن تکون ممکنة بالتّدریج وبعد طیّ مراحل فی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توقّع وصول جمیع النّخب العلمیّة للمجتمع إلی هذه الضّرورة عند بدء الثّورة العلمیّة وأن یشارکوا مشارکة إیجابیّة فی هذا البحث الوطنی، وإنّما یکفی التّخطیط لبذرة وباعث وأساس لبرنامج بحث محدّد وأسس مُحکمة فی هذا المجال، وأنّ نشر نتیجة بحوث هذه البذرة الأوّلیّة من جهة، والاتّضاح التّدریجی لعدم فعّالیّة النّظام العلمی السّابق فی مجال تحقیق الأهداف الإسلامیّة من جهة أخری، یمهّد الطّریق لإیجاد الباعث والأمل فی استقواء البذرة الأوّلیّة واتّساع شعاع هذه العملیّة شیئاً فشئیاً وبالطّبع فإنّه لا یضیء أجزاء المجتمع العلمی بأکملها ولیس من اللّازم أن یکون الاتّساع لهذا الحدّ فالمقاومة أمام الاستفادة من النّظریّات الموجودة هی لأحد أو لکلا السّببین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الأمل بالتّنمیة غیر المضرّة من خلال اتّجاه یتبنّی النّظام الخبروی الغربی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الأمل فی إمکانیّة تأسیس حرکة علمیّة بموازاة ومنافسة نظام علمی مسیطر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فمن خلال التّوضیح الآنف تُعلم کیفیّة إمکانیّة إزالة هذین المعوّقین بشکل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اللاحقة والشّرط اللازم الآخر لإحداث ثورة علمیّة یتمثّل فی القابلیّة الذّاتیّة الخاصّة لبعض العلماء لاکتشاف نظریّة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بحثنا فی تأریخ العلم، لرأینا أنّ أغلب العلماء یعملون فی المجالات الجزئیّة لمسائل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منهم یرغبون فی بحث المسائل المتأزّمة والمشکلة ویحاولون وضع نظریّة جدیدة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المؤشّرات الرّوحیّة والنّفسیّة فی أوساط علمائنا؟ وما هو السّبیل لإیجاد هذه المؤشّرات إن لم تکن موجودة؟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رأیی أنّ الشّعب الإیرانی یتّصف بهذه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 ذلک قوّتة التّدمیریّة للترکیبات البنیویّة والّتی أظهرها عند قیامه بالثّورة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الإسلامیّة بذاتها، تعدّ نموذجاً کاملاً وواضحاً لعمل إبداعی وجدید لیس لها بکیفیّتها هذه نظیر فی التّأریخ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الّتی سریعاً ما اجتازت الحدود الجغرافیّة وفرضت نفسها فی السّاحة الدّولیّة وأوجدت تلک الجرأة بین أوساط المسلمین وحتّی سائر قوی التحرّر فی مقابل القوی المسیطرة علی العالم والمدجّجة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رأیی أنّ هذه القدرة الرّوحیّة والذّاتیّة ممکنة أیضاً فی مجال تغییر ترکیبة العلم والثّقافة إلی درجة یمکن القول معها بوقوع هذه الظّاهرة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المیل نحو تغییر التّرکیبات والجرأة المرتکزة علی الإیمان والعقلانیّة یمکنها أن تؤدّی إلی طرح أفکار جدیدة فی المجالات العلمیّة والثّقافیّة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الروحیّة یتّصف بها المسلمون وعلی الخصوص الإیرانیّون منهم ونلاحظ نماذج ذلک فی تأریخ هذا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إنّ إبداع فلسفة جدیدة من خلال مجمعنا لیس له أیّ علاقة ونسبة مع فلسفة أصالة الوجود أو أصالة الماهیّة، فلسفة جدیدة تستند إلی افتراضاتها الخاصّة ولها القدرة علی مقارنة وتقییم النّظریّات العلمیّة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تولید فلسفة کهذه ومن ثمّ إجرائها فی تولید منهجها البحثی العام یعدّ تغییراً أساسیّاً یرتکز علی الإیمان والعقلانیّة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هناک متغیرات ومؤشّرات کثیرة یمکن أن تکون مؤثّرة فی هذا المجال وینبغی دراسة هذه العوامل بشکل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 أنّ الثّورة السّیاسیّة فی إیران أدّت إلی ثورة ثقافیّة، ووضعت شبکة لهدایة التنمیة العلمیّة، وأحسّ المجتمع العلمی فی البلاد بضرورة وضع علم جدید، وبرزت أیضاً لدی بعض أفراد المجتمع العلمی عوامل تجاوز التّرکیبة السّابقة ووصلنا أخیراً إلی نظریّة جدیدة نعتقد بأنّها تمثّل العلم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المرتکز علی المسائل، المفاهیم، المنهج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جمیع هذه الفرضیّات ولأجل أن ندّعی بأنّ هذه النّظریّة الجدیدة علمیة، یجب عرضها فی میدان التّحکیم فی المجتمع الدّولی العلمی ویتطلّب هذا أن تکون لدینا معرفة تامّة بالمجتمع العلمی الّذی یواجهنا، فما مدی إطّلاع مجمعکم علی هذا المجتمع العلمی وعادات وقیم وملاکات قضائه؟ وما هو توقّعکم لتعامل المجتمع العلمی الدّولی مع نظریّتکم المقترحة؟ وأخیراً ما هی الشّواهد والقرائن الّتی ستعرضوها لإثبات نظریّتکم فی هذا المجتمع العلمی؟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علی هذا السّؤال ینبغی ابتداءً التّعرّض لبحث أساسی دقیق وهو کیفیّة حصول التّفاهم؟ وما هو أساس التّفاهم فیما بین الأفراد والمجتمعات؟ فهل أنّ مرکز التّفاهم یعود إلی بحث الإنسان عن الحقیقة؟ أم أنّ منطلقه شیء آخر؟ فللإجابة عن هذه الأسئلة ینبغی الاستعانة بنظریّة للعلم المعرفی توضّح وتبیّن لنا کیفیّة حصول الوفاق والتّفاهم فیما بین الأفراد وما هی العوامل الّتی تتحکّم بتحقیق هذا التفاهم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لی أنّ أحد العوامل الرئیسة لإیجاد التّفاهم، هو التّطوّرات الإجتماعیّة والقسم الآخر منها یرتبط أیضاً بالاستعداد الإیمانی الّذی سیحدث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التّفاهم حول نظریّة ما، لا یرجع علی الدّوام إلی قابلیّة العلم المعرفی لتلک النّظریّة، وإنّما هناک عوامل متنوّعة جدّاً تؤثّر فی إیجاد التفاهم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أخذنا مجموع تلک العوامل بنظر الاعتبار، فسنتمکّن حینها من إعداد أرضیّة مناسبة لإیجاد التّفاهم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المؤکّد أنّه ینبغی أن تتوفّر فی هذه النّظریّة قدرة الدّفاع العقلانی عن نفسها إلی جانب العوامل الإجتماعیّة المؤثّرة فی قبول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الدّفاع العقلانی، الانسجام المنطقی للنظریّة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النّظریّة، إثبات أنّها منسّقة ومنسجمة فی داخلها أوّلا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إضافة إلی لزوم تمکّنها من إثبات قدرتها علی السّیطرة علی الواقع فیما إذا کانت ناظرة إلی الکفاءة الواقعیّة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فإذا استطاعت النّظریّة إثبات کفاءة، انسجام وعقلانیّة حدودها الأوّلیّة، تکون قد تقدّمت خطوة فی تثبیت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کلّ نظریّة تتضمّن تلک الخصوصیّات تلاقی نجاحاً فی المجتمع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فالنّظریّة الّتی تدّعی التّحضّر الدّینی علی سبیل المثال؛ لا یمکنها إیجاد ذلک إلّا فی حالة إقرارها اجتماعیّاً والّذی یعدّ أرضیّة اجتماعیّة ضروریّة لتحقّق الحضارة الدّینیة وبالطّبع فإنّ النّظریّة یمکن أن تتکامل وتنمو خلال مسیرتها التّطوّریّة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فخلاصة قولنا إنّ الإقبال علی النّظریّة وقبولها فی المجتمع لا یتّبع علی الدوام عاملی الانسجام والکفاءة، إضافة إلی هذین العاملین فإنّ القاعدة الإجتماعیّة الفعلیّة تلعب دوراً رئیساً فی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فقد توفّرت فی رأینا مثل هذه الظّرفیّة فی السّاحتین الدّاخلیّة والدّولیّة وذلک ببرکة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الإسلامیّة الإیرانیّة تعدّ بدایة مرحلة جدیدة من الاتّجاه نحو المعنویّة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توفّرت ظروف فی مجتمع ما بعد الثّورة تطالب بالحضور المعنوی فی قیادة المجتمع وتمیل إلی حضور الإسلام فی المیدان العملی وتحقّقه خارجاً فی المجتمع وتعمل علی متابعة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الثّورة ذاتها کانت ولیدة نمو المعنویّة والاتّجاه نحو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الثّورة ومن خلال الرّؤی الّتی طرحتها ونظراً لما واجهته من اضطراد فی العالم، تعدّ علامة علی أنّ المیل إلی حکومة الوحی علی الحیاة البشریّة فی حالة نمو وانتشار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أحداث مهمّة تقع فی الطّبقات الباطنیّة والدّاخلیّة للمجتمع البشری، وأنّ هذه الظّرفیّة النّاشئة من الإیمان ستکون لها القدرة علی خلق الجرأة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 کما خلقت الجرأة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فالشّروط اللّازمة لإیجاد وتأسیس العلم الدّینی تتمثّل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تأسیس شبکة فلسفیّة ودینیّة بإمکانها توجیه إنتاج وتنمیة العلم والآخر إیجاد الجرأة الرّوحیّة والنّفسیّة المرتکزة علی الإیمان الدّینی والاعتماد علی معارف أهل البیت فی الأفراد والمجتمع ککل، فمجموع هذین العاملین سیؤدّی إلی إحداث تغییرات بنیویّة فی میدان العلم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ویحتاج هذا البحث کذلک إلی وجود نظریّة دقیقة فی مجال تکامل العلم، بحیث ترتکز هذه النّظریّة علی فلسفة تأریخیّة أو رؤیة فلسفیّة إلی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نظرنا إلی تکامل العلم بهذا الشّکل وطالعنا کیفیّة إنتاجه وتنمیته نستطیع عندها تحلیل کیف ینبغی أن یکون تولید العلم الدّینی</w:t>
      </w:r>
      <w:r>
        <w:rPr>
          <w:rFonts w:eastAsia="IRNazanin" w:cs="IRNazanin"/>
          <w:color w:val="111111"/>
          <w:sz w:val="28"/>
          <w:szCs w:val="28"/>
          <w:rtl w:val="true"/>
          <w:lang w:bidi="fa-IR"/>
        </w:rPr>
        <w:t>.</w:t>
      </w:r>
      <w:bookmarkStart w:id="292" w:name="pg5231_29871"/>
    </w:p>
    <w:p>
      <w:pPr>
        <w:pStyle w:val="Heading3"/>
        <w:numPr>
          <w:ilvl w:val="2"/>
          <w:numId w:val="1"/>
        </w:numPr>
        <w:rPr/>
      </w:pPr>
      <w:bookmarkStart w:id="293" w:name="__RefHeading___Toc283344_581953129"/>
      <w:bookmarkStart w:id="294" w:name="_Toc110"/>
      <w:bookmarkEnd w:id="292"/>
      <w:bookmarkEnd w:id="293"/>
      <w:r>
        <w:rPr>
          <w:rtl w:val="true"/>
        </w:rPr>
        <w:t>کیفیّة التّفاهم مع المجتمع العالمی حول العلم الدّینی</w:t>
      </w:r>
      <w:bookmarkEnd w:id="2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إعداد الأرضیّة الإجتماعیّة لقبول نظریّة ما، یختصّ بالمجتمع الإیرانی؟ أم أنّه ینبغی أن یعرّض المجتمع العالمی أیضاً وعلی الخصوص العلمی منه لتطوّر وثورة لیمیل لقبول مثل هذه النّظریّة؟ فکما نلاحظ أنّ المجتمع العالمی مازال یتّبع عاداته الخاصّة، لا العادات المنبثقة عن الثّورة السّیاسیّة والثّقافیّة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کلّ ذلک فإنّ عرض نظریّة علمیّة أو قبولها یقع علی کاهل المجتمع العلمی فَی نهایة المطاف وإذا لم یمکن إبراز نفوذ هذه الثّورة الثّقافیّة والاتّجاه العالمی نحو المعنویّة بین الطّبقات الدّاخلیّة للمجتمع العلمی، فلا یمکن لهذه الثّورة الثّقافیّة حینها إقامة جسر لقبول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للعادات الحاکمة علی القسم الأعظم من المجتمع العلمی الإیرانی والعالمی یبدو أنّ الظّروف اللّازمة للوصول إلی علم دینی فی الدّاخل وعرضه فی السّاحة الدّولیّة غیر متوفّرة لدینا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مازلنا مجبرین علی الاستفادة من المعاییر والقواعد الموجودة فی المجتمع العلمی والدّولی لتعمیم نظریاتنا الّتی من المحتمل أن تکون معروضة بنزعة دینیّة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کیف ینبغی لنا أن نعرض ونوسّع أفکارنا فی المیدان الدّولی یعدّ بحثاً دقیقاً؟ یبدو لی أنّنا نواجه فی ساحتنا الدّولیّة حرباً ثقافیّة لا مجرّد حوار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فالثّقافة الدّینیّة وثقافة عبادة الدّنیا تخوضان حرباً ثقافیّة ولا یوجد طریق لنموهما سوی هذه الحرب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فثقافة عبادة الدّنیا الّتی ازدهرت بعد النهضة، تکشف عن هذه المسألة وهی أنّ هذه الثّقافة تخوض حرباً مع الثّقافة الدّینیّة وأنّها تقدّمت وتتقدّم فی ما سعت إلیه بواسطة هذه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فلا یوجد سبب یدعو المجتمع العلمی الفعلی القبول بسهولة بکلامنا باعتباره نظریّة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إثبات أفضلیتنا علی الثّقافة المادّیّة فی ساحة الصّراع الثّقافی کی یعبّد الطّریق للتفاهم حول العلم الدّینی من خلال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ینبغی أن نشقّ طریقاً لنا من خلال هذه الحرب الثّقافیّة، کما فتحنا منفذاً فی عالم الیوم من خلال الصّراع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أنّه ینبغی الالتفات إلی أنّ التّوازن العالمی قد تغیّر لصالح المذهب فی العقود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فالحضارات الدّینیّة والمذهبیّة قد اعترف بها الیوم فی العالم حتّی فی نظریّة صراع الحضارات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الحقیقة تعنی أنّ الثّقافات بإمکانها أن تفتّح قابلیّاتها فی الحرب الثّقافیّة وأن تُثبت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فالثّقافة الّتی تستطیع أن یکون لها کفاءة واقعیّة وإقامة تنسیق شبکی واقعی وقدرة واقعیّة سیعترف بها علی أنّها ثقافة علمیّة</w:t>
      </w:r>
      <w:r>
        <w:rPr>
          <w:rFonts w:eastAsia="IRNazanin" w:cs="IRNazanin"/>
          <w:color w:val="111111"/>
          <w:sz w:val="28"/>
          <w:szCs w:val="28"/>
          <w:rtl w:val="true"/>
          <w:lang w:bidi="fa-IR"/>
        </w:rPr>
        <w:t>.</w:t>
      </w:r>
      <w:bookmarkStart w:id="295" w:name="pg5231_29872"/>
    </w:p>
    <w:p>
      <w:pPr>
        <w:pStyle w:val="BookText"/>
        <w:rPr/>
      </w:pPr>
      <w:bookmarkEnd w:id="295"/>
      <w:r>
        <w:rPr>
          <w:rFonts w:ascii="IRNazanin" w:hAnsi="IRNazanin" w:eastAsia="IRNazanin"/>
          <w:color w:val="111111"/>
          <w:sz w:val="28"/>
          <w:sz w:val="28"/>
          <w:szCs w:val="28"/>
          <w:rtl w:val="true"/>
          <w:lang w:bidi="fa-IR"/>
        </w:rPr>
        <w:t>فهناک تبلور لرؤی جدیدة فی عالم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وستتبلور فی المستقبل حداثویات متعدّدة فی عرض الحداثة الفعلیّة وستکون الحداثة الإسلامیّة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الحداثة الإسلامیّة لیست بمعنی أسلمة الحداثة الفعلیّة، وإنّما بمعنی ظهور حضارة إسلامیّة بکلّ ما للکلمة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فکما أنّ الحضارة الغربیّة أوجدت نوعاً خاصّاً من التّجدّد من خلال الاتّجاه نحو التّنمیة المادّیّة وأنتجت علماًٌ وثقافة تتناسب معها من خلال رؤاها وبرزت لمحاربة الحضارات الدّینیّة القدیمة، فستتبلور فی المستقبل حضارات دینیّة ومن جملتها الحضارة الإسلامیّة وتنتج العلم الدّینی الّذی یناسبها وستخوض حرباً ثقافیّة حقیقة مع الحضارة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هو أنّنا نستطیع اکتشاف مفاهیم کفوءة وأسلوب منسجم لعملیات اختبار النّظریّات ینسجم والأسّس الدّینیّة فی هذه الحرب الثّقافیّة الّتی تحدث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إنتاج، لا نشر، لا تفاهم ولا مقبولیّة العلم الدّینی تقع مرّة واحدة وأن لا نتوقّع أن یکفّ المجتمع العلمی یده عن المعاییر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لدینا علم یشخّص ما نعتقده أنّه علم دینی لأنّ المعیار الّذی یحدّد صحّة العلم یختلف من علم إلی علم</w:t>
      </w:r>
      <w:r>
        <w:rPr>
          <w:rFonts w:eastAsia="IRNazanin" w:cs="IRNazanin"/>
          <w:color w:val="111111"/>
          <w:sz w:val="28"/>
          <w:szCs w:val="28"/>
          <w:rtl w:val="true"/>
          <w:lang w:bidi="fa-IR"/>
        </w:rPr>
        <w:t>.</w:t>
      </w:r>
    </w:p>
    <w:p>
      <w:pPr>
        <w:pStyle w:val="Heading3"/>
        <w:numPr>
          <w:ilvl w:val="2"/>
          <w:numId w:val="1"/>
        </w:numPr>
        <w:rPr/>
      </w:pPr>
      <w:bookmarkStart w:id="296" w:name="__RefHeading___Toc283346_581953129"/>
      <w:bookmarkStart w:id="297" w:name="_Toc111"/>
      <w:bookmarkEnd w:id="296"/>
      <w:r>
        <w:rPr>
          <w:rtl w:val="true"/>
        </w:rPr>
        <w:t>الحکم علی ما یوصف علی أنّه علم دینی حالیّاً</w:t>
      </w:r>
      <w:bookmarkEnd w:id="2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فإنّ المشروع الّذی طرحتموه لإنتاج العلم الدّینی یعدّ مشروعاً استثنائیّاً طویل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ینبغی أولاً حدوث ثورة سیاسیّة فی المجتمع ویستتبعها ثورة ثقافیّة بتمام المعنی وتؤدّی من ثمّ إلی ثورة علمیّة وإنتاج مفاهیم جدیدة، وأنّ الثّورة الثّقافیّة الّتی تقع فی مکان ومجتمع ضیق تنطلق لحرب ثقافیّة مع العالم کلّه وتحرز نجاحات فی هذا التّحدّی الثّقافی وبعد طی کلّ هذه المراحل النّظریّة الّتی عرضت فی هذه المجموعة، تواجَه بترحیب المجتمع العلمی باعتبارها نظریّة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أنّ کثیراً من أهداف العلماء والمسؤولین الثّقافیین بخصوص العلم الدّینی هو عرض إجابة مناسبة للحاجات الفوریّة الفردیّة والإجتماعیّة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الصّحیح أنّه یجب إتمام جمیع هذه المراحل للإجابة علی هذه الحاجات فی نموذجکم الفکری؟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تلاحظ بأنّ الحداثة قد طوت ذات هذا المسار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تتفتّح جمیع القابلیّات منذ الیوم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فالغرب قد وصل أیضاً إلی مثل هذه المکاسب والإنجازات الّتی نعایشها فی الوقت الحاضر من خلال ثورة ثقافیّة فی عصر النّهضة</w:t>
      </w:r>
      <w:r>
        <w:rPr>
          <w:rFonts w:eastAsia="IRNazanin" w:cs="IRNazanin"/>
          <w:color w:val="111111"/>
          <w:sz w:val="28"/>
          <w:szCs w:val="28"/>
          <w:rtl w:val="true"/>
          <w:lang w:bidi="fa-IR"/>
        </w:rPr>
        <w:t>.</w:t>
      </w:r>
      <w:bookmarkStart w:id="298" w:name="pg5231_29873"/>
    </w:p>
    <w:p>
      <w:pPr>
        <w:pStyle w:val="BookText"/>
        <w:rPr/>
      </w:pPr>
      <w:bookmarkEnd w:id="29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أنکم تعتقدون أنّ هذا الّتیار الّذی صمّمتموه یجب أن یسیر بشکل طولی وینتهی إلی إیجاد علم دینی فی نهایة مسیرته؟ ألیس من الممکن أنّ هذه المراحل المختلفة فی ذات الوقت الّذی تتقدّم علی بعضها البعض رتبیاً قابلة لأن تکون فی عرض بعضها البعض زمانیّاً؟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تریدون علماً دینیّاً مرافقاً لشبکة موجِّهة لتولید وتنمیة العلم تستطیعون عرضها فی العالم، فمن المؤکّد أنّه یجب طی هذه المسیرة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ما یطرح الآن علی أنّه علم دینی لیس هو کذلک فی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لذلک دور یُذکر فی طریقة تولید الثّقافة فی العالم المعاصر ولا تتهیّأ أرضیّة تولید الثّقافة الدّینیّة فی المجتمع بمثل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نلاحظه من تدخّل الاتّجاهات الدّینیّة والمعنویّة فی تنظیرات بعض العلماء فردیاً وجماعیاً، لیس هو بمعنی تولید شبکة علم أو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الأعمال لا تؤثّر ولن تؤثّر علی العلم العلمانی بأیّ 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التّرکیبة الحاکمة علی تولید العلم الیوم، هی ذاتها التّرکیبة الّتی نشأت عن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أردتم أن یکون لدیکم علم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کشبکة معتبرة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تیار کما أوجد نموذجه العلم العلمانی، فلابدّ من طی هذا المسار بصورةٍ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تُصبح الرّؤیة والباعث لتولید العلم الجدید الّذی یرتکز علی الدّین، رؤیة وباعثاً عمومیّاً، فلا یمکن تولید علم دینی مطلقاً</w:t>
      </w:r>
      <w:r>
        <w:rPr>
          <w:rFonts w:eastAsia="IRNazanin" w:cs="IRNazanin"/>
          <w:color w:val="111111"/>
          <w:sz w:val="28"/>
          <w:szCs w:val="28"/>
          <w:rtl w:val="true"/>
          <w:lang w:bidi="fa-IR"/>
        </w:rPr>
        <w:t>.</w:t>
      </w:r>
    </w:p>
    <w:p>
      <w:pPr>
        <w:pStyle w:val="Heading3"/>
        <w:numPr>
          <w:ilvl w:val="2"/>
          <w:numId w:val="1"/>
        </w:numPr>
        <w:rPr/>
      </w:pPr>
      <w:bookmarkStart w:id="299" w:name="__RefHeading___Toc283348_581953129"/>
      <w:bookmarkStart w:id="300" w:name="_Toc112"/>
      <w:bookmarkEnd w:id="299"/>
      <w:r>
        <w:rPr>
          <w:rtl w:val="true"/>
        </w:rPr>
        <w:t>ألیس من الممکن انتخاب طریق أقصر من خلال جهود موردیّة ؟</w:t>
      </w:r>
      <w:bookmarkEnd w:id="3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تعتقد بأنّ القیام ببعض الجهود الموردیّة یمکنه أیضاً أن یکون له دور فی خلق الأرضیّة الإجتماعیّة الّتی نحتاجها وعلی الخصوص فی المجتمع العلمی؟ یبدو أنّه ولأجل أن یتمکّن المجتمع العلمی الّذی تقصدونه لتدوین العلم الدّینی من الوصول إلی الاستعداد والخبرة فی السّاحة الدّولیّة والتّعرّض لمسائل أخری فی مجال المطالعات العلمیّة الموجّهة، یجب علیه الدّخول فی المجتمع العلمی الدّولی واحتلال مواقع علمیّة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القیام بهذا العمل ینبغی علی علمائکم المقترحین التّمکّن من تشخیص نقاط ضعف النّظام العلمی الفعلی وعرض بدائل لرفع هذه النّواقص کی ینخفض اتّباع المجتمع العلمی للنظریّات الفعلیّة شیئاً فشیئاً وتتهیّأ الأرضیّة لقبول النّظریّات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أوّلاً التّعرّف علی العلم الحالی بشکلٍ کاملٍ للقیام بهذه الجهود کی یمکن النفوذ فیه وحتّی توجیه ضربة إلیه إذا لزم الأمر، فالّذی یرید أن یقوم بهذا، یجب علیه الدّخول فی لعبة العلم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إطلاعکم علی هذه الحقیقة وهی أنّ تثبیت مشروع علمی دینی هو بمعنی بناء حضارة جدیدة تقوم علی أساس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فیجب علیکم النّظر إلی العلم الدّینی المستقبلی فی نطاق الحرب المستمرّة فیما بین الحق والباطل علی مرّ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إنّ تأسیس العلم الدّینی هو غیر القیام بإجراء تغییرات فی داخل عالم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الّذی هو علمانی بکافّة أبعاده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تسعون لتأسیس حضارة جدیدة، هو بمعنی أنکم تُدخلون العالم فی حرب حقیقیّة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رأینا أنّ تیار المفاهیم التطبیقیّة وما یُصطلح علیه الثّقافة العلمیّة لإدارة المجتمع، هو تیار ذو اتّجاه واحد وعلمانی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أردتم إیجاد تیار ذی اتّجاهین یجب علیکم القیام بمشروع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التّغییرات الجزئیّة وحتّی غیر التّغییرات الباهرة الّتی توجد وتقع فی باطن عالم علمی منسّق وذی اتّجاه 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فالمثال الّذی سقتوه من تأریخ العلم، لا یمکنه أن یفرز النّتیجة الّتی تقصدوها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وکما بیّنتموه فی بدء حدیثکم، لا یمکن أن تقع عملیّاً أیّ ثورة ما لم تتهیّأ أرضیّة وقوع ثورة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فإحداث هذه الأرضیّة إضافة إلی کونها ضرورة لإحداث ثورة سیاسیّة ومن ثمّ ثورة ثقافیّة وتطوّر فی البواعث الجمعیّة، تتطلّب أیضاً أن یتعرّض المجتمع العلمی لحالة من التّأزّم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یلزم الثّورة السّیاسیّة أیضاً من حدوث أزمة واختلال فی النّظام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فإذا لم تُتّخذ هذه الجهود بشکل موردی ولم یتعرّض المجتمع العلمی الحاضر إلی التّشتّت، فسیبرز الانسجام والاتّحاد الموجود فی المجتمع العلمی مقاومة فائقة فی قبال نظریّتکم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فأنتم بحاجة إلی الجهود الموردیّة حسب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عقیدتی أنّ هذه الجهود الموردیّة إذا لم تعتمد علی قوة سیاسیّة وثقافیّة، فلن تکون لها قابلیّة الاصطفاف ضدّ الّتیار الموجود فی المجتمع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تبدیل مثل هذه الجهود إلی شبکة دینیّة موجّهة تقف فی مقابل شبکة العلم العلمانی لابدّ وأن تحتاج إلی قاعدة سیاسیّة قویّة وأنّ أفضل قاعدة لهذا الّتیار فی رأینا هی القاعدة الإیمانیّة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هو أنّه لأجل أن نعرف ما هی المقدّمات الّتی یجب إعدادها فی مجال تأسیس العلم الدّینی، ینبغی أن نعرف هل أنّنا ننظر إلی تکامل العلم بنظرة فلسفیّة تأریخیّة ومقارنة جمیع عوامله الدّاخلیّة والخارجیّة مع بعضها البعض؟ أم أنّنا نرید أن نعمل بشکل موردی وذوقی وغیر موجّه؟ فی رأینا أنّ نوع التّعامل المتّبع فی مسألة العلم الدّینی هو تعامل</w:t>
      </w:r>
    </w:p>
    <w:p>
      <w:pPr>
        <w:pStyle w:val="BookText"/>
        <w:rPr/>
      </w:pP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وأوافقکم الرّأی علی أنّ التّنظیرات الموردیّة حسب اصطلاحکم مؤثّرة فی صنع هذه الأرضیّة وربّما یکون لشخص واحد دور خطیر فی هذه العملیّة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قبلنا من حیث الأساس أنّ بؤرة الأفکار المحوریّة، هم الأفراد؛ مع أنّ هؤلاء الأفراد ترعرعوا ویترعرعون فی الخضمّ الاجتماعی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نحن لا نرید أن نغضّ الطّرف عن النّظرة العلم اجتماعیّة إلی العلم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فمع أنّ هؤلاء الأفراد المؤثّرین فی نظامهم الاجتماعی أو العلمی یترعرعون فی الخضمّ الاجتماعی، ولکنّهم یبدعون أحیاناً أشدّ النّظریّات محوریّة وثوریّة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جوانب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الآخر یتمثّل فی ما هی أسّس تولید، نمو وتوجیه نظریّة ما سواء طُرحت من قِبل فرد أو أفراد وجماعات؟ فهل یمکن فی عالم یناصر التنمیة المادّیّة عرض نظریّة مخالفة لها وأن نتوقّع أنّها ستحظی بقبوله؟</w:t>
      </w:r>
    </w:p>
    <w:p>
      <w:pPr>
        <w:pStyle w:val="BookText"/>
        <w:rPr/>
      </w:pPr>
      <w:r>
        <w:rPr>
          <w:rFonts w:ascii="IRNazanin" w:hAnsi="IRNazanin" w:eastAsia="IRNazanin"/>
          <w:color w:val="111111"/>
          <w:sz w:val="28"/>
          <w:sz w:val="28"/>
          <w:szCs w:val="28"/>
          <w:rtl w:val="true"/>
          <w:lang w:bidi="fa-IR"/>
        </w:rPr>
        <w:t>نحن نعتقد بأنّه ینبغی ابتداءً ولأجل طرح نظریّة مبتنیة علی الإیمان وقبولها من قِبل المجتمع أن تنمو البواعث الإیمانیّة فی مستوی تطالب فیه بتحقیق الاعتقادات الدّینیّة فی عرصة الحیاة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توجد مثل هذه البواعث فلن یحصل مثل هذا النّمو الإیمانی فی المجتمع العالمی، ولن تحظی تلک النّظریّة الّتی تسعی لتطبیق الدّین فی الواقع بالتّرحیب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الأرضیّة لنمو النّظریّات العلمیّة لا تقتصر علی الأرضیّة الثّقافیّة فحسب بل یلزمها أرضیّة سیاسیّة واقتصادیّة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تتوفّر جمیع الأرضیّات اللازمة باعتبارها عوامل تولید خارجیّة، فلن تولَّد مثل هذه النّظریّة ولن تنمو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إلی البواعث الإیمانیّة الّتی تتبلور فی الأرضیّات الإجتماعیّة المناسبة، فمن اللّازم الدّخول فی لعبة العلم حسب تعبیرکم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المقرّر أن یقتصر البحث علی الدّوام علی الأسس والأسالیب العامّة، کلّ ما فی الأمر أنّ الدّخول إلی المسائل الدّاخلیّة لعلم ما سیکون مؤثّراً حینئذ فی تدمیر العلم العلمانی والّذی اکتشفتم قوّة تیار أسسه فی التّنظیر فی خصوص تلک المسائل وإذا ارتبط الأمر بمجرّد المهارة والقدرة الشّخصیّة للمنظّر أو وقع ذلک الأمر علی وجه الصّدفة فلیس له قدرة علی إحداث ثورة من داخل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اعتقادنا أنّ إحدی مراحل البحث الّتی یجب أن تتمّ طولیّاً علی وجه اللّزوم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فلسفة عامّة لها القدرة علی التّفسیر والتّغییر والحرکة علی أساس الفکر 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فلسفة للعلم الدّینی ترتکز علی مُثل تلک الفلسفة</w:t>
      </w:r>
      <w:r>
        <w:rPr>
          <w:rFonts w:eastAsia="IRNazanin" w:cs="IRNazanin"/>
          <w:color w:val="111111"/>
          <w:sz w:val="28"/>
          <w:szCs w:val="28"/>
          <w:rtl w:val="true"/>
          <w:lang w:bidi="fa-IR"/>
        </w:rPr>
        <w:t>.</w:t>
      </w:r>
      <w:bookmarkStart w:id="301" w:name="pg5231_29876"/>
    </w:p>
    <w:p>
      <w:pPr>
        <w:pStyle w:val="BookText"/>
        <w:rPr/>
      </w:pPr>
      <w:bookmarkEnd w:id="3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منهج عام للبحث وتولید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یوفّر القدرة التّنسیقیّة العامة للنّظام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ذلک تأتی الطّریقة الطّبیعیّة الّتی تتمثّل بتأسیس الأسالیب الخاصّة فی مجالات العلوم المختلفة والقیام من خلال إدارة شبکة البحوث بالتّولید الواسع للعلم الدّینی بالاستفادة من قابلیّة القوی الخلّاقة والشّابّة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المرحلة الثّالثة ستتوفّر إمکانیّة القیام ببحوث موردیّة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بدرجة خطأ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فمن المرحلة الثّالثة فما بعدها، سیکون مقدار الفعّالیات تابع لحدود القدرات الّتی تتمتّع بها ولا ینبغی توقّع قیام المجموعة الفعلیّة المحدودة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ففی مجال النّظریّة النّسبیّة أو الغوانتومیّة علی سبیل المثال، یبدو لی أنّه لو لم تصل قابلیّة الاتّجاه نحو الدّنیا، عبادة الدّنیا، قابلیّة الارتباط بالحیاة المادّیّة واللّذات الحسّیّة فی المجتمع البشریّ، حدّاً تستطیع تحمّل هذه النّظریّات، لما وُجدت هذه النّظریّات ونمت</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83350_581953129"/>
      <w:bookmarkStart w:id="303" w:name="_Toc113"/>
      <w:bookmarkEnd w:id="302"/>
      <w:r>
        <w:rPr>
          <w:rtl w:val="true"/>
        </w:rPr>
        <w:t>مدی انسجام النّظریّة المطروحة فی مجال تکامل العلوم مع حقائق تأریخ العلم</w:t>
      </w:r>
      <w:bookmarkEnd w:id="3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أعتقد أنّ تحلیلکم بخصوص الارتباط الذّاتی والدّاخلی للنظریّات العلمیّة مع المیول الدّنیویّة ینسجم کثیراً وتأریخ العلم والمعرفة الّتی نمتلکها عن العلماء والمنظّرین؟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یرتبط بکیفیّة تحلیلکم لتأریخ العلم؟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ظهرت وتطوّرت النّظریّة الهجائیّة فی مجالات الرّیاضیات أو الفیزیاء المختلفة لم یکن هناک أیّ تصوّر عن استخداماتها فی زمان ظهورها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التّنظیر لم یکن ناظراً إلی استخدام مادّی أو واقعی یستطیع معه بیان ظهورها علی أساس بواعث دنیویّة ولذّات حسّیة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أطرح علیک هذا السّؤال؛ لِمَ ظهرت هذه النّظریّة فی هذا الزّمان الخاصّ؟ فهل حدث ذلک صدفة؟ أم أنّک تُرجع ظهور هذه النّظریّة إلی الذّکاء الفردی للمنظِّرفحسب؟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فإنّی أوافقک الرّأی فی ظهور نظریّات أحیاناً فی مجالات العلوم وبالخصوص العلوم الإنسانیّة کان الباعث علی ظهورها الاتّجاه نحو الدّنیا والاستمتاع الأکثر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عندما یأتی شخص مثل انشتاین فی الفیزیاء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أعتقد بالإله الّذی یدیر العالم علی</w:t>
      </w:r>
    </w:p>
    <w:p>
      <w:pPr>
        <w:pStyle w:val="BookText"/>
        <w:rPr/>
      </w:pPr>
      <w:r>
        <w:rPr>
          <w:rFonts w:ascii="IRNazanin" w:hAnsi="IRNazanin" w:eastAsia="IRNazanin"/>
          <w:color w:val="111111"/>
          <w:sz w:val="28"/>
          <w:sz w:val="28"/>
          <w:szCs w:val="28"/>
          <w:rtl w:val="true"/>
          <w:lang w:bidi="fa-IR"/>
        </w:rPr>
        <w:t>أساس إلقائه النّرد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أعرف کیف هو الله وطبقاً لأیّ قانون خلق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واعتماداً علی هذا الباعث انتضی سیفه لمبارزة الاتّجاه الابتدائی للفیزیاء الغوانتومیّة وأخذ فی التّنظیر إلی أن رحبّ المجتمع الفیزیائی بنظریّاته بعد عشرات السّنین، فلا یمکن القول بأنّ تنظیره کان مرتکزاً علی الاتّجاه الدّنیوی والتّمتّع الأکثر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تیاران فی متغیرَی المجتمع والتأریخ اللّذین استشهدتم بهما فی تحلیلکم یتّجه أحدهما نحو الدّنیا والآخر نحو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التّحلیل نابع من فلسفة التأریخ من خلال تفسیرها لتکامل العلم والتأریخ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هناک اتّجاهین اتّجاه حقّ واتّجاه باطل وأنّ هذین الاتّجاهین یولّدان علماً وحضارة یتناسبان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الحضارة الدّینیّة أکثر عمقاً حسب رأینا، لأنّها ترید إدخال إجراءات أکثر عمقاً فی الحیاة البشریّة وأکثر دواماً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أنّه ینبغی طیّ مرحلة خاصة فی کلٍّ من هذین الاتّجاهین لتولید العلم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نموذج من فلسفة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بیان مسألة تولید العلم بناءً علی الجرأة والقابلیّة العلمیّة للمنظّر، یعرض لنا هذا السّؤال وهو من أین تنشأ هذه الجرأة الرّوحیّة؟ ما هی الأرضیّة المؤثّرة فی بروزها؟ فإمّا أن تکون هذه الجرأة الرّوحیّة قائمة ومعتمدة علی الإیمان وطلب الحقیقة، أو قائمة علی عبادة الدّنیا ممّا یؤدّی إلی اختلاف هاتین الجرأتین ونتاجهما عن بعضهما البعض اختلافاً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الموقف الّذی عرضتموه بخصوص فلسفة تکامل العلم، لا ینسجم والشّواهد التأریخیّة فی مجال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یمکن الإشارة إلی الموارد الّتی وُضعت فیها التّنظیرات العلمیّة فی تیار العلم الفعلی من خلال باعث طلب الحقیقة لا باعث الاتّجاه الدّینوی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نموذجکم الفلسفی فی مجال تکامل العلم یلزم أن یکون منسجماً ومتّسقاً مع تأریخ العلم؟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المؤکّد أنّه یجب أن یکون هناک انسجام فیما بین هذین المجالین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تستطیع النّظریّة المطروحة فی فلسفة العلم تفسیر جوانب تأریخ العلم لنفسها، یعدّ ذلک علامة علی عدم نجاح تلک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لتأخذوا بنظر الاعتبار ملاحظتین بخصوص تفسیرنا لتکامل العلم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المؤکّد أنّ شتات من البحوث العلمیّة تمّت ببواعث خیرة وإنسانیّة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أنّه لم یکن لهم اطّلاع فی بعض الموارد علی الاستخدامات المستقبلیّة لکنّ هذه الموارد لا تنقض النّظریّة المطروحة بأیّ وجه من الوجوه لأنّ الّتیار العلمی الغالب لا یرتکز علی باعث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یسعی لتسخیر الإنسان والطّبیعة للانتفاع الأکبر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اکتشاف شواهد کثیرة بخصوص هذه المسألة من خلال القیام بتحقیقات میدانیّة وعلی الخصوص فی مجال مسار البحوث فی العقود الأخیرة، ویعدّ القیام بمثل هذا البحث من أولویات المجامع العلمیّة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ینبغی الحذر من أن لا نسعی فی هذا التّقییم النّظریّ إلی تفسیر وتأویل جمیع الشّواهد بشکلٍ أو حتّی غضّ النّظر عن بعض الشّواهد لتبدو النّظریّة المطروحة منسجمة مع تلک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مثل ذلک فی فلسفة التأریخ وفلسفة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تکهّن النّظام الاقتصادی الشّیوعی بلزوم حدوث الثّورة السّیاسیّة والاقتصادیّة فی الدّول الرّأسمالیّة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لم یحدث ذلک، قالوا إنّ الدّولة الفلانیّة لم تکن تُدار حسب النّظام الاقتصادی الرّأسمالی بشکل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أنّ النّظریّة الّتی تفضّلتم بطرحها فی مجال فلسفة التأریخ وفلسفة تکامل العلم تتناسب تناسباً ضعیفاً جدّاً مع تأریخ تطوّرات بعض العلوم، إلّا إذا أرادت الحصول علی مؤیّدات لنفسها من خلال تأویل شواهد تأریخ العلم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ألفت نظرکم إلی أنّ الکلام الّذی نطرحه هو کلام جدید غیر موجود فی الغرب ولم یکن له مثیل فی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تکون نظرتنا إلی تکامل العلم نظرة الفلسفة التأریخیّة ولیس نظرة علم النّفس أو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ترید تفسیر تأریخ تطوّرات العلم فمن المؤکّد واللّازم أن تستعین بنموذج للفلسفة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ففلسفتکم التأریخیة یجب أن تتمکّن من الارتکاز علی فلسفتکم الخُلقیّة، و تفسّر ظهور الحضارات والنّظریّات فی المجالات السّیاسیّة، الثّقافیّة، الاقتصادیّة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یجب أن تتمکّن من أن تکون منسجمة ومتّسقة 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تفسیر تأریخ تکامل العلم مختلفاً حسب ماهیّة تفسیرکم للعلم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اعتقدتم أنّ المعرفة وعلم الإنسان تابع لعقله العملی والعقل العملی بدوره تابع للباعث والباعث تابع للاتّجاه نحو الحقّ أو الاتّجاه نحو الباطل، فعند ذاک سیتغیّر فهمکم لتأریخ تکامل العلم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وتحلیلنا لتأریخ تطوّرات العلوم یرتکز علی مثل هذا الفکر،</w:t>
      </w:r>
      <w:bookmarkStart w:id="304" w:name="pg5231_29879"/>
    </w:p>
    <w:p>
      <w:pPr>
        <w:pStyle w:val="BookText"/>
        <w:rPr/>
      </w:pPr>
      <w:bookmarkEnd w:id="304"/>
      <w:r>
        <w:rPr>
          <w:rFonts w:ascii="IRNazanin" w:hAnsi="IRNazanin" w:eastAsia="IRNazanin"/>
          <w:color w:val="111111"/>
          <w:sz w:val="28"/>
          <w:sz w:val="28"/>
          <w:szCs w:val="28"/>
          <w:rtl w:val="true"/>
          <w:lang w:bidi="fa-IR"/>
        </w:rPr>
        <w:t>وتحلیل الآخرین موجود أیضاً بین أیدیکم، وعند المقایسة یعرف أیّهما أقرب إلی واقع تطوّرات العلوم وله قدرة أوضح علی التّکهّن بالمستقبل</w:t>
      </w:r>
      <w:r>
        <w:rPr>
          <w:rFonts w:eastAsia="IRNazanin" w:cs="IRNazanin"/>
          <w:color w:val="111111"/>
          <w:sz w:val="28"/>
          <w:szCs w:val="28"/>
          <w:rtl w:val="true"/>
          <w:lang w:bidi="fa-IR"/>
        </w:rPr>
        <w:t>.</w:t>
      </w:r>
    </w:p>
    <w:p>
      <w:pPr>
        <w:pStyle w:val="Heading3"/>
        <w:numPr>
          <w:ilvl w:val="2"/>
          <w:numId w:val="1"/>
        </w:numPr>
        <w:rPr/>
      </w:pPr>
      <w:bookmarkStart w:id="305" w:name="__RefHeading___Toc283352_581953129"/>
      <w:bookmarkStart w:id="306" w:name="_Toc114"/>
      <w:bookmarkEnd w:id="305"/>
      <w:r>
        <w:rPr>
          <w:rtl w:val="true"/>
        </w:rPr>
        <w:t>الباعث المحوریّ أو کشف الحقیقة فی التّطوّرات العلمیّة</w:t>
      </w:r>
      <w:bookmarkEnd w:id="3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یؤدّی الفهم الخاصّ لهذه العالِمیّة المعرفیّة إلی إنکار الواقعیّة العلمیّة؟ فإذا اعتبرنا أنّ النّظریّات العلمیة تابعة للبواعث والعقل العملی فإنّ ذلک یؤدّی إلی سلب خاصیّة کشف الحقیقة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فأغلب العلماء یعتقدون بأنّ نظریّاتهم العلمیّة ناظرة إلی الحقیقة العینیّة ویمثّل عملهم جهداً فی اتّجاه کشف الحقیقة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درسنا هویّة العلم سنری أنّ العلم من حیث الأساس لیس کشفاً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حصیلة نوع من الفعّالیة وله جانب أداتی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المختلفة تمثّل فی الحقیقة صورة تنمویّة للبواعث المختلفة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فما یقوله البعض من أنّ الباعث یختلف عن الحافز فهو بسبب أنّ أذهانهم مملوءة بأفکار أصالة الماهیّة ویرون ویدرسون الأمور مستقلّة عن بعضها البعض ولیس فی قالب نظام ونموذج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فالبواعث والحوافز متمازجة بشکل کامل فی فکرنا الفلسفی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بحثکم هذا ناظر إلی جمیع المجالات العلمیّة؟ وهل أنّ صفة کشف الحقیقة تسلبونها من مختلف العلوم بشکل متساوٍ؟ ولا ترون وجود تمایز فیما بین العلوم الرّیاضیّة والطّبیعیّة والعلوم الإنسانیّة والإجتماعیّة؟ ومن المحتمل أنّ بعض العلوم الإنسانیّة قلیلاً ما ترتبط بکشف الحقیقة وذلک بسبب نوع مواضیعها وارتباطها بالمفاهیم الاعتباریّة، ولکنّ العلوم الّتی ترتبط بالمفاهیم الحقیقیّة، عادة ما تسعی إلی کشف حقیقة العالم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أعلم من أین أتی هذا التّفریق وما هی جذوره؟ وما هی قاعدته العلمیّة؟ ففی رأیی أنّه حتّی الرّیاضیّة منها لا وجود لها بصورة محضة ومستقلّة عن 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فکّرتم لماذا وکیف وُجدت الأفکار الرّیاضیّة؟ وما هو دور المیول الإجتماعیّة فی ظهورها؟ فلیس للإنسان میول مستقلّة عن بعضها البعض حتّی نقول أنّ الکشف العلمی قام علی أساس المیل إلی کشف الحقیقة وأنّ العمل الفلانی قام علی أساس باعث ومیل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یمتلک نظام</w:t>
      </w:r>
    </w:p>
    <w:p>
      <w:pPr>
        <w:pStyle w:val="BookText"/>
        <w:rPr/>
      </w:pPr>
      <w:r>
        <w:rPr>
          <w:rFonts w:ascii="IRNazanin" w:hAnsi="IRNazanin" w:eastAsia="IRNazanin"/>
          <w:color w:val="111111"/>
          <w:sz w:val="28"/>
          <w:sz w:val="28"/>
          <w:szCs w:val="28"/>
          <w:rtl w:val="true"/>
          <w:lang w:bidi="fa-IR"/>
        </w:rPr>
        <w:t>میول ممزوجة ببعضها تقوم بتوجیه جمیع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إنتاجه الفکریّ والعملیّ مختلفاً حسب کیفیّة توجیه نظام المیول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عقیدتی أنّ التّفکّر المحض الخالی من القیم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فکر وکلّ عمل هو نوع من العبادة، سواء کانت هذه العبادة ملکوتیّة أم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تستطیع ادّعاء وجود علم محض تستطیع عندها سلب العلاقة بین الإرادة والباعث والمیل من جهة وأعمال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التّفکیر والتّنظیر أحد نماذجها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قبلنا أنّه لا یتمّ کشف الحقیقة فی العلوم وأنّ هذه العلوم مجرّد أداة لتحقیق إرادات وبواعث الأفراد وأنّ هذا الادّعاء صادق علی جمیع العلوم، فستکون المعرفة المرتبطة بوجود الله وصفاته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أیضاً لتحقیق نوع خاص من الإرادة والباعث ولا تتعلّق بالحقیقة 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نطلب شیئاً لا وجود حقیقی له؟ وکیف نضحّی بالمال والنّفس والطّموحات لشیء غیر موجود حقیقة، ویبدو أنّ الإرادة والباعث الدّینی بإمکانها أن تکون مؤثّرة ونافعة وحقیقیّة عندما تکون مرتبطة بموجود حقیقی لا موجود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قلنا بأنّ علمنا بالله لا یمکن حصوله من خلال أیٍّ من هذه النّظم المفهومیّة کالفلسفة أو العرفان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بنوع من النّزعة الإیمانیّة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القول بکاشفیّة العلم لیس بمعنی سلب الکشف الکامل للحقیقة فی العلم والاعتقاد بوهمیّتها وخیالیتها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بمعنی أنّ الإنسان یلاحظ علی الدّوام الحقائق المتعلّقة بذاته بمنظار المیول الفردیّة والإجتماعیّة ویقوم بعملیّة التّجزئة والتحلیل من خلال الاستفادة من الأدوات الذّهنیّة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تکامل الإیمان ورقی الأدوات یمکنه أن یؤدّی إلی تغییر المکتشفات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اتّصف نظام المیول الّذی یمثّل رصیداً للعلم بالصّحّة والحقّانیّة فستّتبعه تغییرات لاحقة لتکمیل المعارف السّابقة ولیس نقضها وإبطالها وإلّا سیلزم إبطال النّظریّات إحداها للأخری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ذات الأمر علی خصوص الاعتقاد بالذّات الإلهیّة وسائر العقائد الحقّة فنفی الکاشفیّة یعنی أنّک لا تستطیع علی الإطلاق وفی أیّ قسم منها ادّعاء العلم المطلق بالذّات الإلهیّة وأن تستطیع التّعرّض إلی إثبات الصّانع استناداً إلی الأدلّة والآثار المختلفة وجعل إیمانک الابتدائی ثابتاً وناطقاً بشکل منهجی بواسطة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المؤشّرات الّتی تُطرح حول تمایز العلوم بعضها عن البعض الآخر التّمایز فی هدف العلم وأعتقد أنّ هذه المسألة تحظی أیضاً بقبول الفلسفة والمنطق الرّائجین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اعتقدنا بأنّ هدف علم الفیزیاء هو تفسیر الظّواهر الطّبیعیّة علی سبیل المثال، فهنا لا یُطرح بحث بواعث الحق والباطل والاتّجاه والمیل إلی الدّنیا أو المیل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نستطیع أن لا تکون لدینا نظرة کشفیّة إلی العلم مع بقائنا علی مخالفة تدخّل البواعث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وصلنا إلی هذه النّتیجة حقیقة فینبغی عندها تغییر تعریفنا للعلوم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هذا الموضوع یتّبع نظریّتکم بخصوص العلم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ترون أنّ العلم والمعرفة البشریّة کشفاً للواقع؟ وعلی فرض کونها کاشفة، ما هی البواعث الحاکمة للکشف العلمی؟ فهل أنّ البواعث والحوافز مرتبطان معاً؟ أم أنّهما مفترقان عن بعضهما البعض؟ وهل من الصّحیح أساساً الحدیث عن کشف الحقیقة فی العلم؟ فالبحث یدور حول هل أنّکم تقبلون بحکومة العقل العملی علی العقل النّظریّ أم أنّکم تعتقدون أنّ العقل النّظریّ یعمل مستقلّاً عن العقل العملی؟ نحن نعتقد بأنّ نظام التّولّی والولایة الإجتماعیّة یلعب دوراً رئیساً فی نمو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فإنّ النّظام الاجتماعی مرتبط بالتأریخ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استنتاج أنّ حرکة تکامل التأریخ لها حضور جادّ فی ظهور ونمو وتکامل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تقدّمنا من من خلال المنطق الانتزاعی وفصلنا العلوم عن بعضها بشکل منظّم، سیکون کلامکم وتعریفاتکم صحیحة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وضعنا هذا المنطق الانتزاعی جانباً وقرّرنا تحلیل وتفسیر هذه العلاقات المتعدّدة الجوانب، فیجب أوّلاً تعریف وتفسیر العلاقة بین إرادة الإنسان وفهمه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یمکنکم غضّ النّظر عن تأثیر الإرادة علی فهم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تعریف علاقة إرادة الإنسان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بیان علاقة المجتمعات مع بعضها وتکوّن الحضارات التأریخیّة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فالعلم لیس بالشّکل الّذی تقولونه وتعتقدونه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الأمر أنّ الإنسان له باعث باحث وأنّ هذا هو الافتراض الوحید للبحث والتّنظیر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الفهم للعلم یتعرّض لنقاش جادّ الیوم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سبق ذکره أنّ أحد العوامل الّتی تدخل فی تقییم نظریّات فلسفة العلم وکان لها تأثیر فی تراجع تلک النّظریّات عن مدّعیاتها، هی هل بإمکان تلک النّظریّات إیضاح شواهد تأریخ العلم بشکل متین أم لا؟ إنّ الإتقان المنطقی لنظریّة فلسفیّة فی مجال العلم، لا یمنع أبداً من الرّجوع إلی تأریخ العلم باعتباره ملاکاً للقضاء فی مجال تلک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جئنا بمثال</w:t>
      </w:r>
      <w:bookmarkStart w:id="307" w:name="pg5231_29882"/>
    </w:p>
    <w:p>
      <w:pPr>
        <w:pStyle w:val="BookText"/>
        <w:rPr/>
      </w:pPr>
      <w:bookmarkEnd w:id="307"/>
      <w:r>
        <w:rPr>
          <w:rFonts w:ascii="IRNazanin" w:hAnsi="IRNazanin" w:eastAsia="IRNazanin"/>
          <w:color w:val="111111"/>
          <w:sz w:val="28"/>
          <w:sz w:val="28"/>
          <w:szCs w:val="28"/>
          <w:rtl w:val="true"/>
          <w:lang w:bidi="fa-IR"/>
        </w:rPr>
        <w:t>من تأریخ الرّیاضیات أو المنطق یبیّن أنّ طرح نظریّة جدیدة لا علاقة له بالمیول الدّینیّة والدّنیویّة للمنظّر، فما هو التّأثیر الّذی یحدثه علی نظریتکم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افترضنا أنّ نظریّة ما طُرحت بشکل متزامن فی نقطتین من العالم بواسطة شخصین أحدهما متدیّن والآخر ملحد وقام بعد ذلک شخصان أحدهما متدیّن والآخر ملحد بتقییم هذه النّظریّة بنحو واحد، أفلا تکون هذه الحالة مبطلة لنظریتکم؟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تحقّق هذا الفرض فی وقت لا یقوم عمل المتدیّن أو الملحد التّنظیری من خلال نزعاته الدّینیّة ولکن تحقّق هذا الفرض لا ینقض النّظریّة المذکوة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یتبلور بالارتکاز علی الباعث لکن تأثیر الباعث فی العلم لیس قهریّاً</w:t>
      </w:r>
      <w:r>
        <w:rPr>
          <w:rFonts w:eastAsia="IRNazanin" w:cs="IRNazanin"/>
          <w:color w:val="111111"/>
          <w:sz w:val="28"/>
          <w:szCs w:val="28"/>
          <w:rtl w:val="true"/>
          <w:lang w:bidi="fa-IR"/>
        </w:rPr>
        <w:t>.</w:t>
      </w:r>
    </w:p>
    <w:p>
      <w:pPr>
        <w:pStyle w:val="Heading3"/>
        <w:numPr>
          <w:ilvl w:val="2"/>
          <w:numId w:val="1"/>
        </w:numPr>
        <w:rPr/>
      </w:pPr>
      <w:bookmarkStart w:id="308" w:name="__RefHeading___Toc283354_581953129"/>
      <w:bookmarkStart w:id="309" w:name="_Toc115"/>
      <w:bookmarkEnd w:id="308"/>
      <w:r>
        <w:rPr>
          <w:rtl w:val="true"/>
        </w:rPr>
        <w:t>ملاک تقییم النّظریّات العلمیّة</w:t>
      </w:r>
      <w:bookmarkEnd w:id="309"/>
    </w:p>
    <w:p>
      <w:pPr>
        <w:pStyle w:val="Heading4"/>
        <w:numPr>
          <w:ilvl w:val="3"/>
          <w:numId w:val="1"/>
        </w:numPr>
        <w:rPr/>
      </w:pPr>
      <w:bookmarkStart w:id="310" w:name="__RefHeading___Toc283356_581953129"/>
      <w:bookmarkStart w:id="311" w:name="_Toc116"/>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أنّنا فی مقام تقییم نظریّة ما نرید دراسة مرحلتها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الانسجام الدّاخلی للنظریّة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الحکم بخصوص انسجام قضیّتین یرتکز علی باعث وإرادة الشّخص فی مقابل 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الفهم الدّینی الّذی ترونه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اعتقدنا بأنّ تناقض القضیّتین ألف ونقیض ألف یرتکز علی الاتّجاه القِیمی للحکم، فلا یبقی عملیاً عندئذ أیّ ملاک للقضاء الواقعی وإذا ما أصدرنا مثل هذا الحکم بخصوص القضایا المنطقیّة، فسیکون هذا الحکم صادقاً بأعلی درجات الصّدق بخصوص الملاکین الآخرین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کفاءة وعلاقة النّظریّة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التّرتیب ستفقد الملاکات الّتی طرحتموها فی مجال تقییم النّظریّات فائدتها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کیفیّة تعریفکم للتّناقض، تابع لحجم علاقتکم بالحقّ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بالطّبع أن أذکّر بهذه المسألة وهی أنّکم ترون وتطرحون التّناقض علی المستوی الانتزاعی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یمکنکم استخدام هذا الشّکل من تشخیص التّناقض فی مجال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تستطیعون أیضاً عمل مجموعة علی أساس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الوحید الّذی بإمکانکم القیام به هو أن تلاحظوا وتقیموا الأمور المفصولة والمتجزّئة بشکل مفکّک وأن تقارنوا وجودها وعدمها مع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وجد التّناقض طریقاً له فی المجموعة فکیف یمکنکم تشخیص اختلالات تلک المجموعة وتحدید السّبب الموجب لهذا التّناقض وتعملون علی أن لا یحدث بعد ذلک تناقض فی مجموعتکم المقصودة؟ إنّ هذا البحث من الأبحاث المهمّة</w:t>
      </w:r>
    </w:p>
    <w:p>
      <w:pPr>
        <w:pStyle w:val="BookText"/>
        <w:rPr/>
      </w:pPr>
      <w:r>
        <w:rPr>
          <w:rFonts w:ascii="IRNazanin" w:hAnsi="IRNazanin" w:eastAsia="IRNazanin"/>
          <w:color w:val="111111"/>
          <w:sz w:val="28"/>
          <w:sz w:val="28"/>
          <w:szCs w:val="28"/>
          <w:rtl w:val="true"/>
          <w:lang w:bidi="fa-IR"/>
        </w:rPr>
        <w:t>جدّاً للعلم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بناءً علی الفلسفة المنتَجة والمنطق العام الّذی أنتجه مجمعنا نستطیع دراسة علاقة الظّواهر ومقارنتها وتقییمها علی أساس النّسبة القائمة مع بعضها وبینها وبین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المنطق العام قد ظهر فی الوقت الرّاهن وبالطّبع یجب اکتشاف منطق خاصّ لکلّ مجال خاصّ للاستفادة منه فی مجاله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الاعتبار لا یمکن بعد الآن تقییم صدق وکذب قضیة ما علی انفراد ولا یمکن تقییم القضیّة إلّا علی أساس علاقتها بسائر القضایا؟ فإذا کان استنتاجی هذا صحیحاً، أودّ طرح هذا السّؤال وهو؛ کیف تفسّرون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یحتمل أنّ الحدیث یرید أن یقول، أنّه یمکن تقیّیم صدق وکذب أو حقّانیّة وباطلیّة الکلام مستقلاً عن علاقته بمجموعته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أنّه لا یمکن قبول عمل مجموعة جدیدة فی ترکیب کلام الحق هذا المراد منه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تقییمنا لهذه المجموعة یکون مستقلّاً عن تقییمنا لتلک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الاستفادة من لفظة الصّدق والکذب یرتبط بالعلم المعرفی الّذی له قابلیّة الکاشفیّة المطلقة للعلم وعلی أساس العلم المعرفی المقترح یجب الاستفادة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معیار حقّانیّة النّظریّات العلمیّة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تناسقها مع ناحیة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النّظریّات العلمیّة لم تتشکّل من قضیّة واحدة وإلا لما تمکّنت من تفسیر نظام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مقارنة تناسق أو عدم تناسق النّظریّة یکون ممکناً بعد ملاحظة انسجامها الدّاخلی والخارجی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الرّؤیة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فی نیّتنا الاستفادة من الرّوایات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منها أنّه یمکن الاستفادة الخاطئة والباطلة من کلام الحقّ وهی بهذا المعنی تکون مؤیدة لرأینا لأنّ الاستفادة الخاطئة تکون ممکنة فی الحالة الّتی یوضع الکلام الصّحیح مع سائر الکلام أو الاستعمالات فی التّرکیب الخاطئ</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ادّعیتم بأنّ فلسفتکم التأریخیّة فی التّکامل ترتکز علی 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واعتقدتم من جهة أخری بأنّ تولید وقبول العلم الدّینی یکون ممکناً فی الظّروف الّتی تکون الظّرفیّة الإیمانیّة فی المجتمع العالمی مهیّأة للحضور الفعّال للدّین فی السّاحة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فما دامت الفلسفة التأریخیّة المرتکزة علی المعارف الدّینیّة تعتقد بهذا</w:t>
      </w:r>
    </w:p>
    <w:p>
      <w:pPr>
        <w:pStyle w:val="BookText"/>
        <w:rPr/>
      </w:pPr>
      <w:r>
        <w:rPr>
          <w:rFonts w:ascii="IRNazanin" w:hAnsi="IRNazanin" w:eastAsia="IRNazanin"/>
          <w:color w:val="111111"/>
          <w:sz w:val="28"/>
          <w:sz w:val="28"/>
          <w:szCs w:val="28"/>
          <w:rtl w:val="true"/>
          <w:lang w:bidi="fa-IR"/>
        </w:rPr>
        <w:t>فلن یوجد هذا الباعث الدّینی فی کلّ العالم إلّا بعد ظهور المهدی عجل الله تعالی فرجه الشریف ، إذن فتولید العلم الدّینی سیتوقّف علی ظهور الإمام وهذا ما یجعل هذه المسألة منسجمة بشکل جیّد مع سائر المعارف الّتی وصلتنا من المعصومین وتحکی عن أنّ أقساماً کثیرة من العلم ستتّضح للنّاس فی ذلک المقطع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الاعتقاد بمثل هذه الفلسفة التأریخیّة داعیاً إلی سلب أمل العلماء فی تحقّق العلم الدّینی قبل ظهوره عجل الله تعالی فرجه الشریف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فلسفتنا التأریخیّة ترتکز علی فلسفة عامّة والّتی نری أنّها تتّسق مع المعارف الدّینیّة نسبة إلی سائر الفلسفات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تناسقها الشّامل یحتاج بالطّبع إلی عمل أکثر 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خصوص هذا الحدیث الّذی یقول بأنّه سیظهر للنّاس حرفین من العلم قبل الظّهور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بعد الظّهور، فأیّ علم هذا؟ وما هو العلم فی معارف أهل البیت؟ فهل العلم هو وسیلة للعبادة والتّقرّب إلی الله أم هو التّعریف الأرسطی أو الأفلاطونی أو لأیّ فیلسوف آخر، ونقوم بفرض مثل هذا التّعریف علی معارف أهل البیت؟ ففی رأینا أنّ العلم المقصود فی هذه الآیات والرّوایات مختلف بالکامل عن ما یُعرف الیوم باسم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نسعی نحو ذینک الجزئین من العلم والّذی ستتّضح أجزاؤه الخمس والعشرون الأخری بعد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مجال هل أنّ اعتقادنا بهذه الفلسفة التأریخیّة سیکون عائقاً دون القیام بالعمل وبذل الجهد أم لا فینبغی القول بأنّنا موظّفون علی إنجاز عملنا وواجبنا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مقدار النّجاح الّذی تحرزه هذه الجهود وفی أیّ مجال یحدث هذا النّجاح، فهو خارج عن نطاق مسؤولیّتنا وتکهّناتنا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نستطیع أن نقول بأنّنا سنولّد مثل هذا العلم مع مثل هذه الشّبکة جزماً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فمسؤولیّتنا تقتصر علی إیضاح تنظیماتنا والسّیر فی المسار الّذی کلّفنا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علینا أن نخطو فی مسار ذلک التّطوّر العام الّذی هو مبدأ نزول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مبدأ ظهور الولایة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بأنّ العلم هو من فروع ولیّ الله ولکن ما هو الزّمن الّذی سیتحقّق فیه، فذلک خارج عن قدرتنا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علینا تشخیص المسار الّذی ینبغی طیّه بشکل صحیح للوصول إلی العلم الدّینی وقصر همّتنا علی إکماله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اکتشف الآخرون طریقاً أقصر فمن المؤکّد أنّنا سنرحّب به بشرط أن لا یؤدّی ذلک الطّریق القصیر إلی ذوباننا التّدریجی فی تیار تطوّرات العلم العلمانی وإنّما علی العکس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تصوّر المشقّة أو کون إنجاز العمل مستبعداً هو</w:t>
      </w:r>
      <w:bookmarkStart w:id="312" w:name="pg5231_29885"/>
    </w:p>
    <w:p>
      <w:pPr>
        <w:pStyle w:val="BookText"/>
        <w:rPr/>
      </w:pPr>
      <w:bookmarkEnd w:id="312"/>
      <w:r>
        <w:rPr>
          <w:rFonts w:ascii="IRNazanin" w:hAnsi="IRNazanin" w:eastAsia="IRNazanin"/>
          <w:color w:val="111111"/>
          <w:sz w:val="28"/>
          <w:sz w:val="28"/>
          <w:szCs w:val="28"/>
          <w:rtl w:val="true"/>
          <w:lang w:bidi="fa-IR"/>
        </w:rPr>
        <w:t>مکر شیطانی ولهذا لم تستسلم نخبنا العلمیّة لمثل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بذلنا الحدّ الأقلّ من الجهود الّتی یبذلها الکفّار فی الباطل فمن المؤکّد أنّنا سنحصد مکاسب 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 جزیل شکرنا لَما أبدیتموه من حلم وصبر فی الإجابة علی أسئلتّنا وإذا کانت هناک مسألة ترون من اللّازم بیانها فتفضّلوا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اتّضح فی هذا البحث الضّرورة والهدف من تدوین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وحدّدنا طریق العبور من النّطاق الثّقافی باعتباره الشّرط اللّازم لتدوین العلم الدّینی وکذا کیفیّة جعل هذه الضّرورة 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وأکّدنا علی أهمیّة دور ظرفیّة المیل الإیمانی أو الدّنیوی للأفراد فی کیفیّة إنتاجاتهم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عرفنا فی هذا البحث أنّ الفرد مع أنّه ینمو فی نطاق اجتماعی، ولکن یبقی الفرد ذاته مرکزاً لظهور الأفکار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أنّکم تلاحظون علاقة خاصّة فیما بین الفرد والجماعة فی نظریّتنا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أقررنا انسجاماً وتلازماً بین المجتمع، التأریخ، ضرورة الثّورة السّیاسیّة، الثّقافیّة والعلمیّة فی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رأینا أنّ الاتّجاه نحو هذه النّظریّة وهذا الرّأی فی شکله العام آخذ فی التّبلور بین الخواص وحتی أنّ أساس الحوار والوفاق قد أنتج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ینبغی الإقرار بأنّ عمر عشرین عاماً لتولید مثل هذه النّظریّة والشّبکة وبهذه القدرة العظیمة المتوقّعة لیس کثیراً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تتمکّن الحضارة المنافسة المبتنیة علی الاتّجاه الدّنیوی من تولید العلم والتقنیة المناسبة إلّا علی مدی عدّة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الفلسفة العلمیّة الّتی نسعی لتحقیقها هی فی صدد تأسیس حضارة دینیّة ستشهدون فیها حکومة الحقّ علی الباطل</w:t>
      </w:r>
      <w:r>
        <w:rPr>
          <w:rFonts w:eastAsia="IRNazanin" w:cs="IRNazanin"/>
          <w:color w:val="111111"/>
          <w:sz w:val="28"/>
          <w:szCs w:val="28"/>
          <w:rtl w:val="true"/>
          <w:lang w:bidi="fa-IR"/>
        </w:rPr>
        <w:t>.</w:t>
      </w:r>
    </w:p>
    <w:p>
      <w:pPr>
        <w:pStyle w:val="Heading4"/>
        <w:numPr>
          <w:ilvl w:val="3"/>
          <w:numId w:val="1"/>
        </w:numPr>
        <w:rPr/>
      </w:pPr>
      <w:bookmarkStart w:id="313" w:name="__RefHeading___Toc283358_581953129"/>
      <w:bookmarkStart w:id="314" w:name="_Toc117"/>
      <w:bookmarkEnd w:id="313"/>
      <w:r>
        <w:rPr>
          <w:rtl w:val="true"/>
        </w:rPr>
        <w:t>الملاحظات</w:t>
      </w:r>
      <w:bookmarkEnd w:id="314"/>
    </w:p>
    <w:p>
      <w:pPr>
        <w:pStyle w:val="BookText"/>
        <w:rPr/>
      </w:pPr>
      <w:r>
        <w:rPr>
          <w:rFonts w:ascii="IRNazanin" w:hAnsi="IRNazanin" w:eastAsia="IRNazanin"/>
          <w:color w:val="111111"/>
          <w:sz w:val="28"/>
          <w:sz w:val="28"/>
          <w:szCs w:val="28"/>
          <w:rtl w:val="true"/>
          <w:lang w:bidi="fa-IR"/>
        </w:rPr>
        <w:t>إنّ دراسة رأی حجّة الإسلام السّید میر باقری فی مجال العلم الدّینی یمکن أن تشمل بعدین البعد الإثباتی والبعد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وسنقوم ابتداءً بمقارنة وتقییم رأیه باللّحاظ الثّبوتی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یعتقد السّید میر باقری عموماً بأن یکون کلّ علم ومن ضمنه العلم الدّینی ناظراً إلی الواقع، وإنّما یعتقد بأنّ القضایا العلمیّة ومن جملتها قضایا العلم الدّینی هی قضایا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رأیه أنّ العلم هو نوع من الفعّالیّة وبروز وظهور للبواعث الدّاخلیّة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فإنّ جمیع القضایا العلمیّة والدّینیّة هی مجرّد کواشف للبواعث الدّاخلیّة للأفراد، فیکون البحث عن الصّدق والکذب، لا معنی له، لأنّ القضایا أساساً غیر ناظرة إلی الواقع، کی یُطرح بحث مطابقتها أو عدم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هذا الرّأی فی مجال العلم الدّینی والعلوم الأخری، یعانی من نزعة نسبیّة العلم المعرفی؛ لأنّه یستلزم عدم کون المعرفة أیّ معرفة کانت، حتّی المعارف الدّینیّة، ناظرة إلی الواقع الموجود فی العالم وهی مجرّد کاشف لأحاسیس، بواعث ومیول النّاس ومن ضمنهم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الأخری المتعلّقَة برأی السّید میر باقری هی هل أنّ المؤمنین الّذین لا یعتقدون بأدلّته، علی فرض وجودهم، یمتلکون الحقّ کما هو فی إبراز بواعثهم وتولید فلسفة العلم الدّینی الخاصّة بهم أم لا؟ لأنّه یبدو و وفقاً لهذا الرّأی، بأنّه یمکن أن یکون هناک علم دینی بمقدار أعداد المؤمنین وبواعثهم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أنّه أساساً لا ینبغی أن یکون هناک ملاک حقیقی لترجیح إیمان وبواعث أحدهم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الجانب الآخر فإنّ المؤمنین الّذین لا یقولون بالمبانی الّتی یرتضیها السّید میر باقری فوفقاً لمبانیه لا تتوفّر لدیهم أرجحیّة وحجّیة حقیقَة للعدول عن بواعثهم الشّخصیّة والرّجوع إلی قول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طرح الإشکال السّابق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الإیمان مقولة تشکیکیّة، فالعلم فی رأی السّید میر باقری یکونّ مقولة تشکیکیّة أیضاً، فیمکن حینها أن تکون هناک فلسفة للعلم الدّینی وعلم دینی حسب تعداد المؤمنین وأن یتوفّر لکلٍّ من هذه العلوم الدّینیّة أو فلسفات العلم الدّینی قدر خاص من الحقّانیّة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السّؤال التّالی وهو أیٍّ من هذه العلوم أو فلسفات العلم الدّینی ینبغی أن یکون ملاکاً للعمل؟ فإذا کان السّید میرباقری یری إمکانیّة المقارنة الواقعیّة لمراتب الإیمان، فسیکون العلم أیضاً قابلاً للتّرتیب‌الواقعی من حیث الحقّانیّة، ولذا فإنّه من الممکن أن تکون هناک حقّانیّة أکثر للعلم المجعول ملاکاً فی مقام العمل؛ وإلّا فسنواجه إشکالاً فی انتخاب علم من بین العلوم‌المتعدّدة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لوحظ فی هذا الحوار، فإنّ البحث عن حقّانیّة وحجّیة القضایا یصبح بدیلاً عن البحث عن صدق وکذب القضایا حسب رؤیة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حذف البحث عن صدق وکذب القضایا وکون القضایا العلمیّة والدّینیّة ناظرة إلی الواقع، لا یبقی عموماً تبریراً للبحث عن الحجّیة ویجعل من لزوم استتباع الحجّیة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فمع قبول هذه المبانی یکون السّؤال بهذا الشّکل وهو لماذا یجب البحث عن الحجّیة؟ وأساساً لماذا یکون التّدین أفضل من عدم التّدین؟ فعندما یکون من مهمّة القضایا العلمیّة والدّینیّة البحث عن</w:t>
      </w:r>
    </w:p>
    <w:p>
      <w:pPr>
        <w:pStyle w:val="BookText"/>
        <w:rPr/>
      </w:pPr>
      <w:r>
        <w:rPr>
          <w:rFonts w:ascii="IRNazanin" w:hAnsi="IRNazanin" w:eastAsia="IRNazanin"/>
          <w:color w:val="111111"/>
          <w:sz w:val="28"/>
          <w:sz w:val="28"/>
          <w:szCs w:val="28"/>
          <w:rtl w:val="true"/>
          <w:lang w:bidi="fa-IR"/>
        </w:rPr>
        <w:t>الحقیقة فی العالم، وأنّه یجب علی الدّین أن یقتصر علی الأحاسیس، العواطف، المیول والبواعث الإیمانیّة فحسب، فما هو الملاک إذن فی ترجیح بعض البواعث علی البواعث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أن نعتقد بالانحیاز فی جمیع العلوم وأن ننزع الید عن مفاهیم کالصّدق والکذب والإثبات؛ فسیکون السّؤال فی هذه الحالة هو ما فائدة البحث عن حجّیة المعارف الدّینیّة، باعتبارها أساس 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فتحویل الحوافز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بواعث یؤدّی إلی عدم إمکان التحدّث عن أسباب صحّة ادّعاء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فسیقتصر مثل هذا الجهاز للعلم المعرفی، علی ذکر أسباب تبلور العقائد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وکما ذکرنا، فقد سقطت هذه النّظریّة فی مستنقع نسبیّة العلم المعرفی ومن الممکن السّؤال عن مقدار مماثلتها للمثالیّة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الأبعاد الإثباتیّة لنظریّة السّید میر باقری فیمکن دراستها فی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تمّ التّأکید فی جهاز العلم المعرفی للسّید میر باقری ومجمع العلوم الإسلامیّة علی ثلاثة عناصر فی تقییم النّظریّات العلمیّة ومعیار صحّة منهج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والعلمانیّة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حقّانیّة العلم؛ وجود الانسجام الدّاخلی بین أجزاء العلم والتّطبیق الحقیقی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وسنعرض هنا إلی دراسة وتقییم هذه العناصر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فحسب مبانی العلم المعرفی لمجمع العلوم الإسلامیّة والسّید میر باقری، فإنّ الکون علی الحق وفی طریق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الملاک الوحید المنسجم مع جهاز العلم المعرفی للمجمع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مبهم ولیس له کملاک کفاءة فی تقییم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فإلغاء کاشفیّة العلم وکونه ناظراً ومطابقاً للواقع، باعتباره ملاکاً للصّدق وإلغاء البحث عن صدق وکذب القضایا فی جهاز العلم المعرفی للمجمع عموماً، لا یدع للکون علی الحق وفی طریق الحقّ أیّ معنی واضح؛ لأنّ أساس معنائیّة الألفاظ فی جهاز العلم المعرفی هذا یحتاج بذاته إلی تعریف جدید لأنّها فقدت معناها المعهود بین العقلاء والباحثین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الأخری الّتی من الممکن طرحها فی هذا الملاک، هی کیفیّة تقییم کون النّظریّة مع الحقّ، فالقاعدة هی أنّه ولأجل تقییم النّظریّات العلمیّة طبقاً لهذا الملاک، ینبغی التّحقیق فی هل أنّ باعث المنظّرین، إیمانی ویقع فی طریق الحق أم أنّه إلحادی ویقع طریق اللّذائذ الحسّیة والاستمتاع الأکثر بالدّنیا؟ ولکن هل توجد ملاکات حقیقیّة لتقییم الاتّجاهات الإیمانیّة للأفراد؟ ینبغی أن تکون الإجابة عن هذا السّؤال بالنّفی فی رأی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أیّ تقییم</w:t>
      </w:r>
    </w:p>
    <w:p>
      <w:pPr>
        <w:pStyle w:val="BookText"/>
        <w:rPr/>
      </w:pPr>
      <w:r>
        <w:rPr>
          <w:rFonts w:ascii="IRNazanin" w:hAnsi="IRNazanin" w:eastAsia="IRNazanin"/>
          <w:color w:val="111111"/>
          <w:sz w:val="28"/>
          <w:sz w:val="28"/>
          <w:szCs w:val="28"/>
          <w:rtl w:val="true"/>
          <w:lang w:bidi="fa-IR"/>
        </w:rPr>
        <w:t>ومن جملته هذا التقییم، باعتباره فعّالیّة بشریّة، یتأثّر بالرّؤی القِیمیّة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بإمکان أیّ شخص أن یکون له تقییم خاص به لنظریّة ما وسیکون البحث فی التّقییم الواقعی للنّظریات منتفیاً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مشکلة طُرحت فی بحوث فلسفة العلم فی أفکار فلاسفة أمثال توماس کوهن وباول فایرانبد تحت عنوان عدم إمکانیّة مقارنة الصّیغ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الملاک المطروح تحت عنوان وجود انسجام داخلی بین أجزاء العلم، یعدّ ملاکاً متأخّراً، لا متقدّماً؛ ومن هنا فلا تأثیر له قبل تولید العلم، ولأجل کشفه فی مجال علم ما، ینبغی انتظار تولید ذلک العلم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مادام العلم الدّینی مقصود السّید میر باقری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إبداء الرّأی فی مجال وجود انسجام داخلی بین أجزائه، إلّا إذا طُرح معیار آخر لبیان الانسجام الدّاخلی قبل تولید العلم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ملاک وجود انسجام داخلی بین أجزاء العلم باعتباره ملاکاً لصحّة العلم، یعود إلی أصل امتناع اجتماع النّقیضین؛ ولهذا، یبدو ونظراً لاعتقاد السّید میر باقری ببطلان هذا الأصل وجهویّتة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کونه أرسطیّاً وعدم کون أرسطو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الاعتقاد بوجود انسجام داخلی باعتباره ملاکاً عنده سیکون 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أصل لزوم وجود انسجام داخلی بین أجزاء العلم، یستلزم القبول بأصل امتناع اجتماع النّقیضین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الاستخدام، باعتباره ملاکاً للحکم علی النّظریّات، یتضمّن غموضاً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کلام السّید میر باقری، فإنّ اصطلاح الاستخدام أو النّتاج یجب تعریفه باتّجاه تنمیة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السّؤال فی هذه الحالة ما هو الارتباط فیما بین هذا النّتاج وسائر نتاجات</w:t>
      </w:r>
    </w:p>
    <w:p>
      <w:pPr>
        <w:pStyle w:val="BookText"/>
        <w:rPr/>
      </w:pPr>
      <w:r>
        <w:rPr>
          <w:rFonts w:ascii="IRNazanin" w:hAnsi="IRNazanin" w:eastAsia="IRNazanin"/>
          <w:color w:val="111111"/>
          <w:sz w:val="28"/>
          <w:sz w:val="28"/>
          <w:szCs w:val="28"/>
          <w:rtl w:val="true"/>
          <w:lang w:bidi="fa-IR"/>
        </w:rPr>
        <w:t xml:space="preserve">نظریّة ما؟ وهل أنّ قصر تقییمنا للنظریّة علی نتاجها فی طریق تنمیة وانتشار الإیمان، لا یؤدّی إلی إنکار النّتاجات الأخری؟ فعلی سبیل المثال، إذا جری تقییم ومقارنة حقّانیّة الفیزیّاء النّسبیّة والغوانتومیّة من خلال تقییم نتاجها فی تنمیة الإیمان أو الکفر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صرّح بذلک فی هذا 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فیبدو أنّه ستسقط أهمّیة القابلیّات المختلفة الأخری لهذه النّظریّة فی تفسیر الظّواهر الطّبیعیّة والتّکهّن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الضّروری ذکر هذه النّقطة وهی أنّه وفقاً لمبانی المجمع ینبغی القول بأنّه لم ینتج حتّی الآن أیّ علم لیکون دینیّاً؛ لأنّه حتّی علم الفقه، الأصول، التّفسیر، علم الکلام وباقی العلوم الحوزویّة یجب وحسب القاعدة أن نعدّها غیر دینیّة لأنّها ترتزق علی المنطق الأرسطی وعلیه فالمبانی المستعملة فی منهج استنتاجها لا تتضمّن علاقة منطقیّة بین العلوم والوحی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المهمّة الأخری فی نظریّة السّید میر باقری عدم وجود قابلیّة نقضیّة لهذه النّظریّة؛ ومن هنا، لا یمکنها أن تکون ملاکاً کفوءاً لتقییم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توضیح آخر، علی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اقتراح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عن جمیع العلوم البشریّة المنتجة علی مدی تأریخ العلم واستبدالها بالعلوم المنتجة حسب منهجه ومبانیه، فلو اصطدمنا بعدم کفاءة هذه العلوم فی هذه الحالة، فلا یکون هناک خللاً فی منهجه؛ لأنّ أیّ خلل فی کفاءة النّظریّة یمکن أن یُنسب إلی ضعف إیمان النّاس وعدم توفّر الظّروف المناسبة؛ لأنّ جهاز العلم المعرفی هذا، سوف لا یأخذ بنظر الاعتبار أیّ ادّعاء بعدم کفاءة العلم الدّینی أو أسلوب تولید العلم الدّینی الّذی یتّبعه، ویعلّله بعدم تهیّؤ الظّروف الإجتماعیّة بالمستوی الکافی وأنّ الظّرفیّة الإیمانیّة للمجتمع لم تنمو ولم تزداد بالقدر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 یکون هذا المعیار کفوءاً وأن تتهیّأ ظروف التقییم الدّقیق للنظریّات وفقاً لهذا الملاک، ینبغی أن یتحدّد المقدار اللّازم للظرفیّة الإیمانیّة لکی تکون النّظریّات العلمیّة کفوءة، أضف علی هذا، ما هو أسلوب تقییم الظّرفیّة الإیمانیّة للإفراد والمجتمع؟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منهج السّید میر باقری فی تدوین العلم الدّینی، غیر عملی وغیر تطبیقی؛ لأنّ أهمّ معیار لصحّة وحقّانیة هذا المنهج غیر مراعی فیه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سبب عدم کون منهج السّید میر باقری تطبیقیاً هو أنّ جمیع ترکیبة العلم البشری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لرأی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 بواسطة العلم العلمانی؛ لأنّ العلم الدّینی الّذی یبتغیه مجمع العلوم الإسلامیّة لم یُنتَج حتّی الآن ومن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عقیدة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 استعانة وتوسّل بالعلم</w:t>
      </w:r>
    </w:p>
    <w:p>
      <w:pPr>
        <w:pStyle w:val="BookText"/>
        <w:rPr/>
      </w:pPr>
      <w:r>
        <w:rPr>
          <w:rFonts w:ascii="IRNazanin" w:hAnsi="IRNazanin" w:eastAsia="IRNazanin"/>
          <w:color w:val="111111"/>
          <w:sz w:val="28"/>
          <w:sz w:val="28"/>
          <w:szCs w:val="28"/>
          <w:rtl w:val="true"/>
          <w:lang w:bidi="fa-IR"/>
        </w:rPr>
        <w:t xml:space="preserve">المتداول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تأخیر الثورة الثّقافیّة مراده واستحکام الظّروف الفعلیّة وهذا ممّا لا یحمل أیّ نتیجة سوی الابتعاد عن الوصول إلی العلم الدّینی؛ ومن هنا فالحلّ الوحید الّذی یقترحه هو أن نقول؛ علی البشریّة جمعاء نفض یدیها من العمل والفعّالیّة العلمیّة المعهودة، کی تتوفّر الأرضیّة لحدوث الثّورة الثّقافیّة الّتی یقصدها السّید میر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لا یوجد أیّ فکر وصیغة أخری فی مرحلة الفترة هذه وحتّی الوصول إلی العلم الدّینی المجمعی، فسیکون طرح السّید میر باقری وبسبب انسداد الطّریق علی المسلمین للاستفادة من المعارف البشریّة غیر تطبیقی من النّاحیة الإثباتیّة علی الأقل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بُیّن فی بحث ملاک الکفاءة، یبدو أنّه وطبقاًَ لجهاز العلم المعرفی المقترح من قِبل السّید میر باقری، ولأجل قبول ورفض النّظریّات العلمیّة، لا حاجة لتعریض النّظریّة؛ للطبیعة، التّجربة والاختبار التّجربی؛ بل إنّ اتّجاهیة تلک النّظریّة نحو التنّمیة الدّنیویّة أو التنّمیة الإیمانیّة کافٍ لأن یکون ملاکاً لرفضها أو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تعبیره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تصل ظرفیّة المیل إلی الدّنیا، عبادة الدّنیا، وظرفیة المیل إلی الحیاة المادّیة واللّذائذ الحسّیة فی المجتمع البشری حدّاً تستطیع معه تحمّل نظریات النّسبیّة والغوانتومیّة، لما أُنتجت هذه النّظریّات ولما استطاعت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فمکاسب الغرب العلمیّة، تصبّ فی الاتّجاه المادّی واللّذائذ الحسّیة، ولا تتّصف بالحقّانیّة فینبغی ترکها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من اللّازم أن تشیر هذه النّظریّة، إلی طریقة الارتباط فیما بین النّزعة الدّنیویّة والنّظریّة الغوانتومیّة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فسیکون حکمها غیر 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الآخر هو أنّه ومع القبول بمبنی السّید میر باقری، فطبقاً لأیّ ملاک یجب علی باقی المؤمنین الّذین لا یعتقدون کما یعتقده، التّخلّی عن بواعثهم والالتزام ببواعثه وحوافزه هو؟ وبتوضیح آخر، السّؤال هو إذا کان ذات التّصوّر الّذی یطرحه السّید میر باقری مصداقاً للعلم، فینبغی القبول عندها بأنّ هذا التّصوّر قائم علی أساس البواعث الشّخصیّة أو الجماعیّة للمجمع ولا یمکن فی هذه الحالة التّحدّث عن صحّة وصدق هذا التّصوّر والتّعریف المرتکز علیه ولا ینبغی البحث عن مصداقیّته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وفقاً لأیّ ملاک یجب علی المؤمنین بمراتبهم الإیمانیّة الخاصّة، التّخلّی عن بواعثهم الخاصّة والقبول ببواعث السّید میر باقری وتبعاً لها أفکاره الموجّهة؟ وما هو ملاک أرجحیّة تصوّراته الّتی هی وطبقاً لرأیه تعتبر مظهراً لأحاسیسه وعواطفه المتدیّنة والإیمانیّة؛</w:t>
      </w:r>
    </w:p>
    <w:p>
      <w:pPr>
        <w:pStyle w:val="BookText"/>
        <w:rPr/>
      </w:pPr>
      <w:r>
        <w:rPr>
          <w:rFonts w:ascii="IRNazanin" w:hAnsi="IRNazanin" w:eastAsia="IRNazanin"/>
          <w:color w:val="111111"/>
          <w:sz w:val="28"/>
          <w:sz w:val="28"/>
          <w:szCs w:val="28"/>
          <w:rtl w:val="true"/>
          <w:lang w:bidi="fa-IR"/>
        </w:rPr>
        <w:t>علی تصوّرات باقی المؤمنین؟ ومن هنا یبدو أنّ القبول بهذه النّظریّة، یستلزم عرض ملاک واضح ومبرَّر هو غیر موجود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لو عُرض ملاک للحجّیة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مثلاً أنّ منشأ رحجان نظریّتنا هو أنّنا الوحیدون الدّاخلون تحت الولایة الإلهیّة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فستظهر مشکلة منطقیّة ومیثولوجیّة أخری، فلا یوجد ملاک واحد للحجّیة هنا وأنّ انتخاب أحد ملاکات الحجّیة هذه، هو بدوره یحتاج إلی ملاک آخر للحجّیة وینجرّ أمر المسألة إلی التّسلسل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هذا المطلب لا ینبغی أن یتعارض مع الرّؤیة الفکریّة للسّید میر باقری، لأنّ أصل امتناع اجتماع النّقیضین فی رؤیته، علامة علی الکفر والبطلان لکونه أرسطیّاً، فمن الیسیر احتمال وجود فلسفات للعلم الدّینی تتناقض مع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ومع القول بعدم صحّة أصل اجتماع النّقیضین، فإنّ قبول ورفض أیّ نظریّة، سواء کانت مؤیّدة أو مخالفة لرأی المجمع، سیکون أمراً میسوراً وممکناً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لمبانی السّید میر باقری، فإنّ المؤمنین وحدهم بإمکانهم تولید الحوافز الدّینیّة ومن جملتها المعرفة والعلم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الفرض، فإنّ الشّخص غیر المؤمن لا یمکنه أبداً أن یکون مؤمناً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الشّخص غیر المؤمن لم یدخل تحت الولایة الإلهیّة طبقاً لهذه المبانی، فسیختم علی جمیع حوافزه بختم البطلان وعدم الحقّانیّة، حتّی مسألة نیله الإیمان، لأنّها ناشئة عن باعثه غیر الدّینی، ولذا سیکون محکوماً بالکفر واللادینیّة إلی الأبد، ولا یمکنه علی الإطلاق العبور من جدار الکفر</w:t>
      </w:r>
      <w:r>
        <w:rPr>
          <w:rFonts w:eastAsia="IRNazanin" w:cs="IRNazanin"/>
          <w:color w:val="111111"/>
          <w:sz w:val="28"/>
          <w:szCs w:val="28"/>
          <w:rtl w:val="true"/>
          <w:lang w:bidi="fa-IR"/>
        </w:rPr>
        <w:t>.</w:t>
      </w:r>
      <w:bookmarkStart w:id="315" w:name="pg5231_29892"/>
    </w:p>
    <w:p>
      <w:pPr>
        <w:pStyle w:val="Heading2"/>
        <w:numPr>
          <w:ilvl w:val="1"/>
          <w:numId w:val="1"/>
        </w:numPr>
        <w:rPr/>
      </w:pPr>
      <w:bookmarkStart w:id="316" w:name="__RefHeading___Toc283360_581953129"/>
      <w:bookmarkStart w:id="317" w:name="_Toc118"/>
      <w:bookmarkEnd w:id="315"/>
      <w:bookmarkEnd w:id="316"/>
      <w:r>
        <w:rPr>
          <w:rtl w:val="true"/>
        </w:rPr>
        <w:t>مقدّمات أسلمة العلوم الإنسانیّة</w:t>
      </w:r>
      <w:bookmarkEnd w:id="317"/>
    </w:p>
    <w:p>
      <w:pPr>
        <w:pStyle w:val="Heading3"/>
        <w:numPr>
          <w:ilvl w:val="2"/>
          <w:numId w:val="1"/>
        </w:numPr>
        <w:rPr/>
      </w:pPr>
      <w:bookmarkStart w:id="318" w:name="__RefHeading___Toc283362_581953129"/>
      <w:bookmarkStart w:id="319" w:name="_Toc119"/>
      <w:bookmarkEnd w:id="318"/>
      <w:r>
        <w:rPr>
          <w:rtl w:val="true"/>
        </w:rPr>
        <w:t>الأستاذ مصطفی ملکیان</w:t>
      </w:r>
      <w:bookmarkEnd w:id="319"/>
    </w:p>
    <w:p>
      <w:pPr>
        <w:pStyle w:val="BookText"/>
        <w:rPr/>
      </w:pPr>
      <w:r>
        <w:rPr>
          <w:rFonts w:ascii="IRNazanin" w:hAnsi="IRNazanin" w:eastAsia="IRNazanin"/>
          <w:color w:val="111111"/>
          <w:sz w:val="28"/>
          <w:sz w:val="28"/>
          <w:szCs w:val="28"/>
          <w:rtl w:val="true"/>
          <w:lang w:bidi="fa-IR"/>
        </w:rPr>
        <w:t xml:space="preserve">یعدّ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إعادة تأهیل العلوم الإنسانیّة فی ضوء الرّؤی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الاستراتیجیّة والخطیرة جدّاً لبلادنا خصوصاً ولجمیع الدّول الّتی ترید إقامة النّظام الإسلامی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المطالبة بإعادة التّأهیل هذا هو بمعنی الأخذ بنظر الاعتبار سلسلة مسائل معلومة لدینا أو نحن فی طور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 هنا إلی بعض هذه المقدّمات</w:t>
      </w:r>
      <w:r>
        <w:rPr>
          <w:rFonts w:eastAsia="IRNazanin" w:cs="IRNazanin"/>
          <w:color w:val="111111"/>
          <w:sz w:val="28"/>
          <w:szCs w:val="28"/>
          <w:rtl w:val="true"/>
          <w:lang w:bidi="fa-IR"/>
        </w:rPr>
        <w:t>:</w:t>
      </w:r>
    </w:p>
    <w:p>
      <w:pPr>
        <w:pStyle w:val="Heading3"/>
        <w:numPr>
          <w:ilvl w:val="2"/>
          <w:numId w:val="1"/>
        </w:numPr>
        <w:rPr/>
      </w:pPr>
      <w:bookmarkStart w:id="320" w:name="__RefHeading___Toc283364_581953129"/>
      <w:bookmarkStart w:id="321" w:name="_Toc120"/>
      <w:bookmarkEnd w:id="320"/>
      <w:r>
        <w:rPr/>
        <w:t>1</w:t>
      </w:r>
      <w:r>
        <w:rPr>
          <w:rtl w:val="true"/>
        </w:rPr>
        <w:t xml:space="preserve">. </w:t>
      </w:r>
      <w:r>
        <w:rPr>
          <w:rtl w:val="true"/>
        </w:rPr>
        <w:t>معرفة الإسلام</w:t>
      </w:r>
      <w:bookmarkEnd w:id="321"/>
    </w:p>
    <w:p>
      <w:pPr>
        <w:pStyle w:val="BookText"/>
        <w:rPr/>
      </w:pPr>
      <w:r>
        <w:rPr>
          <w:rFonts w:ascii="IRNazanin" w:hAnsi="IRNazanin" w:eastAsia="IRNazanin"/>
          <w:color w:val="111111"/>
          <w:sz w:val="28"/>
          <w:sz w:val="28"/>
          <w:szCs w:val="28"/>
          <w:rtl w:val="true"/>
          <w:lang w:bidi="fa-IR"/>
        </w:rPr>
        <w:t xml:space="preserve">إنّ أوّل مقدّمة لهذه الدّعوی 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ما هو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هذا الافتراض یتضمّن فی الحقیقة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نعرف ما هو قالب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وتوضیح ذلک هو، هل أنّکم تعدّون الآیة الکریمة قُلْ یا أَهْلَ الْکِتابِ تَعالَوْا إِلی کَلِمَةٍ سَواءٍ بَیْنَنا وَ بَیْنَکُمْ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الإسلام أم لا؟ ومن الطّبیعیّ أن تقولوا إنّها جزء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وخذوا مثلاً عبارة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الّتی تُنسب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تعدّونها أیضاً جزءاً من الإسلام؟ من المحتمل</w:t>
      </w:r>
    </w:p>
    <w:p>
      <w:pPr>
        <w:pStyle w:val="BookText"/>
        <w:rPr/>
      </w:pPr>
      <w:r>
        <w:rPr>
          <w:rFonts w:ascii="IRNazanin" w:hAnsi="IRNazanin" w:eastAsia="IRNazanin"/>
          <w:color w:val="111111"/>
          <w:sz w:val="28"/>
          <w:sz w:val="28"/>
          <w:szCs w:val="28"/>
          <w:rtl w:val="true"/>
          <w:lang w:bidi="fa-IR"/>
        </w:rPr>
        <w:t>أنّکم لا تجیبون بالإیجاب هنا بتلک الدّرجة من الحسم کما أجبتم عن السّؤال السّابق، وفی 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 وکلّ أرض کربلاء</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من المحتمل أیضاً أن یکون جوابکم أقلّ جزماً، لکن فی 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الأرض علی قرن ثور والثّور قائم علی ظهر حوت والحوت یسبح فی الفضاء</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فیمکن أن تجیبوا بخفوت لا، هذا لیس من الإسلام، هذا من الإسرائیلیّات والأحادیث الدّخیلة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فالمسألة الأولی هنا هی تحدید القسم الّذی یعدّ جزءاً من الإسلام من مجموعة الآیات القرآنیّة والرّوایات، کی تُبنی الخطوات اللّاحقة علی أساس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الطّریق الّذی یجب أن نفهم من خلاله ما هو قالب ولفظ الإسلام؟ أی ما مقدار الألفاظ والمواضیع والعبارات والجمل الّتی ینبغی أن نعدّها جزءاً من الإسلام وأیّها نرفضها ونترکها؟</w:t>
      </w:r>
    </w:p>
    <w:p>
      <w:pPr>
        <w:pStyle w:val="BookText"/>
        <w:rPr/>
      </w:pPr>
      <w:r>
        <w:rPr>
          <w:rFonts w:ascii="IRNazanin" w:hAnsi="IRNazanin" w:eastAsia="IRNazanin"/>
          <w:color w:val="111111"/>
          <w:sz w:val="28"/>
          <w:sz w:val="28"/>
          <w:szCs w:val="28"/>
          <w:rtl w:val="true"/>
          <w:lang w:bidi="fa-IR"/>
        </w:rPr>
        <w:t>إنّ علم الرّجال وإلی حدٍّ ما علم الحدیث، هما اللّذان یعیّنان لنا قالب الإسلام وتقوم بقیّة العلوم الحوزویّة بتبیین 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الرّجال یتضمّن سلسلة قواعد یحدّد لنا استخدامها الأحادیث الّتی تعدّ جزءاً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مجال القرآن، فلوجود التّواتر فیه، لا نهتمّ بوصوله إلینا بطریق علم الرّجال؛ أی لولا وجود علم الرّجال وضوابطه، لما کان القرآن باعتباره نصاً، قطعی الصّدور؛ ولکن لأنّه وصل حدّ التّواتر باصطلاح الأصولیّین، فلا نلتفت إلی أنّه قد أُجری علیه عملاً رجالیّاً وتمّ نقله معنعناً، إلی أن نصل إلی أنّه خرج من لسان النّبیّ صلی الله علیه و آله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الأولی إذن هی أنّه یجب تحدید المقدار الّذی نعدّه من الإسلام من مجموع القرآن والرّوایات الموجودة لدینا والمقدار الّذی نرتضیه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الحدیث وعلم الرّجال هما الشّرطان اللّازمان للوصول إلی قالب ولفظ الإسلام ولکنهما لیسا کافیین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افترضوا أنّ شخصاً ما جلب کتاباً وادّعی أنّه بخط العلامة نصیرالدّین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معرفة مدی صدق وکذب مثل هذا الادّعاء یبدو أنّه ینبغی الاستفادة من میثولوجیا </w:t>
      </w:r>
      <w:r>
        <w:rPr>
          <w:rStyle w:val="FootnoteAnchor"/>
          <w:rtl w:val="true"/>
        </w:rPr>
        <w:footnoteReference w:id="62"/>
      </w:r>
      <w:r>
        <w:rPr>
          <w:rFonts w:ascii="IRNazanin" w:hAnsi="IRNazanin" w:eastAsia="IRNazanin"/>
          <w:color w:val="111111"/>
          <w:sz w:val="28"/>
          <w:sz w:val="28"/>
          <w:szCs w:val="28"/>
          <w:rtl w:val="true"/>
          <w:lang w:bidi="fa-IR"/>
        </w:rPr>
        <w:t>العلوم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فمیثولوجیا العلوم التأریخیّة هی عالم أوسع جدّاً ممّا جاء فی علم الرّجال وعلم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ما هو مشهور الیوم فی علم الرّجال إذا أردنا أن نعدَّ شیئاً ما من الدّین فیکفی فیه أن یکون رواته إمامیین وعدول وأن تکون حافظتهم قویّة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الأشخاص الّذین یعملون الیوم فی میثولوجیا العلوم التّأریخیّة والعلوم النّقلیّة، لا یعدّون هذین العلمین کافیین لوحدهما، وقد طرح دیفید هیوم شروطاً أخری وصرّح بأنّه إذا لم تُحرز هذه الشّروط، فلا یمکن معرفة کون الشّخص الفلانی قد قال کلاماً فی التأریخ الفلانی أو قد وقع ذلک العمل أو تلک الحرب أم لا؛ وبعبارةٍ أخری، لا یکفی أن نقول بأنّ الأفراد الّذین روّوا هذه الرّوایة إمامیون، ثقاة وصادقون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شروطاً أخری أیضاً مطروحة فی میثولوجیا العلوم التّأریخیّة بمعناها الأعم الّتی تتضمّن بذاتها میثولوجیا واسعة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وبالطّبع فإنّ ما یقال فی علم الرّجال أو علم الحدیث یمکن قبوله من خلال الجرح والتّعدیل ولکن لأجل تحدید النّصوص المقدّسة للإدیان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فهذین العلمین غیر کافیین ویجب الاستفادة من میثولوجیا العلوم التأریخیّة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اختلاف هذه المیثولوجیا مع علمی الرّجال والحدیث یتمثّل فی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هذه المیثولوجیا أوسع جدّاً جدّاً من علم الرّجال وعلم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بما أنّها أوسع فمن الطّبیعیّ أنّها تشملهما أیضاً، ولکنّها لا توافق علی بعض النّقاط الّتی نقول بها فی هذین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نکون نحن المحقّین، ولکن من یرید أن یقول إنّ الإسلام هو بهذا الشّکل، ینبغی علیه أن یفهم جیداً میثولوجیا العلوم التّأریخیّة والقیام بنقض أیّ قسم لا یقبله منه ویعلن علی أساس ما توصّل إلیه عن مقدار الآیات والرّوایات الّتی یمکنه عدّها من الدّین والمقدار الّذی لا یمکن عدّه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 نقاش فی ما جاء فی القرآن لأنّه متواتر، ولکنّ الأمر یختلف فی مجال الأحادیث فینطبق علیه الکثیر ممّا ذ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ویتمیّز القرآن بتواتر فائق یتحدّث</w:t>
      </w:r>
    </w:p>
    <w:p>
      <w:pPr>
        <w:pStyle w:val="BookText"/>
        <w:rPr/>
      </w:pPr>
      <w:r>
        <w:rPr>
          <w:rFonts w:ascii="IRNazanin" w:hAnsi="IRNazanin" w:eastAsia="IRNazanin"/>
          <w:color w:val="111111"/>
          <w:sz w:val="28"/>
          <w:sz w:val="28"/>
          <w:szCs w:val="28"/>
          <w:rtl w:val="true"/>
          <w:lang w:bidi="fa-IR"/>
        </w:rPr>
        <w:t>عنه أحد الباحثین الغربیین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المقدار الّذی نعتقد بأنّه خرج من فم محمّد بن عبدالله صلی الله علیه و آله لا یمکننا مقارنة مجموعة آثار شکسبیر معه، مع أنّها لا یفصلنا عنها سوی أربعمائة عاماً وعن محمّد بن عبدالله صلی الله علیه و آله ألف وأربعمائة عاماً؛ أی أنّ هناک تواتراً حقیقیّاً محکماً فی القرآن، ولکنّ المسألة لیست کذلک فی الأحادیث؛ إذن یجدر بنا معرفة ثمرة النّزاع فی مجال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فی میثولوجیا العلوم التّأریخیّة إلی الأمور الخارجة عن النّص مرّة ومرّة إلی الأمور الدّاخلة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والأمور الخارجة عن النّص تتمثّل فی؛ عندما یدّعی زید بأنّه سمع عبارة من عمرو مثلاً، فهنا نأتی إلی عمْر زید لنری هل أنّه یسمح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أی هل بالإمکان أن یکونا متعاصرین کی یکون بإمکانه سماع ذلک الشّیء منه أم لا؟ فهذا المطلب یتعلّق بأمرِ خارجِ النّص، وهذا یعدّ من النّقاط المهمّة فی علمنا الرّجالی أیضاً؛ فیقولون مثلاً کان عمْر هذا الشّخص ثلاث سنین عندما توفی ذلک الشّخص، فکیف بإمکان طفل عمره ثلاثة سنوات أن یقول إنّی سمعت هذا منه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المسألة لا ترتبط أحیاناً بالأمور الخارجة عن النّص، فننظر فی النّص ذاته ونری أنّه من غیر الممکن أن یکون صحیحاً؛ فالألفاظ الّتی وردت فیه مثلاً کانت قد دخلت اللّغة العربیّة بعد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التأریخ المدّعی وفقاً للتّحقیقات التّأریخیّة؛ فإذا نسبنا جملة إلی علی بن أبی طالب علیه السلام مثلاً؛ فینبغی فی هذه الحالة أن تکون صادرة فی النّصف الأوّل من القرن الهجری الأوّل، لکن إذا استُخدمت کلمة فی هذه الجملة فظهر أنّها وفقاً للتّحقیقات الفیلولوجیّة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متداولة فی اللّغة العربیّة فی القرن الثّالث الهجری، فیُعلم علی الأقل أنّ هذه الجملة بعینها لم تصدر من علی بن أبی طالب علیه السلام ویمکن أن تکون منقولة بالمضمون وبالمفاد فتنشأ هنا بعض المشاکل؛ فهل أنّ النّقل بالمضمون هو کنقل عین العبارة مثلاً؟ فرأی النّاقل یکون مؤثّراً فی النّقل بالمضمون ولا یمکن أن نحرز مثل تلک الثّقة السّابقة بهذه الکتابة؛ فمثلاً إذا قلنا لطفل بعمْر سبعة أو ثمان أعوام إذهب وقل لأبیک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الواحد من الکثیر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الولد العبارة عینها، فلا یهمّ عندها مَن یکون هو النّاقل وهل أنّه یمتلک شعوراً فلسفیّاً أم لا؛ لأنّه قال العبارة عینها؛ ولکنّه إذا نسی عین العبارة، ونقل المعنی المستفاد من العبارة، فهل یمکن الوثوق بالعبارة الّتی نقلها؟ وبعبارة أخری، یقتصر عدم وجود التّفاعل والفعل ورد الفعل بین النّاقل وبین ما ینقل علی النّقل باللّفظ فقط، أمّا فی</w:t>
      </w:r>
    </w:p>
    <w:p>
      <w:pPr>
        <w:pStyle w:val="BookText"/>
        <w:rPr/>
      </w:pPr>
      <w:r>
        <w:rPr>
          <w:rFonts w:ascii="IRNazanin" w:hAnsi="IRNazanin" w:eastAsia="IRNazanin"/>
          <w:color w:val="111111"/>
          <w:sz w:val="28"/>
          <w:sz w:val="28"/>
          <w:szCs w:val="28"/>
          <w:rtl w:val="true"/>
          <w:lang w:bidi="fa-IR"/>
        </w:rPr>
        <w:t>النّقل بالمعنی فیوجد تفاعل بین النّاقل وما ینقله ولذا لا یمکن إسناد هذا القول بکلّ حذافیره إلی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أفکار ومعلومات وآراء و نظرات النّاقل قد أثّرت فی ما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میثولوجیا العلوم التأریخیّة تضع بین أیدینا قالب ولفظ الإسلام، وتؤثّر تأثیراً کبیراً فی مجال الأحادیث، لکنّها لا تؤثّر فی مجال القرآن، لأنّ أقلّ ما یقال فی النّص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الموجود عندنا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ذاته الّذی خرج من فم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القول بعدم وقوع التّحریف بالزّیادة فیه أقلّ ما هو محرز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بأنّ هذا الطّرح شاقّ جدّاً ومثالی ویحتاج إلی زمن طویل؛ والأمر کذلک بطبیعة الحال؛ ولکنّه أوّلاً، لیس محالاً وثانیاً، یعدّ الخطوة الأولی فی هذا الطّریق ویجب السّعی لمعالجته قدر المستطاع، کی نتمکّن من التّقدّم خطوة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الجهد فی هذا المجال یمکنه خفض الإبهامات الموجودة بمقدار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وتبقی مسائل خلافیّة بمقدار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یمکن اتّخاذ قرار حاسم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نعتمد علی کثیر من الرّوایات القطعیّة الصّدور بسبب عدم الاطّلاع علی بعض الأمور، ولکن إذا أعملنا میثولوجیا العلوم التّأریخیّة فیها، فإنّها ستسقط عن القطعیّة؛ إذن، تجب المبادرة أوّلاً إلی إعمال المیثولوجیا والأخذ بنظر الاعتبار کلّ ما حصل فیه القطع بعد إعمالها وعدم الإصرار کثیراً علی ما بقی مظنوناً ومشکوکاً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بالطّبع أدنی شکّ فی أنّ میثولوجیا العلوم التأریخیّة لا تعطینا معلومات بقطعیّة معلومات میثولوجیا العلوم الفلسفیّة أبداً، ولکن یمکن فی النّهایة التوصّل إلی هذه المجموعة من خلال إعمال میثولوجیا العلوم التّأریخیّة، والّتی یتمّ علی أساسها رفض أو قبول جمیع العلوم التّأریخیّة فی الوقت الرّاهن</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نعرف ما هو محتوی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مجموعة تضمّ ما نُقل عن المعصومین الأربعة عشر علیهم السلام فما معناها؟ نفترض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صدرت حقّاً</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 فالخطوة الثّانیة تتمثّل فی؛ فهم مضمون هذا الکلام؛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الوطن المتعارف أم هو ما یقوله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الوطن لا مصر لا العراق ولا الشّامات فالوطن مکان لا یحمل تلک الأسماء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یقول مولانا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إنّ حبّ الوطن من الإیمان لیس هو بذلک المعنی الّذی یعشقه بلخیو بلخ، وإیرانیو إیران ورومیو 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وطننا هو ذلک المکان الّذی قدِمنا منه، نحن جئنا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لابدّ وأن یرجع کلّ شخص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مولانا مع القومیین فی هذا الحدیث، یتمثّل فی محتوی ومعنی حبّ الوطن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فهم محتوی الإسلام هناک علوم أخری،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التّفسیر، علم شرح الحدیث والقسم الأوّل من أصول الفقه، الّتی تختصّ بالإسلام ولدینا علوم أخری أیضاً؛ کاللّغة، الصّرف والنّحو، والعلوم البلاغیّة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البیان،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نستفید من هذه المجموعة من العلوم لفهم المراد والمحتوی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الالتفات إلی أنّ معرفة الصّرف والنّحو واللّغة والعلوم البلاغیّة لا یکفی لوحده، فعلی سبیل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اللهُ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لا یمکن فکّ عبارته بالرّجوع إلی کتاب اللّغة، فکتاب اللّغة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یتوبُ مثل آبَ، یؤوبُ والاثنان بمعنی رجعَ،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فکتاب اللّغة لا یقول لنا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فیتوب الله إلیهم هی کیرجع الله إلیهم؛ فکتاب اللّغة لا یستطیع أن یقول ما معنی رجوع الله إلی النّاس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ونظیر ذلک، آیة وَ عَلَی اللّهِ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فالمعنی اللّغوی للتوکّل هو عبارة عن حطّ الشّخص الحمل عن عاتقه ووضعه علی عاتق شخص آخر، وإیکال عمله إلی شخصه آخر مباشرة، ولکنّ هذا، لم یحدّد معنی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النّاس علی الله لیس هو بمعنی أنّهم لا یقومون بأیّ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جاء فی معنی الغیب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یغیب عن حواسّک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المعنی، لا یوضّح معنی الإیمان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آیة یا أَیُّهَا الَّذِینَ آمَنُوا آمِنُوا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الإیمان؟ الإیمان یأتی بمعنیین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الوثوق والاعتماد والآخر الرّضا مترافقاً مع أمل؛ لکن المقصود من الإیمان فی الآیة الکریمة لا یحلّل بکتاب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معنی کلمة صعید فی آیة فَتَیَمَّمُوا صَعِیداً طَیِّباً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من الممکن تحلیلها بکتاب اللّغة 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کتب اللّغة معنیین لهذه الکلمة ولا یمکن معرفة أیّ معنی یراد من هذین المعنیین بمجرد الاعتماد علی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استطعنا فهم هذه النّماذج من خلال کتب اللّغة والعلوم الأدبیّة لما احتجنا إلی علم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الیوم بحاجة إلی علوم أمثال علم اللّغة، علم المعنی أو علم الدّلالة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ومجموعة علوم یطلق علیها علوم النّقد الأدبی إضافة إلی العلوم الّتی سبق ذکرها لفهم مثل هذه النّماذج؛ فإذا أردنا معرفة معنی الإیمان فی القرآن مثلاً ما هو السّبیل إلی ذلک؟</w:t>
      </w:r>
    </w:p>
    <w:p>
      <w:pPr>
        <w:pStyle w:val="BookText"/>
        <w:rPr/>
      </w:pPr>
      <w:r>
        <w:rPr>
          <w:rFonts w:ascii="IRNazanin" w:hAnsi="IRNazanin" w:eastAsia="IRNazanin"/>
          <w:color w:val="111111"/>
          <w:sz w:val="28"/>
          <w:sz w:val="28"/>
          <w:szCs w:val="28"/>
          <w:rtl w:val="true"/>
          <w:lang w:bidi="fa-IR"/>
        </w:rPr>
        <w:t xml:space="preserve">فکتب اللّغة طریقها موصد، فلمعرفة مقصود القرآن یُتوسّل عادة بعلم الدّلالة والّذی یفسّرونه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بإیجاد شبکة معنائیّة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استخراج جمیع المقاطع الّتی ورد فیها هذا اللّفظ من النّصوص المقصودة؛ ثمّ ومن خلال قراءة القضیّة الأولی الّتی ورد فیها هذا اللّفظ نحصل علی تصوّر للمراد منه؛ وبضمّ القضیّة الثّانیة بعد ذلک إلیه یحتمل أن نلغی جزءاً ممّا تصوّرناه ابتداءً وعلی هذه الشّاکلة یتمّ التّعامل مع القضیّة الثّالثة، الرّابعة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کلّ قضیّة تنطوی علی سلسلة معلومات، ستُلغی أو تُثبّت بعض الأجزاء حتّی یبقی أخیراً القسم الّذی ینسجم مع جمیع القضایا؛ فهذه المجموعة، تحمل المعنی المقصود للفظ، لإمکان إدراجه فی جمیع القضایا؛ افترضوا مثلاً بأنّنا لا نعلم أیّ شیء عن الإیمان؛ و عندما نقرأ یا أَیُّهَا الَّذِینَ آمَنُوا آمِنُوا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علی الأقلّ أنّ للإیمان میزتین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أنّه ذو مراتب لأنّه لو لم یکن کذلک‌وکان أمراً متواطئاً لما قال الله یا من له إیمان لیکن لک إیمان؛ إذن فالمقصود هو یا من تمتلک رتبة من الإیمان، لیکن لدیک رتبة الأخری</w:t>
      </w:r>
      <w:r>
        <w:rPr>
          <w:rFonts w:eastAsia="IRNazanin" w:cs="IRNazanin"/>
          <w:color w:val="111111"/>
          <w:sz w:val="28"/>
          <w:szCs w:val="28"/>
          <w:rtl w:val="true"/>
          <w:lang w:bidi="fa-IR"/>
        </w:rPr>
        <w:t>.</w:t>
      </w:r>
      <w:bookmarkStart w:id="322" w:name="pg5231_29899"/>
    </w:p>
    <w:p>
      <w:pPr>
        <w:pStyle w:val="BookText"/>
        <w:rPr/>
      </w:pPr>
      <w:bookmarkEnd w:id="322"/>
      <w:r>
        <w:rPr>
          <w:rFonts w:ascii="Amiri" w:hAnsi="Amiri" w:eastAsia="Amiri" w:cs="Amiri"/>
          <w:color w:val="111111"/>
          <w:sz w:val="28"/>
          <w:sz w:val="28"/>
          <w:szCs w:val="28"/>
          <w:rtl w:val="true"/>
          <w:lang w:bidi="ar-SA"/>
        </w:rPr>
        <w:t>الثّانیة أنّ الإیمان أمر اختیاری؛ لأنّه لو لم یکن اختیاریّاً، لم یصبح متعلَّقاً للأمر ولم یقولوا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فقد توصّلنا إلی معلومات عن معنی الإیمان من خلال هذه الآیة؛ ثمّ نقوم بتحلیل باقی الآیات الّتی ورد فیها لفظ إیمان علی 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القضایا لا تتساوی جمیعها بلحاظ أنّها تحوی جزءاً معرفیاً؛ فلو قیلت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فمن المحتمل أنّ هذه المرّات العشر لا تعطینا أکثر من معلومة واحدة؛ أی أنّنا لا نحصل علی معلومات جدیدة کلّما ازدادت عدد القضایا؛ ولکنّنا ومن خلال المجموعة الّتی أعددناها نتوصّل إلی معنی ینسجم وجمیع هذه المجموعة؛ بعبارة أخری، فحسب قول فلاسفة العلم، یجب ابتداءً إیجاد نموذج للإیمان فی الذّهن، ونختبر هذا النّموذج مع کلّ مجهول للقضیة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نموذج استطاع أن یخرج بنجاح من اختبار أیّ مجهول قضیة ورد فیها لفظ الإیمان، یمکن القول عنه هذا هو معنی الإیمان؛ وهذا لا یختصّ بعبارات وألفاظ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عدل أحدهم بلفظ عن معناه اللغوی، یوجد طریقان لفهم المعنی الّذی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أن یصرّح هو بالمعنی الآخر الّذی استخدمه فیه والأخری بواسطة إیجاد شبکة معنائیة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الفهم لا یمکن حصوله من خلال القواعد المتّبعة فی هذه العلوم فحسب؛ بعبارةٍ أخری، إنّ علم التّفسیر، شرح الحدیث، أصول الفقه، اللغة، الصّرف، النحو والعلوم البلاغیة تعدّ شرطاً لازماً لفهم المحتوی والمعنی، ولکنّها لیست الشّرط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علینا معرفة علوماً أخری مثل علم اللغة المنطقیة، علم اللغة الطّبیعیّة وعلم الدلالة</w:t>
      </w:r>
      <w:r>
        <w:rPr>
          <w:rFonts w:eastAsia="IRNazanin" w:cs="IRNazanin"/>
          <w:color w:val="111111"/>
          <w:sz w:val="28"/>
          <w:szCs w:val="28"/>
          <w:rtl w:val="true"/>
          <w:lang w:bidi="fa-IR"/>
        </w:rPr>
        <w:t>.</w:t>
      </w:r>
    </w:p>
    <w:p>
      <w:pPr>
        <w:pStyle w:val="Heading3"/>
        <w:numPr>
          <w:ilvl w:val="2"/>
          <w:numId w:val="1"/>
        </w:numPr>
        <w:rPr/>
      </w:pPr>
      <w:bookmarkStart w:id="323" w:name="__RefHeading___Toc283366_581953129"/>
      <w:bookmarkStart w:id="324" w:name="_Toc121"/>
      <w:bookmarkEnd w:id="323"/>
      <w:r>
        <w:rPr/>
        <w:t>2</w:t>
      </w:r>
      <w:r>
        <w:rPr>
          <w:rtl w:val="true"/>
        </w:rPr>
        <w:t xml:space="preserve">. </w:t>
      </w:r>
      <w:r>
        <w:rPr>
          <w:rtl w:val="true"/>
        </w:rPr>
        <w:t>معرفة العلوم الإنسانیّة</w:t>
      </w:r>
      <w:bookmarkEnd w:id="324"/>
    </w:p>
    <w:p>
      <w:pPr>
        <w:pStyle w:val="BookText"/>
        <w:rPr/>
      </w:pPr>
      <w:r>
        <w:rPr>
          <w:rFonts w:ascii="IRNazanin" w:hAnsi="IRNazanin" w:eastAsia="IRNazanin"/>
          <w:color w:val="111111"/>
          <w:sz w:val="28"/>
          <w:sz w:val="28"/>
          <w:szCs w:val="28"/>
          <w:rtl w:val="true"/>
          <w:lang w:bidi="fa-IR"/>
        </w:rPr>
        <w:t>إنّ العلوم الإنسانیة وفقاً لتعریفها، هی العلوم الّتی تختصّ بالإنسان؛ ولهذا فلم یحصل فی هذه العلوم تفکیکاً منهجیاً بالفعل؛ فیحتمل دخول جمیع الأقسام الأربعة للعلوم الإنسانیّة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الإنسانیّة الفلسفیّة، التّجربیّة، العرفانیّة والتّأریخیّة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قاله العرفاء فی مجال نقاط قوّة وضعف الإنسان، قابلیة روح الإنسان، ارتباط روح الإنسان بالمبدأ الأعلی، قابلیة الرّوح علی کشف ولقاء المبدأ الأعلی یعدّ نوعاً من علم معرفة الإنسان، ولکنّ العلم العرفانی لمعرفة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الأعظم من الکتب العرفانیة تختصّ بعلم معرفة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الأنثربولوجیا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ذلک جمیع الثّقافات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التّجربی لمعرفة الإنسان معلوم أیضاً، علم النّفس التّجربی، علم الاجتماع، الاقتصاد وأمثالها فهذه أیضاً علوم إنسانیّة تجربیّة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ولدینا علوم إنسانیّة فلسفیّة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المباحث الّتی تُطرح فی مجال الجبر والاختیار، وما یطرح فی باب وجود الرّوح وموطنها قبل ولوجها البدن، ووضع الرّوح بعد ولوجها البدن وبعد ذلک، فهی فی الواقع معرفة فلسفیّة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الأعظم ممّا کان یُطلق علیه علم النّفس الفلسفی هو کذلک معرفة فلسفیّة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القسم الأعظم، لأنّ بعض المسائل الّتی کان یتضمّنها علم النّفس الفلسفی القدیم، أصبح من المعلوم الیوم أنّ موضعها الحقیقی هو العلوم التّجربیّة، ولکنّ أحد أقسامها ینبغی أن یبقی بحقّ فی الفلسفة وینبغی أن تجری بحوث عقلیة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ولدینا العلوم الإنسانیة التّأریخیّة؛ فمثلاً علم معرفة الإنسان وعلم معرفة النّاس وعلم مطالعة الأقوام والّتی تنطوی علی بُعد تأریخی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إعادة تأهیل العلوم الإنسانیة علی أساس دینی کالدّین الإسلامی، فینبغی أن یتمّ التّأهیل فی جمیع الأقسام، ولکنّ الاهتمام الأکبر الیوم ینصبّ علی العلوم الإنسانیّة التّجربیّة کعلم النّفس، علم الاجتماع، الاقتصاد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أیضاً معرفة العلوم الإنسانیّة، فنرید فی الحقیقة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عرفنا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ولدینا کلام آخر بخصوص جمیع المواضیع الّتی تکلّمت عنها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الآخر هو ابتداءً وفی ذاته کلام مضمونیّ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Substetial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 ولکن بحوث المیثولوجیا یجب أن تُطرح 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علینا أن نقوم به إذا ما أردنا معرفة العلوم الإنسانیّة؟ یلزم معرفة ثلاثةِ أقسامٍ فی العلوم الإنسانیّة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التّطوّر التّأریخی للعلوم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دمنا لا نعرف التّطوّر التّأریخی لعلم ما فلن نفهم لماذا تمّ قبول هذه النّظریّة أو تلک من قبل بعض مفکّری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علومنا مثلاً مادام الباحث لا یعرف السّیر التّأریخی لمسألة الوجود والماهیّة، فسوف لا یفهم سرّ إصرار البعض علی أصالة الوجود، أو إصرار البعض علی أصالة الماهیّة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فشدّة الإصرار علی أنّ الوجود أصیل أم الماهیّة هو لأجل أنّه فیما لو لم تحلّ مسألة أخری فی مکان آخر لم یکن ذلک إلّا لإنّ القاعدة المتّبعة لا تبرّرها؛ إذن فالمرحلة الأولی، تتمثّل فی التّطوّر التّأریخی للعلوم الإنسانیّة</w:t>
      </w:r>
      <w:r>
        <w:rPr>
          <w:rFonts w:eastAsia="IRNazanin" w:cs="IRNazanin"/>
          <w:color w:val="111111"/>
          <w:sz w:val="28"/>
          <w:szCs w:val="28"/>
          <w:rtl w:val="true"/>
          <w:lang w:bidi="fa-IR"/>
        </w:rPr>
        <w:t>.</w:t>
      </w:r>
      <w:bookmarkStart w:id="325" w:name="pg5231_29901"/>
    </w:p>
    <w:p>
      <w:pPr>
        <w:pStyle w:val="BookText"/>
        <w:rPr/>
      </w:pPr>
      <w:bookmarkEnd w:id="325"/>
      <w:r>
        <w:rPr>
          <w:rFonts w:ascii="IRNazanin" w:hAnsi="IRNazanin" w:eastAsia="IRNazanin"/>
          <w:color w:val="111111"/>
          <w:sz w:val="28"/>
          <w:sz w:val="28"/>
          <w:szCs w:val="28"/>
          <w:rtl w:val="true"/>
          <w:lang w:bidi="fa-IR"/>
        </w:rPr>
        <w:t>القسم الثّانی، الوضع الحالی للعلوم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میثولوجیا العلوم الإنسانیّة فإذا لم یعرف الباحث میثولوجیا علم النّفس أو الاقتصاد، ولم یعرف الوضع الرّاهن لهذا العلم ولم یعرف من أیّ نصّ وأیّ بطون تأریخیّة جاءت هذه المشاکل، فکیف بإمکانه عرض کلام جدید؟</w:t>
      </w:r>
    </w:p>
    <w:p>
      <w:pPr>
        <w:pStyle w:val="BookText"/>
        <w:rPr/>
      </w:pPr>
      <w:r>
        <w:rPr>
          <w:rFonts w:ascii="IRNazanin" w:hAnsi="IRNazanin" w:eastAsia="IRNazanin"/>
          <w:color w:val="111111"/>
          <w:sz w:val="28"/>
          <w:sz w:val="28"/>
          <w:szCs w:val="28"/>
          <w:rtl w:val="true"/>
          <w:lang w:bidi="fa-IR"/>
        </w:rPr>
        <w:t>فما دام لم یعرف میثولوجیا العلم الّذی یقصده ولم یعرف الأسس الّتی یتمّ بها إثبات ونقض ذلک العلم، فلا یمکنه نقضه جمیعاً أو بعضاً منه ووضع شیء آخر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القیام بهذا العمل یلزم أخذ تأریخ العلم ومیثولوجیا العلم بشکل جادّ، وعلی الباحثین معرفة آخر البحوث المنجزة فی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یجب أن یتمّ ذلک بشکل تخصّصی فلا ریب من لزوم تعلّم من یرید العمل فی فرع من فروع العلوم الإنسانیّة میثولوجیا ذلک الفرع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علم من العلوم الإنسانیّة الفلسفیّة التّجربیّة، العرفانیّة أو التأریخیة له میثولوجیا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الخوض فی العلوم الإنسانیّة التّجربیّة فقط فیجب معرفة میثولوجیا العلوم الإنسانیّة التّجربیّة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علم النّفس، میثولوجیا علم النّفس، وهکذا فی علم الاجتماع وفی کلّ فرع یجب معرفة میثولوجیا ذلک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العلوم الإنسانیّة التّجربیّة کعلم الاجتماع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میثولوجیتها الخاصّة بها، فإنّ لدیها میثولوجیا تشترک فیها جمیعاً</w:t>
      </w:r>
      <w:r>
        <w:rPr>
          <w:rFonts w:eastAsia="IRNazanin" w:cs="IRNazanin"/>
          <w:color w:val="111111"/>
          <w:sz w:val="28"/>
          <w:szCs w:val="28"/>
          <w:rtl w:val="true"/>
          <w:lang w:bidi="fa-IR"/>
        </w:rPr>
        <w:t>.</w:t>
      </w:r>
    </w:p>
    <w:p>
      <w:pPr>
        <w:pStyle w:val="Heading3"/>
        <w:numPr>
          <w:ilvl w:val="2"/>
          <w:numId w:val="1"/>
        </w:numPr>
        <w:rPr/>
      </w:pPr>
      <w:bookmarkStart w:id="326" w:name="__RefHeading___Toc283368_581953129"/>
      <w:bookmarkStart w:id="327" w:name="_Toc122"/>
      <w:bookmarkEnd w:id="326"/>
      <w:r>
        <w:rPr/>
        <w:t>3</w:t>
      </w:r>
      <w:r>
        <w:rPr>
          <w:rtl w:val="true"/>
        </w:rPr>
        <w:t xml:space="preserve">. </w:t>
      </w:r>
      <w:r>
        <w:rPr>
          <w:rtl w:val="true"/>
        </w:rPr>
        <w:t>النّقص الموجود فی العلوم الإنسانیّة الحالیّة</w:t>
      </w:r>
      <w:bookmarkEnd w:id="327"/>
    </w:p>
    <w:p>
      <w:pPr>
        <w:pStyle w:val="BookText"/>
        <w:rPr/>
      </w:pPr>
      <w:r>
        <w:rPr>
          <w:rFonts w:ascii="IRNazanin" w:hAnsi="IRNazanin" w:eastAsia="IRNazanin"/>
          <w:color w:val="111111"/>
          <w:sz w:val="28"/>
          <w:sz w:val="28"/>
          <w:szCs w:val="28"/>
          <w:rtl w:val="true"/>
          <w:lang w:bidi="fa-IR"/>
        </w:rPr>
        <w:t xml:space="preserve">المقدّمة الأخری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نقص فی العلوم الإنسانیّة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أحد العدول عن العلوم الإنسانیّة إثر تعرّفه علی الإسلام والعلوم الإنسانیّة وأراد الإتیان ببدیل عنها، فمعنی ذلک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وآفات فیها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هی عیوب وآفات هذه العلوم الإنسانیّة المستحصلة من غیر طریق القرآن والرّوایات؟ وما هی مشاکلها المتداولة سواء کانت عرفانیّة، أو فلسفیّة، أو تأریخیّة وذلک لوضع علوم إنسانیّة بدیلة محلّها؟ یبدو للوهلة الأولی أنّ بعض ما یعرض فی العلوم الإنسانیّة لا ینسجم مع ما قیل حول الإنسان فی القرآن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یقولون ذلک ولم یسمع حتّی الآن جواب آخر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یکون هذا الجواب متیناً، فهو بحاجة إلی مقدّمة أخری نتناولها فی المقدّمة اللّاحقة</w:t>
      </w:r>
      <w:r>
        <w:rPr>
          <w:rFonts w:eastAsia="IRNazanin" w:cs="IRNazanin"/>
          <w:color w:val="111111"/>
          <w:sz w:val="28"/>
          <w:szCs w:val="28"/>
          <w:rtl w:val="true"/>
          <w:lang w:bidi="fa-IR"/>
        </w:rPr>
        <w:t>.</w:t>
      </w:r>
      <w:bookmarkStart w:id="328" w:name="pg5231_29902"/>
    </w:p>
    <w:p>
      <w:pPr>
        <w:pStyle w:val="Heading3"/>
        <w:numPr>
          <w:ilvl w:val="2"/>
          <w:numId w:val="1"/>
        </w:numPr>
        <w:rPr/>
      </w:pPr>
      <w:bookmarkStart w:id="329" w:name="__RefHeading___Toc283370_581953129"/>
      <w:bookmarkStart w:id="330" w:name="_Toc123"/>
      <w:bookmarkEnd w:id="328"/>
      <w:bookmarkEnd w:id="329"/>
      <w:r>
        <w:rPr/>
        <w:t>4</w:t>
      </w:r>
      <w:r>
        <w:rPr>
          <w:rtl w:val="true"/>
        </w:rPr>
        <w:t xml:space="preserve">. </w:t>
      </w:r>
      <w:r>
        <w:rPr>
          <w:rtl w:val="true"/>
        </w:rPr>
        <w:t>علاقة الدّین بمقولتی العلم والقیم</w:t>
      </w:r>
      <w:bookmarkEnd w:id="330"/>
    </w:p>
    <w:p>
      <w:pPr>
        <w:pStyle w:val="BookText"/>
        <w:rPr/>
      </w:pPr>
      <w:r>
        <w:rPr>
          <w:rFonts w:ascii="IRNazanin" w:hAnsi="IRNazanin" w:eastAsia="IRNazanin"/>
          <w:color w:val="111111"/>
          <w:sz w:val="28"/>
          <w:sz w:val="28"/>
          <w:szCs w:val="28"/>
          <w:rtl w:val="true"/>
          <w:lang w:bidi="fa-IR"/>
        </w:rPr>
        <w:t>وقبل بیان هذه المقدّمة، أری من اللّازم التّمهید لها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الشّیء الّذی جاء الدّین عموماً والإسلام خصوصاً لیضعه بین یدی البشر؟ ویُطرح هذا السّؤال فی کتب فلسفة الدّین تحت عنوان آخر أحیاناً، فطریقة سؤالنا تتمّ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یرید البائع بیعه إلی المشتری؟ أمّا فی کتب فلسفة الدّین فیتمّ طرح السّؤال علی العکس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یرید أن یشتریه المشتری من البائع؟ فنقول بخصوص الدّین، ما وجه حاجة الإنسان إلی الدّین؟ أی إنّ الإنسان باعتباره مشتریاً ما المتاع الّذی جاء لیشتریه من حانوت الدّین؟ لکنّ هذا الاختلاف فی طرح السّؤال لا یؤثّر علی محتوی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أُجیب علی هذا السّؤال بأجوبة کثیرة جدّاً أُوردت فی کتب فلسفة الدّین ولا أرید التّطرّق إلیها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القول بشکل عامّ إنّ الأجوبة تنحصر لأوّل وهلة بثلاثة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الدّین لیعطی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 الدّین لیعطی قِیماً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الدّین لیعطی علماً إضافة إلی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العلم هنا لیس مجرّد العلم التّجربی، وإنّما المقصود المعرفة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الأوّل یقول إنّ هناک سلسلة من العلوم الضّروریّة لا یمکن للإنسان کشفها من خلال الوسائل العادیّة فجاء الدّین لیضع هذا القسم من العلوم تحت تصرّف الإنسان؛ وعلی هذا فهذه العلوم لها میزتان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ولا یمکن کسبها بالطّرق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یقول إنّ الدّین جاء لیعطی الإنسان قیماً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یأت الدّین لیقول للإنسان إنّ الواقع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الدّین لیقول للإنسان إفعل هذا ولا تفعل هذا، یجب أن تکون بهذا الشّکل وأن لا تکون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یأت الدّین لیقول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الدّین لیقول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أن تکون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العلم هنا فی مقابل القیم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وإذا أردنا استعمال تعبیر القدماء مسامحة، فالقول الأوّل یقول بأنّ کلّ قضیّة جاءت فی الدّین هی إخباریّة؛ والقول الثّانی یقول بأنّ کلّ قضیّة وردت فی الدّین إنشائیّة، أعمّ من إنشاء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 هو أنّ الدّین جاء للإخبار بالواقعیّات وکذا لیقول أفعلوا أشیاء ولا تفعلوا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عموم المتدیّنین یقولون بهذا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ونلفت الانتباه إلی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افترضوا أنّنا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یکون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فهذا البیان یعدّ قیمة؛ وافترضوا وجود ثلاث طرق ألف و ب و ج وأنّ طریق ألف یتّصل بنقطة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لکن ب و ج لا یتّصلان بها؛ 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طریق ألف یصل نقطة الشّروع بنقطة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ب و ج لا یصلان نقطة الشّروع بنقطة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فهذا مقولة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تکون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إلی 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ألف یصل نقطة الشّروع بنقطة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نستنتج من هاتین القضیّتین هذا المنهج 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أنّ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یجب أن یسلک طریق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انضمام هذه القیمة إلی العلمین الآخرین، نستنتج منهجین آخرین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یجب أن تسلک طریق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یجب أن تسلک طریق ج</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القضایا الثّلاث الأخیرة تبیّن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بحدّ ذاته لیس قیمة، وإنّما منفّذاً للقیمة افترضوا أنّ من یقول بأنّ الدّین قد أعطانا 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الحکومة عادلة، ولکن لم یحدّد الطّریق أو الأسلوب الّذی یمکن من خلاله تحقیق الحکومة العادلة، وأوکل ذلک لاختیار الإنسان فهذا لیس کلاماً متناقضاً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یقول آخر إنّ الدّین وضع القیم والأسالیب بین یدیّ الإنسان؛ ولهذا، لا یمکن أبداً أن یکون لنا منهج، إلّا إذا کان لنا ابتداءً قیمة إضافة إلی قضایا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وبانضمام القیمة إلی القضایا العلمیّة یتولّد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اعتقدنا بأنّ الدّین جاء لیعطینا علماً فقط، فلا یبقی مجال لطرح بحث المنهج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قلنا بأنّ الدّین جاء لیعطینا قیمة، یطرح عندها بحث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تطرح القیمة مع المنهج والقیمة بلا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فالحالتان محتملتان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إنّ الدّین جاء لیعطینا علماً إضافة إلی القیمة، فهنا أیضاً تُتصوّر حالتان القیمة مع المنهج و القیمة بلا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عامة، فالمقصود من العلم کیفیّة عالم الواقع ،الّذی هو أعمّ من الواقعیّات الظّاهریّة والنّفسیة، عالم الواقع الطّبیعیّ وما وراء الطّبیعیّ، والواقعیّات الماضیة والفعلیّة والمستقبلیّة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عندما نقول إنّ المنهج هو ملتقی العلم والقیمة، فلیس المقصود أیّ علم کان، بل العلم النّاظر إلی الواقعیّة الّتی ترتبط بتلک القیمة؛ 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تکون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تحب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استنتاج منهج من خلال إضافة هذا العلم إلی تلک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الحصول علی منهج من أیّ علم وقیمة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ففی القول الثّالث، الّذی یقول بالعلم إضافة إلی القیمة، یمکن أن یکون مع المنهج وأیضاً بلا منهج</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فعلی القول أنّه مع المنهج ینقسم بدوره إلی قولین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العلوم المبیَّنة فی الدّین هی علوم تصنع منهجاً من خلال انضمام القیم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العلوم المبیَّنة فی الدّین هی أعمّ من العلوم الّتی تصنع منهجاً بانضمام القیم ومن العلوم الّتی لا تنضم إلی أیّ قیمة ولا تصنع أیّ 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نظریّة المفکّرین الإسلامیّین تتمثّل فی الرّأی الأخیر الّذی یقول بأنّ الدّین وضع بین أیدینا العلوم والقیم والمناهج وأنّ جمیع هذه العلوم لا تنفع فی صناعة 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نعهد مثل هذا التّقسیم حتّی الآن، ولکن لو دقّقنا النّظر فی الآثار الموجودة لأمکننا الحصول دون عناء علی مثل هذا التّقسیم الّذی یعود إلی الآراء المختلفة للمفکّرین الإسلامیّین وغیر الإسلامیّین فی جوابهم علی هذا السّؤال وهو ماذا یرید الإنسان من الدّین؟ أو ماذا یضع الدّین بین یدی الإنسان؟ وقد قیل فی المقدّمات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نقص فی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سألنا ما هو هذا النّقص، یجیب الأغلب بإنّ هنالک کلاماً یقال فی العلوم الإنسانیّة لا</w:t>
      </w:r>
    </w:p>
    <w:p>
      <w:pPr>
        <w:pStyle w:val="BookText"/>
        <w:rPr/>
      </w:pPr>
      <w:r>
        <w:rPr>
          <w:rFonts w:ascii="IRNazanin" w:hAnsi="IRNazanin" w:eastAsia="IRNazanin"/>
          <w:color w:val="111111"/>
          <w:sz w:val="28"/>
          <w:sz w:val="28"/>
          <w:szCs w:val="28"/>
          <w:rtl w:val="true"/>
          <w:lang w:bidi="fa-IR"/>
        </w:rPr>
        <w:t>ینسجم والقرآن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مقدّمات هذا الجواب بأنّ القرآن والرّوایات إمّا أن یکونا من سنخ القول الأوّل أو الثّالث؛ فلو کان القرآن والرّوایات مبیّنة للقیم فحسب فسوف لا یکون هناک أیّ عدم انسجام فیما بینها وبین العلوم الإنسانیّة؛ لأنّ العلوم الإنسانیّة تبیّن العلم فی جمیع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یلزم مقدّمة رابعة، وهذه المقدّمة هی أنّ الدّین لیس مجرّد بیان للقیمة، وإنّما یضع بین أیدینا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العلم إضافة إلی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تُطرح هنا عدّة إشکالات إلیکم تحلیلها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الدّین یتضمّن قیماً فحسب فمن الممکن أن یکون متعارضاً مع العلوم الإنسانیّة؛ لأنّ مقدّمة القیم هی وجود القدرة فی المأمور أو المنهی عنه، فإذا أثبتت العلوم الإنسانیّة عدم وجود مثل هذه القدرة، فستقع فی تعارض مع القیم الدّینیّة؛ وبعبارةٍ أخری، إذا أوحی أحدهم هذه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فسیبدو أنّ مقدّمة هذه القضیّة تکون کالآتی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ویمکن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هی علم، لأنّه لو لم تکن مثل هذه المقدّمة، لم یکن هناک أمر 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یمکنه أن یضع العلوم الإنسانیّة فی تعارض مع هذا العلم المفترض ویوضّح بأنّ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تمتلک مثل هذه القدرة والاختیار وفی النّتیجة، ستکون تلک القیمة معارضة للعلوم الإسلامیّة أیضاً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عن ذلک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کلّ نهی وأمر یفترض قدرة واختیاراً 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مقدّمات بعض الأوامر والنّواهی هی القدرة والاختیار، أمّا أن تکون جمیع الأوامر والنّواهی کذلک، فهذا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هذا المطلب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سروش ولکنّه لم یشر إلی من سبق إلی القول بذلک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لقد کان بارتلی أوّل من ذکر هذا المطلب وذلک فی کتابه الدّین والأخلاق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فقد بحث فی هذا الکتاب أنواع علاقة الدّین والأخلاق وقسّمها إلی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وانجرّ بحثه فی الرّأی الثّانی إلی هذه النّقطة وهی أنّ الأوامر والنّواهی تتولّد فی مجال القدرة والاختیار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أمر ونهی یفترض الآمر والناهی وجود قدرة واختیار لدی المأمور والمنهی، وإلّا لَما تمکّن أساساً من الأمر والنّهی، وهو یقول فی ذات الوقت؛ بوجود شروط ثلاثة لهذا الحکم؛ أحدها أن تکون هذه القیمة متعلّقة بالإنسان؛ فالقدرة والاختیار فی قیم معرفة الجمال</w:t>
      </w:r>
    </w:p>
    <w:p>
      <w:pPr>
        <w:pStyle w:val="BookText"/>
        <w:rPr/>
      </w:pPr>
      <w:r>
        <w:rPr>
          <w:rFonts w:ascii="IRNazanin" w:hAnsi="IRNazanin" w:eastAsia="IRNazanin"/>
          <w:color w:val="111111"/>
          <w:sz w:val="28"/>
          <w:sz w:val="28"/>
          <w:szCs w:val="28"/>
          <w:rtl w:val="true"/>
          <w:lang w:bidi="fa-IR"/>
        </w:rPr>
        <w:t>والّتی لا ترتبط بالإنسان مثلاً لیست 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الثّانیة أن تکون القیمة متعلّقة بالفرد ولیس الجماعة؛ النّقطة الثّالثة أنّه حتّی فی حالة مراعاة القید الأوّل والثّانی، فلیس أنّ أیّ قیمة تفترض قدرة واختیاراً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بعض القیم روعی فیها القید الأوّل والثّانی، إلّا أنّه لم یلحظ فیها قدرة واختیاراً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فالجواب الأوّل الّذی یتمثّل بهذا الادّعاء وهو أنّ کلّ أمر وکلّ نهی یفترض قدرة واختیاراً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العموم محلّ تأمّل، لکنّه مقبول بنحو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فلحثّ الطّفل علی أن یکون ثریّاً مثلاً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تکون لک ثروة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 مقدّمة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امتلاک ثروة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مقدورة لهذا الطّفل؟ أم لا، لیست مقدورة، لکنّ الهدف هو عدم‌قناعة ذلک الطّفل بحصوله علی أیّ مقدار من الثّروة وأن یسعی للکسب الأکثر؛ أی أنّ العبارة الأخری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کسب ثروة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عدم القناعة بأیّ مقدار من الثروة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الثّانی إنّ من یطرح مسألة تعارض العلم والدّین، لیس هذا هو محلّ بحثه؛ لأنّ التّعارض یمکن أن یحدث فی الشقّ الثّانی فقط وذلک فی مقدار قدرات الإنسان والحال أنّه لم یطرح أحد تعارض العلم والدّین فی موارد قدرة الإنسان ویطرح هذا التّعارض فی مجالات أوسع جدّاً، ولیس فی هذا المورد المحدود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العلوم الإنسانیّة لا تشمل العلم فقط، وإنّما تشمل القضایا القِیمیّة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المطلب صحیح، ولکن منطقیّاً لا یمکننا إیجاد قیمة من خلال وضع ملیارات الواقعیّات إلی جوار بعضها البعض؛ فیقولون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فمضرّ مفهوم قِیمی، لکن إذا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لا یقلّل 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یضیفون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 إعمال ما لم یقلّل 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یستنتجون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عدم استخدام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القضیّة الثّانیة واقع أم قیمة؟ فلا یمکن إیجاد قیمة من خلال الواقع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قیماً کثیرة دخلت فی العلوم الإسلامیّة دون علم وقصد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یتصوّر بأنّه یتعلّم علم النّفس أو علم الاجتماع، ولکنّه فی کثیر من الأحیان یُدخل قیماً لا یعلم من أین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الإنسان أن یأخذ الواقعیّات فقط بنظر الاعتبار،</w:t>
      </w:r>
    </w:p>
    <w:p>
      <w:pPr>
        <w:pStyle w:val="BookText"/>
        <w:rPr/>
      </w:pPr>
      <w:r>
        <w:rPr>
          <w:rFonts w:ascii="IRNazanin" w:hAnsi="IRNazanin" w:eastAsia="IRNazanin"/>
          <w:color w:val="111111"/>
          <w:sz w:val="28"/>
          <w:sz w:val="28"/>
          <w:szCs w:val="28"/>
          <w:rtl w:val="true"/>
          <w:lang w:bidi="fa-IR"/>
        </w:rPr>
        <w:t>فسوف لا یمکنه مطلقاً الحکم ما الّذی علیه فعله وما الّذی لیس علیه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القصاص یقلّل من الجرائم؛ فکلّ ما یقلّل الجرائم یجب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یجب إجراء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جاء هذا؟ صحیح أنّنا یمکن أن نعتبر محاسننا ومساوئنا قیماً، ولکن هل أنّ ضمّ آلاف الحقائق إلی بعضها البعض ینتج أمراً جدیداً؟ أنا أنفی ذلک؛ لأنّ النّتیجة یجب أن تکون تابعة لأخسّ المقدّمتین وفقاً للقواعد المنطقیّة؛ فإذا لم تکن 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فلا یمکن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البعض مثل میردال بأنّه من غیر الممکن استیلاد أیدیولوجیّة من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فلماذا تسیطر القیم المارکسیّة والفرویدویّة وأمثالها دون غیرها علی تلک العلوم؟ فلنقوم نحن أیضاً بإدخال القیم الإسلامیّة ونؤسّس علوماً إنسانیّة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الأمر یشیر إلی أنّه بإمکانکم عرض سلعکم فی هذه السّوق المضطربة، وهو بهذا لم یعرض جواباً منطقیاً لبحثنا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فجدالنا کان حول أنّ هذا العمل خطأ من النّاحیة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ویجیبوا بأنّ الآخرین قد ارتکبوا هذا الخطأ أیضاً، ونحن إنّما نرتکبه لننال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فالنداء الّذی یوجّهه من یرید تأسیس علوم إسلامیّة إلی جمیع علماء العلوم الإنسانیّة هو أنّه إذا کان تأسیس علم إنسانی دون أیدیولوجیّة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فلِمَ جمیع علومکم الإنسانیّة الفعلیّة ممزوجة بالقیم؟ فإذا کان الأمر کما تدّعون فحاولوا إیجاد علوم إنسانیّة بلا قیم و إذا لم یمکن وجود علوم إنسانیّة دون أیدیولوجیّة، فلِمَ لا تجیزون العلم الإسلامی؟ فأنتم لدیکم علم إنسانی شیوعی ووجودی، فرویدوی وداروینی ولیبرالی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أیضاً نرید أن یکون لدینا علم إنسانی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الاثنین معاً مدانان من النّاحیة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فعلا أمراً هو غیر جائز منطقیّاً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ونحن لا نقوم بإعطاء قیمة حکمیّة وإنّما منطقنا هو الّذی لا یهتمّ بإعطاء قیمة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إنّ النّظر إلی عالم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یتمّ عن طریق الحسّ والتّجربة، العقل والاستدلال، الکشف والشهود والعلم الحضوری أو النقل، هو مجرّد نظر إلی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أن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فقد قیل فی الجواب علی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النّقص الموجود فی العلوم الإنسانیة و الّذی یجب 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تعارض علی القول بالنّقص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یجب أن نثبت بأنّ الدّین</w:t>
      </w:r>
    </w:p>
    <w:p>
      <w:pPr>
        <w:pStyle w:val="BookText"/>
        <w:rPr/>
      </w:pPr>
      <w:r>
        <w:rPr>
          <w:rFonts w:ascii="IRNazanin" w:hAnsi="IRNazanin" w:eastAsia="IRNazanin"/>
          <w:color w:val="111111"/>
          <w:sz w:val="28"/>
          <w:sz w:val="28"/>
          <w:szCs w:val="28"/>
          <w:rtl w:val="true"/>
          <w:lang w:bidi="fa-IR"/>
        </w:rPr>
        <w:t xml:space="preserve">قد أعطانا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بالقید الّذی ذکرناه؛ ولکنّ هذا لا یکفی فاللّازم هو الشّرط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الآخر هو أنّ الدّین یعطینا علماً یتعارض مع العلم المطروح من قِبل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کون الدّین قد أعطانا معلومات حول الإنسان لیس هو بمعنی أنّه یتعارض مع العلوم الإنسانیّة، بل یجب إثبات وجود مثل هذا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فإنّه یمکن ملاحظة التّعارض فی بعض العلوم التّجربیّة الطّبیعیّة بشکل أسهل من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تقول العلوم الطّبیعیّة بوجود سماء واحدة فقط والدّین یقول بوجود سبع سماوات، فإنّ التّعارض یفهم بشکل أفضل؛ أو عندما نفترض أنّ الدّین یقول إنّ الأرض ساکنة والعلم یقول إنّها متحرّکة؛ أو أنّ العلم یقول إنّ بعض النباتات ذکریّة ولیس فیها أنثویّة لکنّ الدّین یقول إنّ کلّ موجود یشتمل علی ذکر وأنثی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أیّ العلوم الإنسانیّة یوجد تعارض مع الدّین؟ إنّ تعارض العلوم الإنسانیّة مع الدّین هو بمعنی أنّ هناک نظریّة مطروحة قد قبلها أصحاب ذلک العلم قاطبة، لکنّ هذه النّظریّة لا تنسجم مع نصّ روایة أو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أنّه من المحتمل وجود تعارض فی بعض النّظریّات، ولکن ما دامت هناک مذاهب متعدّدة ولم یقبل جمیع العلماء النّظریّات المعارضة للدین، فلا یمکن القول بوجود تعارض بین العلوم الإنسانیّة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من غیر الممکن إثبات هذه التّعارضات فی العلوم الإنسانیّة بتلک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الأقل أنّ مثل هذه الموارد لیست بذلک القدر من الکثرة کی یمکن التّحدّث عن إعادة تأهیل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إیراد ملاحظة علی علم ما، لا یعدّ ذلک إعادة تأهیلٍ لذلک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موارد التّعارض من الکثرة نستطیع معها أن نقول نرید إعادة تأهیل ذلک العلم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علی ذلک، فمن غیر المعلوم أنّنا فی مقام التّعارض سنحکم لصالح ظاهر القضایا الدّینیّة بشکل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قرأنا فی الأصول أو الکلام بأنّه إذا کانت ظواهر الآیات والرّوایات غیر منسجمة مع المستقلّات العقلیّة، ینبغی عندها رفع الید عن ظاهرها والانتقال إلی التّأویل کی ینسجم المؤوّل مع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من ناحیة العلم المعرفی وجود مثل هذا الاستحکام فی المعلومات البشریّة أحیاناً بحیث نضطرّ معها لتغییر کلام الله فیما لو لم یکن هناک انسجام بینهما، لکنّه یطال الظّاهر لا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رأیی أنّ هذا لا یختصّ بمجال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الأحکام الفلسفیّة بل یصدق کذلک علی مجال الأحکام التّجربیّة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القرآن والرّوایات إنّ أیّ موجود حیّ یشتمل علی ذکور وإناث وقال العلم بوجود موجودات لیس فیها ذلک، فلا مفرّ سوی صرف النّظر عن ظاهر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وَ جَعَلْنا مِنَ الْماءِ کُلَّ شَیْ‌ءٍ حَیٍّ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عالِم الأحیاء الیوم بأنّ لدنیا خمسة موجودات حیّة لا یحتوی ترکیبها علی </w:t>
      </w:r>
      <w:r>
        <w:rPr>
          <w:rFonts w:eastAsia="Times New Roman" w:cs="Times New Roman" w:ascii="Times New Roman" w:hAnsi="Times New Roman"/>
          <w:color w:val="111111"/>
          <w:sz w:val="28"/>
          <w:szCs w:val="28"/>
          <w:lang w:val="en-US" w:bidi="en-US"/>
        </w:rPr>
        <w: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فینبغی الإعراض عندها عن ظاهر الآیة ونقول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الطّیّبة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المعنویّة؛ کما قال به بعض المفسّرین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تکون لمعلومات الإنسان هذه القدرة أحیاناً، فإنّه فی حالة تعارض القضایا الدّینیّة المقصودة الّتی اتّخذت أساساً لإعادة تأهیل العلوم الإنسانیّة، أو القضایا المرتکزة علی تلک القضایا الأوّلیّة مع قضیّة لعلم النّفس، والّتی توجد شواهد تجربیّة مؤیّدة لها، یمکنه صرف النّظر عن ظواهر تلک القضایا أو بعضها أو بعض لوازمها وفی النّتیجة زوال ذلک الاستحکام عن تلک القضایا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ولعلّه یقال إنّ قضایا العلوم الإنسانیّة والّتی هی أحکام تجربیّة لا تتمیّز بذلک الاستحکام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تعارف بیننا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ردیئة، ولکن العقل لا یعتریه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ردیئة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تعلّمناه من الغربیّین، وإلّا فإنّ أرسطو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عناصر البرهان علی ستّة أقسام أحدها 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ذلک أیضاً بعض آخر من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بوبر إنّ التّجربة لیست قطعیّة؛ لأنّها ترتکز علی الاستقراء والاستقراء لا یمکن الدّفاع عنه منطقیّاً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سقطت التّجربة فجأة من عرشها الّذی کانت تعتلیه والکلّ یقول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التّجربیّة لا قیمة لها، العقل له قیمة، فما هو العقل؟ وما هی الخصائص الّتی تجعله مصوناً من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هو أیضاً من القوی المدرکة الّتی هی محدودة کالتّجربة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العقلی أو النّقلی الّذی أُقیم علی أنّ العقل لا محدودیّة له وما یقوله حجّة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بوبر فإنّه یقول لا یمکن استنتاج قضیّة کلّیة واحدة من ملیارات القضایا الشّخصیّة، لکنّه أیضاً لا یقول بعکس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إنّ قضیّة شخصیّة تکفی لأن تنتزع قضیّة کلّیة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 الأدیان بأنّ کلّ موجود حیّ یشتمل علی ذکور وإناث، فهذه قضیّة کلّیة تُنقض بوجود موجود حیّ لا یشتمل علی ذکر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منطقنا الموجود أنّ موجبة کلّیة تنقض سالبة جزئیّة</w:t>
      </w:r>
      <w:r>
        <w:rPr>
          <w:rFonts w:eastAsia="IRNazanin" w:cs="IRNazanin"/>
          <w:color w:val="111111"/>
          <w:sz w:val="28"/>
          <w:szCs w:val="28"/>
          <w:rtl w:val="true"/>
          <w:lang w:bidi="fa-IR"/>
        </w:rPr>
        <w:t>.</w:t>
      </w:r>
      <w:bookmarkStart w:id="331" w:name="pg5231_29910"/>
    </w:p>
    <w:p>
      <w:pPr>
        <w:pStyle w:val="Heading3"/>
        <w:numPr>
          <w:ilvl w:val="2"/>
          <w:numId w:val="1"/>
        </w:numPr>
        <w:rPr/>
      </w:pPr>
      <w:bookmarkStart w:id="332" w:name="__RefHeading___Toc283372_581953129"/>
      <w:bookmarkStart w:id="333" w:name="_Toc124"/>
      <w:bookmarkEnd w:id="331"/>
      <w:bookmarkEnd w:id="332"/>
      <w:r>
        <w:rPr/>
        <w:t>5</w:t>
      </w:r>
      <w:r>
        <w:rPr>
          <w:rtl w:val="true"/>
        </w:rPr>
        <w:t xml:space="preserve">. </w:t>
      </w:r>
      <w:r>
        <w:rPr>
          <w:rtl w:val="true"/>
        </w:rPr>
        <w:t>منهج لإقناع الآخرین</w:t>
      </w:r>
      <w:bookmarkEnd w:id="333"/>
    </w:p>
    <w:p>
      <w:pPr>
        <w:pStyle w:val="BookText"/>
        <w:rPr/>
      </w:pPr>
      <w:r>
        <w:rPr>
          <w:rFonts w:ascii="IRNazanin" w:hAnsi="IRNazanin" w:eastAsia="IRNazanin"/>
          <w:color w:val="111111"/>
          <w:sz w:val="28"/>
          <w:sz w:val="28"/>
          <w:szCs w:val="28"/>
          <w:rtl w:val="true"/>
          <w:lang w:bidi="fa-IR"/>
        </w:rPr>
        <w:t xml:space="preserve">المقدّمة الأخیرة تتمثّل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منهج لإقناع الآخرین بنظریاتنا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حتّی الآن بأنّ المطالب الّتی قالوها غیر صحیحة ونحن لدینا مطالب تتطابق مع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هذا الادّعاء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أحد لیقول، إنّ العلم بمطلب ما، هو غیر تعلیم ذلک المطلب وإقناع الآخرین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منهجکم فی هذا؟ فعلی سبیل المثال، توجد ثلاث طرق للیقین بالقضیّة </w:t>
      </w:r>
      <w:r>
        <w:rPr>
          <w:rFonts w:eastAsia="Times New Roman" w:cs="Times New Roman" w:ascii="Times New Roman" w:hAnsi="Times New Roman"/>
          <w:color w:val="111111"/>
          <w:sz w:val="28"/>
          <w:szCs w:val="28"/>
          <w:lang w:val="en-US" w:bidi="en-US"/>
        </w:rPr>
        <w:t>P: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الإیمان بقائل تلک القضیّة، کوثوق النّاس بالأطباء؛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التّجربة والحسّ بمفاد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مفاد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الحصر، لیس حصراً عقلیّاً، بل استقرائیّاً؛ لکنّنا لم نعثر حتّی الآن علی طریق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علم النّفس إنّکم استخرجتم مطالبکم من القرآن والرّوایات، فکیف لی أن أقبل کلامکم؟ فلیس لدیّ إیمان بکم؛ أو یجب علیکم المجیء بشاهد تجربی، أو تستدلّون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فعندما نرید من الآخرین القبول بالمطلب الّذی استخرجناه من الآیات والروایات یجب علینا صرف النّظر عن نسبته إلی الآیات والرّوایات فی مقام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مقام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وبمجرّد صرفنا النّظر عن التّعبّد بقول الشّخص المعصوم أو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اعتقاد المخاطب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ودخولنا فی أحد الأسلوبین الآخرین، یجب عندها اتباع میثولوجیّتهم، وإلّا لم یقبلوا منّا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انفصال العلم عن التّعلیم والاعتقاد عن الإقناع، یجب أن نصبح کالآخرین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کأیّ عالم اجتماع أو عالم نفس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قبلنا أن نصبح مثل عالم اجتماع عادی؛ وتکلّمنا بکلام لیس له مؤیّد حسّی وتجربی ولیس لدینا استدلال یثبته، فیجب علینا السّکوت فی مقام الإثبات ولو کان کلامنا مطابقاً للواقع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أنّنا عندما نتّبع المیثولوجیا المتّبعة فی تلک العلوم، لا یمکننا عندها أن ندّعی إعادة تأهیلها، بل نتکلّم کلاماً جدیداً علی شاکلة تلک المیثولوجیا، العمل الّذی یقوم به جمیع علماء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علماء النّفس یقولون کلاماً جدیداً یرتکز علی المیثولوجیا المشترکة لعلم النّفس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المحتمل أن یقال بأنّ المؤمنین بهذه الآیات والرّوایات غیر قلیلین ونحن نستطیع إعادة تأهیل هذه العلوم لهم وهذه فائدة لیست بالقلیلة؛ ولکنّ هذه الفائدة تقتصر علی من یوافق أولئک فی استفادة هذا المطلب من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یحتمل وجود من لدیه تفسیر آخر للآیة والرّوایة، أو أولئک الّذین یسقطون ظاهرها عند تعارضه مع مفاد الاستدلال أو التّجربة</w:t>
      </w:r>
      <w:r>
        <w:rPr>
          <w:rFonts w:eastAsia="IRNazanin" w:cs="IRNazanin"/>
          <w:color w:val="111111"/>
          <w:sz w:val="28"/>
          <w:szCs w:val="28"/>
          <w:rtl w:val="true"/>
          <w:lang w:bidi="fa-IR"/>
        </w:rPr>
        <w:t xml:space="preserve">. </w:t>
      </w:r>
      <w:r>
        <w:rPr>
          <w:rStyle w:val="FootnoteAnchor"/>
          <w:rtl w:val="true"/>
        </w:rPr>
        <w:footnoteReference w:id="76"/>
      </w:r>
      <w:bookmarkStart w:id="334" w:name="pg5231_29911"/>
    </w:p>
    <w:p>
      <w:pPr>
        <w:pStyle w:val="Heading3"/>
        <w:numPr>
          <w:ilvl w:val="2"/>
          <w:numId w:val="1"/>
        </w:numPr>
        <w:rPr/>
      </w:pPr>
      <w:bookmarkStart w:id="335" w:name="__RefHeading___Toc283374_581953129"/>
      <w:bookmarkStart w:id="336" w:name="_Toc125"/>
      <w:bookmarkEnd w:id="334"/>
      <w:bookmarkEnd w:id="335"/>
      <w:r>
        <w:rPr>
          <w:rtl w:val="true"/>
        </w:rPr>
        <w:t>الملاحظات</w:t>
      </w:r>
      <w:bookmarkEnd w:id="336"/>
    </w:p>
    <w:p>
      <w:pPr>
        <w:pStyle w:val="BookText"/>
        <w:rPr/>
      </w:pPr>
      <w:r>
        <w:rPr>
          <w:rFonts w:ascii="IRNazanin" w:hAnsi="IRNazanin" w:eastAsia="IRNazanin"/>
          <w:color w:val="111111"/>
          <w:sz w:val="28"/>
          <w:sz w:val="28"/>
          <w:szCs w:val="28"/>
          <w:rtl w:val="true"/>
          <w:lang w:bidi="fa-IR"/>
        </w:rPr>
        <w:t>تتمثّل مهمّة السّید ملکیان فی هذا المقال، بإعادة قراءة مقدّمات من یدّعون إعادة تأهیل العلوم الإنسانیّة، وذلک بناءً علی التّعالیم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خمس مقدّمات 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مؤکّد هنا، أنّه لو تبیّن عدم صحّة جمیع أو بعض هذه المقدّمات، فستنتفی إمکانیّة العلم الدّینی أیضاً وکان الکاتب یحاول التّلمیح إلی ضعف وعجز بعض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أنّه قد صرّح فی کتابات أخری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فی إمکان وضرورة أسلمة الجامعات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بإشکالیة إمکان وضرورة العلم الدّینی، لکنّه لم یصرّح بمثل ذلک فی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فقلیل من الالتفات إلی مجموع کتاباته وأقواله، یضعه فی صفّ المخالفین لإمکان العلم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جاء فی هذه الملاحظات، یقتصر علی مطالب هذه المقالة للسیّد ملکیان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یأتی خلاصّة للمقدّمات المطروحة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نعرفه فی مجالین البنیة والمضمون، أو یجب علینا معرفته لإنتاج العلم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 وإنّ إمکانیّة هذه المعرفة مهیّئة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معرفة العلوم الإنسانیّة المختلفة، أمثال العلوم الإنسانیّة الفلسفیّة، العرفانیّة، التأریخیّة والتّجربیّة، وللوصول إلی ذلک ینبغی أن یتمّ البحث فی ثلاثة محاور والتّعرّف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 التّطوّر التّأریخی للعلوم الإنسانیّة، المحور الثّانی، الوضع الرّاهن للعلوم الإنسانیّة والمحور الثّالث، میثولوجیا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العلوم الإنسانیّة الحاضرة نواقص لا یمکن ترمیمها وهی بحاجة إلی بدائل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هذه النّواقص إلی عدم الانسجام فیما بین الکثیر ممّا یقال فی العلوم الإنسانیّة والتّعالیم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القضایا الدّینیّة وتعالیم الوحی، إمّا أن تعطینا علماً فقط أو تعطینا قیمة کذلک إضافة إلی العلم؛ ومن هنا، ففی الحالّتین، توجد إمکانیّة بروز تعارض حقیقی فیما بین القضایا الدّینیّة والقضایا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والمقدّمة النّاتجة من المقدّمتین السّابقتین هو أنّ القضایا الدّینیّة تکون مقدّمة علی الدّوام فی حالة بروز ذلک التّعارض، وتکون نتیجةً لذلک بدیلاً مناسباً للعلوم الإنسانیّة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نمتلک منهجاً شاملاً لأجل إقناع الآخرین بالعلوم الإنسانیّة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المقدّمتین الأولی والثّانیة من نظریّة السّید ملکیان علی أتمّ الصحّة وعاریة من الإشکال، ومن هنا فهو یورد نقود رئیسة علی الفهم الشّائع للمقدّمة الثّالثة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وسنتطرّق فی هذا المجال المحدود، إلی بیان بعض الملاحظات بخصوص الآراء المطروحة فی هذه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نقص فی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نسب فی هذا القسم إلی الباحثین والمفکّرین الدّینیّین ملاحظتهم هذه النّقیصة فی تعارض وعدم انسجام بعض معطیات العلوم الإنسانیّة مع تعالیم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فهو ولأجل إیضاح عدم صحّة هذا الفهم، یری من اللازم الإشارة إلی مقدّمة أخری وهی علاقة الدّین بمقولتی العلم والقیمة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التّطرّق إلی تحلیل وتقییم رأی الکاتب حول المقدّمة الرّابعة، نشیر إلی نقطة بخصوص نوع النّقائص الموجودة فی العلوم الإنسانیّة وهی أنّ النّقیصة الموجودة فی العلوم الإنسانیّة لا تنحصر فی النّقیصة المذکورة، مع أنّه قد أشیر إلیها فی أغلب الآراء المشهورة والمسموعة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أشار البعض علی الأقلّ إلی نقیصة عدم کفاءة العلوم الإنسانیّة الموجودة فی الوصول إلی أهدافها المقصودة إلی جانب نقیصة تعارض العلوم الإنسانیّة مع الاعتقادات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المؤکّد أنّ جرّ البحث إلی مقولة کفاءة العلوم الإنسانیّة، یؤدّی إلی الخروج عن موضوع هذا البحث، إضافة إلی مواجهتنا مشاکل أخری، کإیضاح مفهوم المقولة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نعرج علی ذکر هذه المسألة إلّا لأجل توضیح أنّ إشکالیّة العلوم الإنسانیّة الحاضرة من وجهة نظر الباحثین الدّینیّین لا تقتصر علی عدم انسجام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فی الحقیقة اکتشاف نقائص مختلفة ومن ضمنها عدم الکفاءة فی العلوم الإنسانیّة الفعلیّة من خلال السعی الدائب لعلماء العلوم الإنسانیّة فی طریق تأسیس وعرض نظریّات جدیدة ویمکن عدّ مسألة تدوین العلوم الإنسانیّة الدّینیّة سعیاً فی 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 الأستاذ ملکیان ولأجل القبول بالتّعارض وعدم الانسجام فیما بین الاکتشافات العلمیّة والمعطیّات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دعوی المقدّمة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وجود سنخیّة فیما بین هذین النّوعین من التّعالیم، من حیث کونهما علماً أو کونهما قیمة أو باللّحاظ المنهجی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بافتراضه أنّ العلم، یعطی علماً فحسب وأنّ القِیمیّة خارجة عن نطاق العلم یطرح ثلاثة آراء فی مجال 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الدّین یعطی علماً فقط؛ الثّانی، أنّ الدّین یعطی قیمة فقط؛ والثّالث، أنّ الدّین یعطی علماً و کذا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ویستنتج استمراراً لذلک فروعاً أکثر من خلال ضمّ بحث المنهج إلی هذه الأقسام، ثمّ یتعرّض إلی کیفیّة تعارض العلم والدّین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یعطی علماً فقط، فسیبرز إمکان تعارض المعطیات الدّینیّة مع المعطیات العلمیّة وسیکون العلم الدّینی ممکناً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یعطی علماً وقیمة أیضاً فسیؤدّی انضمام الاثنین معاً إلی إفراز منهج أحیاناً وعدم إفرازهما ذلک أحیاناً أخری، وسیبرز فی هذه الحالة التّعارض بین العلم والدّین وکذا إمکانیّة تبلور العلم الدّینی وباعتقاد الکاتب أنّ هذا الفرع مَعقَد آراء کثیر من المفکّرین الإسلامیّین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الأخری تتمثّل فی أنّ الدّین یعطی قیمة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هذه الحالة یعتقد بعدم بروز أیّ عدم انسجام فیما بین العلم والدّین؛ لأنّ العلوم الإنسانیّة تقتصر علی بیان الفکر فی جمیع الفروع؛ وحتّی فیما لو تعرّضت العلوم الإنسانیّة خطأ أو غفلة إلی بیان القیمة أیضاً إلی جانب الفکر، فإنّ هذا لا یولّد قیمة علی الإطلاق من خلال إضافة الحقائق بعضها إلی البعض الآخر، لأنّ النّتیجة تتبع أخسّ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أُشیر إلیه فی هذا المقال من الشّبهة المعروفة لهیوم والّتی ترتبط نوعاً ما بمغالطّة النزعة الطّبیعیّة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الّتی بناءً علیها یعدّ أیّ نوع استنتاج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من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وغیر ممکن، لأنّ مثل هذا الاستنتاج غیر مجاز منطقیّاً وهو خارج عن حدود القوانین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إنّ الشّبهة الآنفة، صحیحة بلحاظ قواعد المنطق الصّوری، لکنّ السّؤال هو ما السّبب فی أنّ القضایا القِیمیّة أو القضایا المتضمّنة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والنّواهی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مجرّد أمور اعتباریّة وقِیمیّة ولا تخبر بأیّ حقیقة وواقعیّة خارجیّة؟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مجال التّبریر المعرفی للقضایا المتضمّنة للإلزام والأوامر والنّواهی تُطرح آراء متعدّدة، وعلی الخصوص فی فلسفة الأخلاق وعلم الأصول، فبناءً علی نظریّة النّزعة التّعریفیّة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الّتی هی أعمّ من النّزعة الطّبیعیّة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بعد الطّبیعیّة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Metaphysicalism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فإنّ القضایا المذکورة تکون کاشفة عن الحقائق الخارجیّة علی الدّوام وتعرّف علی أساس الأمور الحقیقیّة والخارجیّة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مثل هذا النّوع من القضایا لیست مجرّد أوامر اعتباریّة وقِیمیة غیر حاکیة عن الحقائق والموجودات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مع أنّ هذه القضایا فی صورتها وظاهرها تحوی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لکنّها فی سیرتها وباطنها تحکی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وتستبطن حقائق فی ذاتها وبتعبیر الأصولیّین، إنّ أوامر ونواهی الشّارع، تابعة للمصالح والمفاسد الواقعیّة؛ وعلی هذا، یمکن إرجاعها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النّاحیة، یکون الاستنتاج المنطقی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القضایا القِیمیّة المتضمّنة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 لأنّ العملیّة المذکورة هی فی الحقیقة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من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علی هذه النّقطة، </w:t>
      </w:r>
      <w:r>
        <w:rPr>
          <w:rStyle w:val="FootnoteAnchor"/>
          <w:rtl w:val="true"/>
        </w:rPr>
        <w:footnoteReference w:id="78"/>
      </w:r>
      <w:r>
        <w:rPr>
          <w:rFonts w:ascii="IRNazanin" w:hAnsi="IRNazanin" w:eastAsia="IRNazanin"/>
          <w:color w:val="111111"/>
          <w:sz w:val="28"/>
          <w:sz w:val="28"/>
          <w:szCs w:val="28"/>
          <w:rtl w:val="true"/>
          <w:lang w:bidi="fa-IR"/>
        </w:rPr>
        <w:t>یمکن القول بأنّ التّعارض فیما بین العلم والدّین یکون ممکناً فی هذا الفرض أیضاً، ومن هنا، توجد إیضاً إمکانیّة لتحقّق العلم الدّینی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حتّی مع القبول بإشکال هیوم الّذی یقول بعدم إمکانیّة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یبدو أنّ الفهم الصّحیح لکلام هیوم لیس بهذا الشّکل الّذی یحتمله الأغلبیّة؛ بل إنّ الالتفات إلی هذه النّقطة هو من الأهمّیة بمکان حیث إنّ جهاز العلم المعرفی لهیوم لا یعترف سوی بأصالة الحسّ والتّجربة، أمّا الانطباعات الحسّیة فهی لیست سوی صوراً ذهنیّة ناظرة إلی الواقع فی ذهن الإنسان؛ ولهذا، فاستنتاج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الجهاز الهیومی هو فی الحقیقة استنتاج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من التّجربة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استدلّ کانت فی نقد العقل العملی بالتّفصیل علی کون مثل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بأنّ القیم والأوامر یجب أن تکون ما قبل التّجربیّة لکی تکون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فی نقد العقل العملی بالتّفصیل بأنّ القضایا القِیمیّة والأخلاقیّة، خالصة من أیّ نوع من شوائب النّزعة التّجربیّة ولا یمکن الاطمئنان بصحّة قضیّة أخلاقیّة إلّا أن تکون غیر تجربیّة بشکل قاطع؛ لکن إذا شوهدت شائبة نزعة تجربیّة فی قضیّة ما فینبغی الاطمئنان بدخول جوانب غیر أخلاقیّة فیها، فهی إذن معیبة وغیر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أنّ کانت یعتقد بوضوح بأنّ تأثیر القوانین القِیمیّة والأخلاقیّة علی الإرادة یجعلها متبلورة فی قبال معانی الحسن والقبح وأن أسس بلورة الإرادة هی أمور حقیقیّة ومرتکزة ومستنتجة من أصول وإدراکات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العملیّة القائمة فی العقل العملی هی علی العکس من السّیر الإدراکی للعقل النّظریّ فی العلم المعرفی لکانت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النّظریّ یبتدئ من الحسّاسیة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ومن خلال مساعدة الحواسّ الّتی تسکب مضامینها فی قالب الحسّاسیة یصل أخیراً إلی مبادئ العلم التّجربی من خلال المقولات السّابقة للفهم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العقل العملی لا یقتصر علی عدم حاجته إلی شهود أو حدس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intuition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وجهاز حسّاسیة لقضایاه وأوامره، بل إنّ القانون الأخلاقی هو الّذی یؤثّر سلباً وإیجاباً علی جهاز الحسّاسیة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فإنّ طریقة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العملی من إدراکات العقل النّظریّ، الّذی هو ناظر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بالتّفصیل فی نقد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تحلیل کانت هذا، والّذی یتطلّب فرصة أخری لتفصیله، یعلم بأن کلام هیوم، بخصوص جهاز علمه المعرفی، کلام صحیح فلا یمکن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فحسب، بل هو ضروریّ ومتحقّق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أُجیب فی هذا المقال وفی هذه المقدّمة، عن مسألة طُرحت علی شکل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وتوضیحها أنّه من الممکن أن یدّعی أحد بأنّ الدّین وإن کان یتضمّن قیماً فحسب إلّا أنّ هناک إمکانیة لأن یکون متعارضاً مع العلوم الإنسانیّة؛ لأنّ مقدّمة القیم، هی وجود القدرة فی المأمور أو المنهی عنه، وإذا أثبتت العلوم الإنسانیّة عدم وجود مثل هذه القدرة، فستتعارض مع القیم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ویکتب الکاتب فی جوابه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وجود قدرة واختیار فی کلّ أمر ونهی هو أوّل الکلام وهو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ویصرّح حینئذ نقلاً عن بارتلی فی کتاب الدّین والأخلاق إنّ القدرة والاختیار لیست مفترضة فی جمیع القیم، وإنّما توجد بعض القیم تکون القدرة والاختیار غیر مفترضة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وکنموذج علی ذلک یأتی بمثل تحریض الولد لیکون ثریّاً فیقال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تکون لک ثروة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ویوضّح بأنّ هذا الأمر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امتلاک ثروة 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مقدور للولد 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لأنّ الهدف هو أن لا یقنع الولد بأیّ مقدار حصل علیه من الثّروة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الفرض یصدُق فی مجال یعطی فیه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وتکون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غیر قابلة للتحوّل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یبدو أنّ رأی بارتلی غیر صحیح؛ لأنّ الأصولیین قد أثبتوا، بأنّ جمیع أوامر ونواهی الإنسان الحکیم؛ الموجود الحکیم عموماً، والشّارع خصوصاً، مشروطة وتفترض القدرة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والنهی دون افتراض وجود قدرة للمأمور لا یمکن إدراکها وقبولها بأیّ وجه کان ومن الطّبیعیّ أنّ النّهی والأمر الّذی لا یمکن للمأمور والمکلّف به إدراکه وفهمه سیکون لغواً وبلا فائدة وأنّ الفعل اللغوی والعبثی لا یصدر من الموجود الحکیم وبالخصوص الشارع، الحکیم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الواضح أنّ المراد فی المثال المطروح لیس هو المعنی الظّاهری للأمر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علی ثروة غیر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الحصول علی ثروة کبیرة، وعدم القناعة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الصورة یکون متعلّق الأمر، مقدوراً بلا 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شرط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کلامنا هذا من أنّ الأمر المذکور قد استُعمل فی معناه المجازی فی واقع الحال، هو فیما لو أصدر أحد أمر کهذا إلی ولده المریض والعاجز مع أنّه لا یمتلک قدرة کسب ثروة کثیرة علی الإطلاق فإنّ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لغواً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السّید ملکیان بأنّ الشّرط الآخر لبروز التّعارض یتمثّل بهذا المطلب، وهو أنّنا إذا قبلنا بأنّ الدّین یعطی علماً، فیجب عندها أن نعتقد بأنّ العلم الّذی یعطیه الدّین یتعارض والعلم الّذی تعرضه العلوم الإنسانیّة، وإلّا، فسیکون من المحتمل عدم حدوث تعارض فیما بین العلوم الّتی یعرضها الدّین وعلوم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السّید ملکیان ذلک التّعارض بهذا الشّکل وهو وجود نظریّة علمیّة مطروحة فیُقبِل علیها أغلب أهل العلم ویقبلونها، لکنّ هذه النّظریّة لا تنسجم مع نصٍّ لروایة أو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الحالة، لا یمکن القول بوجود تعارض بین العلوم الإنسانیّة والدّین ما دامت توجد مدارس ومذاهب متعدّدة فی العلم ولم یقبل أکثر العلماء النّظریّات المعارضة للدین إلّا بعض باحثی العلم الّذین یتّخذون رأیاً معارضاً للدین، ونستنتج حینذاک بأنّ مثل هذه التّعارضات لا یمکن إثباتها بسهولة فی العلوم الإنسانیّة، أو أنّ مواردها علی الأقل لیست بتلک الدّرجة من الکثرة یمکن معها المطالبة بإعادة تأهیل العلوم الإنسانیّة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مجرّد إیراد ملاحظات علی علم ما لا یمکن تنزیله منزلة إعادة تأهیل ذلک العلم، لکن کان من اللازم طرح معیار أدقّ لإعادة التأهیل یستأهل أن ننسب إلیه ونطلق علیه ذلک باللّحاظ الکمّی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یأتی السّید ملکیان فیفسّر التّعارض بمخالفة أکثر باحثی العلم للنظریّة المطروحة فی الدّین، فیبدو أنّه کلام غیر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حتّی فیما لو لم ینسجم رأی فی مسألة طُرحت فیها عدّة نظریّات مع الرّأی والتّعالیم الدّینیّة، فإنّ إطلاق التّعارض فیما بین الدّین والعلم بناءً علی ذلک الرّأی ممکن فی هذه الحالة؛ لکنّ المسألة هنا أنّه من المحتمل عدم کون بحث العلم الدّینی فی مثل هذه الموارد ضروریّاً، لأنّ الآراء البدیلة وغیر المخالفة وغیر المنافیة للدین موجودة کذلک، إلّا إذا أمکن إثبات أنّ الرأی المستحصل من الدّین فی تلک المسألة أفضل وأقوی من الآراء البدیلة الأخری؛ والّتی یبدو أنّ طرح العلم الدّینی الإنسانی فی هذه الحالة یفسح له مجال أیضاً مع أنّ بحث التّعارض غیر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فمع أنّه لیس من الیسیر کشف التّعارضات فیما بین الدّین والعلوم الإنسانیّة، لکن أن ندّعی أنّ هذه التّعارضات لیست بذلک القدر الّذی تحتاج إلی إعادة تأهیل العلوم الإنسانیّة وأنّ المشاکل النّاجمة عنها یمکن ترمیمها بمجرّد حذفها وإصلاحها، فهذا أوّل الکلام وهو بحاجة إلی بحث وتتّبع علمی شامل وتقییم کلّ واحدة من قضایا العلوم الإنسانیّة مع 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فلا یوجد ضمان علی عدم اکتشاف مثل هذه التّعارضات فی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السّید ملکیان فی قسم آخر أنّه مع افتراض القبول بالتّعارض فیما بین العلوم الإنسانیّة والدّین، فمن المؤکّد واللازم أنّنا لا نحکم باتّجاه تأیید القضایا الدّینیّة ویطرح شاهد من علم الأصول علی ذلک إدامة لکلامه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ما یعتقده الأصولیّون من جواز رفع الید عن ظاهر النّقل المعارض الّذی هو ظنّی لمصلحة العقل المستقلّ أو العقل غیر المستقلّ فی مسألة ما؛ إذا کان له حکم قطعی أمر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المستبعد جدّاً أن یکون مرادهم من هذا الرّأی، تغییر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الواضح جدّاً أنّ الأصولیّین وبناءً علی الأساس المتین للملازمة فیما بین الحکم القطعی للعقل وحکم الشّرع قد بادروا إلی مثل هذا الأمر، ولکن لیس من باب استحکام المعلومات البشریّة، من حیث أنّها بشریّة، وإنّما من جهة أنّها ملازمة لحکم الشّرع وقد سبق وأن ثبت بالبرهان قانون الملازمة وإلّا لما أجازوا مطلقاً مثل هذا العمل فی غیر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هذا المبنی فی الحقیقة یعتقد الأصولیون بحصول الکشف فی أنّ حکم الله الواقعی، هو ذاته الّذی یقوله العقل المستقلّ وأنّ ظاهر النّقل لا یعارض حکم الله فی مثل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تعمیم</w:t>
      </w:r>
    </w:p>
    <w:p>
      <w:pPr>
        <w:pStyle w:val="BookText"/>
        <w:rPr/>
      </w:pPr>
      <w:r>
        <w:rPr>
          <w:rFonts w:ascii="IRNazanin" w:hAnsi="IRNazanin" w:eastAsia="IRNazanin"/>
          <w:color w:val="111111"/>
          <w:sz w:val="28"/>
          <w:sz w:val="28"/>
          <w:szCs w:val="28"/>
          <w:rtl w:val="true"/>
          <w:lang w:bidi="fa-IR"/>
        </w:rPr>
        <w:t>کلام الأصولیّین فی العقل القطعی، علی التّجارب، الّتی تُنتج نتائج ظنّیة غیر صحیح بالکامل وغیر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یجب أوّلاً إثبات أنّ التّجربة تُنتج یقیناً، وثانیاً أنّ قانون الملازمة، أثبت التّلازم بین حکم التّجربة الیقینیّة وحکم الشّرع، ثمّ لیصدر مثل هذا التّرخیص والّذی یمکن رفع الید من خلاله عن ظاهر النّقل المعارض لمصلحة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حال أنّ أیٍّ من النّظریّات الفلسفیّة والفلسفة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الخصوص فی العهود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أنّ التّجربة تفید یقیناً کی یمکن رفع الید عن ظاهر الدّین لمصلحة العلم التّجربی فی رفع التّعارض بین العلم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المقالة تری عدم جواز تدخّل القیم والأیدیولوجیات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أساس هذا الکلام یبدو صحیحاً ولا یمکن الحکم بجواز تدخّل القیم والبواعث فی العمل بشکل مطلق، ولکنّ القیم تقوم بالتّدخّل فی بعض الأمور بشکل قهری؛ وینبغی القول بعدم قدرة أیّ عالم و باحث کان مواجهة وإنکار تدخّل القیم فی الأفکار والعلوم 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العلماء واجهوا مشاکل خطیرة فی ترجیح نظریة علی أخری فی موارد کثیرة لم یتمکّن المنطق والاختبار التّجربی من إیجاد حلول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دعی العلماء إلی فسح المجال للجوانب القِیمیّة للتدخّل فی فعّالیّاتهم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یصرّح انشتاین بأنّ وجود عناصر علم الجمال تمثّل أهمّیة رئیسة له فی رفض وقبول النّظریّات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یمکن طرح اقتراح أفضل للحیلولة دون تکرار الأخطاء الّتی شهدها تأریخ العلم فی مجال السّماح للقیم والأیدیولوجیات التّدخّل فی العلم وهو تحدید مجال تدخّل القیم فی الفعّالیّات العلمیةّ من خلال المؤشّرات والمعاییر العلمیة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وبعیداً عن هذا، یبدو أنّ هذا النّقد لا یرد علی التّعالیم الدّینیّة، فالتّعالیم الدّینیّة جمیعاً ناظرة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إضافة إلی القضایا الإخباریّة للدین والّتی تبیّن المعارف الحقیقیّة، فإنّ القضایا الإنشائیّة والقِیمیّة للدّین هی وکما تحدّثنا عن ذلک کثیراً کانت تنظر إلی الواقع أیضاً ویمکن إرجاعها إلیه؛ ولهذا، فإنّ لغة الدّین ذات نزعة واقعیّة ولیست مجرّد بیان للقیم والأیدیولوجیات الّتی أثّرت علی علوم الإنسان الحقیقیّة وأسقطت کونها حقیقیّة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الأخری والأخیرة للبحث تتمثّل فی أنّ منتجی العلوم الإنسانیّة الإسلامیّة یعتقدون بأنّ لدیهم منهجاً لإقناع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ویصرّح السّید ملکیان فی مجال بیان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ثلاث طرق للاعتقاد والیقین بقضیّة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الإیمان بقائل القضیّة؛ التّجربة والحسّ بمفاد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والاستدلال علی مفاد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تحلیل وتقییم هذا المطلب، من اللّازم الإشارة إلی نقطة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وتوضیحها أنّ الطّرق الثّلاث الآنفة للیقین بقضیّة ما، تتمّ بإحدی الطّرق النقلیّة والتّجربیّة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وبتوضیح آخر، إنّ الاستدلال لیس أسلوباً ثالثاً، بل إنّه قالب وصورة تتضمّنها جمیع الأسالیب، أی أنّ الاستدلال لازم للاعتقاد والتّصدیق بجمیع القضایا، بید أنّ عناصر هذا الاستدلال تؤخذ أحیاناً من النّقل وأحیاناً من الحس والتّجربة وأحیاناً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أساس ما طُرح فی هذه المقدّمة علی لسان المعتقدین بالعلم الدّینی، یمکن توجیهه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بما أنّ العلم الدّینی یطرح فی سطوح وطبقات متفاوتة، فسیکون أسلوب إقناع الأفراد إزاءه مختلفاً أیضاً؛ أی إذا أردنا توظیف العلم الدّینی المکتشف للتبریر وإقناع المؤمنین بالدّین، فسنستفید من الأسلوب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أصل النّظریّة، وکذا تفسیرها وتحلیلها، وکذلک أسلوب تبریرها وإقناع الآخرین بها سیکون دینیّاً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أردنا تبریر ذلک لغیر المؤمنین، فسنستفید عند ذاک من نفس أسلوبهم الإثباتی المتداول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سنخ القضیّة عقلیّاً فسنستخدم الأسلوب العقلی وإذا کان تجربیّاً فسنتوسّل بالأسلوب التّجربی وإیجاد مؤیّدات تجربیّة کافیة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سیکون لدینا فی هذه الحالة علم دینی فی رتبة أصل طرح النّظریّة وتفسیرها وتحلیلها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مستوی التّبریر للآخرین فلیس لدینا علم دینی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حتّی وإن لم تکن لدینا شواهد تجربیّة وعقلیّة کافیة للنظریّة المستخرجة من الدّین، فإنّه من النّاحیة الإثباتیّة لیس هناک إلزام بالسّکوت؛ وکذا لا یمکن إغلاق ملف العلم الدّینی بمجرّد أنّ البعض لا یوافقوننا الرّأی؛ لأنّه وکما یشیر إلیه تأریخ العلم فإنّ هناک بعض من العلماء لا یرضخون علی الدوام للنظریّات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الأمر لیس کما یتصوّر من أنّ النّظریّة تحوی جمیع قابلیّاتها بالفعل فی بدایة ظهورها؛ وعلی الخصوص أنّ تأریخ العلم قد أوضح بأنّ کثیراً من النّظریّات الّتی تعدّ الیوم علمیّة ومعتبرة لم تکن تمتلک رصیداً تجربیّاً وعقلیّاً مناسباً فی بدایاتها ولم تجد لها مؤیّدات</w:t>
      </w:r>
    </w:p>
    <w:p>
      <w:pPr>
        <w:pStyle w:val="BookText"/>
        <w:rPr/>
      </w:pPr>
      <w:r>
        <w:rPr>
          <w:rFonts w:ascii="IRNazanin" w:hAnsi="IRNazanin" w:eastAsia="IRNazanin"/>
          <w:color w:val="111111"/>
          <w:sz w:val="28"/>
          <w:sz w:val="28"/>
          <w:szCs w:val="28"/>
          <w:rtl w:val="true"/>
          <w:lang w:bidi="fa-IR"/>
        </w:rPr>
        <w:t>تجربیّة أو عقلیّة مناسبة إلّا بمرور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فإنّ النّظریّة النّسبیّة لانشتاین فی علم الفیزیاء طُرحت فی البدایة من دون مؤیّدات واستدلالات تجربیّة کافیة ثم استطاع دینغتون العثور علی تلک المؤیّدات بعد عدّة أعوام، وإن أوردت بعد ذلک شبهات علی النّتائج المختبریّة لدینغتون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ومن هنا، فإنّ الإلزام المذکور، لم یکن مبرَّراً ویبدو أنّه بالإمکان عرض نظریّة وصیغة مستقاة من الدّین، وإن لم تنطوِ علی مؤیّدات کافیة؛ لأنّه من المحتمل اکتشاف شواهدها العقلیّة والتّجربیّة المطلوبة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 أنّ قبول نظریّة علمیّة تجربیّة یرتبط بإقناع أغلبیّة المجتمع العلمی علی مستوی العالم ویتمّ ذلک بأسلوب خاصّ یتناسب معها، لکن لم یُتّبع نموذج واحد فی أسلوب الإقناع والتّبریر فی مجال العلوم الإنسانیّة؛ وإنّما تُطرح النّظریّات العلمیّة بأسالیب متفاوتة وتجد کلٍّ منها أنصارها الخاصّین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ذات الوقت، تعدّ جمیعها علمیّة ولم تکن مسألة اقتناع الأغلبیّة بها مطروحة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فبإمکان نظریّة العلوم الإنسانیّة الإسلامیّة أن یکون لها أیضاً أنصار خاصّین بها، والّذین یتمثّلون بالمجتمع المؤمن ذاته ومن المؤکّد أنّ عدیدهم لیس بالقلیل</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إنّ التفاسیر المختلفة للنصوص الدّینیّة لا تتسبّب فی إیجاد مشاکل فی عملیّة العلم الدّینی، لأنّ هذه المسألة تختصّ بالتّنظیرات المختلفة الّتی تُستنبط من نصٍّ ما والّتی سیُقبل منها کلّ ما کان له مؤیّدات نقلیّة وتجربیّة أکثر وأکمل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هو موجود فی العلم التّجربی والعلم الإنسانی العادی والّذی تُطرح آراء متعدّدة فی مسائله ثمّ یرجّح أحدها لتضمّنه شواهد وأدلّة کافیة أو أکثر</w:t>
      </w:r>
      <w:r>
        <w:rPr>
          <w:rFonts w:eastAsia="IRNazanin" w:cs="IRNazanin"/>
          <w:color w:val="111111"/>
          <w:sz w:val="28"/>
          <w:szCs w:val="28"/>
          <w:rtl w:val="true"/>
          <w:lang w:bidi="fa-IR"/>
        </w:rPr>
        <w:t>.</w:t>
      </w:r>
      <w:bookmarkStart w:id="337" w:name="pg5231_29922"/>
    </w:p>
    <w:p>
      <w:pPr>
        <w:pStyle w:val="Heading2"/>
        <w:numPr>
          <w:ilvl w:val="1"/>
          <w:numId w:val="1"/>
        </w:numPr>
        <w:rPr/>
      </w:pPr>
      <w:bookmarkStart w:id="338" w:name="__RefHeading___Toc283376_581953129"/>
      <w:bookmarkStart w:id="339" w:name="_Toc126"/>
      <w:bookmarkEnd w:id="337"/>
      <w:bookmarkEnd w:id="338"/>
      <w:r>
        <w:rPr>
          <w:rtl w:val="true"/>
        </w:rPr>
        <w:t>الإسلام والعلوم الإجتماعیّة؛ نقد حول دیننة العلم</w:t>
      </w:r>
      <w:bookmarkEnd w:id="339"/>
    </w:p>
    <w:p>
      <w:pPr>
        <w:pStyle w:val="Heading3"/>
        <w:numPr>
          <w:ilvl w:val="2"/>
          <w:numId w:val="1"/>
        </w:numPr>
        <w:rPr/>
      </w:pPr>
      <w:bookmarkStart w:id="340" w:name="__RefHeading___Toc283378_581953129"/>
      <w:bookmarkStart w:id="341" w:name="_Toc127"/>
      <w:bookmarkEnd w:id="340"/>
      <w:r>
        <w:rPr>
          <w:rtl w:val="true"/>
        </w:rPr>
        <w:t>الدّکتور عبدالکریم سروش</w:t>
      </w:r>
      <w:bookmarkEnd w:id="341"/>
    </w:p>
    <w:p>
      <w:pPr>
        <w:pStyle w:val="BookText"/>
        <w:rPr/>
      </w:pPr>
      <w:r>
        <w:rPr>
          <w:rFonts w:ascii="IRNazanin" w:hAnsi="IRNazanin" w:eastAsia="IRNazanin"/>
          <w:color w:val="111111"/>
          <w:sz w:val="28"/>
          <w:sz w:val="28"/>
          <w:szCs w:val="28"/>
          <w:rtl w:val="true"/>
          <w:lang w:bidi="fa-IR"/>
        </w:rPr>
        <w:t>إنّ الحدیث عن علاقة الإسلام بالعلوم الإنسانیّة والإجتماعیّة أو بتعبیر رساتر عن أسلمة العلوم، موضوع کان قد طفی علی السّطح فی مجتمعنا بعد وقوع الثّورة الإسلامیّة، وقد أُلقی علی عاتق المؤسّسات المسؤولة عن التّربیة والتّعلیم، وعلی الخصوص التّعلیم العالی الاهتمام به وقام بعض المفکّرین وأساتذة الجامعات ومسؤولی الأمور العلمیّة والثّقافیّة فی البلاد بالعمل والاعتناء به، وتمّ تقدیم بعض النّتاجات فی هذا السّبیل؛ لکن ظلّ السّؤال المتعلّق بهذا الموضوع علی سابق عهده ولم یجد حلّاً شافیاً ووافیاً؛ فأوّلاً، ما معنی أسلمة العلوم؟ وثانیا ، ما هی الکیفیّة والطّریق الّتی باستطاعتها تحقیق هذه المهمّة؟</w:t>
      </w:r>
    </w:p>
    <w:p>
      <w:pPr>
        <w:pStyle w:val="BookText"/>
        <w:rPr/>
      </w:pPr>
      <w:r>
        <w:rPr>
          <w:rFonts w:ascii="IRNazanin" w:hAnsi="IRNazanin" w:eastAsia="IRNazanin"/>
          <w:color w:val="111111"/>
          <w:sz w:val="28"/>
          <w:sz w:val="28"/>
          <w:szCs w:val="28"/>
          <w:rtl w:val="true"/>
          <w:lang w:bidi="fa-IR"/>
        </w:rPr>
        <w:t>إنّ حکایة أسلمة العلم أقدّم من ذلک بالطّبع ولم تختصّ ببلادنا ومجتمعنا فحسب، بل إنّها لا تختصّ بالمجتمعات الإسلامیّة وأتباع الثّقافة والمدرسة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شغل هذا السّؤال أذهان المفکّرین منذ القدم وظهر مع ظهور الأیدیولوجیّات حتّی غیر الدّینیّة، منها فی المجتمعات الحکومیّة منذ أمدٍ بعید، وقد قُدّمت إجابات وعُرضت أفکار حوله ولازالت تلک الأسئلة والإجابات حیّة تقتضی تحلیلاً ودراسة مستمرّة ومتجدّدة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یمکننا استبدال تعبیر أسلمة العلوم بدیننة العلوم، أو حتّی یمکننا وضع تعبیر أعمّ، أی أدلجة أو مذهبة العلم بدل دیننة العلم، ونسأل هل أنّ العلم الدّینی، أو العلم المذهبی</w:t>
      </w:r>
    </w:p>
    <w:p>
      <w:pPr>
        <w:pStyle w:val="BookText"/>
        <w:rPr/>
      </w:pPr>
      <w:r>
        <w:rPr>
          <w:rFonts w:ascii="IRNazanin" w:hAnsi="IRNazanin" w:eastAsia="IRNazanin"/>
          <w:color w:val="111111"/>
          <w:sz w:val="28"/>
          <w:sz w:val="28"/>
          <w:szCs w:val="28"/>
          <w:rtl w:val="true"/>
          <w:lang w:bidi="fa-IR"/>
        </w:rPr>
        <w:t>والأیدیولوجی ممکن وفعلی أم لا؟ وعلی فرض کونه ممکناً، کیف یمکن جعله واقعیاً واستیلاد مثل هذا المولود وتحقیقه علی أرض الواقع؟</w:t>
      </w:r>
    </w:p>
    <w:p>
      <w:pPr>
        <w:pStyle w:val="BookText"/>
        <w:rPr/>
      </w:pPr>
      <w:r>
        <w:rPr>
          <w:rFonts w:ascii="IRNazanin" w:hAnsi="IRNazanin" w:eastAsia="IRNazanin"/>
          <w:color w:val="111111"/>
          <w:sz w:val="28"/>
          <w:sz w:val="28"/>
          <w:szCs w:val="28"/>
          <w:rtl w:val="true"/>
          <w:lang w:bidi="fa-IR"/>
        </w:rPr>
        <w:t>وقبل الخوض فی البحث الأساسی، ینبغی أن أذکّر بأنّ هذه النّدوة تقیمها جمعیّة علماء علم الاجتماع، ولذا فإنّ أغلب بحثنا سیرتبط بأسلمة ومذهبة العلوم الإجتماعیّة والإنسانیة وهو ما یمثّل النّقطة والسّؤال المهمّ فی المجال الثّقافی؛ لأنّه ما لُبث أن غُضّ الطّرف عن مذهبة 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التّجربیّة لیس فی مجال الثّقافة الإسلامیّة فقط وإنّما فی المجالات الثّقافیّة غیر الدّینیّة ورُکّزت الجهود علی مذهبة وأدلجة العلوم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ترکّز هذا الاهتمام بهذه العلوم ولماذا وُجد مثل هذا التّصوّر من أنّ الحلّ الممکن لذلک هو العلوم الإنسانیّة، ولیس الطّبیعیّة والتّجربیّة، فهو ینطوی علی سرّ ینبغی الکشف عنه ضمن هذا الحوار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سأبتدئ حدیثی من أنّ بعض مجدّدی أهل السّنة من غیر علماء الدّین کان أوّل من أطلق نداء </w:t>
      </w:r>
      <w:r>
        <w:rPr>
          <w:rFonts w:eastAsia="Times New Roman" w:cs="Times New Roman" w:ascii="Times New Roman" w:hAnsi="Times New Roman"/>
          <w:color w:val="111111"/>
          <w:sz w:val="28"/>
          <w:szCs w:val="28"/>
          <w:lang w:val="en-US" w:bidi="en-US"/>
        </w:rPr>
        <w:t>Islamization of Know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أسلمة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التّحدید الدّقیق لرائد هذه الفکرة الّذی طرح هذا الشّعار لیس بتلک السّهولة والوضوح؛ وذلک لوجود نزاع فی أوساط أتباع هذه الفکرة کما فی باقی الأفکار الأخری الّذین کنّا قد تعرّفنا علیهم فی تأریخ العلم، فیدّعی کلّ منهم سبقه الآخرین، وحسب علمی فإنّ تعبیر </w:t>
      </w:r>
      <w:r>
        <w:rPr>
          <w:rFonts w:eastAsia="Times New Roman" w:cs="Times New Roman" w:ascii="Times New Roman" w:hAnsi="Times New Roman"/>
          <w:color w:val="111111"/>
          <w:sz w:val="28"/>
          <w:szCs w:val="28"/>
          <w:lang w:val="en-US" w:bidi="en-US"/>
        </w:rPr>
        <w:t>Islamization of Know 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کان قد أُطلق أوّل مرّة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أحد الأساتذة المسلمین فی الجامعات الأمریکیّة، والّذی یدعی إسماعیل الفاروقی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عُقد مؤتمر فی مکّة قبل هذا التّأریخ وذلک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التّربیة والتّعلیم الإسلامی وطُرحت فیه جذور هذه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أحد الأساتذة المسلمین المعروف بنقیب العطّاس الّذی یتولّی حالیّاً إدارة ورئاسة المؤسّسة الدّولیّة للحضارة والفکر الإسلامی فی مالیزیا بأنّ هذه الأطروحة والاصطلاح أوّل ما جاءت علی لسانه وأنّ إسماعیل الفاروقی قد تبنّاه منه وأدّعی حدوث سرقة علمیّة فی هذا المجال ولم یقتصر الأمر علی سرقة أصل الاصطلاح وأصل الفکرة منه بل إنّها قد استُخدمت بشکل سوقی، وقد قام من لم یعرف قدرها الحقیقی بترجمتها إلی معانی تافهة، وعلاوة علی ذلک فقد مورس نوع من السّذاجة فی مقام تطبیقها وإعمالها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أشرت آنفاً فقد طُرح مفهوم أسلمة العلم أو تطهیر العلوم الإنسانیّة والإجتماعیّة من العناصر والعقائد غیر الإسلامیّة أو ضدّ الإسلامیّة فی مجتمعنا بعد</w:t>
      </w:r>
    </w:p>
    <w:p>
      <w:pPr>
        <w:pStyle w:val="BookText"/>
        <w:rPr/>
      </w:pPr>
      <w:r>
        <w:rPr>
          <w:rFonts w:ascii="IRNazanin" w:hAnsi="IRNazanin" w:eastAsia="IRNazanin"/>
          <w:color w:val="111111"/>
          <w:sz w:val="28"/>
          <w:sz w:val="28"/>
          <w:szCs w:val="28"/>
          <w:rtl w:val="true"/>
          <w:lang w:bidi="fa-IR"/>
        </w:rPr>
        <w:t xml:space="preserve">الثّورة، وتمّ إنجاز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جزئیّة أو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 ومازالت الجهود تبذل لمتابعة هذه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عدنا قلیلاً إلی الوراء وأردنا تمحیص مفهوم العلم الأیدیولوجی أو العلم المذهبی، یلزم التّطرّق عندها إلی العهد الّذی ظهرت فیه فکرة تنافی أو تعارض العلم والدّین فی المجتمع الأوربی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قصّة یعرفها الجمیع، حیث لم تطالب الکنیسة أمثال غالیلو بدیننة أو نصرنت علم الفیزیاء أو الرّیاضیّات أو الجیولوجیا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طبقات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أکثر ما ترجوه وتطلبه أن لا تتنافی هذه العلوم مع الفکر المسیحی وتعالیمه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النّزاع لم ینته بظاهره لمصلحة الدّین، إلّا أنّه کان فی الحقیقة نزاعاً عمّت فائدته العظیمة طرفی النّزاع وأدّی إلی تطویر علماء العلوم الطّبیعیّة أفکارهم وتطبیقاتهم بشکل أفضل وأکثر وأن یکتشفوا بشکل أفضل جوهر ماهیّة العلم وأن یحدّد أنصار الدّین والقادّة الدّینیین دائرة الدّین وجوهر الفکر الدّینی بصورة أحسن وأن یحولوا علی الأقلّ دون وقوع هذا التّعارض والنّزاع فی المجالات الّتی لا یکون فیها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تکرّر هذا الصّراع فی القرن العشرین أیضاً وذلک فی الاتّحاد السّوفیتی السّابق، فلوجود حکومة أیدیولوجیّة ومذهبیّة فیه، فقد شدّدت علی لزوم أن تمرّ جمیع العلوم من غربال الأفکار الأیدیولوجیّة لإحراز عدم منافاتها لها علی أدنی تقدیر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وقعت حوادث مرّة فی الموردین الآنفین غدت عبرة للعلماء، إلی درجة أنّه فیما لو أراد أحد التحدّث عن مذهبة ودیننة العلم فقبل أن تتوجّه الأذهان إلی الموازین المنطقیّة لتقییم هذه المسألة فإنّها تتّجه صوب تلک الحوادث المرّة فیقوم برفض هذه المقولة بأسالیب غیر منطقیّة وبشکل ساذج وبلا مبالاة؛ ما أرید قوله أنّه من المحتمل أن لا یوجد ذلک العدد من المؤیّدین فی أوساط العلماء والباحثین فی العلوم التّجربیّة لفکرة مذهبة العلم بل إنّهم یعتبرونها میراثاً مستهلکاً أثبتت فشلها یوماً ما ولم تحرز درجة مقبولة؛ ویوجد أیضاً من یعقد علیها الآمال جهلاً وسذاجة، وبسبب عدم اطّلاعه علی سابقتها التّأریخیّة یرید إنعاش حادثة کانت قد سقطت فی الامتحان من جدید، دون أن یکون هناک أمل حقیقی فی بثّ الرّوح فیها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الموجود فی أذهاننا وما یجری فی وجداننا عن تلک الفکرة فعلاً وذلک بسبب تلک السّوابق التّأریخیّة؛ ولکن سواء کان جواب هذه المسألة هذا أو</w:t>
      </w:r>
    </w:p>
    <w:p>
      <w:pPr>
        <w:pStyle w:val="BookText"/>
        <w:rPr/>
      </w:pPr>
      <w:r>
        <w:rPr>
          <w:rFonts w:ascii="IRNazanin" w:hAnsi="IRNazanin" w:eastAsia="IRNazanin"/>
          <w:color w:val="111111"/>
          <w:sz w:val="28"/>
          <w:sz w:val="28"/>
          <w:szCs w:val="28"/>
          <w:rtl w:val="true"/>
          <w:lang w:bidi="fa-IR"/>
        </w:rPr>
        <w:t>ذاک فإنّنا لسنا بغنی عن بحث منطقی دقیق فیها ومن اللّازم تشریح کافّة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من یسعی أحیاناً لإظهار انسجام بعض المطالب العلمیّة مع المطالب الدّینیّة أو استخراج المطالب العلمیّة من بطون النّصوص المذهبیة یعدّه البعض من رواد فکرة مذهبة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ذلک إلّا لأجل عدم وضوح تلک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یقتصر وقوع ذلک فی العالم الإسلامی فحسب بل تعدّاه إلی العالم المسیحی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فالکاتب والمؤرّخ البارز السّید اندرو هال یقول فی کتابه معرکة العلم واللّاهوت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بین العلم واللّاهوت یمرّ عادة بثلاث مراحل، أی أنّ کلّ مسألة منه تطوی هذه المراحل الثّلاث الواحدة بعد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 عبارة عن مرحلة التّعارض المباشر والرّفض والإنکار دون تکلّف أو مبالاة؛ وتُطرح مسألة علمیّة فی هذه المرحلة ویبادر المتکلّمون والمفسّرون وعلماء الدّین إلی اتّخاذ موقف تّجاهها ویقومون برفضها وإنکارها من موقع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تتمثّل فی أنّ موقف علماء الدّین والمفسّرین یعود أکثر لیناً بعد مرور فترة تترسّخ فیها تلک المسألة العلمیّة شیئاً فشیئاً فی الأذهان وتخفت أصوات المعارضة والنّقد والإنکار، حتّی أنّهم یأخذون بالتّصریح بعدم منافاتها ومخالفتها للنّصوص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الثّالثة، یخطون خطوة أوسع من ذلک، فیتحدّثون عن أنّ النّصوص الدّینیّة تتضمّن هذا المطلب إلّا أنّنا لم نکن ملتفتین له حتّی الیوم ویقومون بذکر قرائن لاستخراجه وإستنباطه من النّصوص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ذکرناه من تلک المراحل له نظائر فی العالم الإسلامی، وکان قد ابتدأ فی أماکن أخری وشمل جمیع البلدان، وتبرز فیه وحدة التّجربة البّشریّة بشکل لا غبار علیه؛ أی ما من حلّ أو ابتکار نتوصّل إلیه فی هذا المجال إلّا وتمّ علی إیدی الآخرین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أسالیب وطرق الثّقافات المختلفة تتشابه تقریباً فی مواجهة المکاسب البشریّة ونتاجات الوحی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اعتبار هذه التّحرّکات والجهود تسیر فی طریق مذهبة العلم نوعاً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باعثها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أمر یرتبط بجمیع شؤون الإنسان، فهو لیس بالشّیء الّذی یواجه بالسخریة؛ فعندما یؤمن شخص ما بمذهب معیّن فإنّه سیقوم بالتّضحیة حتّی بعقله فی سبیل ذلک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فالتّضحیة بالرّوح والکرامة والمال تعدّ خطوة أدنی من التّضحیة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التّضحیة به تعدّ أعظم خطوة تتّخذ تّجاه المعشوق والمحبوب ومن أشرف الأعمال الّتی لا</w:t>
      </w:r>
    </w:p>
    <w:p>
      <w:pPr>
        <w:pStyle w:val="BookText"/>
        <w:rPr/>
      </w:pPr>
      <w:r>
        <w:rPr>
          <w:rFonts w:ascii="IRNazanin" w:hAnsi="IRNazanin" w:eastAsia="IRNazanin"/>
          <w:color w:val="111111"/>
          <w:sz w:val="28"/>
          <w:sz w:val="28"/>
          <w:szCs w:val="28"/>
          <w:rtl w:val="true"/>
          <w:lang w:bidi="fa-IR"/>
        </w:rPr>
        <w:t>تتأتّی إلّا من أصحاب المستویات العلیا فی الفکر الإنسانی؛ أشرف عمل من أشرف طبقة فی المجتمع؛ فلیست هی من الأعمال الّتی یُقدم علیها العوام؛ فالعوام لا ینظرون إلی العلم بمعناه الدقیق ولا إلی الدّین بصورته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فالمحقّقون هم الّذین یتعلّمون العلم بشکله التّخصّصی ویفهمون الدّین بشکله التّحقیقی وأنّ نتیجة التّعارض فیما بین هذا التّخصّص وذلک التحقیق هو تقدیم الإنسان عقله کأعظم قربان علی مذبح مذهبه المحبوب والمعبود فی إطار ذلک الإیمان، وأن یغضّ الطّرف ولو مؤقّتاً عن تخصّصه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فإنّ لمذهبة العلم باعثاً قویّاً وهذا الباعث القوی هو إیمان النّاس الشّدید بمذهبهم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باعث آخر هنا أیضاً ویعدّ باعثاً مبارکاً ویستحقّ التّقدیر وهو عبارة عن ترافق جمیع الحقوق والحقائق فی العالم مع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المسلمون یعتقدون بأنّ مذهبهم مذهب الحقّ وأنّهم یؤمنون به ویعشقونه بسبب تلک الحقّانیّة ولدیهم فی ذات الوقت معرفة بفرع من فروع العلوم واعتقدو بأنّ معارفهم فی ذلک الفرع حقّانیّة نوعاً ما، فوفقاً لتلک المقدّمة فإنّ هذین الحقّین غیر متنافرین فیما بینهما ولا ینبغی أن یکون هناک تعارض فیما بینهما لا ذاتاً ولا ثبوتاً، وإن وُجد مثل ذلک التّعارض فهو ظاهری وشکلی ومن الممکن رفعه، فمن الممکن أن نعلم شیئاً فی مورد معیّن ونعلم شیئاً آخر فی مورد آخر فنعشق الاثنین ونقبلهما معاً فی ذات الوقت الّذی نشاهد وجود تعارض وتنافٍ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هنا باعث ثالث إلّا أنّه لیس عامّاً وربّما یؤدّی إلی خلق مشکلة أحیاناً وهو الاعتقاد بجامعیة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مکان تظهر فیه مثل هذه الفکرة لابدّ وأن تؤدّی إلی مذهبة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اعتقد شخص ما بأنّ المذهب الّذی یعتقد به جامع وکامل، فیعنی ذلک أنّ جمیع الأشیاء اللّازمة قد تمّ ذکرها فیه، وفیما لو سألته عن ذلک فسوف یجیب عن ذلک بالإیجاب، وینتهی قسریّاً ومنطقیّاً إلی هذه النّتیجة وهی أنّه بالإمکان استخراج العلوم ومن جملتها العلوم الإنسانیّة من ذلک المذهب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النّتیجة الطّبیعیّة لمثل هذا الموقف لا تتمثّل فی عدم لزوم تعارض العلوم الإنسانیّة مع الدّین والمذهب، بل إنّ نتیجتها هی وجوب التّمکّن من استخراجها منه وهذا یختصّ بالعلوم الإنسانیّة فقط؛ لأنّ أغلب أتباع المذاهب الدّینیّة والأیدیولوجیّة یعتقدون بأنّ الأیدیولوجیات إنّما جاءت لهدایة الإنسان وتدبیر شؤونه وأنّ العلوم الطّبیعیّة والتّجربیّة تقع</w:t>
      </w:r>
    </w:p>
    <w:p>
      <w:pPr>
        <w:pStyle w:val="BookText"/>
        <w:rPr/>
      </w:pPr>
      <w:r>
        <w:rPr>
          <w:rFonts w:ascii="IRNazanin" w:hAnsi="IRNazanin" w:eastAsia="IRNazanin"/>
          <w:color w:val="111111"/>
          <w:sz w:val="28"/>
          <w:sz w:val="28"/>
          <w:szCs w:val="28"/>
          <w:rtl w:val="true"/>
          <w:lang w:bidi="fa-IR"/>
        </w:rPr>
        <w:t>خارج نطاق هذه الدائرة؛ لذا فلا یخوضون فی الحدیث فیها لا نفیاً ولا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مجموعة العوامل والبواعث الّتی تدعو أتباع المذاهب الدّینیة والأیدیولوجیة کی یقوموا إمّا بمذهبة العلم بمعنی اقتباسه واستخراجه من بطون المذهب وإمّا بالإجابة عن قلقهم هذا بشکل لا یُبقی علی أقلّ تقدیر تعارضاً فیما بین علمهم المحبوب ومذهبهم المعبود لیزیلوا هذه المشکلة عن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عرضاً للمسألة وللبواعث الّتی تکمن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یکون الموضوع واضحاً من النّاحیة المنطقیة، ینبغی ابتداءً النّظر فی الشّیء الّذی یمکننا من خلاله معرفة العلم والدّین، کی نحکم بعدها بخصوص العلاقة الّتی من الممکن أن تکون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نخوض فی أیّ بحث بخصوص تعارض العلم والدّین؛ فحدیثنا یقتصر علی إمکانیة خصوص العلم الدّینی أو العلم المذهبی وبأیّ معنی یکون حاصلاً وبأیّ معنی لا یکون حاصلاً وغیر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أن نعرّف العلم من خلال موضوعه أو منهجه أو غایته وسنأتی علی ذکر کلّ منها خلال بحثنا هذا، ویمکننا علی أساس کلٍّ منها توضیح فیما لو کانت النّسبة بین العلم والدّین هی نسبة استخراج أحدهما من الآخر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ابتداءً مثالاً ربّما یکون ساخراً من جانب لکنّه یوضّح الموضوع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علماء الاجتماع فی مالیزیا مخالفاً لمسألة أسلمة العلوم،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طرحت فی ذلک المؤتمر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التّربیة والتّعلیم الإسلامی فی مکّة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لدینا درّاجة هوائیة إسلامیة أم لا؟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واضحاً من وجهة نظره عدم وجود درّاجة هوائیة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سألنا الآن هل أنّ لدینا درّاجة هوائیة إسلامیة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الدرّاجة الهوائیة یعنی حفظ التّوازن علیها وتحریک القدمین والضغط بهما علی الدّواسة وتحریکها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لا یوجد بیننا مُنکراً ومخالفاً فی أنّ لهذا الأمر طریقة وأسلوباً معیّناً ولا یوجد فرق بین المسلم وغیر المسلم بلحاظ حفظ التّوازن علی الدرّاجة وتحریکها ویلزم علی الاثنین بذل جهد متماثل وطیّ تجربة معیّنة کی یمکنهما رکوبها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سألنا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 شیء نرکب الدرّاجة؟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فی ذلک الشّیء الّذی نرکبها لأجله مسألة إسلامیة وغیر إسلامیة، أجل فهناک من یعتقد بذلک؛ وبالإمکان القول هنا أجل إنّ للدراجة الهوائیة غایات متعدّدة، الذّهاب إلی أماکن مختلفة ولذا یمکن الکلام عن کونها إسلامیة أو مذهبیة وغیر 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هذه المقدّمات</w:t>
      </w:r>
      <w:bookmarkStart w:id="342" w:name="pg5231_29928"/>
    </w:p>
    <w:p>
      <w:pPr>
        <w:pStyle w:val="BookText"/>
        <w:rPr/>
      </w:pPr>
      <w:bookmarkEnd w:id="342"/>
      <w:r>
        <w:rPr>
          <w:rFonts w:ascii="IRNazanin" w:hAnsi="IRNazanin" w:eastAsia="IRNazanin"/>
          <w:color w:val="111111"/>
          <w:sz w:val="28"/>
          <w:sz w:val="28"/>
          <w:szCs w:val="28"/>
          <w:rtl w:val="true"/>
          <w:lang w:bidi="fa-IR"/>
        </w:rPr>
        <w:t>صحیحة علی وجه العموم، فسنعرف ما السّبب فی عدم وجود درّاجة إسلامیة وغیر إسلامیة، لأنّ کیفیة الدرّاجة واحدة فإذا نزعتم منها إطاراً أصبحت بإطار واحد وإذا أضفتم إلیها إطاراً أصبحت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فلا ینبغی أن یکون لها أکثر من إطارین؛ إذن فمعنی هذا الکلام من أنّه لا یمکن أن تکون الدرّاجة الهوائیة بکیّفیات متعدّدة کی تکون إسلامیة مرّة وغیر إسلامیة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یمکن أن تکون علی أنواع متعدّدة فیکون نوع منها إسلامیاً وأنواع أخری غیر إسلامیة؛ لکن إذا أتینا إلی الغایات، ولأنّه من الممکن أن تکون هناک عدّة أنواع من الغایات، فیمکن التحدّث فیها عن کونها إسلامیة أو غیر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أنّ هناک ضابطة وهی أنّه إذا لم یکن للشّیء أکثر من نوع واحد، فلا یصدق علیه أن نسمه مرّة بالإسلامی وأخری بغیر الإسلامی؛ فلا وجه للحدیث عن کونه مذهبیاً أو غیر مذهبی، لکن إذا أمکن حصول عدّة أنواع أو عدّة أطروحات لماهیة ما، فسیعقل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نقول صحیحاً علی وجه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کونه مذهبیاً أو غیر مذهبی، إسلامیاً أو غیر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المذکور یوضّح ذلک بشکل کامل، لأنّ عالم القیم وعالم الغایات عالم لا یمکن حدوث التّعدّد والتنوّع فیه، ففی تلک الحالة یمکنکم الکلام عن المذهبیة وغیر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ونتابع بحثنا بعد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إنّ العلم إمّا أن نعرّفه من خلال الموضوع، أو الغایة أو المنهج ولکلٍّ منها مقام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تحقّقی ووقوعی؛ أی من الممکن أن یکون التّعریف الواقعی لعلم ما غیر التّعریف الّذی عرضناه له فعلاً؛ وکذا المنهج الواقعی والصّحیح للعلوم فمن الممکن أن یکون غیر تلک المناهج الّتی نعدّها نحن صحیحة ونعمل بها؛ ومسألة الغایة أیضاً علی هذا المنوال؛ إذن فتوجد لدینا فی الحقیقة ستّ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الموضوع، مقولة المنهج ومقولة الغایة ویوجد لکلّ واحدة منها مقام ثبوت وکذا مقام ظهور أو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بحث المسألة فی کلٍّ من هذه المقولات</w:t>
      </w:r>
      <w:r>
        <w:rPr>
          <w:rFonts w:eastAsia="IRNazanin" w:cs="IRNazanin"/>
          <w:color w:val="111111"/>
          <w:sz w:val="28"/>
          <w:szCs w:val="28"/>
          <w:rtl w:val="true"/>
          <w:lang w:bidi="fa-IR"/>
        </w:rPr>
        <w:t>:</w:t>
      </w:r>
    </w:p>
    <w:p>
      <w:pPr>
        <w:pStyle w:val="Heading3"/>
        <w:numPr>
          <w:ilvl w:val="2"/>
          <w:numId w:val="1"/>
        </w:numPr>
        <w:rPr/>
      </w:pPr>
      <w:bookmarkStart w:id="343" w:name="__RefHeading___Toc283380_581953129"/>
      <w:bookmarkStart w:id="344" w:name="_Toc128"/>
      <w:bookmarkEnd w:id="343"/>
      <w:r>
        <w:rPr>
          <w:rtl w:val="true"/>
        </w:rPr>
        <w:t>حکم المسألة بلحاظ أصالة الموضوع</w:t>
      </w:r>
      <w:bookmarkEnd w:id="3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أنّه لیس من المناسب أن یوجد خلاف فی أنّ کلّ علم له موضوع معیّن فلا یکون موضوع العلم اختیاریاً</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فعلم معرفة الوجود أو معرفة الإنسان أو علم النباتات مثلاً له موضوع</w:t>
      </w:r>
    </w:p>
    <w:p>
      <w:pPr>
        <w:pStyle w:val="BookText"/>
        <w:rPr/>
      </w:pPr>
      <w:r>
        <w:rPr>
          <w:rFonts w:ascii="IRNazanin" w:hAnsi="IRNazanin" w:eastAsia="IRNazanin"/>
          <w:color w:val="111111"/>
          <w:sz w:val="28"/>
          <w:sz w:val="28"/>
          <w:szCs w:val="28"/>
          <w:rtl w:val="true"/>
          <w:lang w:bidi="fa-IR"/>
        </w:rPr>
        <w:t>محدّد وأنّ لهذا الموضوع المحدّد تعریفاً محدّداً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عرّفناه بشکل صحیح أم لا، أی أنّ الإنسان، لیس له تعریف إسلامی وغیر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موضوع محدّد وهذا الموضوع المحدّد ذو هیکل محدّد؛ فإذا عرفنا هذا الهیکل کما هو فعلاً، نکون قد وصلنا إلی التّعریف الحقیقی للإنسان، وللإنسان هذا أحکام وخصائص، وبتعبیر المناطقة عوارض ذاتیة محدّدة فإذا توصّلنا إلی تلک العوارض الذّاتیة، نکون قد أکملنا علم معرفة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لأن نقول بوجود نوعین من الإنسان؛ إنسان إسلامی وإنسان غیر إسلامی، أو نوعین لتعریف الإنسان؛ تعریف إسلامی وآخر غیر إسلامی، أو نوعین من العوارض الذّاتیّة للإنسان؛ عوارض ذاتیّة إسلامیّة وعوارض ذاتیّة غیر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سوی لنوع واحد ممّا تقدّم وضابطة ذلک أنّه إذا لم یکن لماهیة ما سوی نوع واحد فستنتفی بشکل کامل مسألة کونها أسلامیة ومذهبیة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الإنسان وأحکامه وعوارضه وکیفیته هی ذاتها قصّة الدّراجة الهوائیة وکما کان بدیهیاً فیها عدم وجود دخل للمذهبیة وغیر المذهبیة فیها، فالکلام ذاته یجری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أردنا بیان هذا الموضوع بشکل منطقی وموجز، فینبغی أن نقول بعدم وجود شیء له ماهیّتان ولأنّ التّعریف یقع علی الماهیّة، فلا یکون له تعریفان؛ وهذه الصیغة لا علاقة لها بالمذاهب والأیدیولوجیات وکیفیتها ومستقلّة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لو لم انواع هذه المقدّمات المنطقیّة واقتصرنا علی الرّجوع إلی العلوم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فإنّ تصدیق هذا المعنی غیر عصیّ علی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فالفیزیاء لها تعریف ومنهج ومسائل محدّدة ولدیها إجابات عن هذه المسائل فلو أراد مذهب من المذاهب تأسیس علم للفیزیاء فیجب علیه إقامته علی نفس هذا التّعریف لعلم الفیزیاء؛ لأنّه إذا أسّس علم بتعریف آخر فلن یکون ذلک العلم علم الفیزیاء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وتقوم هذه النّتیجة علی هذا الافتراض المنطقی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العلوم بتمایز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ذلک یمکن فی الحقیقة الادّعاء بشکل صریح وواضح ومنطقی بأنّه لیس لا توجد لدینا فیزیاء إسلامیة فحسب، بل لا یوجد لدینا علم اجتماع إسلامی أو فلسفة إسلامیة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لا یوجد لدینا علم اجتماعی إسلامی فقط، وإنّما لا یوجد لدینا علم اجتماع مسیحی أو شیوعی کذلک؛ یعنی أنّنا عندما قلنا بأنّ التّعریف واحد والماهیّة واحدة والموضوع واحد، فإنّ ذلک مستقلّ عن جمیع الأیدیولوجیات والمذاهب ونکون فی الحقیقة قد وهبنا التّعریف وموضوع العلم استقلالیة</w:t>
      </w:r>
      <w:bookmarkStart w:id="345" w:name="pg5231_29930"/>
    </w:p>
    <w:p>
      <w:pPr>
        <w:pStyle w:val="BookText"/>
        <w:rPr/>
      </w:pPr>
      <w:bookmarkEnd w:id="345"/>
      <w:r>
        <w:rPr>
          <w:rFonts w:ascii="IRNazanin" w:hAnsi="IRNazanin" w:eastAsia="IRNazanin"/>
          <w:color w:val="111111"/>
          <w:sz w:val="28"/>
          <w:sz w:val="28"/>
          <w:szCs w:val="28"/>
          <w:rtl w:val="true"/>
          <w:lang w:bidi="fa-IR"/>
        </w:rPr>
        <w:t>مقابل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معنی تدویل وتعمیم هویة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العلم واحد فی جمیع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الّذی ینتجه المسلمون من الفیزیاء والجزء الّذی ینتجه غیر المسلمین منها متّحد جمیعه وذو وحدة تعریفیة وترکیبة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فالأجزاء المختلفة لعلم الفیزیاء الّتی تُنتج فی نقاط مختلفة من العالم وفی ثقافات متعدّدة لا تتعارض ولا تتناقض ذاتیاً مع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جمیعاً یصنعون معاً علماً واحداً؛ لذا فلیس لدینا سوی فلسفة لا أکثر قد تمّ ذکر أبعاضها المتعدّدة من قِبل فلاسفة متعدّدین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تنتشر هذه الأبعاض المتعدّدة فی العرض الجغرافی فحسب بل إنّها تنتشر علی طول التّأریخ أیضاً؛ وبالطّبع لا یعنی هذا عدم وجود اختلاف فی الرّأی فی الفیزیاء أو نقض أو إثبات أو تأریخیّة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جمیعاً تمثّل لوازم وجود علمیٍّ باسم الفیزیاء ولها جمیعاً وحدة موضوع ویمثّل هذا الموضوع محوراً وعموداً وخیمة تستظلّ جمیعها به ویهبها وحدة وهویة واحدة</w:t>
      </w:r>
      <w:r>
        <w:rPr>
          <w:rFonts w:eastAsia="IRNazanin" w:cs="IRNazanin"/>
          <w:color w:val="111111"/>
          <w:sz w:val="28"/>
          <w:szCs w:val="28"/>
          <w:rtl w:val="true"/>
          <w:lang w:bidi="fa-IR"/>
        </w:rPr>
        <w:t>.</w:t>
      </w:r>
    </w:p>
    <w:p>
      <w:pPr>
        <w:pStyle w:val="Heading3"/>
        <w:numPr>
          <w:ilvl w:val="2"/>
          <w:numId w:val="1"/>
        </w:numPr>
        <w:rPr/>
      </w:pPr>
      <w:bookmarkStart w:id="346" w:name="__RefHeading___Toc283382_581953129"/>
      <w:bookmarkStart w:id="347" w:name="_Toc129"/>
      <w:bookmarkEnd w:id="346"/>
      <w:r>
        <w:rPr>
          <w:rtl w:val="true"/>
        </w:rPr>
        <w:t>حکم المسألة بلحاظ أصالة المنهج</w:t>
      </w:r>
      <w:bookmarkEnd w:id="3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عرّفنا العلم علی أساس المنهج ورأینا أنّ تمایز العلوم یقوم علی أساس تمایز مناهجها فسنصل إلی ذات النّتیجة؛ لأنّ المنهج هو أیضاً أمر غیر اختیاری، فلأجل أن نصل إلی حقیقة هل أنّ هذا الشّیء هو نتیجة لشیء آخر أم لا، لا نمتلک مناهج مختلفة، أمثال الاختیاریّة والاعتباریّة والتوافقیّة والإبداعیّة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العالم فی الحقیقة، یصل المقدّمات بالنّتائج من خلال طرق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فالمقدّمات فیه مولِّدة للنتائج والمنهج لیس شیئاً آخر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عبارة عن کشف هذا المعنی وهو کیف وبواسطة أیّ مسیر تنتهی المقدّمات إلی 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تکون المناهج معقّدة، لکنّها لیست شیئاً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نحن الّذین نصل المقدّمات بالنّتائج؛ لأنّنا فی هذه الحالة سنغرق کاملاً فی النّسبیة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 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ویعطی کلّ شخص منّا الحقّ لنفسه فی الوصول من مقدّمات معیّنة إلی النّتائج الّتی یرتضیها ممّا یعنی عدم حصولنا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فالمقدّمات فی العلم تمسک بزمام النّتائج ولا تدعنا نتّجه نحو الطّریق الّذی نرغبه وأن نأخذ أیّ نتیجة نرید من أیّ مقدّمة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 یقول لنا إنّ هناک طرقاً محدّدة للعبور من المقدّمة إلی النّتیجة فإذا اتّبعنا هذه الطّرق فسنصل إلی نتیجة صحیحة وإذا لم نتّبعها فستکون النّتیجة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یتولّد العلم لا یبقی أیّ مکان للمیول والأنانیة</w:t>
      </w:r>
      <w:r>
        <w:rPr>
          <w:rFonts w:eastAsia="IRNazanin" w:cs="IRNazanin"/>
          <w:color w:val="111111"/>
          <w:sz w:val="28"/>
          <w:szCs w:val="28"/>
          <w:rtl w:val="true"/>
          <w:lang w:bidi="fa-IR"/>
        </w:rPr>
        <w:t>.</w:t>
      </w:r>
      <w:bookmarkStart w:id="348" w:name="pg5231_29931"/>
    </w:p>
    <w:p>
      <w:pPr>
        <w:pStyle w:val="BookText"/>
        <w:rPr/>
      </w:pPr>
      <w:bookmarkEnd w:id="348"/>
      <w:r>
        <w:rPr>
          <w:rFonts w:ascii="IRNazanin" w:hAnsi="IRNazanin" w:eastAsia="IRNazanin"/>
          <w:color w:val="111111"/>
          <w:sz w:val="28"/>
          <w:sz w:val="28"/>
          <w:szCs w:val="28"/>
          <w:rtl w:val="true"/>
          <w:lang w:bidi="fa-IR"/>
        </w:rPr>
        <w:t>والمنهج الواحد یجب أن یکون جامعاً؛ أی یستوعب الجمیع تحت خیمته و أن تکون له مرجعیة و ذلک برجوع الجمیع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 یمکن أن یکون لنا سوی نموذج واحد للمنهج؛ فمنهج الفلسفة مثلاً هو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علّمنا الفلاسفة والمناطقة عدم إمکانیة أن یکون استنتاجنا صحیحاً من خلال المنهج التّمثیلی والمنهج الاستقرائی وأنّ منهج القیاس </w:t>
      </w:r>
      <w:r>
        <w:rPr>
          <w:rStyle w:val="FootnoteAnchor"/>
          <w:rtl w:val="true"/>
        </w:rPr>
        <w:footnoteReference w:id="82"/>
      </w:r>
      <w:r>
        <w:rPr>
          <w:rFonts w:ascii="IRNazanin" w:hAnsi="IRNazanin" w:eastAsia="IRNazanin"/>
          <w:color w:val="111111"/>
          <w:sz w:val="28"/>
          <w:sz w:val="28"/>
          <w:szCs w:val="28"/>
          <w:rtl w:val="true"/>
          <w:lang w:bidi="fa-IR"/>
        </w:rPr>
        <w:t>هو المنهج الوحید الصّحیح وأنّ القیاس الّذی یضع بین أیدینا نتیجة قطعیة خالدة یقتصر علی قیاس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یقوله الفلاسفة؛ لذا فالبرهان هو منهج الفلسفة؛ ولکنّنا لا نستطیع تحدید ماهیّة البرهان طبقاً لرغبتنا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نُخطئ فی تحدیده وتعریفه، فالمنهج البرهانی لیس سوی منهج واحد؛ ویعدّ غیره خطأ ومغالطّةً وإیقاعاً للنفس والآخرین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کان المنهج أمراً اختیاریاً، فإنّ النّتیجة ستکون 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هو الجواب القاطع لمن یعتقد بإمکانیة مزج القیم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الأمر هو أنّنا نستفید فی بعض موارد القرار واحتمالاً فی النّتائج وفی عرض المسألة من قیمنا، لکنّ المعنی الدقیق للقول بعدم امتزاج القیم والعلم، هو أنّنا یجب أن نحول دون تدخّل القیم فی المحلّ الّذی نستخدم فیه المنهج للاستنتاج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لأن نتوصّل إلی نتائج تتّفق ومیولنا وقیمنا؛ وإلّا فما فائدة المقدّمات حینها؟ فأنفسنا ومیولنا تتّجه بنا صوب ما تصبو إلیه؛ لکنّ المقرّر أن نلاحظ الصّوب الّذی تتّجه إلیه المقدّمات؛ ومن هنا، فلا یوجد فی الفلسفة سوی منهج واحد وهو المنهج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افترضنا جدلاً بطلان المنهج البرهانی وعدم قبوله، فمعنی ذلک عدم صحّته وصحّة منهج آخر؛ علی أیّ حال، لا یوجد فی مقام الثبوت والذات سوی منهج واحد صحیح، فإذا اکتشفناه، فلن یکون هناک إسلامی وغیر إسلامی، فعلی المسلمین أن یتّبعوا البرهان بالقدر الّذی یتّبعه غیرهم</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349" w:name="__RefHeading___Toc283384_581953129"/>
      <w:bookmarkStart w:id="350" w:name="_Toc130"/>
      <w:bookmarkEnd w:id="349"/>
      <w:r>
        <w:rPr>
          <w:rtl w:val="true"/>
        </w:rPr>
        <w:t>حکم المسألة بلحاظ أصالة الغایة</w:t>
      </w:r>
      <w:bookmarkEnd w:id="3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وتکتسی المسألة هنا نوعاً من الظّرافة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فلاسفتنا إنّ الغایة تابعة للموضوع؛ أی أنّ تعریف العلم من جهة الغایة یرجع فی الحقیقة إلی تعریف العلم بناءً علی الموضوع؛ لأنّ</w:t>
      </w:r>
    </w:p>
    <w:p>
      <w:pPr>
        <w:pStyle w:val="BookText"/>
        <w:rPr/>
      </w:pPr>
      <w:r>
        <w:rPr>
          <w:rFonts w:ascii="IRNazanin" w:hAnsi="IRNazanin" w:eastAsia="IRNazanin"/>
          <w:color w:val="111111"/>
          <w:sz w:val="28"/>
          <w:sz w:val="28"/>
          <w:szCs w:val="28"/>
          <w:rtl w:val="true"/>
          <w:lang w:bidi="fa-IR"/>
        </w:rPr>
        <w:t>الغایة غیر مستقلّة عن الموضوع؛ لأنّ الغایة غیر مستقلّة عن الموضوع؛ لذا فالعلوم الّتی لها وحدة موضوعیة، یعود التّعریف بالغایة فیها إلی التّعریف بالموضوع، إلّا إذا لم یکن للعلم وحدة موضوعیة من الأساس، أو بتعبیر آخر، لایوجد موضوع من الأساس؛ وتبرز أهمّیّة الغایة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 هذه العلوم یتمثّل فی العلوم النّظریّة کعلم أصول الفقه الّذی یعتقد الفقهاء والأصولیون ذاتهم بعدم وجود موضوع له ویدور نقاش وجدل حادّ حول موضوعه، بمعنی عدم وجود محور واحد له لتدور جمیع مسائله حول هذا المحور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فمسائل هذا العلم لها غرض واحد ویتمثّل هذا الغرض فی أن یکون للفقیه أداة محدّدة فی عملیّة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العلوم الّتی لها غایة وتفتقر إلی موضوع هی فی الحقیقة علوم آلیة؛ أی هی بمنزلة أداة یستفاد منها لغایات وأغراض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سبق وأن قلنا فی مثال الدّراجة الهوائیة إنّ الدّراجة ذاتها ورکوبها لا یمثّل قیمة إسلامیة أو غیر إسلامیة؛ لکن إذا ما استُفید منها بعنوانها أداة فسیکون لإسلامیة وعدم إسلامیة الطّریق والغرض الّذی لأجله استُفید منها،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حدیث الدّراجة الهوائیة معقولاً، فسیکون هنا معقولاً أیضاً، لیس فی العلوم الّتی تتضمّن موضوعاً، وإنّما فی العلوم الّتی تفتقد موضوعاً وتعرّف بالغایة والغرض ولها طبیعة أداتیة فبالإمکان حینها التحدّث فیها عن العلم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فقد توصّلنا هنا إلی تعریف مؤقّت لنوع من العلوم یمکن تعقّل کونها مذهبیّة وغیر مذهبیّة ألا وهی العلوم الآلیة؛ وإذا ما نظرنا إلی العلوم التّجربیّة فلعلّه یمکننا عدّ علم الطّبّ من مجموعة تلک العلوم الآلیة؛ لأنّ علی الطّبیب دراسة علوم متباینة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الأحیاء المجهریة، علم الصّیدلة، علم الأنسجة، علم وظائف الأعضاء، الکیمیاء الحیویة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لیستفید منه جمیعاً فی عملیّة تشخیص المرض وعلاجه؛ لذا فعلم الطّبیب لیس له موضوع واحد؛ لکنّ له غرض واحد ویتمثّل هذا الغرض باستفادة الطّبیب من مجموع هذه المعلومات لتشخیص المرض ومعالجة المریض</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المحتمل أن یعترض البعض ویقول فکما یمکن أن یکون لنا درّاجة هوائیة لغایات إسلامیة یمکن أیضاً أن یکون لنا طب إسلامی وعلم أصول إسلامی؛ لأنّنا قلنا إنّ الإسلامیة وعدم الإسلامیة تکون معقولة فی کلّ محلّ توجد فیه عدّة أنواع لماهیّة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علینا أن نلاحظ بأنّنا عندما نقول إنّ العلم لا موضوع له وإنّ الغرض والغایة تبعث علی أن تجتمع</w:t>
      </w:r>
    </w:p>
    <w:p>
      <w:pPr>
        <w:pStyle w:val="BookText"/>
        <w:rPr/>
      </w:pPr>
      <w:r>
        <w:rPr>
          <w:rFonts w:ascii="IRNazanin" w:hAnsi="IRNazanin" w:eastAsia="IRNazanin"/>
          <w:color w:val="111111"/>
          <w:sz w:val="28"/>
          <w:sz w:val="28"/>
          <w:szCs w:val="28"/>
          <w:rtl w:val="true"/>
          <w:lang w:bidi="fa-IR"/>
        </w:rPr>
        <w:t>مجموعة مسائل إلی جوار بعضها البعض لتحقّق هدف ذلک العالِم، فإنّنا نرید أن نقول فی الحقیقة بعدم وجود علم من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تتعاون عدّة علوم للوصول إلی غرض ما ولکلّ منها موضوعه الخاصّ ولا معنی للإسلامیّة و عدم الإسلامیّة هنا بسبب تضمّنها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أنّ العلم بلا موضوع هو أنّنا نأخذ فیه عدّة علوم مثل علم الأنسجة وعلم وظائف الأعضاء وعلم الأحیاء المجهریّة والّتی یتضمّن کلّ منها موضوعاً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علم الأحیاء المجهریّة هو المیکروبات وموضوع علم الطّفیلیات هو الطّفیلی وعلم وظائف الأعضاء بدن الإنسان وعمل هیئة البدن ولا تأتی مسألة الإسلامیّة وغیر الإسلامیّة فی جمیع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فالطّبیب یجمع کلّ هذه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یتضمّن کلّ منها موضوعاً وبسبب تضمّنها موضوعاً فهی خالیة ومستقلّة عن کونها 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یستفید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لدینا طب إسلامی؛ بمعنی أنّ الطّبیب یستفید من هذه المعلومات لمعالجة إنسان مسلم؛ ولکن هذا لیس مقوّماً للعلم؛ أی أنّ الاستفادة من علم الطّب فی طریق تحسین وضع مجتمع المسلمین، معناه أنّه علم عمومی، ولا یجعل ذلک منه إسلامیاً؛ وینبغی القول بأنّ استفادة المسلمین من الطّب؛ إنّما هو کاستفادتهم من الدرّاجة الهوائیة؛ لا تکون مقوّمة ومعرّفة لعلم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العلم فی ذاته وفی مقام الثّبوت له استقلال ذاتی عن المذاهب سواء عرّفناه بموضوعه أم بغایته أم بمنهجه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یخرج عن هذه الموارد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تعریفه ووصفه بأوصاف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صحیحاً من الأساس ولا یمکن أن یکون له أیّ وجه معقول؛ ولکنّ المسألة لا تنتهی عند هذا الحدّ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قلناه یتعلّق بمقام الثبوت؛ یعنی فی واقع الأمر وفی ذاته؛ وبتعبیر أسهل، إذا نظرنا إلی هذا العالم بعین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یخفی عنه شیء وانکشاف جمیع الموضوعات والتّعاریف له ولا یجد الخطأ طریقاً إلی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الحقیقة مجرّد علوم، ولا یمکن أن تصطبغ بصبغة إسلامیة أو غیر إسلامیة؛ لأنّه إذا إخذنا إیّ ماهیة فلا نجد لها أکثر من نموذج ولا یمکن أن تکون اثنتین کی تکون إحداهما مذهبیة والأخری غیر مذهبیة؛ لکن إذا نزلنا أکثر ونظرنا بعین الإنسان، الّذی یفتقد للعلم الإلهی ولیس هو سوی موجود تأریخی لا تظهر له الحقائق کما هی علی الدّوام، فإنّنا سنشاهد أخطاءً کثیرة فی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نقترب تدریجیاً من الواقعیات من خلال الظّنّ والتقریب والاحتمال، فنحن تأریخیون، إذن فعلمنا ومعرفتنا تشملهما التّأریخیّة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سیکون حکمنا وقضاؤنا إذا ما أخذنا عنصر التّأریخیّة بنظر الاعتبار؟</w:t>
      </w:r>
    </w:p>
    <w:p>
      <w:pPr>
        <w:pStyle w:val="BookText"/>
        <w:rPr/>
      </w:pPr>
      <w:r>
        <w:rPr>
          <w:rFonts w:ascii="IRNazanin" w:hAnsi="IRNazanin" w:eastAsia="IRNazanin"/>
          <w:color w:val="111111"/>
          <w:sz w:val="28"/>
          <w:sz w:val="28"/>
          <w:szCs w:val="28"/>
          <w:rtl w:val="true"/>
          <w:lang w:bidi="fa-IR"/>
        </w:rPr>
        <w:t>ولأجل تیسیر المطلب سنقوم بتعریف العلم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علی طول تأریخ تکوّنها لم توجد بهذا الشّکل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المناطقة المعتقدون بعلوم مثل الفیزیاء والفلسفة، فقد قاموا بتحلیلها فشاهدوا وجود موضوع ومنهج وغایة محدّدة لها، ولکنّ الحقیقة هی أنّه لم یقل أحد وفی أیّ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معلوماتنا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أُوجد علم فیزیاء بهذا التّعریف المحدّد وبهذا المنهج ولهذا الغرض، أو تشاور البعض وقالوا نرید إیجاد فلسفة من خلال هذا التّعریف وهذا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توجد العلوم تأریخیاً وفی مقام التّکوین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ظهور العلوم، قام المناطقة بالبحث فیها وتشریحها فاستخرجوا موضوعاتها ومناهجها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وهذا بالضبط شبیه قول الشعر واللغة فلم یحدث أن اجتمع نفر وقالوا نرید إحداث لغة عربیة وها هی ألفاظها وها هی قواعدها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فاللّغة توالدت ذاتیّاً فی أوساط النّاس وتشکّلت قواعدها شیئاً فشیئاً، أفعال حسب القاعدة وأخری شاذة، وظهر المجاز والحقیقة والشعر والنّثر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فتطوّرت وتکوّنت تأریخیّاً وحسب تعبیر هایک أنّها من العواقب اللاإرادیّة للسلوک ومن الأنظمة غیر المقصودة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الأنظمة غیر المقصودة دور عظیم فی الحیاة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واللغة هی أحد هذه الأمور المنظومة، لکنّ نظمها لم یصمّم عن سابق إصرار وإرادة فهو غیر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المؤسّسات الإجتماعیّة علی هذا المنوال أیضاً؛ أی أنّها تتوالد ذاتیّاً جزءاً جزءاً وتُصبح أنظمة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تأمّلتم أوائلها لم تلاحظوا وجود عزم علی إیجادها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إحدی المسائل الّتی تُطرح فی بحث التّنمیة الدّائمة هی أنّ التّنمیة کانت قد ظهرت فی أوساط الغربیّین بشکل غیر مدبّر وغیر مقصود؛ أی فیما لو عدنا إلی ما قبل قرنین من الزّمان لم نلاحظ اجتماع نفر فیما بینهم لیقولوا نرید إیجاد مجتمع تسوده هذه المؤسّسات بعد قرنین من الزّمان، فیه تلفون، کامبیوتر، علاقات النّاس تکون علی هذه الصّورة؛ فلم یحدث مثل ذلک مطلقاً فکلٌّ منهم یمارس عمله علی حدة وکلٌّ یبکی علی لیلاه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العالم یصلح ویُنظّم أیضاً؛ أی تکوّن هذا النّظام غیر المقصود من خلال ممارسة کلّ شخص عمله الخاصّ به؛ نظام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إحدی هذه الأنظمة الذاتیّة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شخص یطرح سؤاله الخاصّ، ولم یکن یرید أن یقول إنّ سؤالی یرتبط بالطّبیعیّات، الإلهیّات، الرّیاضیات، الفیزیاء، الکیمیاء أو الجیولوجیا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ذاتیّة وکثیرة ومتنوّعة جدّاً</w:t>
      </w:r>
    </w:p>
    <w:p>
      <w:pPr>
        <w:pStyle w:val="BookText"/>
        <w:rPr/>
      </w:pPr>
      <w:r>
        <w:rPr>
          <w:rFonts w:ascii="IRNazanin" w:hAnsi="IRNazanin" w:eastAsia="IRNazanin"/>
          <w:color w:val="111111"/>
          <w:sz w:val="28"/>
          <w:sz w:val="28"/>
          <w:szCs w:val="28"/>
          <w:rtl w:val="true"/>
          <w:lang w:bidi="fa-IR"/>
        </w:rPr>
        <w:t>تتفاعل فی الأذهان فی جمیع أنحاء العالم وحسب نوع مواجهة النّاس بعضهم للبعض الآخر وللطبیعة ثمّ تجری علی الألسنة فتتکوّن العلوم وتبوّب بشکل تدریجی؛ یعنی أنّ هذه الأسئلة تجتمع علی مرّ الزّمان حول موضوع معین بشکل ذاتی وتجد لها محوراً ووحدة وعلی هذا التّرتیب نری أنفسنا نواجه أسئلة موجَّهة ومموضعة بعد عشرة أو عشرین قرناً؛ بنحو نستطیع معه وضع مجموعة أسئلة فی رزمة واحدة ونقول إنّها تتعلّق بمحور واحد ونسمّیه علم الفیزیاء أو الکیمیاء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بالضّبط هو تحلیل الفیلسوف والمؤرخ العلمی، توماس کوهن لتأریخ العلم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لدینا دورة طبیعیّة للعلم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Normal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أی دورة استقرّ خلالها العلم وثبت منهجه وعُرّفت مسائله، وظهر العلماء، قاعات الدّراسة والکتاب، التّعلیم والتّعلم، الامتحان والدرجات؛ ولکن لدینا دورة غیر طبیعیّة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prenomal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العلماء حیاری فی هذه الدورة، أی أنّهم لا یعلمون علماء أیّ علم هم، ما اسم المطالب الّتی یعلمونها ولأیّ علم تنتمی، لا یعرفون الإجابة عن الأسئلة بشکل صحیح، السؤال نفسه غیر واضح لهم بتلک الدرجة، ویأتی السؤال غامضاً وظلامیّاً ومبهماً فی الأذهان أحیاناً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تحدّدت معالم جمیع ذلک بشکل تدریجی علی مدی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الأسئلة الفلسفیّة أو الأسئلة الّتی یطرحها الفلاسفة بهذا الشّکل الواضح والمتمیّز کما هی علیه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الفلسفة کما هی الیوم لما وُجد تأریخها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فإحدی معانی تأریخ الفلسفة هو تأریخ ظهورها وتمایز واتّضاح الأسئلة الفلسفیّة؛ فلقد اتّضح بالتّدریج حدّ الفیلسوف وما هی الأسئلة الّتی ینبغی أن یطرحها وما هو الموطئ الّذی ینبغی أن یضع قدمه فیه؛ والأمر ذاته ینطبق علی الکیمیاء والفیزیاء وسائر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کانت قصّة الکیمیاء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أنّ لی اطلاع أکثر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السّابع عشر والثّامن عشر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فالکیمیاء الآلیّة کانت علماً مبهماً وغائماً بشکل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أفق الکیمیائیّین بهذه الدّرجة من الوضوح الّتی أصبح علیها علم الکیمیاء بعد قرن من الزّمان، فلم یکونوا یعرفوا ما یفعلون، کان الوضع مشتّتاً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 یعمل بأسلوبه الخاصّ وفی مختبره الخاصّ وبمقدّماته الخاصّة ویستنتج نتائجه الخاصّة به ومنذ القرن الثّامن عشر فما بعد اجتمع هذا الشّتات جزءاً جزءاً وعلی الخصوص بعد اکتشاف النّظریّة الذرّیّة، حیث نری الیوم أنّ بإمکان الکیمیائیین التّعریف بهویّتهم وأن</w:t>
      </w:r>
    </w:p>
    <w:p>
      <w:pPr>
        <w:pStyle w:val="BookText"/>
        <w:rPr/>
      </w:pPr>
      <w:r>
        <w:rPr>
          <w:rFonts w:ascii="IRNazanin" w:hAnsi="IRNazanin" w:eastAsia="IRNazanin"/>
          <w:color w:val="111111"/>
          <w:sz w:val="28"/>
          <w:sz w:val="28"/>
          <w:szCs w:val="28"/>
          <w:rtl w:val="true"/>
          <w:lang w:bidi="fa-IR"/>
        </w:rPr>
        <w:t>یقولوا بملء أفواههم نحن کیمیائیّون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یحدث الیوم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نعرف ما هی العلوم الّتی تمرّ حالیاً فی مرحلة التکوّن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أسئلة تغلی فی الأذهان وتُطرح فی الکتب وقاعات الدّراسة والصّحف والمجلّات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یستطیع أحد أن یحدّد الآن ما العلم الّذی تختصّ به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العلم الّذی سیظهر مستقبلاً فتجتمع تحت لوائه؛ ولکن من یأتی فی القرنین الواحد والثّانی والعشرین سیلاحظ علوماً جدیدة قد غُرست جذورها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فطریقة تکوّن العلوم، هی تکوّن نظام ذاتی؛ نظیر تکوّن المؤسّسات الإجتماعیّة الأخری؛ فلا ینبغی علی الإطلاق تصوّر أنّ شخصاً ما عزم عالماً عامداً علی استخراج مسائل علم معیّن ووضع أسسه فتوصّل إلی تعریفه وتعریف موضوعه وبیّن منهجه وفرّع فروعه وطرح أسئلته، فأجاب عنها وألّف کتباً حوله، فیکون قد أوجد علما بهذه الصّورة وقدّمه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الوضع کذلک علی الإطلاق، وإنّما هو کالجنین أو الطّفل یکبر خطوة خطوة ومرحلة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لدینا مثل هذا الفهم والتّصوّر للتکوّن التأریخی للعلوم فسوف تُطرح مسألة المذهبیّة وعدم المذهبیّة بنحو آخر؛ إذاً فلا یوجد للعلوم سوی منطقتان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قسم الأسئلة، والقسم الآخر الإجابات الّتی أجیب بها عن تلک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الأسئلة تُطرح بشکل سیّال ثمّ تصحّح وتنقّح وتغربل، والأجوبة علی هذه الحال کذلک؛ لذا فعندما تنظرون إلی أیّ علم فإنّکم ترون نهراً جاریاً ترده أسئلة وأجوبة بشکل منتظم وتخرج منه أسئلة وأجوبة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نوع الارتباط الموجود بین هذه الأسئلة وأجوبتها هی الّتی تعطی هذا العلم تلک الوحدة التأریخیّة السیّالة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علم هو کذلک تأریخیّاً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الأمر کما تقدّم نعید ونکرّر هل أنّ سؤال المذهبیّة مطروح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العلوم مؤلّفة من قسمین أسئلة وأجوبة، فلا نبحث فی الأسس والموضوع والمنهج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یوجد سؤال مذهبی أم لا؟ وهل لدینا جواب مذهبی أم لا؟ حسناً، فإنّ أحد فلاسفة القرن العشرین الفرنسیین الّذی توفی قبل عدّة أعوام ویدعی اتین جلسون، له کتاب مهمّ جدّاً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فلسفة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طُرحت مسألة رئیسة فیه وهی هل أنّ لدینا فلسفة مسیحیّة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سعی للإجابة عن هذا السّؤال بطرق متعدّدة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بدورنا نستطیع کذلک أن نطرح هل أنّ لدینا فلسفة إسلامیّة أم لا، وقد سبق وأن أجبنا بنحو ما؛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یکون السّؤال أکثر اتّزاناً ودقّة وجذّابیّة، فقد طرحه بهذا النّحو وهو؛ فیما لو لم یوجد مسیحیون فهل أنّ الفلسفة ستسیر سیراً آخر أم لا؟ فنقل السّؤال من التّحلیل المنطقی إلی الدّراسة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السّؤال لا یختصّ بالفلسفة بطبیعة الحال</w:t>
      </w:r>
    </w:p>
    <w:p>
      <w:pPr>
        <w:pStyle w:val="BookText"/>
        <w:rPr/>
      </w:pPr>
      <w:r>
        <w:rPr>
          <w:rFonts w:ascii="IRNazanin" w:hAnsi="IRNazanin" w:eastAsia="IRNazanin"/>
          <w:color w:val="111111"/>
          <w:sz w:val="28"/>
          <w:sz w:val="28"/>
          <w:szCs w:val="28"/>
          <w:rtl w:val="true"/>
          <w:lang w:bidi="fa-IR"/>
        </w:rPr>
        <w:t>ویمکن طرحه بذاته فی مورد أیّ علم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المسلمون أو المسیحیّون، فهل أنّ الهندسة والفیزیاء والرّیاضیات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ستمرّ بنفس الطّریق الّذی مرّت به؟</w:t>
      </w:r>
    </w:p>
    <w:p>
      <w:pPr>
        <w:pStyle w:val="BookText"/>
        <w:rPr/>
      </w:pPr>
      <w:r>
        <w:rPr>
          <w:rFonts w:ascii="IRNazanin" w:hAnsi="IRNazanin" w:eastAsia="IRNazanin"/>
          <w:color w:val="111111"/>
          <w:sz w:val="28"/>
          <w:sz w:val="28"/>
          <w:szCs w:val="28"/>
          <w:rtl w:val="true"/>
          <w:lang w:bidi="fa-IR"/>
        </w:rPr>
        <w:t>فما نجیب به عن هذا السّؤال، هو الّذی سیعیّن إلی حدّ ما تأریخیّة هذه العلوم وکیفیّة توصُّلنا إلی طبیعة تأثیر المذهب والأیدیولوجیّة فی تکوّن العلوم وماهیّة فهمنا وتصوّرنا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فی البحث السّابق العلاقة المنطقیّة القائمة بین المذهب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هنا عن العلاقة التأریخیّة؛ أی ما هی العلاقة الموجودة فیما بینهما فی السّیر التأریخی لهذه العلوم؟</w:t>
      </w:r>
    </w:p>
    <w:p>
      <w:pPr>
        <w:pStyle w:val="BookText"/>
        <w:rPr/>
      </w:pPr>
      <w:r>
        <w:rPr>
          <w:rFonts w:ascii="IRNazanin" w:hAnsi="IRNazanin" w:eastAsia="IRNazanin"/>
          <w:color w:val="111111"/>
          <w:sz w:val="28"/>
          <w:sz w:val="28"/>
          <w:szCs w:val="28"/>
          <w:rtl w:val="true"/>
          <w:lang w:bidi="fa-IR"/>
        </w:rPr>
        <w:t>ویتمثّل جواب السّید جلسون بالتّقریب التّالی وهو لو لم تکن المسیحیّة والکلام المسیحی، ولو لم یکّن الجدّ والجهد الّذی بذله متکلّمو المسیحیّة لتحلیل عقائدهم عقلانیّاً ولو لم یکن جهدهم للدّفاع العقلانی عن مواقفهم العقائدیّة، لاتّخذت الفلسفة تأریخاً وطریقاً ومضموناً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لأیّ تنافٍ بین هذا الکلام وما قلناه سابقاً من أنّ الفلسفة مستقلّة عن المذهب ولا یمکن وجود فلسفة إسلامیّة ومسیحیّة بالمعنی المنطقی؛ لأنّ هناک قطباً یرتبط بمقام التّکوین التأریخی وآخر یرتبط بمقام التّولید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مقام التّولید المنطقی هو نفسه الّذی ذکرناه؛ لکنّ مقام التکوین التأریخی یختلف لأنّ المسیحی یطرح سؤاله بنحو ینسجم وذهنیّته الممتزجة بنوع من العقائد والمسلم یطرح سؤاله بشکل آخر ینسجم وذهنیّته المعتادة والممتزجة بنوع آخر من الأسئلة والمخاوف، وبما أنّ العلم هو مجموعة من الأسئلة والأجوبة ولم یُعَد ویصنع مسبقاً ولیس لدینا فلسفة وفیزیاء سماویّة بل إنّ الفلسفة والفیزیاء هی هذه الّتی أنتجها الفلاسفة والفیزیاویون وابتدأ کلّ منهم بطرح سؤال إلی أن وجدوا جوابه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یمکن أن نقول بأنّه إذا قصد شخص ما جانباً خاصّاً فی مقام تولید السّؤال وکانت هناک أسئلة معیّنة یرید طرحها، فالعلم الّذی یأتی تبعاً لتلک الأسئلة سیکون مختلفاً من حیث الأسئلة عمّا لقوم آخرین من أسئلة ومخاوف أخری ولا یوجد أدنی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ولنأخذ المشاکل بدل الأسئلة، فإذا کان لدینا نوع من المشاکل فی العلوم الآلیّة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الّتی نستخدمها لحلّ مشاکلنا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لقوم آخرین یعیشون فی مکان آخر مشاکل أخری، فمن الطّبیعیّ أنّنا سنکتشف علوماً تطبیقیّة مختلفة عمّا لدیهم لحلّ مشاکلنا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فمن الممکن أن تکون العلوم مختلفة من حیث الأسئلة، وأن تکون مذهبیّة وغیر مذهبیّة،</w:t>
      </w:r>
    </w:p>
    <w:p>
      <w:pPr>
        <w:pStyle w:val="BookText"/>
        <w:rPr/>
      </w:pPr>
      <w:r>
        <w:rPr>
          <w:rFonts w:ascii="IRNazanin" w:hAnsi="IRNazanin" w:eastAsia="IRNazanin"/>
          <w:color w:val="111111"/>
          <w:sz w:val="28"/>
          <w:sz w:val="28"/>
          <w:szCs w:val="28"/>
          <w:rtl w:val="true"/>
          <w:lang w:bidi="fa-IR"/>
        </w:rPr>
        <w:t>ولکن ینبغی علینا التّوقّف الآن لنری وزن هذا الحکم وحدود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جعلنا کلّ شیء هنا یدور مدار السّؤال، لکنّ الأمر لیس کذلک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فأوّلاً، إنّ للعلم أجوبة ولأنّ الأجوبة إنّما هی بیان للواقعیّات فی کلّ الأحوال، فهی مستقلّة عن المذهب؛ فلا وجود لأکثر من جواب لکلّ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الأمر أنّ لکلّ سؤال عشر إجابات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 أحد هل أنّ الأرض کرویّة أم لا، فمن الممکن أن یکون سؤاله ناشئاً من خلال الاتّجاه الخاصّ الّذی یحمله؛ ولا یسأل شخص آخر مثل هذا السّؤال؛ إذاً فهناک فرق بین أسئلة الاثنین، لکنّ الإجابات لا تختلف فی ذلک؛ فالأرض إمّا أن تکون کرویّة أو غیر کرویّة، فلیس لهذا السّؤال عشرة أجوبة کی یکون بعضها إسلامیّاً والبعض الآخر غیر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فنکون مستقلّین عن المذهب فی الحصول علی جواب؛ إذاً فقسم الإجابات فی العلوم عارٍ عن المذهب؛ فإذا کان بالإمکان ارتباط قسم الأسئلة بالأفکار المذهبیّة، فقسم الأجوبة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 هو أنّنا نمتلک المنهج المناسب للحصول علی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الإجابة عن أیّ سؤال بأیّ أسلوب نودّه ونتمنّاه فینبغی أن نجیب بأسلوب محدّد کی یکون جوابنا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الجواب صحیحاً فیجب أن یتمّ نقده بأسلوب محدّد؛ لذا فقسم المناهج فی العلوم عارٍ عن المذهب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فإذا راعینا السیر التکوینیّ التأریخیّ للعلوم، فسنلاحظ أنّ الأسئلة تظهر بشکل عفویّ مطلق ثمّ تأتی الإجابات ثمّ تبوّب هاتین العملیتین تبویباً تأریخیاً ثم تجد صورتها وقالبها بالتّدریج وتظهر علی شکل علم مستقلّ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وإن أعطینا الأسئلة صبغة مذهبیة فی سیرها التّکوینیّ التّأریخیّ، فلن تتّخذ الإجابات ولا المناهج وجهاً مذهبیّاً، إذاً فهذا تعبیر آخر عن قولنا بأنّ العلوم غیر مذهبیّة فی مقام الحکم، ولکنّها یمکن أن تکون متأثّرة بالمذهب فی مقام التّشکّل والّذی یعدّ تجمیع الأسئلة وإعدادها أحد نماذجه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مورد السّیر التّکوینیّ التّأریخیّ الّذی یعود فی الحقیقة إلی مقام الإثبات، فمجموع ما قلناه هو أنّنا إذا أمعنا النّظر فی المعارف والحقائق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فیها مذهبیّة وغیر مذهبیّة؛ ولکن لأنّ الحقائق والمعارف لیست فی متناولنا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فبإمکان المذاهب والأیدیولوجیات التأثیر علینا فی طرح الأسئلة وإعطاء الفرضیّات والّتی ترتبط جمیعها</w:t>
      </w:r>
    </w:p>
    <w:p>
      <w:pPr>
        <w:pStyle w:val="BookText"/>
        <w:rPr/>
      </w:pPr>
      <w:r>
        <w:rPr>
          <w:rFonts w:ascii="IRNazanin" w:hAnsi="IRNazanin" w:eastAsia="IRNazanin"/>
          <w:color w:val="111111"/>
          <w:sz w:val="28"/>
          <w:sz w:val="28"/>
          <w:szCs w:val="28"/>
          <w:rtl w:val="true"/>
          <w:lang w:bidi="fa-IR"/>
        </w:rPr>
        <w:t>بمقام التجمیع؛ ولکن عندما تصل النوبة إلی الجواب والمنهج، فلأجل تهیئة الإجابات ونقدها، الّذی هو مقام الحکم، فلا وجود للمذهب عند ذاک ولا یمکن أن یکون لنا علماً مذهبیّاً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الجواب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ولأجل أن نضمّ إلی هذا البحث المنطقی الجاف إلی حدّ ما بحثاً تأریخیاً ممتلئاً طراوة وحیویّة نطرح بعض النقاط الّتی جاءت علی لسان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کتاب بعنوان الإسلام والعلم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and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تألیف أحد الفیزیائیّین الباکستانیّین ویدعی کودلو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الکتاب یعدّ إلی حدّ ما کتاباً نقدیّاً لأسلمة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الأفضل لمن یبحث فی هذا المجال مطالعة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فالکاتب فیزیاوی ولا یمتلک معلومات إسلامیّة کافیة وهو لا یدّعی شیئاً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هلِع ومتأثّر جدّاً من بعض التّحرّکات الّتی تدور حول أسلمة العلم فی باکستان وقد قام بکتابة هذا الکتاب لأجل ذلک، کی یقوم بالتّعریف بالأعمال والمساعی الّتی بذلت فی هذا النطاق أوّلاً وتدوین انتقاداته بخصوصها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وصل ضیاء الحقّ إلی السلطة إثر انقلاب عسکری عام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بعدّة أعمال؛ ومن جملتها محاولة أسلمة کلّ شیء، أسلمة الجامعات، أسلمة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أحد التّقاریر الّتی جاءت فی هذا الکتاب، فإنّ حرکته کانت واسعة جدّاً، وأنّ بعض الأعمال الّتی مورست خلالها لم تکن خالیة من شباهة بعض الأسئلة الّتی تُطرح علی طلبتنا هنا لقبولهم فی 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نفسها قصّة وحدة التّجربة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النّوع من الأسئلة الّتی انتهت إلی أن یتّخذ الإمام الخمینی قدس سره موقفاً تّجاهها وألغی من خلالها نظام القبول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تقریراً فیه بأنّهم یطرحون علی الّذین یریدون دخول الجامعة أسئلة أمثال اذکر الأدعیة الّتی تُقرأ فی القنوت، اذکر أسماء زوجات النّبیّ صلی الله علیه و آله وأشباه تلک الّتی یُطرح بعضها هنا، ولکنّها فی باکستان کانت قد اتّخذت منحاً لا مثیل له لوجود مسألة أسلمة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 علی ذکر أسماء فیزیاویّین قاموا بعقد مؤتمر فی باکستان ووجّهوا دعوات عالمیّة للمشارکة فیه وتحدّثوا فیه عن المعجزات العلمیّة فی القرآن ووسّعوا دائرة البحث إلی أسلمة الفیزیاء وسائر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مسألة قیاس درجة حرارة جهنّم إحدی المسائل الّتی أوردها فیه وقد قاموا بالتّعاقد مع من یأخذ علی عاتقه متابعة مسألة أسلمة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محاولة التوصّل إلی التّرکیب الکیمیاویّ للجنّ الّذی یبیّن مادّة صنع هیاکلهم من المسائل المطروحة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فیه مسألة أخری تتعلّق باقتراح بعض الفیزیائیین اکتشاف طریق یمکنهم من خلاله الاستفادة من طاقة الجنّ بما أنّهم من جنس النّار وبما أنّ النّار طاقة وذلک لتعویض النّقص الموجود فی مصادر الطّاقة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یمثّل هذا الکتاب مجرّد تقریر حول هذا النّوع من الأسلمة وهذا النّوع من الفکر الإفراطی المنحط فی هذا المجال؛ فقد ذکر ذلک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تطرّق إلی ذکر السّید حسین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السّید ضیاء الدّین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یتبنّیان مفهوماً خاصّاً عن أسلمة العلم ویری بأنّهما وبالمفهوم الّذی یریانه لا یقدّمان خدمة إلی العلم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عبارة عن عبد السلام، الفیزیائی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علم فی العالم الرّاهن أکثر انحطاطاً منه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أعقبها بتوضیحات للسیّد نصر وآخرین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السّید ضیاء الدّین سردار من الأشخاص المقلّدین ولیس من أصحاب الرأی؛ ولکنّ الدّکتور نصر بذل جهوداً فی هذا المجال وانتظی سیفه وقلمه لسنوات وقد توصّل إلی آراء خاصّة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رأی السّید نصر، الّذی له أتباع فی إیران، وأمثاله بأنّ منشأ العلوم الغربیة علمانی ولا یمکن اجتماعها مع الإسلام 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 الدّکتور نصر وأضرابه مقبول من جهة ومرفوض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بخصوص کون منشأ العلوم علمانی فلا تقبل الجمع مع الإسلام وعلی المسلمین عدم التّعاطف معها ویجب علیهم اتّخاذ طریق غیر طریقها لعدم إمکان أن نکون سوداً وبیضاً فی ذات الوقت فالحفاظ علی الرّؤیة الکونیّة الدّینیّة والإسلامیّة لا یمکن أن یجتمع مع الحفاظ علی الرّؤیة الکونیّة العلمیّة العلمانیّة وکلّ ما حاولنا الوصل بینهما فلابدّ أن ینفصلا یوماً ما ولذا لا فائدة فی بذل مثل هذا الجهد؛ فإنّ ذلک یعتبر نتیجة غیر مناسبة وغیر مقبولة بالطّبع وتتغذی علی مبادئ فکریّة غیر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فالمبادئ الفکریة غیر المناسبة الّتی عرضتها، لها مؤیّدون وأتباع فی بلادنا ومجتمعنا؛ لکنّ نتیجتها المناسبة تتمثّل بعدم وجود علم إسلامی لدینا علی أیّ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أن یقول البعض بما أنّ هذا العلم علمانی فهو غیر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یمثّل دلیلاً صحیحاً، ولکنّ تلک النّتیجة صحیحة بالطّبع؛ أی لا ینبغی علیکم ولأیّ سبب کان السّعی لصنع شیء من قبیل علم إسلامی من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عندما نصدر مثل هذا الحکم الکلّی، فستکون دائرته أوسع</w:t>
      </w:r>
    </w:p>
    <w:p>
      <w:pPr>
        <w:pStyle w:val="BookText"/>
        <w:rPr/>
      </w:pPr>
      <w:r>
        <w:rPr>
          <w:rFonts w:ascii="IRNazanin" w:hAnsi="IRNazanin" w:eastAsia="IRNazanin"/>
          <w:color w:val="111111"/>
          <w:sz w:val="28"/>
          <w:sz w:val="28"/>
          <w:szCs w:val="28"/>
          <w:rtl w:val="true"/>
          <w:lang w:bidi="fa-IR"/>
        </w:rPr>
        <w:t>جدّاً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فحدیثه فی هذا الکتاب یتلخّص فی أنّ جمیع المساعی الّتی بذلت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لأجل أسلمة العلوم، إمّا أن تکون جاءت من خلال هذه السّلوکیّات والکلمات الإفراطیّة والصّبیانیّة غیر الصائبة،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کتعیین درجة حرارة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لا تؤدّی إلی أیّ نتیجة متوخّاة وتبقی مجرّد حدیث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تحدّث عنه ذلک الفیزیائی ولا أرید التّوسّع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 السّید عبد السّلام مقدّمة حادّة لهذا الکتاب وقد استخدم تعبیراً خاصّاً فیها مفاده؛ إذا لم نقل بأنّ الّذی یفعله أمثال الدّکتور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والمجتمعات الإسلامیّة من خلال ترویج مثل هذه الأفکار من أنّ العلم علمانی بذاته ویتنافی والفکر الدّینی وأنّ علی المسلمین أن یتعاطوا معه ببرود وأن لا یتعاطفوا معه ولا یرحبوا به بحرارة لیستفیدوا منه، مع أنّهم لیس لدیهم بدیلاً یعوّضون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یتطرّق هؤلاء حتّی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معلوماتی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إذا کان منشأ هذه العلوم علمانی وإذا لم یکن من الممکن أن تجتمع مع الإسلام وإذا لم تناسبنا فی جمیع الأحوال، فمن أین نأتی إذاً بما یناسبنا وکیف ینبغی علینا تولید العلم المطلوب وبأیّ أسلوب، ومن أیّ تعریف وأیّ موضوع یمکننا أن نستفید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الأسئلة الملحّة غیر موجودة فی کلامهم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البعض فی بلادنا یتحدّث علی الدّوام عن غربنة العلوم فقد کان لهم الوضع ذاته ولم یتطرّقوا أبداً إلی العمل الّذی ینبغی أن نقوم به فیما لو کانت هذه العلوم سیّئة وغیر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هؤلاء الأفراد یشترکون فی رأی واحد فی الحقیقة؛ ولم یأت الکاتب علی ذکر ذلک ولکنّی أعرضه هنا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التّأریخی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هؤلاء الکتّاب لهم هذا الرّأی وهو أنّ المصائب الّتی نزلت علینا لم تأتِ من خلالنا ولا یتمّ رفعها عن طریقنا ولا نستطیع عمل أیّ شیء تّجاهها سوی الأنین، فلا یوجد أیّ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فالید الّتی جاءت بهذا البلاء هی الّتی یجب علیها 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نستطیع نحن بالخصوص فعل أیّ شیء تّجاه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بإمکاننا تغییر مجری التّأریخ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موجود عظیم یحیط بنا، بدل أن نحیط نحن به ولذا ینبغی علینا التحمّل ونقول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العطّار ما أفسد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هو مطروح فی ساحتنا فعلاً، لننتظر ونری ما تصل إلیه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أُسّس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فی أمریکا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العالمی للفکر الإسلامی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Institue for Idlamic Thought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والعمل الرئیسی الّذی یضطّلع به هذا المعهد هو أسلمة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هذا المعهد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ندوة مفصّلة فی باکستان واشترک فیها جمع کثیر من مفکّری العالم الإسلامی ومن جملتهم السّید إسماعیل الفاروقی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طبع مقالاتها الّتی اشتملت علی مقالات مفصّلة جدّاً فی مجال أسلمة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هناک مقالة رئیسة للسید الفاروقی ومقالة أخری للسیّد عبد الحمید أبو سلیمان اللذان یعتبران من أشهر المشارکین وهناک آخرین إلی جانبهم عنونوا مقالاتهم تحت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طرحوا خلاصّة ذلک فی کتیّب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بنسخة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أعرض تقریراً لرأی هؤلاء المفکّرین والمتوجّعین بخصوص هذه المسألة، أری من اللّازم قراءة بعض النّقاط الّتی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هی الإشکالیّة الموجودة فی العلوم الإنسانیّة الغربیّة ولمَ یجب أسلمتها؟</w:t>
      </w:r>
    </w:p>
    <w:p>
      <w:pPr>
        <w:pStyle w:val="BookText"/>
        <w:rPr/>
      </w:pPr>
      <w:r>
        <w:rPr>
          <w:rFonts w:ascii="IRNazanin" w:hAnsi="IRNazanin" w:eastAsia="IRNazanin"/>
          <w:color w:val="111111"/>
          <w:sz w:val="28"/>
          <w:sz w:val="28"/>
          <w:szCs w:val="28"/>
          <w:rtl w:val="true"/>
          <w:lang w:bidi="fa-IR"/>
        </w:rPr>
        <w:t xml:space="preserve">وتُطرح هذه المسألة فی بحوثهم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العلوم إنّما تعکس قیم الغرب ومفاهیمه ومعتقداته وغایاته وتتشکّل بالتّالی علی تلک الأسس الغربیة مختلف وجوه السلوک والنّشاطات والمؤسّسات الإجتماعیّة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فهذه خلاصّة ما فی هذا الباب والّتی تفسّر بدقّة سبب عدم إسلامیّة العلوم الغربیّة وبالتالی ما یدعو إلی ضرورة أسلمتها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الکاتب هنا أربع مقولات؛ القیم والمفاهیم والمعتقدات والغایات الغربیّة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تمثّل جمیع تلک البحوث الّتی أُنجزت فی ذلک المؤتمر فی عام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المقولات الأربع الّتی تنعکس فی العلم الغربی، قد نفذت فیه وامتزجت به بشکل کامل فجعلته غربیّاً بامتیاز ولأجل هذا، ینبغی خلع الغربیّة عنه حسب تعبیر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العلم هو منشأ العمل والأثر، فعندما یمتزج ویختلط بغایات ومفاهیم ومعتقدات وقیم غربیّة، فسیکون العمل مطابقاً له ومنظّماً وفقه أیضاً؛ إذن فإذا أردنا أسلمة العلوم حسب التّعریف الحاصل فینبغی استبدال تلک المقولات الأربع فیه، أی یجب القیام بصناعة علم وفقاً للقیم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ذلک القیام بطرح أسئلة تنسجم وأسسنا القِیمیّة ومخاوفنا وآلامنا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تجری قیمنا فی أسئلتنا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کیف سیکون الموقف مع المفاهیم؟ یجب علینا إبداع فرضیات طبقاً للمفاهیم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نقطة أساسیّة جدّاً وسأورد کتابات شخص آخر فی هذا المجال إن سنحت الفرصة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فإبداع</w:t>
      </w:r>
    </w:p>
    <w:p>
      <w:pPr>
        <w:pStyle w:val="BookText"/>
        <w:rPr/>
      </w:pPr>
      <w:r>
        <w:rPr>
          <w:rFonts w:ascii="IRNazanin" w:hAnsi="IRNazanin" w:eastAsia="IRNazanin"/>
          <w:color w:val="111111"/>
          <w:sz w:val="28"/>
          <w:sz w:val="28"/>
          <w:szCs w:val="28"/>
          <w:rtl w:val="true"/>
          <w:lang w:bidi="fa-IR"/>
        </w:rPr>
        <w:t>الفرضیّات یرتکز علی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والمفاهیم سیّالة وطیّارة ویرتبط الأمر بما تمسکه منها وتقوم بالاستفادة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الاختبار والاستفادة الّذی یعدّ من الأسالیب التّجربیّة والفلسفیّة یأتی بعد ذلک فی مرتبة لاحقة بطبیعة الحال ولا توجد فیه مذهبیة وغیر 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نتحدّث عن مقام التّکوین، وهذه جمیعها تتعلّق بمقام الکشف والجمع ولا یعود أیّ منها إلی مقام الحکم، إذن، فنستفید من المفاهیم الدّینیّة فی إبداع النّظریّات ومن القیم الدّینیّة فی طرح الأسئلة ومن الغایات الدّینیّة فی استعمال وتدوین بعض العلوم الّتی تفتقد إلی موضوع؛ وعلی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قلناه سابقاً والّذی یتطابق والرّأی الّذی جاء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لدینا علم إسلامی ومذهبی؛ ولکن علماً مذهبیّاً عامّ الحکم وشامل عالمی الأسالیب حسب ما عرضته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یکون الحدیث مکتملاً أکثر، فسأذکر من هذا الکتیّب رؤیة کتّابه لطریق الأسلمة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یجب أن یکون الفرد متمکّناً من العلوم الإسلامیّة أو حسب تعبیرهم المواریث الإسلامیّة؛ ثانیاً، یجب أن یکون أیضاً متمکّناً من العلوم الحدیثة؛ ثالثاً، یجب أن یکون مطّلعاً تماماً علی مشاکل العالم الإسلامی؛ ورابعاً، أن یکون مبدعاً مبتکراً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فتأسیس العلوم الإسلامیّة یمرّ عبر هذه المراحل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یکون قدیراً فی العلوم الدّینیّة وفی العلوم الحدیثة وعلی درایة بمشاکل العالم الإسلامی وقادراً علی إبداع الفرضیّات فسیکون باستطاعته الوصول إلی تأسیس علوم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ما نقرأه هنا کلام للسید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کتاب بعنوان الإسلام والعلمانیّة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ویشتکی فیه ابتداءً من قیام البعض بسرقة أطروحته؛ ولکنّ حدیثه الأساسی بخصوص أسلمة العلم أورده بالابتداء بالقول بوجوب صبّ العلوم فی قالب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التّعبیر الشّاعری والتّذوّقی لا یوفّر لنا مطلباً دقیقاً؛ لکنّه فی مقام التّطبیق، یفصل بین الواقع وتفسیر الواقع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 and Interpretation of fact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فلدینا فی العلم واقع وحقیقة نحاول اکتشافها ومن ثمّ نقوم بتفسیر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 بعدم وجود أیّ مشکلة فی مقام الواقع ولا یتمّ البحث فیه عن ما هو إسلامی وما هو غیر إسلامی؛ ولکن فی مقام تفسیر الحقائق یأتی مبحث الإسلامی وغیر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الاستفادة من النّظریّات لتفسیر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نسعی للوصول إلی تفسیر للمقولات الدّینیّة فی الأثناء وترک المقولات الخاصّة بالثّقافات الغربیّة، أمثال النزعة الإنسانیّة وإثنیّة الحقّ والحقیقة وأشباهها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مثل هذه الخطابات إجمالیّة نوعاً ما،</w:t>
      </w:r>
      <w:bookmarkStart w:id="351" w:name="pg5231_29944"/>
    </w:p>
    <w:p>
      <w:pPr>
        <w:pStyle w:val="BookText"/>
        <w:rPr/>
      </w:pPr>
      <w:bookmarkEnd w:id="351"/>
      <w:r>
        <w:rPr>
          <w:rFonts w:ascii="IRNazanin" w:hAnsi="IRNazanin" w:eastAsia="IRNazanin"/>
          <w:color w:val="111111"/>
          <w:sz w:val="28"/>
          <w:sz w:val="28"/>
          <w:szCs w:val="28"/>
          <w:rtl w:val="true"/>
          <w:lang w:bidi="fa-IR"/>
        </w:rPr>
        <w:t>لکنّها توضّح بأنّ عموم الأفکار الّتی طُرحت فی هذا المجال فی العالم الإسلامی ترتبط بالعلوم الّتی تختصّ بالنّطاق البشری؛ لکنّ العلوم الّتی نأخذها بصورة مباشرة من النّصوص الدّینیّة کالفقه والأخلاق فإنّ تکلیفها واضح ومن السّهولة بمکان إمکانیّة نسبتها إلی الإسلامیّة وغیر الإسلامیّة</w:t>
      </w:r>
      <w:r>
        <w:rPr>
          <w:rFonts w:eastAsia="IRNazanin" w:cs="IRNazanin"/>
          <w:color w:val="111111"/>
          <w:sz w:val="28"/>
          <w:szCs w:val="28"/>
          <w:rtl w:val="true"/>
          <w:lang w:bidi="fa-IR"/>
        </w:rPr>
        <w:t>.</w:t>
      </w:r>
    </w:p>
    <w:p>
      <w:pPr>
        <w:pStyle w:val="Heading3"/>
        <w:numPr>
          <w:ilvl w:val="2"/>
          <w:numId w:val="1"/>
        </w:numPr>
        <w:rPr/>
      </w:pPr>
      <w:bookmarkStart w:id="352" w:name="__RefHeading___Toc283386_581953129"/>
      <w:bookmarkStart w:id="353" w:name="_Toc131"/>
      <w:bookmarkEnd w:id="352"/>
      <w:r>
        <w:rPr>
          <w:rtl w:val="true"/>
        </w:rPr>
        <w:t>سؤال وجواب</w:t>
      </w:r>
      <w:bookmarkEnd w:id="353"/>
    </w:p>
    <w:p>
      <w:pPr>
        <w:pStyle w:val="BookText"/>
        <w:rPr/>
      </w:pPr>
      <w:r>
        <w:rPr>
          <w:rFonts w:ascii="IRNazanin" w:hAnsi="IRNazanin" w:eastAsia="IRNazanin"/>
          <w:color w:val="111111"/>
          <w:sz w:val="28"/>
          <w:sz w:val="28"/>
          <w:szCs w:val="28"/>
          <w:rtl w:val="true"/>
          <w:lang w:bidi="fa-IR"/>
        </w:rPr>
        <w:t>إنّ قیاس العلوم الطّبیعیّة مع العلوم الإنسانیّة قیاس مع الفارق</w:t>
      </w:r>
    </w:p>
    <w:p>
      <w:pPr>
        <w:pStyle w:val="BookText"/>
        <w:rPr/>
      </w:pPr>
      <w:r>
        <w:rPr>
          <w:rFonts w:ascii="IRNazanin" w:hAnsi="IRNazanin" w:eastAsia="IRNazanin"/>
          <w:color w:val="111111"/>
          <w:sz w:val="28"/>
          <w:sz w:val="28"/>
          <w:szCs w:val="28"/>
          <w:rtl w:val="true"/>
          <w:lang w:bidi="fa-IR"/>
        </w:rPr>
        <w:t>لم أُعمل القیاس هنا أبداً، وقد أخذت الاختلافات فیما بین العلوم فی الحسبان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أنّی تطرّقت إلی ذکر الفلسفة الّتی تختلف عن العلوم الطّبیعیّة التّجربیّة أکثر ممّا تختلف عن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تناولت البحث بشکل عامّ جدّاً ومشترک، کی یکون حکمنا وقضاؤنا کلّیاً ومرتبطاً بجمیع أنواع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الدّخول فی جمیع هذه الفروع، فسیکون البحث مطوّلاً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قالوا إنّ تأریخ العلوم الإنسانیّة طویل جدّاً وکثیر التّذبذب والاضطراب، لم یتّفقوا علی تعریف بشأنها وحتّی أنّ تحدید موضوعها لم یستقرّ بشکل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أوافق علی جمیع ما تقدّم؛ ولکنّ ما أردت قوله یتمثّل فی أنّه علی افتراض أنّ موضوعها محدّد وعلمیته ثابتة وأنّه قد تمّ تعریف مناهجها بشکل کامل، علی ما هو موجود من الشّکوک الّتی تطلق بشأنها، فعلی افتراض ثبوتها، أی حتّی فیما لو تُوصِّل إلی منهجها واتُّفق علی تعریفها وعُیّنت حدودها، فسیکون الحکم فی هذه الحالة هو ذاته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استصغاراً ولیس استسهالاً کذلک؛ فلیس لدینا طریق أخری لتقسیم العلوم</w:t>
      </w:r>
      <w:r>
        <w:rPr>
          <w:rFonts w:eastAsia="IRNazanin" w:cs="IRNazanin"/>
          <w:color w:val="111111"/>
          <w:sz w:val="28"/>
          <w:szCs w:val="28"/>
          <w:rtl w:val="true"/>
          <w:lang w:bidi="fa-IR"/>
        </w:rPr>
        <w:t>.</w:t>
      </w:r>
    </w:p>
    <w:p>
      <w:pPr>
        <w:pStyle w:val="Heading3"/>
        <w:numPr>
          <w:ilvl w:val="2"/>
          <w:numId w:val="1"/>
        </w:numPr>
        <w:rPr/>
      </w:pPr>
      <w:bookmarkStart w:id="354" w:name="__RefHeading___Toc283388_581953129"/>
      <w:bookmarkStart w:id="355" w:name="_Toc132"/>
      <w:bookmarkEnd w:id="354"/>
      <w:r>
        <w:rPr>
          <w:rtl w:val="true"/>
        </w:rPr>
        <w:t>هل یمکن التحدّث عن العلم الدّینی للانثربولوجیا؟</w:t>
      </w:r>
      <w:bookmarkEnd w:id="3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المقصود من الأنثربولوجیا المعنی الّذی تحدّثنا عنه، أی بموضوع ومنهج محدّد، فلا یوجد فیها شیء دینی وآخر غیر دینی، لکن إذا کان مقصودکم غیر الأنثربولوجیا، أی نفحص النّصوص الدّینیّة کی نری ما الّذی قالته بشأن الإنسان، فإنّ هذا الأمر ممکن وقد تحقّق بالطّبع؛ فلا مشکلة فی ذلک؛ ولکننا لا نزیغ عمّا قلناه فی الفلسفة الإسلامیّة، فمرّة نحلّل النّصوص الدّینیّة ونستخرج بعض النّکات الفلسفیّة الّتی جاءت فی القرآن والرّوایات والمعارف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ینکر ولا یقتصر علی الدّین فقط، بل إنّک تجد</w:t>
      </w:r>
    </w:p>
    <w:p>
      <w:pPr>
        <w:pStyle w:val="BookText"/>
        <w:rPr/>
      </w:pPr>
      <w:r>
        <w:rPr>
          <w:rFonts w:ascii="IRNazanin" w:hAnsi="IRNazanin" w:eastAsia="IRNazanin"/>
          <w:color w:val="111111"/>
          <w:sz w:val="28"/>
          <w:sz w:val="28"/>
          <w:szCs w:val="28"/>
          <w:rtl w:val="true"/>
          <w:lang w:bidi="fa-IR"/>
        </w:rPr>
        <w:t xml:space="preserve">نکاتاً فلسفیّة فی شعر حافظ ومثنوی </w:t>
      </w:r>
      <w:r>
        <w:rPr>
          <w:rStyle w:val="FootnoteAnchor"/>
          <w:rtl w:val="true"/>
        </w:rPr>
        <w:footnoteReference w:id="88"/>
      </w:r>
      <w:r>
        <w:rPr>
          <w:rFonts w:ascii="IRNazanin" w:hAnsi="IRNazanin" w:eastAsia="IRNazanin"/>
          <w:color w:val="111111"/>
          <w:sz w:val="28"/>
          <w:sz w:val="28"/>
          <w:szCs w:val="28"/>
          <w:rtl w:val="true"/>
          <w:lang w:bidi="fa-IR"/>
        </w:rPr>
        <w:t>وغیرهما؛ ولا یقتصر الأمر علی وجود نکات فلسفیّة، بل إنّنا نستطیع أن نفسّر ما جاء فیها تفسیراً فلسفیاً؛ ولکن عندما نقول بأنّه من الممکن استخراج علم بتعریف ومنهج محدّد باسم الفلسفة؛ فهذا لیس ممکناً أوّلاً، ولا معنی له ثانیاً ولیس من المناسب أن یقوم مذهب بصناعة علم بمنهج وتعریف لأنّه سیکون کالعلم ذاته الّذی یصنعه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أکثر من فلسفة، وإذا ما عزم مذهب علی صناعة فلسفة، فلا یتوصّل إلّا لما توصّل إلیه الآخرون؛ إذن فمرّة یکون البحث بخصوص استخراج نکات فلسفیّة من النّصوص الدّینیّة ومرّة بخصوص استخراج علم باسم الفلسفة منها ونقصد أن یکون هناک نوعان لعلم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دینی ونوع غیر دینی، فنفینا یرتبط بهذا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العلوم ما هی إلّا حصیلة النّماذج العصریّة الغالبة فلا ینبغی أن تتقوقع داخل نطاق نظریّة أیدیولوجیّة، فنموذج بطلیموس مثلاً له جذور کنسیة وعلمیة، ونموذج نیوتن الّذی جعل من الآلیة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المیکانیکیّة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العلوم الغربیّة لا تستمدّ من الأیدیولوجیّات الغربیّة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یمثّل أحد نتائج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أوصیکم بعدم الابتداء بتناول لقمة کبیرة فتغصّون بها، کما فعلها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اللّقم الکبیرة، مثل الغرب والأیدیولوجیّة والحضارة؛ لیس من السّهل تناولها وإنّ أکثر الّذین لا یحتملون الفکر التّحلیلی ولیسوا من أهل التأمّل والبحث والتّقصّی ولا تسع صدورهم مثل هذه الأعمال، یریدون البیع والشّراء بالجملة وإصدار أحکام فوریّة بخصوص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هذا یسهّل المهمّة من جهة، ولکنّه یکدّر و یعسّر الحکم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 الغرب، فهو شیء واحد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أنّ الأیدیولوجیّة الغربیّة واحدة؟ هل هی فکر واحد؟ وهل أنّ العلماء الّذین یختلفون مع بعضهم البعض قاموا بتقییم ومقارنة أفکارهم أم أنّهم یفکّرون بشکل واحد أو یستمدّوا من فیلسوف واحد؟ وهل لا یوجد فی العالم سوی منهج فلسفی واحد؟ لم تکن إلّا روایة واحدة وراوٍ واحد؟ أتذکر أنّ أحدهم کتب بأنّ جمیع الرّوایات الّتی تصدر، فی الغرب تتغذّی علی الفکر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سألناه وهل أنّک قرأت جمیع الرّوایات الصّادرة؟ وهل أنّک تحیط علماً بالرّوایة الّتی لم</w:t>
      </w:r>
      <w:bookmarkStart w:id="356" w:name="pg5231_29946"/>
    </w:p>
    <w:p>
      <w:pPr>
        <w:pStyle w:val="BookText"/>
        <w:rPr/>
      </w:pPr>
      <w:bookmarkEnd w:id="356"/>
      <w:r>
        <w:rPr>
          <w:rFonts w:ascii="IRNazanin" w:hAnsi="IRNazanin" w:eastAsia="IRNazanin"/>
          <w:color w:val="111111"/>
          <w:sz w:val="28"/>
          <w:sz w:val="28"/>
          <w:szCs w:val="28"/>
          <w:rtl w:val="true"/>
          <w:lang w:bidi="fa-IR"/>
        </w:rPr>
        <w:t>تصدر بعد والّتی ستُکتب مستقبلاً؟ فأیّ کلام هذا وأیّ حکم أن یتوسّل الإنسان بمقولات تضخّه بالشّجاعة اللّازمة لإصدار مثل هذه الأحکام الجزافیّة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الأخری، أجل، کنّا قد بیّنا بأنّکم متأثّرون بالمذهب والأیدیولوجیّة فی مقام طرح السّؤال وهذا بالطّبع لا یستنتج حقیقة موضوعیّة من العلم وبالتّوضیح الّذی ذکرته أی أنّ منهجهم واحد وموضوعهم أیضاً واحد؛ وإنّ ما یسبغ علی العلم هویّة هو موضوعه ومنهجه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الأسئلة فسیّالة، تأتی وترحل وترتبط بالثّقافة وبالأیدیولوجیّة وترتبط بتجارب الإنسان السّابقة فی کیفیّة طرح الأسئلة، لکنّ الأجوبة ثابتة وغیر قابلة للتغییر</w:t>
      </w:r>
      <w:r>
        <w:rPr>
          <w:rFonts w:eastAsia="IRNazanin" w:cs="IRNazanin"/>
          <w:color w:val="111111"/>
          <w:sz w:val="28"/>
          <w:szCs w:val="28"/>
          <w:rtl w:val="true"/>
          <w:lang w:bidi="fa-IR"/>
        </w:rPr>
        <w:t>.</w:t>
      </w:r>
    </w:p>
    <w:p>
      <w:pPr>
        <w:pStyle w:val="Heading3"/>
        <w:numPr>
          <w:ilvl w:val="2"/>
          <w:numId w:val="1"/>
        </w:numPr>
        <w:rPr/>
      </w:pPr>
      <w:bookmarkStart w:id="357" w:name="__RefHeading___Toc283390_581953129"/>
      <w:bookmarkStart w:id="358" w:name="_Toc133"/>
      <w:bookmarkEnd w:id="357"/>
      <w:r>
        <w:rPr>
          <w:rtl w:val="true"/>
        </w:rPr>
        <w:t>هل أنّ قاعدة إمکانیّة النقض تجری فی العلوم الإجتماعیّة الإسلامیّة أم لا؟</w:t>
      </w:r>
      <w:bookmarkEnd w:id="358"/>
    </w:p>
    <w:p>
      <w:pPr>
        <w:pStyle w:val="BookText"/>
        <w:rPr/>
      </w:pPr>
      <w:r>
        <w:rPr>
          <w:rFonts w:ascii="IRNazanin" w:hAnsi="IRNazanin" w:eastAsia="IRNazanin"/>
          <w:color w:val="111111"/>
          <w:sz w:val="28"/>
          <w:sz w:val="28"/>
          <w:szCs w:val="28"/>
          <w:rtl w:val="true"/>
          <w:lang w:bidi="fa-IR"/>
        </w:rPr>
        <w:t>إذا کانت قاعدة إمکانیّة النقّض قاعدة معتبرة فی مجال التّفکیک فیما بین العلم وغیر العلم، فی أیّ علم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أقصده هو عدم وجود ماهیّة للعلوم الإجتماعیّة الإسلامیّة سوی ماهیّة العلوم الإجتماعیّة وإذا کانت تلک القاعدة قاعدة معتبرة فی تفکیک العلم عن غیر العلم فهی معتبرة هنا وتجری فی جمیع الحالات ومن ضمنها العلوم الإجتماعیّة المتأسلمة</w:t>
      </w:r>
      <w:r>
        <w:rPr>
          <w:rFonts w:eastAsia="IRNazanin" w:cs="IRNazanin"/>
          <w:color w:val="111111"/>
          <w:sz w:val="28"/>
          <w:szCs w:val="28"/>
          <w:rtl w:val="true"/>
          <w:lang w:bidi="fa-IR"/>
        </w:rPr>
        <w:t>.</w:t>
      </w:r>
    </w:p>
    <w:p>
      <w:pPr>
        <w:pStyle w:val="Heading3"/>
        <w:numPr>
          <w:ilvl w:val="2"/>
          <w:numId w:val="1"/>
        </w:numPr>
        <w:rPr/>
      </w:pPr>
      <w:bookmarkStart w:id="359" w:name="__RefHeading___Toc283392_581953129"/>
      <w:bookmarkStart w:id="360" w:name="_Toc134"/>
      <w:bookmarkEnd w:id="359"/>
      <w:r>
        <w:rPr>
          <w:rtl w:val="true"/>
        </w:rPr>
        <w:t>الملاحظات</w:t>
      </w:r>
      <w:bookmarkEnd w:id="360"/>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الدکتور سروش تعرّض إلی مسألة تمایز العلوم عن بعضها البعض فی مقام الثبوت کما لاحظنا، وحاول من خلال هذا الطّریق إثبات عدم معقولیّة العلم الدّینی والإسلامی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ابتداءً من خلال أخذ النّظریّات الشّائعة فی تمایز العلوم بنظر الاعتبار، إلی أنّ العلم یعرّف من خلال الموضوع، الغایة أو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ولإیضاح عدم کون العلم ممکناً باللّحاظ الثّبوتی قال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أیّ علم لیس له أکثر من موضوع فی مقام الثّبوت، وإنّ لهذا الموضوع تعریفاً محدّداً، کما أنّه بلحاظ المنهج لا یوجد أکثر من منهج واحد؛ لأنّ الموضوع، هو أمر موجود فی أصل الواقع والمنهج هو بمعنی کیفیّة تنظیم المقدّمات للوصول إلی النّتیجة الّتی لا تکون توافقیّة، وإلّا لاستطاع کلّ شخص تنظیم المقدّمات بنحو تصل دعواه إلی نتیجة ویخرج بذلک عن إطار</w:t>
      </w:r>
    </w:p>
    <w:p>
      <w:pPr>
        <w:pStyle w:val="BookText"/>
        <w:rPr/>
      </w:pPr>
      <w:r>
        <w:rPr>
          <w:rFonts w:ascii="IRNazanin" w:hAnsi="IRNazanin" w:eastAsia="IRNazanin"/>
          <w:color w:val="111111"/>
          <w:sz w:val="28"/>
          <w:sz w:val="28"/>
          <w:szCs w:val="28"/>
          <w:rtl w:val="true"/>
          <w:lang w:bidi="fa-IR"/>
        </w:rPr>
        <w:t>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یوجد لدینا أکثر من موضوع ومن منهج واحد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لم یکن لدینا أکثر من نوع واحد لشیء ما، لا یکون للتعدّد معنی عند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إنّ موضوع الأنثربولوجیا، هو الإنسان والإنسان له تعریف محدّد ولأنّ الأمر کذلک فلیس لدینا إنسان إسلامی وإنسان غیر إسلامی ولیس لدینا تعریف إسلامی وغیر إسلامی للإنسان، ومن هنا، فلیس لدینا أنثربولوجیا إسلامیّة وغیر إسلامیّة، لانحصار تمایز العلوم بالموضوع وهو واحد هنا أو بالمنهج وهو کذلک واحد، أو بالغایة والهدف، وهذا یعود إلی الموضوع أیضاً وعندما یکون الموضوع واحداً، فستکون الغایة والهدف واحدة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النقطة الجدیرة بالانتباه فی هذا المجال هی عدم وجود أیّ دلیل منطقی علی لزوم وجود موضوع ذی هویّة وماهیّة واحدة لکلّ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إنّ لزوم وجود موضوع واحد لکلّ علم وشرطیة کون محمولات العلوم من العوارض الذاتیّة لموضوع جامع وواحد، لیس کلاما تتّفق حوله الآراء، بل إنّ هناک آراءً بدیلة مطروحة بهذا الخصوص تری أنّ العلم مرکّب اعتباری یکون الاعتبار أو الغرض أو التّناسب الذاتی بین مسائله أو محمولاته هو الّذی یهبه وحدة؛ ومن هنا، لا یمکن القول بأنّ قضایا کلّ علم یجب أن تکون مرتبطة حقیقة بالموضوع مورد البحث والّتی یعبّر اصطلاحاً عن محمولات مثل هکذا قضایا بالعرض الذاتی لموضوعها، بمعنی أنّها تُحمل علی موضوعاتها حملاً حقیقیاً وبلا واسطة؛ ولأجل هذا، تتوفّر إمکانیة فرض نوع من الوحدة الاعتباریّة والموضوعیة العلمیّة للموضوعات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إنّ موضوع علم الاقتصاد یتمثّل بالإنتاج والتّوزیع والاستهلاک، فیمکن القول بعدم وجود دلیل منطقی علی أنّ هناک وحدة حقیقیة لموضوع العلم وعدم اتّصاف جمیع العلوم الحاضرة بمثل ذلک عملیّاً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تمایز العلوم لا تختصّ علی الدّوام بتمایز العلوم المختلفة عن بعضها البعض، بل یمکن التّفکیک بین کلّ سنخ وصنف أو مصداق فی داخل أحد الفروع العلمیّة وبین سنخ وصنف ومصداق آخر لذلک الفرع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المطروح عن التّمایز بالموضوع والمنهج والهدف یشمل التّمایز الخارجی للعلم والتّمایز بین الفروع المختلفة للعلوم، وما هو المقصود فی بحث العلم الدّینی وغیر الدّینی هو فی الحقیقة التّمایز الدّاخلی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تحدّث أحد عن علم الاجتماع الإسلامی مثلاً، فهو لا یرید إیجاد علم غیر علم الاجتماع ویسمّیه علم الاجتماع الإسلامی، وإنّما إیجاد سنخ أو صنف أو مصداق لعلم الاجتماع یتمایز مع بقیة السّنوخ والأصناف والمصادیق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تصوّر مثل هذا العلم بافتراض وجود موضوع لعلم الاجتماع ووجود تعریف واحد لذلک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الاجتماع الإسلامی وغیر الإسلامی هما علم اجتماع علی السّواء، ولا یوجد اختلاف بینهما؛ بعبارةٍ أخری، لیس الأمر أنّ أحدهما علم اجتماع والثّانی علم آخر غیر علم الاجتماع، بل إنّ الموضوع الواحد لکلاهما یجعل منهما علم اجتماع علی السّواء، ولکنّهما یختلفان فی نوعیّة سنخه أو نوعیّة صنفه أو نوعیّة مصداقه؛ فأحدهما إسلامی والآخر غیر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توجد إمکانیّة اشتراک العلم الدّینی والإسلامی مع أقسام من العلم غیر الدّینی، وعلی هذا الأساس، فإنّ طرح دیننة وأسلمة العلم لیس هو بمعنی إنکار مکاسب البحوث التّجربیّة الّتی تمّ إنجازها، بل بمعنی إعادة النّظر وتمییز الصّحیح منها عن السّقیم واستخدام آراء ومعطیات صحیحة وإضافة معطیات جدیدة علیها وصلت إلینا عن طریق 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السّید سروش یعتقد بأنّ لکلّ علم، منهج ذاتی وثابت؛ وبعبارة أخری، إنّ المنهج باعتباره مقوّماً للعلم، لا یمکن أن یکون أمراً توافقیاً واختیاریاً وإبداعیاً، و إنّما هو فی مقام الثّبوت 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الّتی ینبغی أخذها بنظر الاعتبار هنا، هی أنّ المنهج باعتباره أحد عوامل التّمایز فی العلوم، هو مطروح علی الدّوام فی مقام الإثبات؛ أی، مع أنّ المنهج إنّما هو لأجل إثبات القضایا العلمیّة، لکن لا یوجد ارتباط علّی فیما بین القضایا المعرفتیة وبین المنهج المناسب لها؛ وبتوضیح آخر، لا یمکن القول علی الدّوام بأنّ سنخ القضایا تتطلّب ذاتاً منهجاً خاصّاً للإثبات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من الصّواب أن نقول بأنّ الفلسفة فی ذاتها لها منهج خاص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وإنّما هذا مجرّد توافق فی أن یستفاد من المنهج العقلی فی الفلسفة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حقائق قائمة بذاتها ولیس فی الفلسفة؛ أی أنّ لدینا فی الواقع وفی العالم الذاتی، حقائق ومعارف مختلفة مجتمعة إلی جوار بعضها البعض فإذا ما أردنا أن نصل إلی مقام الإثبات وتعیین حدود العلوم والمکاسب المعرفتیّة فسنحتاج عندها إلی التّسمیة فنطلق علی بعض المعارف فلسفة، وعلی القسم الآخر فیزیاء وآخر ریاضیات، وهکذا فی باقی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فیمکن التّوصّل إلی حقائق خاصّة من خلال أسالیب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الأسالیب البرهانیّة ذاتها لها حقیقة ذاتیّة وفیما لو لم نستخدم المنهج العقلی لا یمکننا من خلال التّوافق 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نعدّ منهجنا منهجاً برهانیّاً عقلیّاً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نستخدم المنهج البرهانیّ العقلیّ بشکل تقلیدی لکشف</w:t>
      </w:r>
    </w:p>
    <w:p>
      <w:pPr>
        <w:pStyle w:val="BookText"/>
        <w:rPr/>
      </w:pPr>
      <w:r>
        <w:rPr>
          <w:rFonts w:ascii="IRNazanin" w:hAnsi="IRNazanin" w:eastAsia="IRNazanin"/>
          <w:color w:val="111111"/>
          <w:sz w:val="28"/>
          <w:sz w:val="28"/>
          <w:szCs w:val="28"/>
          <w:rtl w:val="true"/>
          <w:lang w:bidi="fa-IR"/>
        </w:rPr>
        <w:t>الحقائق الّتی یبحث عنها فی الفلسفة، ولکن یمکننا فی ذات الوقت الاستفادة من الأسلوب الشّهودی لکشف هذه الحقائق؛ لأنّ الشّهود هو حقیقة ذاتیّة أیضاً؛ ولهذا من الممکن إیجاد فلسفة ذات منهج شهودی، کفلسفة الإشراق، أو إیجاد فلسفة ذات منهج تجربی أو نقلی أو حتّی مرکّب من عدّة مناهج، أی أنّ المسألة لیست فی أنّ الفلسفة لا تکون جزءاً من الواقع ونفس الأمر إلّا بالمنهج البرهانی العقلی، وإذا ما اعتقدنا بأنّ العلم هو ما أنجزه العلماء من عمل وفقاً لرأی الدّکتور سروش فإنّنا نلاحظ بأنّ الفلسفة قد اجتمعت بأسالیب مختلفة علی مدی التّأریخ، لذا لا ینبغی الاستیحاش من القول بوجود مناهج مختلفة فی العلم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أنّه لابدّ وأن یکون لکلّ علم منهج واحد ذاتی، فهو بحاجة إلی إثبات؛ لأنّه أوّلاً، هناک علوماً کثیرة تستفید من أسالیب مختلفة لإثبات قضایاها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کثیراً ما یستعیر علماء أحد العلوم أسالیب جدیدة تُستخدم فی علوم أخری لإثبات قضایا ذلک العلم ویحدثون بذلک تغییراً منهجیاً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حدوث نوع من الخلط فیما بین منطق الفکر وقواعد المنهج من جهة وأسالیب کسب المعرفة من جهة أخری فی نظریّة السّید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لدینا أسالیب متعدّدة لکشف العالم وحقائقه فهذا من الأمور المسلّمة ومورد وفاق أغلب فلاسفة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العلماء متّفقون علی أنّ لکلّ منهج قواعده الخاصّة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یسبّب النّسبیّة وإمکان إثبات أیّ دعوی من أیّ مقدّمة، لیس هو تعدّد المناهج، وإنّما هو فقدان قاعدة وضابطة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فیما لو اعتقدنا بعدم وجود سوی منهج واحد فی العالم وأنّ جمیع العلوم تستفید منه، فإذا لم یکن لذلک المنهج قواعد وضوابط محدّدة، فسیستطیع کلّ شخص الادّعاء بثبوت مدّعاه بذلک المنهج ولا توجد أیّ قاعدة ومعیار بهذا الخصوص تثبت صحّة أو عدم صحّة هذا الادّعاء؛ ولکن إذا کانت هناک مناهج مختلفة ولو فی موضوع واحد، وکان لکلّ منها قواعد محدّدة، فیمکن عندها تشخیص ثبوت صحّة أو عدم صحّة ادّعاء إثبات موضوع ما بأیّ واحد من تلک المناهج واختباره بتلک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هذه الضوابط ذاتها هی الّتی تبلور منطق الفهم والفکر، والّتی کان بعضها کلّیاً وعامّاً، وتُطرح فی جمیع المناهج ویتّفق علیها جمیع العلماء وهی مقتضی الأساس الوجودی لجمیع النّاس، ویختصّ البعض بمنهج خاص یتمّ قبوله علی أساس تلک القواعد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الدّکتور سروش کذلک بأنّ منهج دراسة أیّ موضوع إنّما هو واحد وأنّ تعدّد المنهج للحصول علی حقیقة ما مرفوض کلّیاً؛ وهذا الکلام بذاته مجرّد دعوی تحتاج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هذه المسألة مطروحة بشکل جادّ فی فلسفة العلم وهی هل أنّ العالم الخارجی ذو أقسام مختلفة ومتباینة بشکل کامل وهل من الممکن معرفة کلّ من هذه الأقسام من خلال منهج واحد خاصّ أم لا؟</w:t>
      </w:r>
    </w:p>
    <w:p>
      <w:pPr>
        <w:pStyle w:val="BookText"/>
        <w:rPr/>
      </w:pPr>
      <w:r>
        <w:rPr>
          <w:rFonts w:ascii="IRNazanin" w:hAnsi="IRNazanin" w:eastAsia="IRNazanin"/>
          <w:color w:val="111111"/>
          <w:sz w:val="28"/>
          <w:sz w:val="28"/>
          <w:szCs w:val="28"/>
          <w:rtl w:val="true"/>
          <w:lang w:bidi="fa-IR"/>
        </w:rPr>
        <w:t>إنّ ما یتّفق علیه الأغلبیّة، بل جمیع علماء المسلمین هو أنّ منهج الوحی الّذی أوصل إلینا کلام الله فی جمیع المجالات عن طریق الأنبیاء، یمتلک الکفاءة اللّازمة ویمکن کذلک استخراج قضایا ذات مقولات متعدّدة تتعلّق بأقسام مختلفة للوجود من النّصوص الدّینیّة للإسلام ومن جملتها القرآن، والّتی هی لیست بالقلیلة فی بعض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العرفاء کذلک بمثل هذه النّظریّة فی نطاق المعارف الشّهودیّة وقد قاموا ببیانها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أتینا علی ذکره یرتبط بالفضاء الخارجی لمسألة المنهج، ویمکن الحدیث عن تعدّد المناهج فی الفضاء العلمی الدّاخلی للمنهج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نفی العلم الدّینی فی مقام الإثبات، فالدّکتور سروش یصرّح بأنّ المناطقة تحدّثوا عن العلوم فی بحث تمایزها بشکل لم یأتوا بجدید؛ أی لم یأت شخص أو فئة لرسم موضوع وهدف ومنهج لعلم ما ویأسّسوا علماً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تتبلور بشکل لاإرادی ویبقی موضوع المسائل ومنهجها فی هالة من الإبهام فی بدایة ظهورها، والعلماء أنفسهم لم یعلموا حینها بأنّ سیعهم نحو أهدافهم الخاصّة سیؤدّی عفویّاً وبالتدریج إلی تأسیس علم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یحدث أبداً فی حدود ما یشیر إلیه التّأریخ أن یأتی شخص أو جماعة لتقول نرید تأسیس علم جدید من خلال هذا التّعریف وهذا المنهج وهذا الغرض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فظهور العلوم کظهور الشّعر واللّغة فی کونه من الآثار اللاإرادیّة للسلوک ومن ضمن الأنظمة الّتی لم یقم بتصمیمها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تکون العلوم بهذه الحالة، فهی تمثّل مجموعة من الأسئلة ومجموعة من الإجابات تتوارد سیّالة علی طول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أن تکون الأسئلة مختلفة حسب اختلاف المذاهب وما یتّبعه العالِم من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یطرح الأسئلة الّتی تتناسب ومذهبه والمسیحی یطرح أسئلة أخری تناسب مذهبه أیضاً، ولکنّ العلم باعتباره علماً لا یقوم علی أساس</w:t>
      </w:r>
    </w:p>
    <w:p>
      <w:pPr>
        <w:pStyle w:val="BookText"/>
        <w:rPr/>
      </w:pPr>
      <w:r>
        <w:rPr>
          <w:rFonts w:ascii="IRNazanin" w:hAnsi="IRNazanin" w:eastAsia="IRNazanin"/>
          <w:color w:val="111111"/>
          <w:sz w:val="28"/>
          <w:sz w:val="28"/>
          <w:szCs w:val="28"/>
          <w:rtl w:val="true"/>
          <w:lang w:bidi="fa-IR"/>
        </w:rPr>
        <w:t>الأسئلة فحسب، بل یجب أخذ الإجابات بنظر الاعتبار أیضاً، ولا یوجد من حیث الأساس جواب مذهبی وآخر غیر مذهبی وإنّما تتمثّل الهویّة الأساسیّة للعلم بذات الإجابات، لأنّ أیّ سؤال یطرح لیس له أکثر من جواب وبما أنّه جواب واحد فلا یمکن أن یتّصف بالمذهبیة وعدم المذهبیّة فهو عارٍ من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هنا ذکر النکات التّالیة حول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ینبغی القول هنا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یسبق وأن قام أحد أبداً وعلی مرّ التّأریخ بتأسیس علم بموضوع ومنهج وغایة محدّدة بشکل یقول فیه أرید أن أؤسّس علماً بهذه المواصفات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کلاماً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راجعنا تأریخ العلوم المختلفة وتأمّلنا سیرة العلماء البارزین الّذین أسّسوا العلوم، نجد أنّ هناک أفراداً کثیرین قد ادّعوا تأسیس علم خاصّ بمنهج وموضوع وغایة خاصّة، بکیفیّة جعلتهم یدّعون ذلک بأنفسهم وقد أدرجهم البعض ضمن قائمة مؤسّسی العلوم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العالِم المسلم ابن خلدون الّذی عُرّف علی أنّه مؤسّس علم الاجتماع أو فلسفة التّأریخ؛ یصرّح فی مقدّمة کتاب العبر لیکشف عن تأسیسه علم وتعیینه حدوده ونطاقه وموضوعه ومنهجه وهدفه فیکتب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هذا علم مستقلّ بذاته فإنّه ذو موضوع وهو العمران البشریّ والاجتماع الإنسانی وذو مسائل وهی بیان ما یلحقه من العوارض والأحوال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استوفیت مسائله ومیّزت عن سائر الصنائع أنظاره وأنحاءه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الفضل لأنّی نهجت له السبیل وأوضحت له الطّریق</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ویتحدّث اوغست کانت وسان سیمون بصراحة عن تأسیسهم الفیزیاء الاجتماعیة أو الفیزیولوجیا الإجتماعیّة باعتبارها علماً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دورکهایم الّذی یعتقده سان سیمون بأنّه أحقّ من اوغست کانت بلقّب مؤسّس علم الاجتماع،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یقتصر سان سیمون علی وضع برنامج العلم، أی علم الاجتماع، بل إنّه سعی لأجل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النطف الّتی تتغذی علیها جمیع الأفکار فی مرحلتنا هذه، یمکن العثور علیها لدی سان سیمون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استعار اوغست کانت بذکاء اصطلاح الفیزیولوجیا الإجتماعیّة الّتی تعنی أسلوب عمل المجتمع من سان 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فالفیزیولوجیا الإجتماعیّة حسب وجهة نظر سان سیمون هی ذاتها علم الاجتماع بمعنی المعرفة العلمیّة لطبیعة عمل المجتمع</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إنّ ما یظهر تدریجاً علی مرّ الزّمان، لیس خطّة تأسیس علم، بل هی المسائل والإجابات المعروضة لأسئلة جدیدة لا تتوقّف مطلقاً ولا یمکن افتراض زمن تنتهی عنده هذه الأسئلة والأجوبة لیمکن عندها ادّعاء أنّ مجموعة المسائل هذه هی الّتی تمثّل ذلک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 ولا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کثیراً من هذه الأسئلة الجدیدة والإجابات تُطرح بطبیعة الحال عن قصد بعنوانها أسئلة تختصّ بهذا العلم، ولا تُطرح دون التفات إلی انتمائها إلی نطاق علم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أنّ کلّ علم کالإنسان، یطوی مراحل نموّه ویکتسب شرعیّة نسبیّة فی مقطع ما، ولکنّ هذا لیس بمعنی إنکار النّکات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کذلک عدم الغفلة عن هذه النّکتة وهی أنّه قد جاء فی تعریف موضوع العلم أنّ موضوع أیّ علم هو تلک الماهیّة والحقیقة الّتی تبحث عن العوارض والحالات الذّاتیّة لذلک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أنّ المسائل المطروحة فی علم ما هی ذاتها موضوع العلم الّذی یتجزّء إلیها أو المصادیق المختلفة الّتی أوجدتها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یمکن أن تکون مسائل العلم مشخِّصة وممیّزة لعلم عن آخر کما أنّ موضوع العلم هو المعیار فی تمایزه عن 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المسائل هی ذاتها الأسئلة والأجوبة الّتی تتراکم بالتّدریج فی کلّ علم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النّکتة الثّانیة المهمّة، هی أنّ أحد عوامل ظهور هذا النّوع من الأسئلة والأجوبة وبنیة مسائل العلم، هو التّصوّر الّذی یحمله العالِم عن موضوع العلم، فالّذی یعتقد بأنّ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موضوع الأنثربولوجیا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موجود مادّی وفی رتبة الحیوانات الأخری مثلاً، یطرح أسئلة حوله ویعطی إجابات عن أسئلته تلک وأسئلة الآخرین تتناسب مع هذا التّصوّر المادّی عن الإنسان وأنّ جمیع الأسئلة الّتی تنظر إلی البعد الرّوحی ودائرة نفس الإنسان یجیب عنها جواباً مادّیاً وإلّا یعتبرها 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فسیکون لدینا نوعان من الأنثربولوجیا بلحاظ الأسئلة وبلحاظ الإجابات، متفاوتان جدّاً مع بعضهما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الاختلاف لا یقتصر بطبیعة الحال علی الأسئلة فحسب، بل یتعدّاه إلی المنهج، الهدف وباقی أسس العلم أیضاً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یبدو حدوث خلط فی استدلال الدّکتور سروش بین مقام الإثبات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مسألة عدم وجود أکثر من جواب واحد صحیح لکلّ سؤال فی الاستدلال علی مقام الثبوت؛ والحال أنّ هذا الاستدلال یرتبط بمقام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نواجه إجابات متعدّدة فی مقام الإثبات بعضها صحیح والآخر غیر صحیح، بعضها دقیق والآخر لیس کذلک، بعضها کامل والبعض الآخر ناقص،</w:t>
      </w:r>
    </w:p>
    <w:p>
      <w:pPr>
        <w:pStyle w:val="BookText"/>
        <w:rPr/>
      </w:pPr>
      <w:r>
        <w:rPr>
          <w:rFonts w:ascii="IRNazanin" w:hAnsi="IRNazanin" w:eastAsia="IRNazanin"/>
          <w:color w:val="111111"/>
          <w:sz w:val="28"/>
          <w:sz w:val="28"/>
          <w:szCs w:val="28"/>
          <w:rtl w:val="true"/>
          <w:lang w:bidi="fa-IR"/>
        </w:rPr>
        <w:t>بعضها ینظر إلی بُعد خاصّ وبعضها إلی أبعاد متعدّدة، بعضها تأتی من المناهج البشریّة العامّة والأخری من المنهج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فالمناصرون للعلم الدّینی یؤکّدون علی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السّعی إلی الحصول علی إجابات شاملة من خلال عدم حصر منهج العلم بالمنهج التّجربی والثّانیة، أنّ الإجابات النّاقصة تطوی طریق الکمال من خلال الأخذ بنظر الاعتبار مجموع الإجابات وتقییمها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فالاعتقاد بعدم وجود أیّ قیمة للأسئلة المطروحة فی علم ما فی مقام تمایز العلوم ممّا لیس له رصید علمی؛ وإضافة إلی ذلک، فحتّی لو ربطنا هویّة العلم وتمایزه بالأسئلة المتعلّقة بمسائله الدّاخلیّة، فإنّ الإجابات الواردة علی أساس أفکار مسبقة والّتی تعدّ الأفکار المستلهمة من منهج الوحی أحد أفرادها ستکون مختلفة وسنواجه عادة سنخین أو صنفین من العلم؛ وأنّ هذه الأصول السّابقة تؤثّر فی قبول أو رفض الإجابات حتّی لو کانت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ویعلن الفین جولدنر بعد أن یذکر ثلاثة أنواع أساسیّة لعلم الاجتماع السابق تحت عنوان؛ المفروضات، المسلّمات، المفروضات الکلّیة، والمفروضات الجهتیّة، بأنّ هذه المفروضات تؤثّر فی ظهور وقبول أو رفض 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وبتقسیمه المفروضات الکلّیة إلی مفروضات عالمیّة وبنیویة، یکتب بخصوصها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المفروضات الکلّیة تؤثّر فی المصیر الاجتماعی لنظریّة ما وفی إجابات الأفراد فی مواجهتهم لهذه النّظریّة؛ لأنّه یمکن القول إلی حدّ ما إنّ قبول أو رفض النّظریّات یقوم علی أساس الفرضیّات الکلّیة القائمة فیها</w:t>
      </w:r>
      <w:r>
        <w:rPr>
          <w:rFonts w:eastAsia="IRNazanin" w:cs="IRNazanin"/>
          <w:color w:val="111111"/>
          <w:sz w:val="28"/>
          <w:szCs w:val="28"/>
          <w:rtl w:val="true"/>
          <w:lang w:bidi="fa-IR"/>
        </w:rPr>
        <w:t xml:space="preserve">». </w:t>
      </w:r>
      <w:r>
        <w:rPr>
          <w:rStyle w:val="FootnoteAnchor"/>
          <w:rtl w:val="true"/>
        </w:rPr>
        <w:footnoteReference w:id="94"/>
      </w:r>
      <w:bookmarkStart w:id="361" w:name="pg5231_29954"/>
    </w:p>
    <w:p>
      <w:pPr>
        <w:pStyle w:val="Heading2"/>
        <w:numPr>
          <w:ilvl w:val="1"/>
          <w:numId w:val="1"/>
        </w:numPr>
        <w:rPr/>
      </w:pPr>
      <w:bookmarkStart w:id="362" w:name="__RefHeading___Toc283394_581953129"/>
      <w:bookmarkStart w:id="363" w:name="_Toc135"/>
      <w:bookmarkEnd w:id="361"/>
      <w:bookmarkEnd w:id="362"/>
      <w:r>
        <w:rPr>
          <w:rtl w:val="true"/>
        </w:rPr>
        <w:t>المصادر</w:t>
      </w:r>
      <w:bookmarkEnd w:id="363"/>
    </w:p>
    <w:p>
      <w:pPr>
        <w:pStyle w:val="Heading3"/>
        <w:numPr>
          <w:ilvl w:val="2"/>
          <w:numId w:val="1"/>
        </w:numPr>
        <w:rPr/>
      </w:pPr>
      <w:bookmarkStart w:id="364" w:name="__RefHeading___Toc283396_581953129"/>
      <w:bookmarkStart w:id="365" w:name="_Toc136"/>
      <w:bookmarkEnd w:id="364"/>
      <w:r>
        <w:rPr>
          <w:rtl w:val="true"/>
        </w:rPr>
        <w:t>المصادر العربیّة</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الفتاح طیّاره، عفیف، روح الدّین الإسلامی، بیروت، دار العلم للملایین،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المعهد العالمی للفکر الإسلامی، إسلامیّة المعرفة،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Heading3"/>
        <w:numPr>
          <w:ilvl w:val="2"/>
          <w:numId w:val="1"/>
        </w:numPr>
        <w:rPr/>
      </w:pPr>
      <w:bookmarkStart w:id="366" w:name="__RefHeading___Toc283398_581953129"/>
      <w:bookmarkStart w:id="367" w:name="_Toc137"/>
      <w:bookmarkEnd w:id="366"/>
      <w:r>
        <w:rPr>
          <w:rtl w:val="true"/>
        </w:rPr>
        <w:t>المصادر الفارسیّة</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هویة العلم الدّینی، طهران، منظمة الطّباعة والنّشر فی وزارة الثّقافة والإرشاد الإسلامیّة،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عبد الهادی، أولی مواجهات مفکّری إیران لاتّجاهی الحضارة البرجوازیّة للغرب، دار نشر أمیر کبیر،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جامعة طهران، مجموعة مقالات ملتقی نقد الحداثة من وجهة نظر التقلیدیّین المعاصرین، نشر جامعة طهران،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 کلام، سعید، من ماهیّة العلم نحو کیفیّة العلم، مجلة الحوزة والجامعة، السّنة التّاسعة، العدد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ربیع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جلسون، اتین، روح فلسفة القرون الوسطی، شرکة داودی للنشر العلم والثّقافی،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 تقی، شعاع الدّین فی فراق العقل، مجلة نقد و نظر،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شارات، مایکل، غالیلو مبدع النّهضة، التّرجمه حسن أفشار، طهران، دار نشر المرکز،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ضمیران، محمد، العبور من عالم الأسطورة إلی الفلسفة، دار نشر هرمس،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الشّاهرودی،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نقد ونظر، السّنة الرّابعة، 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کلشنی، مهدی، من العلم العلمانی إلی العلم الدّینی، طهران، معهد بحوث العلوم الإنسانیة والمطالعات الثّقافیّة،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کلشنی، مهدی، الآراء الفلسفیّة للفیزیائیین المعاصرین، طهران، دار نشر أمیر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کلشنی، مهدی، مجلة رسالة العلم والدّین، السّنة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محبوبی الأردکانی، حسین، تأریخ المؤسّسات الحضاریّة الحدیثة فی إیران، جامعة طهران، </w:t>
      </w:r>
      <w:r>
        <w:rPr>
          <w:rFonts w:eastAsia="IRNazanin" w:cs="IRNazanin"/>
          <w:color w:val="111111"/>
          <w:sz w:val="28"/>
          <w:szCs w:val="28"/>
          <w:lang w:bidi="fa-IR"/>
        </w:rPr>
        <w:t>1975</w:t>
      </w:r>
      <w:r>
        <w:rPr>
          <w:rFonts w:eastAsia="IRNazanin" w:cs="IRNazanin"/>
          <w:color w:val="111111"/>
          <w:sz w:val="28"/>
          <w:szCs w:val="28"/>
          <w:rtl w:val="true"/>
          <w:lang w:bidi="fa-IR"/>
        </w:rPr>
        <w:t>.</w:t>
      </w:r>
      <w:bookmarkStart w:id="368" w:name="pg5231_29955"/>
    </w:p>
    <w:p>
      <w:pPr>
        <w:pStyle w:val="BookText"/>
        <w:rPr/>
      </w:pPr>
      <w:bookmarkEnd w:id="36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حسن، الرّؤیة الکونیّة الإسلامیّة والعلم الحدیث، ترجمة ضیاء الدّین تاج، مجلة رسالة الثّقافة، العدد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المعرفة والعلم القدسی، ترجمة فرزاد حاجی میرزائی، دار فرزان روز للنشر والبحث،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المعرفة والمعنویة، ترجمة إنشاء الله رحمتی، دار السّهروردی للبحث والنّشر،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الحاجة إلی العلم المقدّس، ترجمة حسین میانداری، مؤسّسة طه الثّقافیّة،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نقد ونظر، عدد خاص حول التّقلیدیین، السّنة الرّابعة،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نقد ونظر، عدد خاص حول التقلید والتّجدّد، السّنة الخامسة،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Heading3"/>
        <w:numPr>
          <w:ilvl w:val="2"/>
          <w:numId w:val="1"/>
        </w:numPr>
        <w:rPr/>
      </w:pPr>
      <w:bookmarkStart w:id="369" w:name="__RefHeading___Toc283400_581953129"/>
      <w:bookmarkStart w:id="370" w:name="_Toc138"/>
      <w:bookmarkEnd w:id="369"/>
      <w:r>
        <w:rPr>
          <w:rtl w:val="true"/>
        </w:rPr>
        <w:t>المصادر الانجلیزیة</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 Andrew Dickson, A History of Science with Theology in Christendom, New York: Appleton, 1897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 Andrew Dickson, The Warfare of Science, New York: Appleton, 1876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Draper, John William, History of the Confict Between Religion and Science, 1874, Reprint, New York: Applecton,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Brooke, John Hadley, Science and Religion: Some Historical rspectives, Cambridge, Cambridge University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David B., The Historiography of Science and Religion, The history of science and religion in the western tradition, an encyclopedia, Gary B. Ferngren (Ed), Garland,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 seyyed Hossein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Islamic Worldview and Modern Science " , Islamic Thought and Islamic Creativity 7. 7. Carnap, R., " Intellectuall Autobiography " , in p. a. Schilpp (ed) The Philosophy of Rugolf Carnap, Iasalle, IIIinois, Open Court, 1963/1991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Hume, D., Enquiries concerning Human understanding and concerning the Principles of Morals, Third Edition py P. H. Nidditch, Oxford, Oxford Unversity Press, 1777/1975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Maclntyre, A</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Panel Discussion " , in F. McMullin (ed.) Construction and Consraint, Notredame, Notredame University Press, 1988. 10. Popper</w:t>
      </w:r>
    </w:p>
    <w:p>
      <w:pPr>
        <w:pStyle w:val="BookText"/>
        <w:rPr/>
      </w:pPr>
      <w:r>
        <w:rPr>
          <w:rFonts w:ascii="IRNazanin" w:hAnsi="IRNazanin" w:eastAsia="IRNazanin"/>
          <w:color w:val="111111"/>
          <w:sz w:val="28"/>
          <w:sz w:val="28"/>
          <w:szCs w:val="28"/>
          <w:rtl w:val="true"/>
          <w:lang w:bidi="fa-IR"/>
        </w:rPr>
        <w:t>این قسمت پشت جلد کتاب چاپ می‌شود</w:t>
      </w:r>
    </w:p>
    <w:p>
      <w:pPr>
        <w:pStyle w:val="BookText"/>
        <w:rPr/>
      </w:pPr>
      <w:r>
        <w:rPr>
          <w:rFonts w:ascii="IRNazanin" w:hAnsi="IRNazanin" w:eastAsia="IRNazanin"/>
          <w:color w:val="111111"/>
          <w:sz w:val="28"/>
          <w:sz w:val="28"/>
          <w:szCs w:val="28"/>
          <w:rtl w:val="true"/>
          <w:lang w:bidi="fa-IR"/>
        </w:rPr>
        <w:t>إنّ البحث فی الأسس الفلسفیّة والعلم المعرفی والمنهجی لدَیْنَنة العلم وتحلیل العلاقة بین العلم والدّین لأجل دراسة وبیان إمکان ضرورة وترکیبة العلم الدّینی، تُعدّ من البحوث الملحّة فی مجال فلسفة العلوم الإنسانیّة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المجموعة الّتی وضعناها بین یدیک عزیزی القارئ، هی عصارة بعض أهمّ الآراء الّتی طُرحت فی إیران فی مجال دَیْنَنة العلوم، وقد حاولنا عرض ودراسة الآراء المعارضة لإمکان وضرورة تحقّق العلم الدّینی، وکذا الآراء المعاکسة لها، والّتی تری بأنّه ممکن وضروری، ویذهب بعضها إلی تحقّقه فی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ویبرز فی هذا الوسط أکثر الآراء موضوعیة؛ والّذی یعتمد منهجاً رائجاً فی استنباط المعارف الدّینیة وهو ما یُعرف بالمنهج الاجتهادی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یعرض قسم فلسفة العلوم الإنسانیّة فی معهد بحوث الحوزة والجامعة بعض الملاحظات الموجزة تعقیباً علی الآراء المطروحة؛ یأمل أن تنبری همم باحثی الحوزة والجامعة الأجلّاء لإغناء أمثال هذه البحوث فی مسیرتنا العلمیّة المتصاعدة، وذلک بعرض توجیهاتهم واقتراحاتهم ونقودهم القیّمة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أرسطو، المیتافیزیة،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ضیمران، محمد، العبور من عالم الأسطورة إلی الفلسفة،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زیلسون، اتین، روح فلسفة القرون الوسطی،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شارات، مایّکل، غالیلو مجدّد مرحلة التجدید،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 لحسن افشار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White, Andrew Dickson, A History of science with Theology in Christendom. 2 Vols New York: Applet on , 1987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White, Andrew Dickson warfare of science. NewYork: Applet on, 1876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Drape, John William, History of the Con flict Between Religion and science. 1874, Repnint. New York Applet on, 1928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Brooke, John Hadley, Science and Religion: Some Historical perspectives. Cambridge, Cambridge University Press. 1991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 Wilson, David B. The History ography of science and Rellgion. The history of science and religlon in the western tradition, an encyclopedid. Covny B. Ferngren (Ed). Gevrland,2000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طُرحت مسألة العلاقة فیما بین الثّقافة الغربیّة والثّقافة الإسلامیّة فی إیران من خلال تأسیس دارالفنون وتعلیم علوم التّقنیة الغربیّة من خلال حضور الأساتذه الأجانب من جهة وإرسال البعثات الدراسیّة إلی الدّول الأوربیّة من جهة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ومنذ أوائل تأسیس دارالفنون استُخدم بعض الأفراد لتدریس وإقامة صلاة الظّهر والعصر والإجابة عن الأسئلة الدّینیّة وذلک للاهتمام بالشّعائر المذهبیّة فی نظامها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درجة أنّ الطّلبة الّذین أرسلوا إلی باریس عام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یقعوا تحت‌تأثیر الثّقافة الفرنسیة لأنّهم تربّوا علی الآداب الوطنیّة والدّینیّة والعفاف أیام صغرهم فقویت بذلک الدّیانة الوطنیّة فی نفوسهم، أضعف إلی ذلک قیام مشرف مؤمن وحذِر علی شؤونهم کأمیر نظام کروسی الّذی کانت له الید الطّولی فی المحافظة علی أخلاقهم بحسب اقتضاء ذلک العهد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 اردکانی، حسین، تأریخ المؤسّسات المدنیّة الحدیثة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عبد الهادی، المواجهة الأولی لمفکّری إیران مع منهجی الحضارة البرجوازیّة الغربیّة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الفتّاح طیّارة، عفیف، روح الدّین الإسلامی،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کلشنی، مهدی، مجلة رسالة العلم والدّین،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خریف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صیف</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الدّین فی مفارقة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نقد ونظر،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الصّدر، سید محمّد باقر، اقتصادنا،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کنموذج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هذه المقالة باللغة الإنجلیزیّة، وقد قام بنقلها إلی الفارسیّة ضیاءالدّین تاج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یؤکّد علی قیمة الإنسان وقدرته علی تحقیق الذّات بواسطةِ العقل ویرفض الإیمان بقوّة خارقة للطبیعة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یبحث فی مظهر الکون وترکیبه العام ویشمل علوم الفلک والجغرافیا والجیولوجیا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ثوب فضفاض واسع الجیوب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باحث ومدرس فی الحوزة العلمیةّ والجامعة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عالم 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یجدر التنبیه علی أنّنا سنقتصر من الآن فصاعداً علی استعمال لفظة قضیّة بدلاً عن المعلومة والنّظریّة لکون المعلومات والنّظریّات تُفسّر بواسطة القضیّة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نقد ونظر، السنّة الرّابعة،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شتاء وربیع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الدکتور مهدی کلشنی أستاذ الفیزیاء فی جامعة شریف الصناعیّة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جائزة تمبلون الکبری فی مجال العلم والدّین، رئیس معهد العلوم الإنسانیّة والمطالعات الثّقافیّة للبحوث ورئیس قسم الفلسفة فی جامعة شریف الصناعیّة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کلشنی، مهدی، من العلم العلمانی إلی العلم الدّینی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 ریاضی یعتبر مقیاساً للطاقة غیر المستفادة فی نظام دینامیٍّ حراری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قامت منظمة الطّباعة والنّشر لوزارة الثّقافة والإرشاد الإسلامی بطبع الکتاب المذکور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الهیئة العلمیّة لجامعة طهران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اللّجنة العلمیّة لقسم الفلسفة فی جامعة طهران، وقسم العلوم السیاسیّة فی جامعة الإمام‌الصادق علیه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objectivity</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 رقم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الاطّلاع أکثر علی هذه المعضلة البنیویّة جدّاً فی الفلسفة السّیاسیّة والحقوق،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اندرو لوین، کتاب نظریّة اللیبرالیّة الدیمقراطیّة، الترجمة والتّعلیق النقدی لسعید زیبا کلام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ماکین تایر یصرّح فی مجال مفاهیم أمثال الصّدق والکذب والمعقولیّة والموضوعیّة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یبدو لی أنّ مفاهیم الصّدق والکذب والمعقولیّة والموضوعیّة لم تطرح علی أنّها مفاهیم تقتصر علی داخل العلوم وإنّما هی بمنزلة جزء من أیدیولوجیّة العلوم، والموضوعیّة الأیدیولوجیّة الّتی سیطرت أساساً علی ثقافتنا منذ حرکة التّنویر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تمّ إنجاز مثل هذه المطالعة الموردیّة فی تأریخ العلم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علی الجمیع أن یعرفه عن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وقد قام السیّد زیبا کلام بتعریفة فی إطار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فی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ماهیة العلم نحو کیفیّة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فصلیة الحوزة والجامعة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 الکتاب المذکور کان أکثر نجاحاً فی إثبات دعوی هذه المقالة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الأمراض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أسبابها وعلاجها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بخصوص الملاکات الّتی طرحها السّید میر باقری یجب تحدید مطلب آخر وهو ما هی العلاقة والنّسبة الموجودة فیما بین شرط الکون علی الحقّ والشّرطین الآخرین؟ فهل أنّ الشّرطین الآخرین، هما الملاک فی إحراز شرط الکون علی الحقّ، بمعنی هل أنّنا نکتشف طریقاً لحقّانیّة النّظریّة من خلال انسجام النّظریّة وکفاءتها فی مجال اتّساع الإیمان؟ ومن المؤکّد أنّه من المستبعد أن یکون هذا هو مراد السّید میر باقری، لأنّه یطرح الحجّیة باعتبارها ملاکاً للکون 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افتراضنا أنّ النّظریّة حقّانیة، فینبغی فی هذه الحالة إثبات ضرورة طرح الشّرطین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افترضنا أنّنا توصّلنا إلی نظریّة حقّانیّة من خلال الاتّصال المباشر بالمعصوم علیه السلام ، فحسب القاعدة، لا توجد أیّ حاجة لدّراسة الشّرطین الآخرین فی هذه الحالة؛ إلّا إذا کان المقصود من طرح هذین الشّرطین هو الاستفادة منهما بعنوان تأیید ملاک الحجّیة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الممکن أن نقول کذلک بالاستفادة من ملاک الحجّیة لإثبات الکون علی الحقّ فی زمان عدم وجود اتّصال بالمعصوم واستثمار دراسة الانسجام والکفاءة لتأیید النّظریّة الّتی توصّلنا إلیها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العبارة مضمون بیت للشّیخ عبد الحسین الأعسم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القرن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البیت فی کتاب الدر النضید من مراثی السّبط الشّهید للسید محسن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العرفان،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کلّ مکان کربلاء لدی عینی وکلّ زمان یوم عشوراء</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منسوبة إلی علی علیه السلام وهی حرفیاً کالتّالی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قرار هذه الأرض لا یکون إلّا علی عاتق ملک وقدما ذلک الملک علی صخرة والصخرة علی قرن ثور والثور قوائمه علی ظهر حوت فی الیم الأسفل والیمّ علی الظّلمة، والظّلمة علی العقیم، والعقیم علی الثری وما یعلم تحت الثری إلّاالله عزّ وجلّ</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المنهج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أکثر علی میثولوجیا العلوم التّأریخیّة،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کیتس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کلارک، مقدّمة حول منهج البحث فی التّأریخ، بضمیمة فهرست المراجع و المصادر، التّرجمیة الفارسیّة لأوانس أوانسیان، طهران، أساطیر،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زرین کوب، التأریخ فی المیزان حول مطالعة التأریخ و کتابة التأریخ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کبیر،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 کار، ما هو التّأریخ؟ التّرجمة الفارسیة لحسن کامشاد،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دبلیو، أج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مقدّمة حول فلسفة التأریخ، الترجمة الفارسیة لضیاء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کبیر،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وطن مصر وعراق وشام نیست این وطن جایی است کآن نام نیست،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والحلواء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الوطن من الإیمان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لقب الشاعر الفارسی الشهیر جلال الدّین الرومی، البلخی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استعمال العلم فی مقابل القیم یرتکز علی مقدّمات فی فلسفة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قلنا بالنّزعة التّعریفیّة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definism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فلسفة الأخلاق وعلی الخصوص أحد أقسامها أی الطّبیعیّة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naturalis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یرتفع</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وبالطّبع فإنّ هناک من یعتقد بأنّ الدّین یبیّن القیمة والمنهج، لکنّ هناک علم یستتر فی ذلک المنهج، یبقی علیه مضمراً ولا یبیّنه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الدّین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علی الإنسان السعی فی طریق القرب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الإنسان أن یکون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هنا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الإنسان یوصله إلی قرب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لم یصرّح بذلک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الکریم سروش، العلم و القیمة، بحث فی علاقة العلم و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یاران،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W.W.Bartly III , Morality and Religion in : New Studies in the Philosophy of Relihion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نقد ونظر،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نظریّة النّزعة التّعریفیّة الأخلاقیّة لها أنصار کثیرون فی الغرب، وأنّ أکثر الأصولیین والمفکّرین الإسلامیّین یعتقدون أیضاً بهذه النّظریّة، بخصوص القضایا القِیمیّة والموجِبة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زیبا کلام، سعید، فصلیّة الحوزة والجامعة،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ما أشرنا إلیه فی هذه المسألة یتّصف بالأسلوب الجدلی وإلّا فإنّ العلم فی نظرنا ومنه العلم الدّینی یجب أن یکون کاشفاً للواقع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ینبغی الالتفات إلی أنّ التّعبیر الصحیح فی مجال منهج الفلسفة هو المنهج الفلسفی التّعقلی فی مقابل المنهج الاستقرائی والمنهج التّمثیلی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القیاس هو صورة وشکل لأیّ استدلال برهانی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homa Kuhn , The struchire of scientific Revelutions , The Universtiy of Chicago 1970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المعهد العالمی للفکر الإسلامی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إسلامیّة المعرفة، المبادئ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الإنجازات،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الشّیرازی أحد أشهر شعراء اللغة الفارسیة و سُمّی حافظاً لحفظه القرآن الکریم الّذی انعکس حِکماً فی شعره، و مثنوی من قوالب الشّعر الفارسی و أشهره مثنوی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الرومی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یجدر بنا تقدیم الشکر والتقدیر إلی حجّة الإسلام والمسلمین محمود رجبی، الذی استفدنا من آرائه فی تدوین هذا القسم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فعلی سبیل المثال السّید الشّهید محمد باقر الصّدر وآیة الله السّیستانی استخدما أسلوب حساب الاحتمالات لإثبات بعض القضایا الأصولیّة وذلک لأوّل مرة فی علم الأصول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النکتة الأخری الّتی یمکن طرحها فی هذا الاستدلال، هی أنّ هذا الرّأی یحصر تمایز العلوم فی ثلاثة أمور، الموضوع والمنهج والغایة، فی حال أنّ هذا الحصر لیس منطقیّاً ویمکن تصوّر وجوه أخری للتمایز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سبیل المثال، یمکن إرجاع تمایز العلوم إلی مسائل کلّ علم، بمعنی أنّ کلّ علم له مجموعة مسائل خاصّة به وبهذا یکون متمایزاً عن مجموع مسائل العلوم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یکون تمایز العلوم بالتّمایز بین محمولات قضایا ذلک العلم وعلی هذا فإن کانت مسائل علم ما مختلفة عن علم آخر أو اختلفت محمولاتها فسیکون ذلک العلم متمایزاً عن العلم الآخر وإن کان موضوعهما أو منهجهما أو هدفهما واحد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محمد، مقدّمة العبر،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التوضیح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محمود وآخرون، تأریخ الفکر الاجتماعی فی الإسلام،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هنری مندرس وجورج کوروبیج، أُسس علم الاجتماع بضمیمة التّأریخ الموجز لعلم الاجتماع، التّرجمة الفارسیة لباقر برهام،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جولدنر، الفین؛ أزمة علم الاجتماع الغربی، التّرجمة الفارسیّة لفریدة ممتاز،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ولمزید من التّوضیح فی هذا الخصوص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71439</Words>
  <Characters>347305</Characters>
  <CharactersWithSpaces>417128</CharactersWithSpaces>
  <Paragraphs>1614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2026-08-19T00:24:04Z</dcterms:created>
  <dc:creator>ghaemiyeh.com</dc:creator>
  <dc:description/>
  <dc:language>en-US</dc:language>
  <cp:lastModifiedBy/>
  <dcterms:modified xsi:type="dcterms:W3CDTF">2026-08-19T03:54:11Z</dcterms:modified>
  <cp:revision>1</cp:revision>
  <dc:subject/>
  <dc:title>العلم فی اطارالدین</dc:title>
</cp:coreProperties>
</file>

<file path=docProps/custom.xml><?xml version="1.0" encoding="utf-8"?>
<Properties xmlns="http://schemas.openxmlformats.org/officeDocument/2006/custom-properties" xmlns:vt="http://schemas.openxmlformats.org/officeDocument/2006/docPropsVTypes"/>
</file>