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آگاهی ائمه اثنی عشر علیهم السلام از غیب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0379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30381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30383_774463916">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1630385_774463916">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630387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630389_774463916">
            <w:r>
              <w:rPr>
                <w:webHidden/>
                <w:rStyle w:val="IndexLink"/>
                <w:rtl w:val="true"/>
              </w:rPr>
              <w:t>حال نگاه بیندازید و ببینید</w:t>
            </w:r>
            <w:r>
              <w:rPr>
                <w:rStyle w:val="IndexLink"/>
                <w:rtl w:val="true"/>
              </w:rPr>
              <w:t>:</w:t>
              <w:tab/>
            </w:r>
            <w:r>
              <w:rPr>
                <w:rStyle w:val="IndexLink"/>
              </w:rPr>
              <w:t>15</w:t>
            </w:r>
          </w:hyperlink>
        </w:p>
        <w:p>
          <w:pPr>
            <w:pStyle w:val="Contents2"/>
            <w:tabs>
              <w:tab w:val="clear" w:pos="8743"/>
              <w:tab w:val="right" w:pos="9026" w:leader="dot"/>
            </w:tabs>
            <w:rPr/>
          </w:pPr>
          <w:hyperlink w:anchor="__RefHeading___Toc1630391_774463916">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630393_774463916">
            <w:r>
              <w:rPr>
                <w:webHidden/>
                <w:rStyle w:val="IndexLink"/>
                <w:rtl w:val="true"/>
              </w:rPr>
              <w:t xml:space="preserve">فصل اوّل </w:t>
            </w:r>
            <w:r>
              <w:rPr>
                <w:rStyle w:val="IndexLink"/>
                <w:rtl w:val="true"/>
              </w:rPr>
              <w:t xml:space="preserve">: </w:t>
            </w:r>
            <w:r>
              <w:rPr>
                <w:rStyle w:val="IndexLink"/>
                <w:rtl w:val="true"/>
              </w:rPr>
              <w:t>انسان و نیاز او به ارتباط با غیب</w:t>
            </w:r>
            <w:r>
              <w:rPr>
                <w:rStyle w:val="IndexLink"/>
                <w:rtl w:val="true"/>
              </w:rPr>
              <w:tab/>
            </w:r>
            <w:r>
              <w:rPr>
                <w:rStyle w:val="IndexLink"/>
              </w:rPr>
              <w:t>32</w:t>
            </w:r>
          </w:hyperlink>
        </w:p>
        <w:p>
          <w:pPr>
            <w:pStyle w:val="Contents2"/>
            <w:tabs>
              <w:tab w:val="clear" w:pos="8743"/>
              <w:tab w:val="right" w:pos="9026" w:leader="dot"/>
            </w:tabs>
            <w:rPr/>
          </w:pPr>
          <w:hyperlink w:anchor="__RefHeading___Toc1630395_774463916">
            <w:r>
              <w:rPr>
                <w:webHidden/>
                <w:rStyle w:val="IndexLink"/>
                <w:rtl w:val="true"/>
              </w:rPr>
              <w:t xml:space="preserve">فصل دوّم </w:t>
            </w:r>
            <w:r>
              <w:rPr>
                <w:rStyle w:val="IndexLink"/>
                <w:rtl w:val="true"/>
              </w:rPr>
              <w:t xml:space="preserve">: </w:t>
            </w:r>
            <w:r>
              <w:rPr>
                <w:rStyle w:val="IndexLink"/>
                <w:rtl w:val="true"/>
              </w:rPr>
              <w:t>رابطه عصمت با علم غیب</w:t>
            </w:r>
            <w:r>
              <w:rPr>
                <w:rStyle w:val="IndexLink"/>
                <w:rtl w:val="true"/>
              </w:rPr>
              <w:tab/>
            </w:r>
            <w:r>
              <w:rPr>
                <w:rStyle w:val="IndexLink"/>
              </w:rPr>
              <w:t>42</w:t>
            </w:r>
          </w:hyperlink>
        </w:p>
        <w:p>
          <w:pPr>
            <w:pStyle w:val="Contents2"/>
            <w:tabs>
              <w:tab w:val="clear" w:pos="8743"/>
              <w:tab w:val="right" w:pos="9026" w:leader="dot"/>
            </w:tabs>
            <w:rPr/>
          </w:pPr>
          <w:hyperlink w:anchor="__RefHeading___Toc1630397_774463916">
            <w:r>
              <w:rPr>
                <w:webHidden/>
                <w:rStyle w:val="IndexLink"/>
                <w:rtl w:val="true"/>
              </w:rPr>
              <w:t xml:space="preserve">فصل سوم </w:t>
            </w:r>
            <w:r>
              <w:rPr>
                <w:rStyle w:val="IndexLink"/>
                <w:rtl w:val="true"/>
              </w:rPr>
              <w:t xml:space="preserve">: </w:t>
            </w:r>
            <w:r>
              <w:rPr>
                <w:rStyle w:val="IndexLink"/>
                <w:rtl w:val="true"/>
              </w:rPr>
              <w:t>علم غیب در قرآن و سنّت</w:t>
            </w:r>
            <w:r>
              <w:rPr>
                <w:rStyle w:val="IndexLink"/>
                <w:rtl w:val="true"/>
              </w:rPr>
              <w:tab/>
            </w:r>
            <w:r>
              <w:rPr>
                <w:rStyle w:val="IndexLink"/>
              </w:rPr>
              <w:t>54</w:t>
            </w:r>
          </w:hyperlink>
        </w:p>
        <w:p>
          <w:pPr>
            <w:pStyle w:val="Contents3"/>
            <w:tabs>
              <w:tab w:val="clear" w:pos="8459"/>
              <w:tab w:val="right" w:pos="9026" w:leader="dot"/>
            </w:tabs>
            <w:rPr/>
          </w:pPr>
          <w:hyperlink w:anchor="__RefHeading___Toc1630399_77446391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630401_774463916">
            <w:r>
              <w:rPr>
                <w:webHidden/>
                <w:rStyle w:val="IndexLink"/>
                <w:rtl w:val="true"/>
              </w:rPr>
              <w:t>بخش اوّل</w:t>
            </w:r>
            <w:r>
              <w:rPr>
                <w:rStyle w:val="IndexLink"/>
                <w:rtl w:val="true"/>
              </w:rPr>
              <w:t xml:space="preserve">: </w:t>
            </w:r>
            <w:r>
              <w:rPr>
                <w:rStyle w:val="IndexLink"/>
                <w:rtl w:val="true"/>
              </w:rPr>
              <w:t>آیاتی که از علم غیب در زندگی انبیا و صالحین خبرمی دهد</w:t>
            </w:r>
            <w:r>
              <w:rPr>
                <w:rStyle w:val="IndexLink"/>
                <w:rtl w:val="true"/>
              </w:rPr>
              <w:tab/>
            </w:r>
            <w:r>
              <w:rPr>
                <w:rStyle w:val="IndexLink"/>
              </w:rPr>
              <w:t>54</w:t>
            </w:r>
          </w:hyperlink>
        </w:p>
        <w:p>
          <w:pPr>
            <w:pStyle w:val="Contents3"/>
            <w:tabs>
              <w:tab w:val="clear" w:pos="8459"/>
              <w:tab w:val="right" w:pos="9026" w:leader="dot"/>
            </w:tabs>
            <w:rPr/>
          </w:pPr>
          <w:hyperlink w:anchor="__RefHeading___Toc1630403_774463916">
            <w:r>
              <w:rPr>
                <w:webHidden/>
                <w:rStyle w:val="IndexLink"/>
                <w:rtl w:val="true"/>
              </w:rPr>
              <w:t>بخش دوّم</w:t>
            </w:r>
            <w:r>
              <w:rPr>
                <w:rStyle w:val="IndexLink"/>
                <w:rtl w:val="true"/>
              </w:rPr>
              <w:t xml:space="preserve">: </w:t>
            </w:r>
            <w:r>
              <w:rPr>
                <w:rStyle w:val="IndexLink"/>
                <w:rtl w:val="true"/>
              </w:rPr>
              <w:t>آیاتی که علم غیب را منحصر در خداوند متعال می داند و آن را از دیگران نفی می کند</w:t>
            </w:r>
            <w:r>
              <w:rPr>
                <w:rStyle w:val="IndexLink"/>
                <w:rtl w:val="true"/>
              </w:rPr>
              <w:tab/>
            </w:r>
            <w:r>
              <w:rPr>
                <w:rStyle w:val="IndexLink"/>
              </w:rPr>
              <w:t>63</w:t>
            </w:r>
          </w:hyperlink>
        </w:p>
        <w:p>
          <w:pPr>
            <w:pStyle w:val="Contents3"/>
            <w:tabs>
              <w:tab w:val="clear" w:pos="8459"/>
              <w:tab w:val="right" w:pos="9026" w:leader="dot"/>
            </w:tabs>
            <w:rPr/>
          </w:pPr>
          <w:hyperlink w:anchor="__RefHeading___Toc1630405_774463916">
            <w:r>
              <w:rPr>
                <w:webHidden/>
                <w:rStyle w:val="IndexLink"/>
                <w:rtl w:val="true"/>
              </w:rPr>
              <w:t>بخش سوّم</w:t>
            </w:r>
            <w:r>
              <w:rPr>
                <w:rStyle w:val="IndexLink"/>
                <w:rtl w:val="true"/>
              </w:rPr>
              <w:t xml:space="preserve">: </w:t>
            </w:r>
            <w:r>
              <w:rPr>
                <w:rStyle w:val="IndexLink"/>
                <w:rtl w:val="true"/>
              </w:rPr>
              <w:t>آیاتی که امکان علم غیب داشتن را برای غیر خداوند اثبات می کند</w:t>
            </w:r>
            <w:r>
              <w:rPr>
                <w:rStyle w:val="IndexLink"/>
                <w:rtl w:val="true"/>
              </w:rPr>
              <w:tab/>
            </w:r>
            <w:r>
              <w:rPr>
                <w:rStyle w:val="IndexLink"/>
              </w:rPr>
              <w:t>66</w:t>
            </w:r>
          </w:hyperlink>
        </w:p>
        <w:p>
          <w:pPr>
            <w:pStyle w:val="Contents3"/>
            <w:tabs>
              <w:tab w:val="clear" w:pos="8459"/>
              <w:tab w:val="right" w:pos="9026" w:leader="dot"/>
            </w:tabs>
            <w:rPr/>
          </w:pPr>
          <w:hyperlink w:anchor="__RefHeading___Toc1630407_774463916">
            <w:r>
              <w:rPr>
                <w:webHidden/>
                <w:rStyle w:val="IndexLink"/>
                <w:rtl w:val="true"/>
              </w:rPr>
              <w:t>بخش چهارم</w:t>
            </w:r>
            <w:r>
              <w:rPr>
                <w:rStyle w:val="IndexLink"/>
                <w:rtl w:val="true"/>
              </w:rPr>
              <w:t xml:space="preserve">: </w:t>
            </w:r>
            <w:r>
              <w:rPr>
                <w:rStyle w:val="IndexLink"/>
                <w:rtl w:val="true"/>
              </w:rPr>
              <w:t>آیاتی که اعطای علم غیب به خاتم پیامبران را اثبات می کند</w:t>
            </w:r>
            <w:r>
              <w:rPr>
                <w:rStyle w:val="IndexLink"/>
                <w:rtl w:val="true"/>
              </w:rPr>
              <w:tab/>
            </w:r>
            <w:r>
              <w:rPr>
                <w:rStyle w:val="IndexLink"/>
              </w:rPr>
              <w:t>67</w:t>
            </w:r>
          </w:hyperlink>
        </w:p>
        <w:p>
          <w:pPr>
            <w:pStyle w:val="Contents3"/>
            <w:tabs>
              <w:tab w:val="clear" w:pos="8459"/>
              <w:tab w:val="right" w:pos="9026" w:leader="dot"/>
            </w:tabs>
            <w:rPr/>
          </w:pPr>
          <w:hyperlink w:anchor="__RefHeading___Toc1630409_774463916">
            <w:r>
              <w:rPr>
                <w:webHidden/>
                <w:rStyle w:val="IndexLink"/>
                <w:rtl w:val="true"/>
              </w:rPr>
              <w:t>بخش پنجم</w:t>
            </w:r>
            <w:r>
              <w:rPr>
                <w:rStyle w:val="IndexLink"/>
                <w:rtl w:val="true"/>
              </w:rPr>
              <w:t xml:space="preserve">: </w:t>
            </w:r>
            <w:r>
              <w:rPr>
                <w:rStyle w:val="IndexLink"/>
                <w:rtl w:val="true"/>
              </w:rPr>
              <w:t>آیات و روایاتی که اعطای علم غیب به ائمّه</w:t>
            </w:r>
            <w:r>
              <w:rPr>
                <w:rStyle w:val="IndexLink"/>
                <w:rtl w:val="true"/>
              </w:rPr>
              <w:t>(</w:t>
            </w:r>
            <w:r>
              <w:rPr>
                <w:rStyle w:val="IndexLink"/>
                <w:rtl w:val="true"/>
              </w:rPr>
              <w:t>علیهم السّلام</w:t>
            </w:r>
            <w:r>
              <w:rPr>
                <w:rStyle w:val="IndexLink"/>
                <w:rtl w:val="true"/>
              </w:rPr>
              <w:t>) (</w:t>
            </w:r>
            <w:r>
              <w:rPr>
                <w:rStyle w:val="IndexLink"/>
                <w:rtl w:val="true"/>
              </w:rPr>
              <w:t>اهل بیت</w:t>
            </w:r>
            <w:r>
              <w:rPr>
                <w:rStyle w:val="IndexLink"/>
                <w:rtl w:val="true"/>
              </w:rPr>
              <w:t xml:space="preserve">) </w:t>
            </w:r>
            <w:r>
              <w:rPr>
                <w:rStyle w:val="IndexLink"/>
                <w:rtl w:val="true"/>
              </w:rPr>
              <w:t>را اثبات می کند</w:t>
            </w:r>
            <w:r>
              <w:rPr>
                <w:rStyle w:val="IndexLink"/>
                <w:rtl w:val="true"/>
              </w:rPr>
              <w:tab/>
            </w:r>
            <w:r>
              <w:rPr>
                <w:rStyle w:val="IndexLink"/>
              </w:rPr>
              <w:t>70</w:t>
            </w:r>
          </w:hyperlink>
        </w:p>
        <w:p>
          <w:pPr>
            <w:pStyle w:val="Contents3"/>
            <w:tabs>
              <w:tab w:val="clear" w:pos="8459"/>
              <w:tab w:val="right" w:pos="9026" w:leader="dot"/>
            </w:tabs>
            <w:rPr/>
          </w:pPr>
          <w:hyperlink w:anchor="__RefHeading___Toc1630411_774463916">
            <w:r>
              <w:rPr>
                <w:webHidden/>
                <w:rStyle w:val="IndexLink"/>
                <w:rtl w:val="true"/>
              </w:rPr>
              <w:t>بخش ششم</w:t>
            </w:r>
            <w:r>
              <w:rPr>
                <w:rStyle w:val="IndexLink"/>
                <w:rtl w:val="true"/>
              </w:rPr>
              <w:t xml:space="preserve">: </w:t>
            </w:r>
            <w:r>
              <w:rPr>
                <w:rStyle w:val="IndexLink"/>
                <w:rtl w:val="true"/>
              </w:rPr>
              <w:t>امام علی ابن ابی طالب</w:t>
            </w:r>
            <w:r>
              <w:rPr>
                <w:rStyle w:val="IndexLink"/>
                <w:rtl w:val="true"/>
              </w:rPr>
              <w:t>(</w:t>
            </w:r>
            <w:r>
              <w:rPr>
                <w:rStyle w:val="IndexLink"/>
                <w:rtl w:val="true"/>
              </w:rPr>
              <w:t>علیه السلام</w:t>
            </w:r>
            <w:r>
              <w:rPr>
                <w:rStyle w:val="IndexLink"/>
                <w:rtl w:val="true"/>
              </w:rPr>
              <w:t xml:space="preserve">) </w:t>
            </w:r>
            <w:r>
              <w:rPr>
                <w:rStyle w:val="IndexLink"/>
                <w:rtl w:val="true"/>
              </w:rPr>
              <w:t>و علم غیب</w:t>
            </w:r>
            <w:r>
              <w:rPr>
                <w:rStyle w:val="IndexLink"/>
                <w:rtl w:val="true"/>
              </w:rPr>
              <w:tab/>
            </w:r>
            <w:r>
              <w:rPr>
                <w:rStyle w:val="IndexLink"/>
              </w:rPr>
              <w:t>79</w:t>
            </w:r>
          </w:hyperlink>
        </w:p>
        <w:p>
          <w:pPr>
            <w:pStyle w:val="Contents3"/>
            <w:tabs>
              <w:tab w:val="clear" w:pos="8459"/>
              <w:tab w:val="right" w:pos="9026" w:leader="dot"/>
            </w:tabs>
            <w:rPr/>
          </w:pPr>
          <w:hyperlink w:anchor="__RefHeading___Toc1630413_774463916">
            <w:r>
              <w:rPr>
                <w:webHidden/>
                <w:rStyle w:val="IndexLink"/>
                <w:rtl w:val="true"/>
              </w:rPr>
              <w:t>بخش هفتم</w:t>
            </w:r>
            <w:r>
              <w:rPr>
                <w:rStyle w:val="IndexLink"/>
                <w:rtl w:val="true"/>
              </w:rPr>
              <w:t xml:space="preserve">: </w:t>
            </w:r>
            <w:r>
              <w:rPr>
                <w:rStyle w:val="IndexLink"/>
                <w:rtl w:val="true"/>
              </w:rPr>
              <w:t>روایاتی که از علم غیب امامان</w:t>
            </w:r>
            <w:r>
              <w:rPr>
                <w:rStyle w:val="IndexLink"/>
                <w:rtl w:val="true"/>
              </w:rPr>
              <w:t>(</w:t>
            </w:r>
            <w:r>
              <w:rPr>
                <w:rStyle w:val="IndexLink"/>
                <w:rtl w:val="true"/>
              </w:rPr>
              <w:t>علیه السلام</w:t>
            </w:r>
            <w:r>
              <w:rPr>
                <w:rStyle w:val="IndexLink"/>
                <w:rtl w:val="true"/>
              </w:rPr>
              <w:t xml:space="preserve">) </w:t>
            </w:r>
            <w:r>
              <w:rPr>
                <w:rStyle w:val="IndexLink"/>
                <w:rtl w:val="true"/>
              </w:rPr>
              <w:t>و پیشگوییهای آنان سخن می گوید</w:t>
            </w:r>
            <w:r>
              <w:rPr>
                <w:rStyle w:val="IndexLink"/>
                <w:rtl w:val="true"/>
              </w:rPr>
              <w:tab/>
            </w:r>
            <w:r>
              <w:rPr>
                <w:rStyle w:val="IndexLink"/>
              </w:rPr>
              <w:t>86</w:t>
            </w:r>
          </w:hyperlink>
        </w:p>
        <w:p>
          <w:pPr>
            <w:pStyle w:val="Contents2"/>
            <w:tabs>
              <w:tab w:val="clear" w:pos="8743"/>
              <w:tab w:val="right" w:pos="9026" w:leader="dot"/>
            </w:tabs>
            <w:rPr/>
          </w:pPr>
          <w:hyperlink w:anchor="__RefHeading___Toc1630415_774463916">
            <w:r>
              <w:rPr>
                <w:webHidden/>
                <w:rStyle w:val="IndexLink"/>
                <w:rtl w:val="true"/>
              </w:rPr>
              <w:t xml:space="preserve">فصل چهارم </w:t>
            </w:r>
            <w:r>
              <w:rPr>
                <w:rStyle w:val="IndexLink"/>
                <w:rtl w:val="true"/>
              </w:rPr>
              <w:t xml:space="preserve">: </w:t>
            </w:r>
            <w:r>
              <w:rPr>
                <w:rStyle w:val="IndexLink"/>
                <w:rtl w:val="true"/>
              </w:rPr>
              <w:t>علم غیب از دیدگاه روان شناسی فلسفی</w:t>
            </w:r>
            <w:r>
              <w:rPr>
                <w:rStyle w:val="IndexLink"/>
                <w:rtl w:val="true"/>
              </w:rPr>
              <w:tab/>
            </w:r>
            <w:r>
              <w:rPr>
                <w:rStyle w:val="IndexLink"/>
              </w:rPr>
              <w:t>88</w:t>
            </w:r>
          </w:hyperlink>
        </w:p>
        <w:p>
          <w:pPr>
            <w:pStyle w:val="Contents2"/>
            <w:tabs>
              <w:tab w:val="clear" w:pos="8743"/>
              <w:tab w:val="right" w:pos="9026" w:leader="dot"/>
            </w:tabs>
            <w:rPr/>
          </w:pPr>
          <w:hyperlink w:anchor="__RefHeading___Toc1630417_774463916">
            <w:r>
              <w:rPr>
                <w:webHidden/>
                <w:rStyle w:val="IndexLink"/>
                <w:rtl w:val="true"/>
              </w:rPr>
              <w:t xml:space="preserve">فصل پنجم </w:t>
            </w:r>
            <w:r>
              <w:rPr>
                <w:rStyle w:val="IndexLink"/>
                <w:rtl w:val="true"/>
              </w:rPr>
              <w:t xml:space="preserve">: </w:t>
            </w:r>
            <w:r>
              <w:rPr>
                <w:rStyle w:val="IndexLink"/>
                <w:rtl w:val="true"/>
              </w:rPr>
              <w:t>علم غیب از دیدگاه غیر امامیّه</w:t>
            </w:r>
            <w:r>
              <w:rPr>
                <w:rStyle w:val="IndexLink"/>
                <w:rtl w:val="true"/>
              </w:rPr>
              <w:tab/>
            </w:r>
            <w:r>
              <w:rPr>
                <w:rStyle w:val="IndexLink"/>
              </w:rPr>
              <w:t>100</w:t>
            </w:r>
          </w:hyperlink>
        </w:p>
        <w:p>
          <w:pPr>
            <w:pStyle w:val="Contents3"/>
            <w:tabs>
              <w:tab w:val="clear" w:pos="8459"/>
              <w:tab w:val="right" w:pos="9026" w:leader="dot"/>
            </w:tabs>
            <w:rPr/>
          </w:pPr>
          <w:hyperlink w:anchor="__RefHeading___Toc1630419_77446391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630421_774463916">
            <w:r>
              <w:rPr>
                <w:webHidden/>
                <w:rStyle w:val="IndexLink"/>
              </w:rPr>
              <w:t>1</w:t>
            </w:r>
            <w:r>
              <w:rPr>
                <w:rStyle w:val="IndexLink"/>
                <w:rtl w:val="true"/>
              </w:rPr>
              <w:t xml:space="preserve">- </w:t>
            </w:r>
            <w:r>
              <w:rPr>
                <w:rStyle w:val="IndexLink"/>
                <w:rtl w:val="true"/>
              </w:rPr>
              <w:t>نظر شوکانی</w:t>
            </w:r>
            <w:r>
              <w:rPr>
                <w:rStyle w:val="IndexLink"/>
                <w:rtl w:val="true"/>
              </w:rPr>
              <w:t>:</w:t>
              <w:tab/>
            </w:r>
            <w:r>
              <w:rPr>
                <w:rStyle w:val="IndexLink"/>
              </w:rPr>
              <w:t>101</w:t>
            </w:r>
          </w:hyperlink>
        </w:p>
        <w:p>
          <w:pPr>
            <w:pStyle w:val="Contents3"/>
            <w:tabs>
              <w:tab w:val="clear" w:pos="8459"/>
              <w:tab w:val="right" w:pos="9026" w:leader="dot"/>
            </w:tabs>
            <w:rPr/>
          </w:pPr>
          <w:hyperlink w:anchor="__RefHeading___Toc1630423_774463916">
            <w:r>
              <w:rPr>
                <w:webHidden/>
                <w:rStyle w:val="IndexLink"/>
              </w:rPr>
              <w:t>2</w:t>
            </w:r>
            <w:r>
              <w:rPr>
                <w:rStyle w:val="IndexLink"/>
                <w:rtl w:val="true"/>
              </w:rPr>
              <w:t xml:space="preserve">- </w:t>
            </w:r>
            <w:r>
              <w:rPr>
                <w:rStyle w:val="IndexLink"/>
                <w:rtl w:val="true"/>
              </w:rPr>
              <w:t>نظر ابن تیمیّه</w:t>
            </w:r>
            <w:r>
              <w:rPr>
                <w:rStyle w:val="IndexLink"/>
                <w:rtl w:val="true"/>
              </w:rPr>
              <w:t>:</w:t>
              <w:tab/>
            </w:r>
            <w:r>
              <w:rPr>
                <w:rStyle w:val="IndexLink"/>
              </w:rPr>
              <w:t>103</w:t>
            </w:r>
          </w:hyperlink>
        </w:p>
        <w:p>
          <w:pPr>
            <w:pStyle w:val="Contents3"/>
            <w:tabs>
              <w:tab w:val="clear" w:pos="8459"/>
              <w:tab w:val="right" w:pos="9026" w:leader="dot"/>
            </w:tabs>
            <w:rPr/>
          </w:pPr>
          <w:hyperlink w:anchor="__RefHeading___Toc1630425_774463916">
            <w:r>
              <w:rPr>
                <w:webHidden/>
                <w:rStyle w:val="IndexLink"/>
              </w:rPr>
              <w:t>3</w:t>
            </w:r>
            <w:r>
              <w:rPr>
                <w:rStyle w:val="IndexLink"/>
                <w:rtl w:val="true"/>
              </w:rPr>
              <w:t xml:space="preserve">- </w:t>
            </w:r>
            <w:r>
              <w:rPr>
                <w:rStyle w:val="IndexLink"/>
                <w:rtl w:val="true"/>
              </w:rPr>
              <w:t>نظر ابن خلدون</w:t>
            </w:r>
            <w:r>
              <w:rPr>
                <w:rStyle w:val="IndexLink"/>
                <w:rtl w:val="true"/>
              </w:rPr>
              <w:t>:</w:t>
              <w:tab/>
            </w:r>
            <w:r>
              <w:rPr>
                <w:rStyle w:val="IndexLink"/>
              </w:rPr>
              <w:t>106</w:t>
            </w:r>
          </w:hyperlink>
        </w:p>
        <w:p>
          <w:pPr>
            <w:pStyle w:val="Contents3"/>
            <w:tabs>
              <w:tab w:val="clear" w:pos="8459"/>
              <w:tab w:val="right" w:pos="9026" w:leader="dot"/>
            </w:tabs>
            <w:rPr/>
          </w:pPr>
          <w:hyperlink w:anchor="__RefHeading___Toc1630427_774463916">
            <w:r>
              <w:rPr>
                <w:webHidden/>
                <w:rStyle w:val="IndexLink"/>
              </w:rPr>
              <w:t>4</w:t>
            </w:r>
            <w:r>
              <w:rPr>
                <w:rStyle w:val="IndexLink"/>
                <w:rtl w:val="true"/>
              </w:rPr>
              <w:t xml:space="preserve">- </w:t>
            </w:r>
            <w:r>
              <w:rPr>
                <w:rStyle w:val="IndexLink"/>
                <w:rtl w:val="true"/>
              </w:rPr>
              <w:t>نظر فخر رازی</w:t>
            </w:r>
            <w:r>
              <w:rPr>
                <w:rStyle w:val="IndexLink"/>
                <w:rtl w:val="true"/>
              </w:rPr>
              <w:t>:</w:t>
              <w:tab/>
            </w:r>
            <w:r>
              <w:rPr>
                <w:rStyle w:val="IndexLink"/>
              </w:rPr>
              <w:t>107</w:t>
            </w:r>
          </w:hyperlink>
        </w:p>
        <w:p>
          <w:pPr>
            <w:pStyle w:val="Contents2"/>
            <w:tabs>
              <w:tab w:val="clear" w:pos="8743"/>
              <w:tab w:val="right" w:pos="9026" w:leader="dot"/>
            </w:tabs>
            <w:rPr/>
          </w:pPr>
          <w:hyperlink w:anchor="__RefHeading___Toc1630429_774463916">
            <w:r>
              <w:rPr>
                <w:webHidden/>
                <w:rStyle w:val="IndexLink"/>
                <w:rtl w:val="true"/>
              </w:rPr>
              <w:t xml:space="preserve">فصل ششم </w:t>
            </w:r>
            <w:r>
              <w:rPr>
                <w:rStyle w:val="IndexLink"/>
                <w:rtl w:val="true"/>
              </w:rPr>
              <w:t xml:space="preserve">: </w:t>
            </w:r>
            <w:r>
              <w:rPr>
                <w:rStyle w:val="IndexLink"/>
                <w:rtl w:val="true"/>
              </w:rPr>
              <w:t>تاریخچۀ بحث و گرایش های تحلیلی آن از دیدگاه امامیّه</w:t>
            </w:r>
            <w:r>
              <w:rPr>
                <w:rStyle w:val="IndexLink"/>
                <w:rtl w:val="true"/>
              </w:rPr>
              <w:tab/>
            </w:r>
            <w:r>
              <w:rPr>
                <w:rStyle w:val="IndexLink"/>
              </w:rPr>
              <w:t>109</w:t>
            </w:r>
          </w:hyperlink>
        </w:p>
        <w:p>
          <w:pPr>
            <w:pStyle w:val="Contents3"/>
            <w:tabs>
              <w:tab w:val="clear" w:pos="8459"/>
              <w:tab w:val="right" w:pos="9026" w:leader="dot"/>
            </w:tabs>
            <w:rPr/>
          </w:pPr>
          <w:hyperlink w:anchor="__RefHeading___Toc1630431_774463916">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630433_774463916">
            <w:r>
              <w:rPr>
                <w:webHidden/>
                <w:rStyle w:val="IndexLink"/>
                <w:rtl w:val="true"/>
              </w:rPr>
              <w:t>مراحل بحث پیرامون علم غیب ائمّه</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630435_774463916">
            <w:r>
              <w:rPr>
                <w:webHidden/>
                <w:rStyle w:val="IndexLink"/>
                <w:rtl w:val="true"/>
              </w:rPr>
              <w:t>مرحلۀ نخست</w:t>
            </w:r>
            <w:r>
              <w:rPr>
                <w:rStyle w:val="IndexLink"/>
                <w:rtl w:val="true"/>
              </w:rPr>
              <w:t xml:space="preserve">: </w:t>
            </w:r>
            <w:r>
              <w:rPr>
                <w:rStyle w:val="IndexLink"/>
                <w:rtl w:val="true"/>
              </w:rPr>
              <w:t>در عصر امامان</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630437_774463916">
            <w:r>
              <w:rPr>
                <w:webHidden/>
                <w:rStyle w:val="IndexLink"/>
                <w:rtl w:val="true"/>
              </w:rPr>
              <w:t>مرحلۀ دوّم</w:t>
            </w:r>
            <w:r>
              <w:rPr>
                <w:rStyle w:val="IndexLink"/>
                <w:rtl w:val="true"/>
              </w:rPr>
              <w:t xml:space="preserve">: </w:t>
            </w:r>
            <w:r>
              <w:rPr>
                <w:rStyle w:val="IndexLink"/>
                <w:rtl w:val="true"/>
              </w:rPr>
              <w:t>دوران پس از غیبت معصوم</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1630439_77446391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630441_774463916">
            <w:r>
              <w:rPr>
                <w:webHidden/>
                <w:rStyle w:val="IndexLink"/>
              </w:rPr>
              <w:t>1</w:t>
            </w:r>
            <w:r>
              <w:rPr>
                <w:rStyle w:val="IndexLink"/>
                <w:rtl w:val="true"/>
              </w:rPr>
              <w:t xml:space="preserve">- </w:t>
            </w:r>
            <w:r>
              <w:rPr>
                <w:rStyle w:val="IndexLink"/>
                <w:rtl w:val="true"/>
              </w:rPr>
              <w:t>شیخ مفید</w:t>
            </w:r>
            <w:r>
              <w:rPr>
                <w:rStyle w:val="IndexLink"/>
                <w:rtl w:val="true"/>
              </w:rPr>
              <w:tab/>
            </w:r>
            <w:r>
              <w:rPr>
                <w:rStyle w:val="IndexLink"/>
              </w:rPr>
              <w:t>120</w:t>
            </w:r>
          </w:hyperlink>
        </w:p>
        <w:p>
          <w:pPr>
            <w:pStyle w:val="Contents5"/>
            <w:tabs>
              <w:tab w:val="clear" w:pos="7892"/>
              <w:tab w:val="right" w:pos="9026" w:leader="dot"/>
            </w:tabs>
            <w:rPr/>
          </w:pPr>
          <w:hyperlink w:anchor="__RefHeading___Toc1630443_774463916">
            <w:r>
              <w:rPr>
                <w:webHidden/>
                <w:rStyle w:val="IndexLink"/>
              </w:rPr>
              <w:t>2</w:t>
            </w:r>
            <w:r>
              <w:rPr>
                <w:rStyle w:val="IndexLink"/>
                <w:rtl w:val="true"/>
              </w:rPr>
              <w:t xml:space="preserve">- </w:t>
            </w:r>
            <w:r>
              <w:rPr>
                <w:rStyle w:val="IndexLink"/>
                <w:rtl w:val="true"/>
              </w:rPr>
              <w:t>شیخ طوسی</w:t>
            </w:r>
            <w:r>
              <w:rPr>
                <w:rStyle w:val="IndexLink"/>
                <w:rtl w:val="true"/>
              </w:rPr>
              <w:tab/>
            </w:r>
            <w:r>
              <w:rPr>
                <w:rStyle w:val="IndexLink"/>
              </w:rPr>
              <w:t>123</w:t>
            </w:r>
          </w:hyperlink>
        </w:p>
        <w:p>
          <w:pPr>
            <w:pStyle w:val="Contents5"/>
            <w:tabs>
              <w:tab w:val="clear" w:pos="7892"/>
              <w:tab w:val="right" w:pos="9026" w:leader="dot"/>
            </w:tabs>
            <w:rPr/>
          </w:pPr>
          <w:hyperlink w:anchor="__RefHeading___Toc1630445_774463916">
            <w:r>
              <w:rPr>
                <w:webHidden/>
                <w:rStyle w:val="IndexLink"/>
              </w:rPr>
              <w:t>3</w:t>
            </w:r>
            <w:r>
              <w:rPr>
                <w:rStyle w:val="IndexLink"/>
                <w:rtl w:val="true"/>
              </w:rPr>
              <w:t xml:space="preserve">- </w:t>
            </w:r>
            <w:r>
              <w:rPr>
                <w:rStyle w:val="IndexLink"/>
                <w:rtl w:val="true"/>
              </w:rPr>
              <w:t>علامۀ حلّی</w:t>
            </w:r>
            <w:r>
              <w:rPr>
                <w:rStyle w:val="IndexLink"/>
                <w:rtl w:val="true"/>
              </w:rPr>
              <w:tab/>
            </w:r>
            <w:r>
              <w:rPr>
                <w:rStyle w:val="IndexLink"/>
              </w:rPr>
              <w:t>126</w:t>
            </w:r>
          </w:hyperlink>
        </w:p>
        <w:p>
          <w:pPr>
            <w:pStyle w:val="Contents4"/>
            <w:tabs>
              <w:tab w:val="clear" w:pos="8176"/>
              <w:tab w:val="right" w:pos="9026" w:leader="dot"/>
            </w:tabs>
            <w:rPr/>
          </w:pPr>
          <w:hyperlink w:anchor="__RefHeading___Toc1630447_774463916">
            <w:r>
              <w:rPr>
                <w:webHidden/>
                <w:rStyle w:val="IndexLink"/>
                <w:rtl w:val="true"/>
              </w:rPr>
              <w:t>مرحلۀ سوّم</w:t>
            </w:r>
            <w:r>
              <w:rPr>
                <w:rStyle w:val="IndexLink"/>
                <w:rtl w:val="true"/>
              </w:rPr>
              <w:t xml:space="preserve">: </w:t>
            </w:r>
            <w:r>
              <w:rPr>
                <w:rStyle w:val="IndexLink"/>
                <w:rtl w:val="true"/>
              </w:rPr>
              <w:t>از نظر علمای معاصر</w:t>
            </w:r>
            <w:r>
              <w:rPr>
                <w:rStyle w:val="IndexLink"/>
                <w:rtl w:val="true"/>
              </w:rPr>
              <w:tab/>
            </w:r>
            <w:r>
              <w:rPr>
                <w:rStyle w:val="IndexLink"/>
              </w:rPr>
              <w:t>127</w:t>
            </w:r>
          </w:hyperlink>
        </w:p>
        <w:p>
          <w:pPr>
            <w:pStyle w:val="Contents5"/>
            <w:tabs>
              <w:tab w:val="clear" w:pos="7892"/>
              <w:tab w:val="right" w:pos="9026" w:leader="dot"/>
            </w:tabs>
            <w:rPr/>
          </w:pPr>
          <w:hyperlink w:anchor="__RefHeading___Toc1630449_77446391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630451_774463916">
            <w:r>
              <w:rPr>
                <w:webHidden/>
                <w:rStyle w:val="IndexLink"/>
              </w:rPr>
              <w:t>1</w:t>
            </w:r>
            <w:r>
              <w:rPr>
                <w:rStyle w:val="IndexLink"/>
                <w:rtl w:val="true"/>
              </w:rPr>
              <w:t xml:space="preserve">- </w:t>
            </w:r>
            <w:r>
              <w:rPr>
                <w:rStyle w:val="IndexLink"/>
                <w:rtl w:val="true"/>
              </w:rPr>
              <w:t>امام کاشف الغطاء</w:t>
            </w:r>
            <w:r>
              <w:rPr>
                <w:rStyle w:val="IndexLink"/>
                <w:rtl w:val="true"/>
              </w:rPr>
              <w:tab/>
            </w:r>
            <w:r>
              <w:rPr>
                <w:rStyle w:val="IndexLink"/>
              </w:rPr>
              <w:t>128</w:t>
            </w:r>
          </w:hyperlink>
        </w:p>
        <w:p>
          <w:pPr>
            <w:pStyle w:val="Contents5"/>
            <w:tabs>
              <w:tab w:val="clear" w:pos="7892"/>
              <w:tab w:val="right" w:pos="9026" w:leader="dot"/>
            </w:tabs>
            <w:rPr/>
          </w:pPr>
          <w:hyperlink w:anchor="__RefHeading___Toc1630453_774463916">
            <w:r>
              <w:rPr>
                <w:webHidden/>
                <w:rStyle w:val="IndexLink"/>
              </w:rPr>
              <w:t>2</w:t>
            </w:r>
            <w:r>
              <w:rPr>
                <w:rStyle w:val="IndexLink"/>
                <w:rtl w:val="true"/>
              </w:rPr>
              <w:t xml:space="preserve">- </w:t>
            </w:r>
            <w:r>
              <w:rPr>
                <w:rStyle w:val="IndexLink"/>
                <w:rtl w:val="true"/>
              </w:rPr>
              <w:t>شهید صدر</w:t>
            </w:r>
            <w:r>
              <w:rPr>
                <w:rStyle w:val="IndexLink"/>
                <w:rtl w:val="true"/>
              </w:rPr>
              <w:tab/>
            </w:r>
            <w:r>
              <w:rPr>
                <w:rStyle w:val="IndexLink"/>
              </w:rPr>
              <w:t>129</w:t>
            </w:r>
          </w:hyperlink>
        </w:p>
        <w:p>
          <w:pPr>
            <w:pStyle w:val="Contents5"/>
            <w:tabs>
              <w:tab w:val="clear" w:pos="7892"/>
              <w:tab w:val="right" w:pos="9026" w:leader="dot"/>
            </w:tabs>
            <w:rPr/>
          </w:pPr>
          <w:hyperlink w:anchor="__RefHeading___Toc1630455_774463916">
            <w:r>
              <w:rPr>
                <w:webHidden/>
                <w:rStyle w:val="IndexLink"/>
              </w:rPr>
              <w:t>3</w:t>
            </w:r>
            <w:r>
              <w:rPr>
                <w:rStyle w:val="IndexLink"/>
                <w:rtl w:val="true"/>
              </w:rPr>
              <w:t xml:space="preserve">- </w:t>
            </w:r>
            <w:r>
              <w:rPr>
                <w:rStyle w:val="IndexLink"/>
                <w:rtl w:val="true"/>
              </w:rPr>
              <w:t>سیّد محمّد حسین طباطبایی</w:t>
            </w:r>
            <w:r>
              <w:rPr>
                <w:rStyle w:val="IndexLink"/>
                <w:rtl w:val="true"/>
              </w:rPr>
              <w:tab/>
            </w:r>
            <w:r>
              <w:rPr>
                <w:rStyle w:val="IndexLink"/>
              </w:rPr>
              <w:t>134</w:t>
            </w:r>
          </w:hyperlink>
        </w:p>
        <w:p>
          <w:pPr>
            <w:pStyle w:val="Contents6"/>
            <w:tabs>
              <w:tab w:val="clear" w:pos="7609"/>
              <w:tab w:val="right" w:pos="9026" w:leader="dot"/>
            </w:tabs>
            <w:rPr/>
          </w:pPr>
          <w:hyperlink w:anchor="__RefHeading___Toc1630457_774463916">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630459_774463916">
            <w:r>
              <w:rPr>
                <w:webHidden/>
                <w:rStyle w:val="IndexLink"/>
                <w:rtl w:val="true"/>
              </w:rPr>
              <w:t>اوّلاً</w:t>
            </w:r>
            <w:r>
              <w:rPr>
                <w:rStyle w:val="IndexLink"/>
                <w:rtl w:val="true"/>
              </w:rPr>
              <w:t xml:space="preserve">: </w:t>
            </w:r>
            <w:r>
              <w:rPr>
                <w:rStyle w:val="IndexLink"/>
                <w:rtl w:val="true"/>
              </w:rPr>
              <w:t>از راه نقل</w:t>
            </w:r>
            <w:r>
              <w:rPr>
                <w:rStyle w:val="IndexLink"/>
                <w:rtl w:val="true"/>
              </w:rPr>
              <w:t>:</w:t>
              <w:tab/>
            </w:r>
            <w:r>
              <w:rPr>
                <w:rStyle w:val="IndexLink"/>
              </w:rPr>
              <w:t>134</w:t>
            </w:r>
          </w:hyperlink>
        </w:p>
        <w:p>
          <w:pPr>
            <w:pStyle w:val="Contents6"/>
            <w:tabs>
              <w:tab w:val="clear" w:pos="7609"/>
              <w:tab w:val="right" w:pos="9026" w:leader="dot"/>
            </w:tabs>
            <w:rPr/>
          </w:pPr>
          <w:hyperlink w:anchor="__RefHeading___Toc1630461_774463916">
            <w:r>
              <w:rPr>
                <w:webHidden/>
                <w:rStyle w:val="IndexLink"/>
                <w:rtl w:val="true"/>
              </w:rPr>
              <w:t>ثانیاً</w:t>
            </w:r>
            <w:r>
              <w:rPr>
                <w:rStyle w:val="IndexLink"/>
                <w:rtl w:val="true"/>
              </w:rPr>
              <w:t xml:space="preserve">: </w:t>
            </w:r>
            <w:r>
              <w:rPr>
                <w:rStyle w:val="IndexLink"/>
                <w:rtl w:val="true"/>
              </w:rPr>
              <w:t>از راه عقلی</w:t>
            </w:r>
            <w:r>
              <w:rPr>
                <w:rStyle w:val="IndexLink"/>
                <w:rtl w:val="true"/>
              </w:rPr>
              <w:t>:</w:t>
              <w:tab/>
            </w:r>
            <w:r>
              <w:rPr>
                <w:rStyle w:val="IndexLink"/>
              </w:rPr>
              <w:t>136</w:t>
            </w:r>
          </w:hyperlink>
        </w:p>
        <w:p>
          <w:pPr>
            <w:pStyle w:val="Contents3"/>
            <w:tabs>
              <w:tab w:val="clear" w:pos="8459"/>
              <w:tab w:val="right" w:pos="9026" w:leader="dot"/>
            </w:tabs>
            <w:rPr/>
          </w:pPr>
          <w:hyperlink w:anchor="__RefHeading___Toc1630463_774463916">
            <w:r>
              <w:rPr>
                <w:webHidden/>
                <w:rStyle w:val="IndexLink"/>
                <w:rtl w:val="true"/>
              </w:rPr>
              <w:t>نتیجۀ بحث</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4_35691"/>
      <w:bookmarkStart w:id="1" w:name="pg5124_35691"/>
      <w:bookmarkEnd w:id="1"/>
    </w:p>
    <w:p>
      <w:pPr>
        <w:pStyle w:val="Heading2"/>
        <w:numPr>
          <w:ilvl w:val="1"/>
          <w:numId w:val="1"/>
        </w:numPr>
        <w:rPr/>
      </w:pPr>
      <w:bookmarkStart w:id="2" w:name="pg5124_35691"/>
      <w:bookmarkStart w:id="3" w:name="__RefHeading___Toc1630379_77446391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ائمه اثنی عشر علیهم السلام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و پاسخ به شبهات ، عبدالکریم بهبهانی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ناظم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۳۸۲۷۸۹۱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038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ائمه اثنی عشر علیهم السلام از غیب</w:t>
      </w:r>
    </w:p>
    <w:p>
      <w:pPr>
        <w:pStyle w:val="BookText"/>
        <w:rPr/>
      </w:pPr>
      <w:r>
        <w:rPr>
          <w:rFonts w:ascii="IRNazanin" w:hAnsi="IRNazanin" w:eastAsia="IRNazanin"/>
          <w:color w:val="111111"/>
          <w:sz w:val="28"/>
          <w:sz w:val="28"/>
          <w:szCs w:val="28"/>
          <w:rtl w:val="true"/>
          <w:lang w:bidi="fa-IR"/>
        </w:rPr>
        <w:t>گروه پژوهش و پاسخ به شبهات ، عبدالکریم بهبهانی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ناظم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w:t>
      </w:r>
      <w:bookmarkStart w:id="7" w:name="pg5124_35706"/>
    </w:p>
    <w:p>
      <w:pPr>
        <w:pStyle w:val="Heading2"/>
        <w:numPr>
          <w:ilvl w:val="1"/>
          <w:numId w:val="1"/>
        </w:numPr>
        <w:rPr/>
      </w:pPr>
      <w:bookmarkStart w:id="8" w:name="__RefHeading___Toc1630383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24_35713"/>
    </w:p>
    <w:p>
      <w:pPr>
        <w:pStyle w:val="Heading2"/>
        <w:numPr>
          <w:ilvl w:val="1"/>
          <w:numId w:val="1"/>
        </w:numPr>
        <w:rPr/>
      </w:pPr>
      <w:bookmarkStart w:id="11" w:name="__RefHeading___Toc1630385_774463916"/>
      <w:bookmarkStart w:id="12" w:name="_Toc4"/>
      <w:bookmarkEnd w:id="10"/>
      <w:bookmarkEnd w:id="11"/>
      <w:r>
        <w:rPr>
          <w:rtl w:val="true"/>
        </w:rPr>
        <w:t>مقدمه</w:t>
      </w:r>
      <w:bookmarkEnd w:id="12"/>
    </w:p>
    <w:p>
      <w:pPr>
        <w:pStyle w:val="Heading3"/>
        <w:numPr>
          <w:ilvl w:val="2"/>
          <w:numId w:val="1"/>
        </w:numPr>
        <w:rPr/>
      </w:pPr>
      <w:bookmarkStart w:id="13" w:name="__RefHeading___Toc1630387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124_35721"/>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630389_774463916"/>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124_35730"/>
    </w:p>
    <w:p>
      <w:pPr>
        <w:pStyle w:val="Heading2"/>
        <w:numPr>
          <w:ilvl w:val="1"/>
          <w:numId w:val="1"/>
        </w:numPr>
        <w:rPr/>
      </w:pPr>
      <w:bookmarkStart w:id="19" w:name="__RefHeading___Toc1630391_774463916"/>
      <w:bookmarkStart w:id="20" w:name="_Toc7"/>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روح آفریده شده است و هر یک از این دو، در دیگری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پزشکی ثابت کرده است که بسیاری از بیماریها به ویژه زخم معده و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بیماریهای روان تنی نامیده می‌شوند، منشأ روانی دارند؛ از این رو، این بیماریها مانند افسردگی و روان گسیختگی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اسکیزوفرنی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مصرف قرصهای شیمیایی و غیره درمان نمی‌شود بلکه بیشتر این بیماریها در اغلب موارد، با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پژوهشهای علمی در این زمینه و به دنبال اقداماتی که برای روشن ساختن نسبت تأثیر متقابل، بین دو بعد مادّی و روحی انسان انجام گرفت،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که هدف آن، جهت دهی نیروهای انسان و جامعه به سوی مقاصد اصلاحی و بهینه‌سازی روابط انسان با خود و دیگران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اهداف باید پس از شناخت تواناییها و استعدادهای روان شناختی فرد، دنبال شود تا بیش از حدّ توان، بر دوش او بار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و اصلاح استعدادها و تواناییها نیز باید به همین شیوه انجام گیرد تا پس از آن، تربیت انسان و سوق دادن او به سوی</w:t>
      </w:r>
    </w:p>
    <w:p>
      <w:pPr>
        <w:pStyle w:val="BookText"/>
        <w:rPr/>
      </w:pPr>
      <w:r>
        <w:rPr>
          <w:rFonts w:ascii="IRNazanin" w:hAnsi="IRNazanin" w:eastAsia="IRNazanin"/>
          <w:color w:val="111111"/>
          <w:sz w:val="28"/>
          <w:sz w:val="28"/>
          <w:szCs w:val="28"/>
          <w:rtl w:val="true"/>
          <w:lang w:bidi="fa-IR"/>
        </w:rPr>
        <w:t>کارهای شایسته و باز داشتن او از انجام کارهای ناشایست، امکان‌پذیر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با آینده و حتّی با کشف اعماق گذشته‌های دور، رابطۀ تأثیر گذاری و تأثیر پذیری دارد، مانند آنچه قرآن کریم از گذشته های دور،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تا توشۀ او در امر اصلاح باشد؛ از جمله داستانهای بنی اسرائیل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توطئه‌ها و موضعگیریهای یهود بر ضدّ پیامبران، مشکلات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به تصویر کشیدن گذشته با روایاتی که یهودیان در کتابهای آسمانی تحریف شده آورده‌اند،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آن را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نه تو آن را می‌دانستی و نه قوم تو، 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 پیشگان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برای ساختن جامعۀ توحیدی، تلاش می‌کند، خود را نسبت به شناخت آنچه تصویری از سرانجام جهان ارائه می‌دهد،</w:t>
      </w:r>
    </w:p>
    <w:p>
      <w:pPr>
        <w:pStyle w:val="BookText"/>
        <w:rPr/>
      </w:pPr>
      <w:r>
        <w:rPr>
          <w:rFonts w:ascii="IRNazanin" w:hAnsi="IRNazanin" w:eastAsia="IRNazanin"/>
          <w:color w:val="111111"/>
          <w:sz w:val="28"/>
          <w:sz w:val="28"/>
          <w:szCs w:val="28"/>
          <w:rtl w:val="true"/>
          <w:lang w:bidi="fa-IR"/>
        </w:rPr>
        <w:t>نیازمند می‌بیند؛ زیرا می‌خواهد حرکت کنونی او هدفمند و هماهنگ با خواسته‌ها و آرزوهای او باشد؛ می‌خواهد حرکت او بر پایه‌هایی محکم و مقدّماتی درست استوار باشد، نه پر پایۀ وهم و خیال، یا نیرنگ و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سویی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بوده و خواهد بود، سخنی تشریفاتی و بی ارتباط با واقع نیست بلکه ریشه در اعماق تاریخ دارد و انسان به شکلهای گوناگون با آن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دغدغۀ مشترک میان انسانهاست و همۀ گروه‌های دینی و غیر دینی، با شیوهای خاصّ خود، به آن پرداخته‌اند و به جز کسانی که از فطرت، دور و منحرف شده‌اند، یا یک غرض سیاسی مشکوک دارند، هیچ کس به هیچ وجه آن را انکار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دنیای غرب، با وجود مادّی بودن و دور بودن آن از منطق الهی، به این مسأله پرداخته است که پیشگوییهای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نوسترا داموس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از رخدادها و اخبار آینده از زمان خود تا آخر هستی، سخن گفته است، امّا پیشگوییهایی که در کتاب خود گرد آوری کرده است، از قرن شانزدهم میلادی تا پایان قرن بیستم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 این پیشگوییها در دنیای غرب، از شهرت بسیاری برخوردار گردیده است به گونه‌ای که این کتاب تقریباً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نوبت چاپ شده است و علاوه بر آن، در بین سالهای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چاپ تحریف شده از آن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نوستراداموس پیش بینی کرده دقیقاً تحقّق یافته است؛ چه حوادث فردی و چه وقایع اجتماعی ونیز پیشگوییهای او از رخدادهای تاریخی، سیاسی، فکری، علمی، تکنولوژی و جغرافیایی را بازگو کرده است، مانند ساخت اسلحۀ جدید، اختراع بمب اتمی، استفاده از فضا برای جنگ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از توطئه‌ها، ترورها و انقلابهایی که امکان ندارد به ذهن کسی که در زمان او می‌زیسته است برسد، به تفصیل سخن گفته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فرانسه، اشغال بروسیه توسّط فرانسه در سال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محاصرۀ پاریس، نبرد واترلو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مرگ هنری دوازدهم در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فوت سلطان سلیم سوّم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 ناپلئون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شارحان و مفسّران این پیشگوییها بسیارند و همچنین رهبران وسران بزرگی که در دورۀ پیشگوییها حکمرانی می‌کردند، برای آن اهمّیّت فراوانی قایل بودند و حتّی آن را ترویج می‌نمودند و از آن برای تبلیغات روانی به سود خودشان استفاده می‌بردند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که جنگ جهانی دوّم درگرفت و به اوج خود رسید و به دستگاههای تبلیغاتی، بین سرویسهای اطّلاعاتی انگلیس و آلمان</w:t>
      </w:r>
    </w:p>
    <w:p>
      <w:pPr>
        <w:pStyle w:val="BookText"/>
        <w:rPr/>
      </w:pPr>
      <w:r>
        <w:rPr>
          <w:rFonts w:ascii="IRNazanin" w:hAnsi="IRNazanin" w:eastAsia="IRNazanin"/>
          <w:color w:val="111111"/>
          <w:sz w:val="28"/>
          <w:sz w:val="28"/>
          <w:szCs w:val="28"/>
          <w:rtl w:val="true"/>
          <w:lang w:bidi="fa-IR"/>
        </w:rPr>
        <w:t>گسترش یافت، از رباعیّات نوستراداموس به عنوان یکی از شیوه‌های تبلیغاتی و ضدّ تبلیغاتی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متّفقین، رباعیّات جعلی و تحریف شدۀ نوسترا داموس را بر سر آلمانیان می‌ریختند؛ زیرا ترس و وحشت در دل سربازان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این شیوه را با تفاوتهایی در خاستگاه و هدف،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جنگ با مشرکان حرکت می‌کرد، مسلمانان را به نصرت الهی وعده می‌داد و رزمندۀ مسلمانان نیز با اطمینان کامل با این مسأله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امر را تأیید کرده و خودش نیز در بعضی پیشامدها و اتّفاقات، به حتمی بودن پیروزی،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شک، به خواست خدا در مسجد الحرام درخواهید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میراث اسلامی نیز، مسایل غیبت و اخبار آخر الزمان و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راستا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امور غیبی در مسایل اجتماعی و نظامی، منحصر نشده بلکه به سرنوشت افراد نیز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نوستراداموس از این فراتر رفته و از زمان مرگ حیوانات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نوستراداموس خواست موهبت غیبی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دربارۀ سرنوشت دو بچّۀ خوکی که در حیات خانۀ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نوستراداموس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خوک سیاه را تو می‌خوری و خوک سفید را گرگ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آشپز خود رفت و به او دستور داد که خوک سفید را ذبح کند و برای شام آن شب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انجام شد، امّا از بدشانسی، تولۀ گرگ دست آموزی که در خانۀ آن مرد بود، گوشت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که ترسیده بود، خوک سیاه را ذبح کرد و پخت و هنگام شام، بر سر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دوست نوستراداموس به او اطّلاع داد که آنان خوک سفید را خورده‌اند و وقتی نوستراداموس پافشاری کرد که آن غذا خوک سیاه بوده‌است، آن مرد به دنبال آشپز فرستاد و او نیز به آنچه اتّفاق افتاده بود، اعتراف‌کرد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میراث اسلامی نیز این نوع رخدادهای غیبی در زمینه‌های تاریخی و عقیدتی،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ستمگر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پیش‌بینیهای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بینیها و شگفتیهای غیبی ای که در کتابهای اسلامی غیر امامیّه آمده گردآوری شده است؛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فکری به نظرش می‌رسید، در گوشۀ لباسش نوشته‌ای می‌دید که این کار را انجام بده، یا انجام نده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همچنین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اولیا کارهای خصوصی مردم را آشکارا می‌دیدند و دیوارها و تاریکیها نمی‌توانستند کارهایی که آنان درون خانه‌های خود انجام می‌دادند، از آنان پنهان کنند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وقتی شخصی پیش آنان می‌آمد که مثلاً مرتکب زنا شده بود، یا شرابخواری، یا دزدی کرده بود، یا گناهی، یا ظلمی انجام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عضوی که گناه از آن سرزده بود، به صورت خطهای سیاه می‌دیدند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 همۀ اینها ممکن است و به وقوع پیوسته است، امّا وقتی پیروان مکتب اهل بیت، روایاتی را از امام علی ابن ابی طالب و فرزندان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از پیشگوییهایی سخن می‌گوید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به نوبۀ خود از خداوند متعال دریافت کرده، یا به او الهام شده است، در این صورت، آنان را تندرو و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بحث؛ یعنی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غیر اسلامی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تلمود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آکنده از وعده به آینده است و فضای دینی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مسیح می‌آید، همۀ امّتها از او اطاعت و پیروی خواهند کرد؛ بنابراین، بر هر یهودی واجب است که همۀ تلاش خود را به کار گیرد تا نگذارد بقیّۀ امّتها به اختیار او درآیند؛ زیرا قدرت و سیطره برای یهود است، در هر کجا که باشند، امّا خواری و بینوایی بنی اسرائیل ادامه خواهد یافت تا این که حکمرانی بیگانگان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یهود بر دیگر امّتها حاکم شود، آتش جنگ شعله ور می‌شود و پس از آن، دو سوّم جهان نابود می‌شود و در آن هنگام، امّت یهود، در نهایت توانگری و ثروتمندی خواهند بود؛ زیرا صاحب همۀ داراییهای عالم خواهند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گفتنی است آیندۀ دینی، با مقدّمات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ارتباط با غیب مطلق خداوند تکیه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مزامیر </w:t>
      </w:r>
      <w:r>
        <w:rPr>
          <w:rStyle w:val="FootnoteAnchor"/>
          <w:rtl w:val="true"/>
        </w:rPr>
        <w:footnoteReference w:id="2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آبها بگذری، من در نهرها با تو هستم، پس تو را فرو نمی‌برد و اگر در آتش بروی، تو را نمی‌سوزاند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اطمینان و اعتماد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پرهیزگار، همواره باید آن را اظهار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توفانهای سخت و ویرانگر، هرگز در قدرت خداوند و حتمی بودن نجات او شک نکند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نوستراداموس نیز به ارتباط میان خبر دادن از حوادث آینده و پیوند با خداوند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عقل کوچکت می‌توانی بفهمی که انسان می‌تواند وقایع را به کمک حرکت ستارگان و موهبت غیبگویی،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آنچه ندارم، نیستم، امّا تأکید می‌کنم که</w:t>
      </w:r>
    </w:p>
    <w:p>
      <w:pPr>
        <w:pStyle w:val="BookText"/>
        <w:rPr/>
      </w:pPr>
      <w:r>
        <w:rPr>
          <w:rFonts w:ascii="IRNazanin" w:hAnsi="IRNazanin" w:eastAsia="IRNazanin"/>
          <w:color w:val="111111"/>
          <w:sz w:val="28"/>
          <w:sz w:val="28"/>
          <w:szCs w:val="28"/>
          <w:rtl w:val="true"/>
          <w:lang w:bidi="fa-IR"/>
        </w:rPr>
        <w:t>الهام، چیزهای بسیاری را برای انسان پرهیزگار و نزدیک به خدا آشکار می‌کند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نویسندۀ چینی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دربارۀ غیب سؤال کرده‌اند، پاسخهای معیّنی داده است، امّا از طرفی نزدیکی به خداوند سبحان را برای کسی که می‌خواهد وارد این میدان شود، شرط کرامات دانسته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صاحب کرامات الأولیاء نیز این نکته را تأیید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اولیا مقام فهم کلام خداوند و شنیدن صدای مخلوقات داده شده است، به گونه‌ای که سخن گفتن جمادات را بنابر مراتب سخن گفتنشان درک می‌کنند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برای برخی از آنان جریان حیات در زندگان و اسراری که در هر موجود به حسب استعداد ذاتی آن نهاده شده است، آشکار می‌شود و همچنین روشن می‌شود که چگونه در طی این جریان، درجات عبادت برای موجودات، مشخّص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از اولیا هستند که مراتب علوم نظری و اندیشه‌های درست و مغالطه هایی که به ذهن خطور می‌کند، بر ایشان معلوم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خطّ اهل بیت در برخورد با علم غیب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قرآنی و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پایبند بوده است، با این حال، نمی‌دانیم کسانی که علم غیب داشتن ائمّه را انکار می‌کنند و پیروان مکتب آنان را به تندرو بودن متّهم می‌کنند، چه حجّت و دلیلی دارند؟ با وجودی که این مکتب به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است و بر آن پافشاری می‌کند و علم پیشوایان آن همان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علمی که خداوند متعال به آنها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چند نکته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غیب، امری است که انسان در همۀ عصرها و به شکلهای گوناگون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ارزش عملی و تربیتی برخوردار است و در ارتباط با نبرد حق و باطل،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غیبگویی و ارتباط با خداوند سبحان را از یکدیگر جدا کرد و از این رو، بزرگانی که در این عرصه سخن گفته‌اند، پرهیزکاری و تجرّد نفس و صفای قلب و نزدیکی به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اختلافاتی در شیوۀ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دانسته‌اند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جزئیّات و تفاصیل این موضوع و حدود و فایدۀ آن و این که تفکّر اسلامی تا چه اندازه وارد این عرصه شده است، تنها پس از اعتقاد به عصمت ائمّه بر طبق دیدگاه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حضوری را نیز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ارتقا و</w:t>
      </w:r>
    </w:p>
    <w:p>
      <w:pPr>
        <w:pStyle w:val="BookText"/>
        <w:rPr/>
      </w:pPr>
      <w:r>
        <w:rPr>
          <w:rFonts w:ascii="IRNazanin" w:hAnsi="IRNazanin" w:eastAsia="IRNazanin"/>
          <w:color w:val="111111"/>
          <w:sz w:val="28"/>
          <w:sz w:val="28"/>
          <w:szCs w:val="28"/>
          <w:rtl w:val="true"/>
          <w:lang w:bidi="fa-IR"/>
        </w:rPr>
        <w:t>توسعه در این بحث، وقتی امکان‌پذیر است که بپذیریم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همۀ صفات و ویژگیهای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دریافت وحی،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علم غیبی ائمّه از نظر رتبه، پس از بحث امامت و بحث عصمت قرار دارد؛ بنابر این، کوشیده‌ایم به تبیین جوانب این بحث بپردازیم، امّا از ابهامات و هیاهوی جاهلان و غرض ورزان در این بحث، به دور باشیم و از بررسی موضوع به شیوه‌های مادّی و بیگانه با اسلام بپرهیزیم و از نتایج بزرگی که عالمان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دست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حاضر از احاطه به همه جوانب آن،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بحث، بعضی از واژگان و اصطلاحات مربوط به بحث را نیز به طور مختصر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ما بدین گونه است که مطلب هر فصل زمینه ساز مطالب فصل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 از نیاز انسان به ارتباط با غیب و ضرورت احاطه بر علم غیبی عطا شده از سوی خداوند و متوقّف بودن نقش کامل الهی بر احاطه به این علم،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 پیوند بین عصمت و علم حضوری را بررسی کرده‌ایم؛ زیرا معصوم به واسطۀ علم حضوری، قوانین حیات و علّتهای آن را در عالم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 ابتدا به آیات مربوط به علم غیب در زندگی پیامبران و صالحان اشاره کرده‌ایم، پس از آن، به آیاتی که امکان علم غیب را</w:t>
      </w:r>
    </w:p>
    <w:p>
      <w:pPr>
        <w:pStyle w:val="BookText"/>
        <w:rPr/>
      </w:pPr>
      <w:r>
        <w:rPr>
          <w:rFonts w:ascii="IRNazanin" w:hAnsi="IRNazanin" w:eastAsia="IRNazanin"/>
          <w:color w:val="111111"/>
          <w:sz w:val="28"/>
          <w:sz w:val="28"/>
          <w:szCs w:val="28"/>
          <w:rtl w:val="true"/>
          <w:lang w:bidi="fa-IR"/>
        </w:rPr>
        <w:t>برای غیر خداوند اثبات می‌کند، پرداخته‌ایم و در ادامه آیاتی که اعطای علم غیب به خاتم پیامبران و نیز امامان را اثبات می‌کند، بررسی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 از راه روان‌شناسی فلسفی، برای علم غیب، استدلال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 به نقد وبررسی دیدگاههای غیر امامیّه در مورد علم غیب پرداخته 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فصل ششم ، تاریخچۀ بحث و گرایشهای تفسیری آن از دیدگاه امامیّه و نیز خلاصۀ ساختار نهایی بحث را ارائه می‌کند</w:t>
      </w:r>
      <w:r>
        <w:rPr>
          <w:rFonts w:eastAsia="IRNazanin" w:cs="IRNazanin"/>
          <w:color w:val="111111"/>
          <w:sz w:val="28"/>
          <w:szCs w:val="28"/>
          <w:rtl w:val="true"/>
          <w:lang w:bidi="fa-IR"/>
        </w:rPr>
        <w:t>.</w:t>
      </w:r>
      <w:bookmarkStart w:id="21" w:name="pg5124_35756"/>
    </w:p>
    <w:p>
      <w:pPr>
        <w:pStyle w:val="Heading2"/>
        <w:numPr>
          <w:ilvl w:val="1"/>
          <w:numId w:val="1"/>
        </w:numPr>
        <w:rPr/>
      </w:pPr>
      <w:bookmarkStart w:id="22" w:name="__RefHeading___Toc1630393_774463916"/>
      <w:bookmarkStart w:id="23" w:name="_Toc8"/>
      <w:bookmarkEnd w:id="21"/>
      <w:bookmarkEnd w:id="22"/>
      <w:r>
        <w:rPr>
          <w:rtl w:val="true"/>
        </w:rPr>
        <w:t xml:space="preserve">فصل اوّل </w:t>
      </w:r>
      <w:r>
        <w:rPr>
          <w:rtl w:val="true"/>
        </w:rPr>
        <w:t xml:space="preserve">: </w:t>
      </w:r>
      <w:r>
        <w:rPr>
          <w:rtl w:val="true"/>
        </w:rPr>
        <w:t>انسان و نیاز او به ارتباط با غیب</w:t>
      </w:r>
      <w:bookmarkEnd w:id="23"/>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فراگیری دانش دعوت می‌کند، به طوری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هفتصد آیه آمده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دعوت قرآن به دانش اندوزی و تأکید بر اهمّیّت آن، خطاب به افراد خاصّی نیست بلکه همۀ مردم به طور عموم به آن دعوت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ابزارهای کسب علم برای همگان، فراهم و آماده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به سوی چه علمی فرا می‌خواند؟ بدون شک به علمی که مصلحت انسان در آن است و با آن سازندگی و آبادانی،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با تلاش و کوشش به دست می‌آید و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علم حضوری که از سوی خداوند سبحان، تنها به بندگان پسندیده‌اش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به فراگیری آن سفارش شده است، محدود به عالم شهود و مادّی نیست، همچنان که منحصر در علومی که با ابزارهای حسّی قابل کسب باشند، نیست بلکه دایرۀ آن وسیع است و عالم دیگری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عالم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یکدیگر جدا نکرده و آگاهی از غیب و ماورای محسوسات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است و شخصی که یکی از این دو علم، یا هر دو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علم به آنچه از حواس، پنهان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هر راهی که به دست 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برهانهای عقلی، یا ادلّۀ نقلی حاصل می‌شود، مانند علم به وجود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یکتا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علم به آنچه از حس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مانند آگاهی از اوضاع برزخ و روز قیامت و آنچه درآن هنگام،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 استقلالی؛ یعنی علم به آنچه از درک و فهم همۀ مردم بیرون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می‌تواند به نوع اوّل و دوّم از علم به غیب، دست یابد، امّا نوع سوّم،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همۀ مؤمنان و حتّی غیر مؤمنان، می‌توانند دو نوع اوّل را از راه ادلّۀ عقلی حسّی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ایمان داشتن به غیب، مستلزم علم به غیب است، بنابراین، پرهیزکارانی که به غیب ایمان دارند، به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همان طور که از طریق پیشگوییهای خداوند متعال در قرآن، از برخی امور غیبی آگاهند،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 قبل از شروع جنگ و دانستن حوادث گذشته که حواسّ انسان به آنها دسترسی ندارد و این قرآن است که از آنها پرده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وَلاَ قَوْمُکَ مِن قَبْلِ هَذَا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آن را به تو وحی می‌کنیم؛ پیش از این، نه تو آن را می‌دانستی و نه قوم تو</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منظور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است که به خیر، صلاح و سعادت می‌انجامد و یقین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را به کار و حرکت بر 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انسان می‌تواند به همۀ اسرار و راز و رمز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برنامه‌ها و قوانین بهم پیوسته‌ای که در شکل‌گیری پدیده ها تأثیر گذاری و تأثیر پذیری دارند، احاطه پیدا کند؟</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 انسان و چه مجموعۀ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و نمی‌تواند به پیرامون خود و گذشته و آینده احاطه پیدا کند و تجربه‌ها و پژوهشها او را در یافتن همۀ علّتها و اسبابی که سرنوشت دو جهان را رقم می‌زنند و بر زندگی همۀ انسانها تأثیر گذارند، یاری نمی‌کنند، هر چند همان گونه که گفتیم، از نظر عقلی، این امر امکان‌پذیر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سه چیز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قاعدۀ ایمان به 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داشتن با اموری که وحی به خاطر آن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 و نماز را برپا می‌دارند و از آنچه به ایشان روزی داده‌ایم،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 به این قاعده؛ زیرا تمدّن بشری، تنها توسّط عنصری که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است،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دنیایی که آن را پست و فرومایه خوانده‌اند، به این تصوّر که نیازهایش را خودش برآورده می‌کند، نادرست است؛ زیرا تاریخ به انسان، وابسته است و انسان به تاریخ و در صورت فرو رفتن در دنیا، انسان در تاریخ حبس می‌شود و این امر به انحطاط تمدّن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تاریخ تمدّنها و فروپاشی آنها به چشم می‌خورد که علّت آن، امید بستن به افقهای محدود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 xml:space="preserve">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تیرکهای بلند 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ثمود، همانان که در درّه تخته سنگها را می‌بریدند و یا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شهرها سر به طغیان برداشته و در آنها بسیار تبهکاری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سر آنان تازیانه عذاب را فرو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موجود نسبی و نیازمند، برای ترقّی و پیشرفت، باید کمال خود را از موجود بی نهایت دریافت کند؛ از این رو، به خاطر وجود پیوند ازلی و محکم و پیوستگی فطری و ریشه دار، نمی‌توان انسان را از عالم پهناور غیب، دور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مخلوقی است که به غیب نزدیک است بلکه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است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فرازی دیگر که گفتگویی است بین غیب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این نزدیکی و پیوند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ذرّیّۀ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 تا مبادا در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می‌خواهیم انسانی را به باور توحیدی فرا بخوانیم کافی است که به او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پیامبران در دعوت به توحید نیز همان گونه بوده است؛ زیرا انسان با پشتوانۀ روحی دیرینه‌ای که دارد، فطرتاً این باور را می‌پذیرد و از این روست که از دشمن مشرک، هیچ بهانه‌ای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شرک،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به گونه‌ای است که نمی‌توان او را از عالم غیب، دور کرد؛ چرا که عالم مادّی و عالم غیب، بهم پیوسته‌اند و انسان به عنوان عالمی دیگر، با این دو ارتباط دارد و به طور کلّی، همۀ مخلوقات با یکدیگر در ارتباط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انسان، استعدادها و تواناییهایی دارد که می‌تواند عناصر غیبی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 و نیز در هستی به ودیعه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راستای آبادانی و سازندگی به کار گیرد؛ بنابراین، انسان به توجّه به عالم غیب و آگاهی از آن نیاز دارد؛ زیرا با شؤون خلافت،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ما می‌خواهد که با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وسیله‌ای که واقعیّتهایی را که هنوز اتّفاق نیفتاده است و در پیشرفت انسان به سوی کمال نقش دارد، برای ما آشکار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زیرا آگاهی از سنّت‌ها و شرایط آن، انسان را در موقعیّتی قرار می‌دهد که قادر بر تعیین سرنوشت و مسلّط بر آن باشد و بتواند آنچه در خور زندگی اوست، با اطمینان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با تکیه بر ثابت بودن سنّتهایی که وحی معرّفی می‌کند، آگاهانه تلاش می‌کند تا شرایط و اسباب آنها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شناختن سنّتها و شرایط آن، امری اکتسابی است، امّا با این حال، یک عامل غیبی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سنّتها با ایمان به غیب مرتبط هستند؛ چه مسألۀ غیب را بپذیریم و چه نپذیریم، دامنۀ سنّتها تا نیّتهای قلبی، مشاعر و احساسات موجود در زندگی مردم نیز کشیده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 ایشان می‌گشودیم، ولی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خاطر اهمّیّت سنّتها و نقش آنها در شکل‌گیری سرنوشت انسان، با برخورد کورکورانه و بی هدف با سنّتها که متّکی بر گزینش آگاهانه و علمی نیست،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ممکن است انسان به شناخت دقیقی از سنّتها دست نیابد و بر فرض این که آنها را بشناسد و به جاری بودن یک سنّت خاص در یک شرایط مشخّص احاطه پیدا کند، امّا نمی‌تواند از راه علم اکتسابی آگاهانه، جریان یک سنّت در طول تاریخ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علم اکتسابی، نمی‌تواند معارف الهی تأثیر گذار در زندگی همۀ انسانها را کاملاً بشناسد، در حالی که حرکت هستی، به سوی غایتهای بزرگ، در هر دو بُعد غیبی و حسّی، به این سنّتها و معارف مرتبط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ناتوانی علم اکتسابی در دست یافتن به سنّتها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نه می‌تواند اسرار تشریعی را کشف کند و نه می‌تواند از</w:t>
      </w:r>
    </w:p>
    <w:p>
      <w:pPr>
        <w:pStyle w:val="BookText"/>
        <w:rPr/>
      </w:pPr>
      <w:r>
        <w:rPr>
          <w:rFonts w:ascii="IRNazanin" w:hAnsi="IRNazanin" w:eastAsia="IRNazanin"/>
          <w:color w:val="111111"/>
          <w:sz w:val="28"/>
          <w:sz w:val="28"/>
          <w:szCs w:val="28"/>
          <w:rtl w:val="true"/>
          <w:lang w:bidi="fa-IR"/>
        </w:rPr>
        <w:t>اسرار تکوینی جاری در این جهان پهناور پرده بردارد؛ زیرا احاطه به همۀ امور، تنها با علم خدادادی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فرد، یا گروه کسب می‌کند، محدود به زمان و شرایط گذراست و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کامل پیدا کند، بنابراین، ناقص است و نقشی که ایفا می‌کند نیز ناقص است، در حالی که ارادۀ الهی به علمِ کامل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حتّی در قلمروها و عرصه‌های عالم مادّی نیز مطرح است، چه رسد به عالم پهناور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نوع انسان، نیازمند علم خدادادی است که تنها با شیوه‌ها و راههای الهی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الهام، نقش بستن در قلب و آموختن از کسی که به او وحی می‌شود، به دست می‌آید و با آن، می‌توان کلّ حرکت تاریخ را درک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 بعدی بحث، نقش این الگوی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ضرورت هدایت و راهنمایی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اعطای ویژگیهای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خاصّی که با آن، نقش واگذار شدۀ به او را به کاملترین وجه ادا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چرا که خداوند، به مقتضای آبادانی و سازندگی در عالم دنیا، از علم خود به کسی که شایستگی آن را داشته باشد، می‌بخشد</w:t>
      </w:r>
      <w:r>
        <w:rPr>
          <w:rFonts w:eastAsia="IRNazanin" w:cs="IRNazanin"/>
          <w:color w:val="111111"/>
          <w:sz w:val="28"/>
          <w:szCs w:val="28"/>
          <w:rtl w:val="true"/>
          <w:lang w:bidi="fa-IR"/>
        </w:rPr>
        <w:t>.</w:t>
      </w:r>
      <w:bookmarkStart w:id="24" w:name="pg5124_35776"/>
    </w:p>
    <w:p>
      <w:pPr>
        <w:pStyle w:val="Heading2"/>
        <w:numPr>
          <w:ilvl w:val="1"/>
          <w:numId w:val="1"/>
        </w:numPr>
        <w:rPr/>
      </w:pPr>
      <w:bookmarkStart w:id="25" w:name="__RefHeading___Toc1630395_774463916"/>
      <w:bookmarkStart w:id="26" w:name="_Toc9"/>
      <w:bookmarkEnd w:id="24"/>
      <w:bookmarkEnd w:id="25"/>
      <w:r>
        <w:rPr>
          <w:rtl w:val="true"/>
        </w:rPr>
        <w:t xml:space="preserve">فصل دوّم </w:t>
      </w:r>
      <w:r>
        <w:rPr>
          <w:rtl w:val="true"/>
        </w:rPr>
        <w:t xml:space="preserve">: </w:t>
      </w:r>
      <w:r>
        <w:rPr>
          <w:rtl w:val="true"/>
        </w:rPr>
        <w:t>رابطه عصمت با علم غیب</w:t>
      </w:r>
      <w:bookmarkEnd w:id="26"/>
    </w:p>
    <w:p>
      <w:p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ضرورت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مختص به شخص امام نیست بلکه همۀ جزئیّات و تفاصیل بحث را تمام شده فرض می‌کنیم و بر این باور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است؛ زیرا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داشتن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رتبه بعد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 که این دو بحث به یکدیگر پیوسته و متّصل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می‌کنیم، از این جهت که این نکته پایه و زیر بنایی است برای بخشهای بعدی بحث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مخلوقات، مستقل از یکدیگر آفریده نشده‌اند بلکه در آفرینش آنها دیگر مخلوقات پیرامون آنها نیز در نظر گرفته شده‌اند؛ بنابراین، جهان هستی یک مجموعۀ بهم پیوستۀ هماهنگ است و به شیوه‌ای منظّم و تحت هدایت مقدّر الهی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چیزی را خلقتی که در خور اوست داده پس آن را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وَلا اللَّیْلُ سَابِقُ النَّهَارِ وَکُلٌّ فِی فَلَکٍ یَسْبَحُونَ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ویژۀ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 نه خورشید را سزد که به ماه رسد و نه شب بر روز پیشی جوید و هر کدام در سپهری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همۀ موجودات در جهان هستی بر یکدیگر تأثیر می‌گذارند و انسان نیز از این قانون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چارچوب این قانون، آفریده شده و در نتیجه تابع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روشن است که انسان در این جهان، تأثیرپذیر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خورشید از زمین کم، یا زیاد شود، در زندگی همه و از جمله انسان اثر خواهد گذاشت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انسان بر موجودات اطراف خود تأثیر می‌گذارد که این مطلب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آرامش، حرکت هدفمند در پیوند بین افراد جامعه، کار، تولید، رفاه، فراوانی اجناس و فراگیر شدن امنیّت در همۀ زمینه‌ها، همۀ این امور، پدیده‌های نیکویی هستند که به سبب پایبندی مردم به جلوه‌های عملی شکرگزاری مثل عدالت، محبّت و مساوات به دست می‌آید، امّا اگر جامعه‌ای از این ارزشها تهی شود و خدا را محور فعالیّت و حیات خود قرار ندهد و به گذشتۀ توحیدی درخشان خود کافر شود و آن را با خدایان متعدّد عوض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دنباله رو انسانی توانگر شود، یا از نفس، شیطان و حبّ ثروت و قدرت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باعث توزیع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سیطرۀ ظلم و ناامنی و شیوع ترس و فقر و اختلاف</w:t>
      </w:r>
    </w:p>
    <w:p>
      <w:pPr>
        <w:pStyle w:val="BookText"/>
        <w:rPr/>
      </w:pPr>
      <w:r>
        <w:rPr>
          <w:rFonts w:ascii="IRNazanin" w:hAnsi="IRNazanin" w:eastAsia="IRNazanin"/>
          <w:color w:val="111111"/>
          <w:sz w:val="28"/>
          <w:sz w:val="28"/>
          <w:szCs w:val="28"/>
          <w:rtl w:val="true"/>
          <w:lang w:bidi="fa-IR"/>
        </w:rPr>
        <w:t>طبقاتی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چنین جامعه‌ای، هرگز سعادتمند نخواهد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فسق و نفاق و هر موضعگیری فکری، یا رفتاری از سوی انسان، سرانجام بر محیط او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مسأله را به جنبۀ مادّی اعمال انسان محدود کنیم بلکه موضعگیریهای قلبی و اعتقادی نیز داخل در این چارچوب است؛ زیرا اعتقاد نیز یک عمل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عمل درونی است بر دیگر مخلوقات، تأثیر می‌گذارد و حتّی خطّ مشی خود انسان نیز تابع تصمیم‌گیریهای اعتقادی و درونی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ربط دادن بین فسق و خونریزی که ناشی از اراده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مخلوق جدید؛ یعنی آدم و سرنوشت و زندگی و حرکت او در زمین و چگونگی برخورد او با مجموعۀ هستی،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می‌دانند که هستی، تابع یک نظام جهانی واحد است که همگان بر اساس آن عمل می‌کنند و این موجود جدید نیز باید با نظام هستی منسجم و هماهنگ باشد، امّا از آن جا که به گونه‌ای آفریده شده است که او را وادار به مخالفت با نظام هستی می‌کند، از این رو، خونریزی، ویرانی و خرابی به بار می‌آورد؛ زیرا هرج و مرج و بی نظمی در اثر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به کفر، یا رخنه در نظام هستی و حملۀ به آن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بنابراین، پیدایش</w:t>
      </w:r>
    </w:p>
    <w:p>
      <w:pPr>
        <w:pStyle w:val="BookText"/>
        <w:rPr/>
      </w:pPr>
      <w:r>
        <w:rPr>
          <w:rFonts w:ascii="IRNazanin" w:hAnsi="IRNazanin" w:eastAsia="IRNazanin"/>
          <w:color w:val="111111"/>
          <w:sz w:val="28"/>
          <w:sz w:val="28"/>
          <w:szCs w:val="28"/>
          <w:rtl w:val="true"/>
          <w:lang w:bidi="fa-IR"/>
        </w:rPr>
        <w:t>این مخلوق جدید، خطری نه تنها برای او بلکه برای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فِیهَا مَن یُفْسِدُ فِیهَا وَیَسْفِکُ الدِّمَاء</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می‌گماری که در آن فساد انگیزد و خونها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به اشکال و پرسشی که ملائکه در اعتراض به این که انسان، زمام خلافت را به دست گرفت، مطرح کردند، این گونه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چیزی می‌دانم که شما نمی‌دانید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آفرید و علم به اموری که با مسؤولیّتهای الهی او مناسبت و هماهنگی دارد و او را در رسیدن به اهداف و غایات، کمک می‌کند، به او سپرد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آگاهی انسان از همۀ اسما و نامها موهبت و بخششی از سوی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حقیقت اشیاء و نظامهای حاکم بر هستی، آگاه ساخت، همچنین به او آموخت که در جهان هستی، چه جایگاهی دارد و چگونه باید در آن تأثیر بگذارد تا آن را در خدمت اهداف و آرمانهای خود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 شمرده‌ایم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علم را به پیامبران داد و پس از خاتم پیامبران، آن را به امامان طاهر از خاندان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علمی است که معصوم به وسیلۀ آن، حقیقت اشیاء را آن گونه که هست و به طور روشن و تردیدناپذیر، درک می‌کند؛ علمی که این ویژگی را داشته باشد، مسلّماً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مطالب مثالی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هستی است که با انسان مرتبط است و انسان باید بر طبق آن عمل کند و از مخالفت با آن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انسان و بین قانون، با ارتباط بعضی از مخلوقات با آن متفاوت است؛ مثلاً پرندگان به خاطر مصلحت خود، این قانون را نقض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ارتباط این قانون با پرندگان از جهت دیگری است که با ارتباط انسان،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عمل پرندگان در نقض این قانون، می‌پرهیزد؛ زیرا آثار مترتّب بر انسان، غیر از آثار مترتّب بر پرندگان است؛ بنابراین، آگاهی انسان از این قانون و موارد نقض آن،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تا بر خلاف آن عمل نکند وگرنه انسان اراده دارد و می‌تواند برخلاف آن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قانونهای دیگری هست که در زندگی انسان، بازتاب و انعکاس دارد و انسان این قانونها را می‌داند، امّا آثار و نتایج آنها را درک نمی‌کند؛ زیرا به آثار مترتّب بر مخالفت با آنها علم و آگاهی ندارد؛ مانند خوردن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یَأْکُلُونَ فِی بُطُونِهِمْ نَارًا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شکم خود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علمی دارد که با آن می‌بیند و در می‌یابد که مال یتیم، آتش است، در حالی که برای غیر معصوم، مالی لذّتبخش به نظر می‌آید، نه آتش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بازتاب این کار در نزد معصوم، روشن و یقینی است، همان گونه که قانون جاذبه برای ما آشکار و مسلّم است و ما را بر آن می‌دارد تا از مخالفت با آن خودداری کنیم، هرچند توانایی آن را داشته باشیم، امّا از اثر مترتّب برخوردن مال یتیم، آگاه نیستیم؛ یعنی ما علمی نداریم که با آن، همۀ قوانین هستی را درک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مرتکب زنا شود؛ زیرا ارادۀ آزاد بر انجام آن داشت، امّا آن را کاری زشت می‌دید؛ زیرا به این قانون،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او مانند دیوار از لذّت جنسی و اراده بی بهره بود بلکه به آثار این قانون، علم داشت و از این رو، اصلاً بر خلاف آن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عصمت همۀ امامان هستند، حتّی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 هفت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همه چیز عالم است، نه فقط احکام نماز و حج بلکه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نافرمانی نمی‌کند و حتّی اشتباه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حکومت را در دست داشتند، از این عقیدۀ شیعیان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عقیدۀ سرّی و پنهان نبود، آنان می‌دانستند که شیعیان، قایل به عصمت امامان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با تمام امکانات و ابزارهای خود، کوشید تا این واقعیّت را تکذیب کند، امّا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خردسال بودند، می‌آوردند و دانشمندان و در رأس آنان قاضی یحیی بن اکثم را نیز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در جایگاه قضاوت خود می‌نشست 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بپرسم؟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همچون سؤال کننده‌ای در برابر سؤال شونده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اکثم با وجود کهنسالی بر می‌خیزد و همچون سؤال کننده‌ای، مؤدّبانه در برابر امام زانو می‌زند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با خود اندیشید دربارۀ چه چیز از امام سؤال کنم؟ آیا دربارۀ نماز و احکام آن بپرسم؟ در حالی که او می‌دانست امام</w:t>
      </w:r>
    </w:p>
    <w:p>
      <w:pPr>
        <w:pStyle w:val="BookText"/>
        <w:rPr/>
      </w:pPr>
      <w:r>
        <w:rPr>
          <w:rFonts w:ascii="IRNazanin" w:hAnsi="IRNazanin" w:eastAsia="IRNazanin"/>
          <w:color w:val="111111"/>
          <w:sz w:val="28"/>
          <w:sz w:val="28"/>
          <w:szCs w:val="28"/>
          <w:rtl w:val="true"/>
          <w:lang w:bidi="fa-IR"/>
        </w:rPr>
        <w:t>و خانواده‌اش هر روز نماز می‌خوانند، پس احکام نماز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در بغداد زندگی می‌کند و به حج نرفته است؛ زیرا انسان در طول حیات خود، فقط یک بار حج واجب انجام می‌دهد و اگر توفیق پیدا کند مثلاً ده بار آن را انجام می‌دهد، گذشته از آن، امام هنوز کودک است و به حج نرفته است، پس به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مُحرمی که صیدی را کشته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حل کشته است، یا در حرم؟ حکم مسأله را می‌دانسته یا نه؟ از روی عمد کشته است، یا اشتباهاً؟ مُحرم، آزاد بوده یا عبد؟ صغیر بوده یا کبیر؟ برای اوّلین بار کشته یا برای چندمین بار؟ آن صید، پرنده بوده یا غیر پرنده؟ کوچک بوده یا بزرگ؟ آیا بر کار خود پافشاری می‌کند، یا پشیمان است؟ شب آن حیوان را کشته یا روز؟ در هنگام کشتن، برای عمره مُحرم بوده یا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حیرت زده شد و آثار عجز و ناتوانی در چهره‌اش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تفصیل جواب مسأله را داد که در کتابها آمده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ماجرا نشانۀ این است که امام دارای عصمت مورد عنایت خداوند است که علم حضوری را نیز در بر 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علمی که امام معصوم دارد و در اثر آن به اشیاء شناخت کامل پیدا می‌کند و اهداف رسالت با آن تحقّق می‌یابد، موهبتی است از طرف خداوند، بدون این که خود امام آن را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خداوند از اعطای این علم، این است که امام قدرت کامل برای محقّق ساختن اهداف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است به کاملترین شکل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آن را بر همۀ دینها پیروز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عطا شده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راه الهام، یا نجوای در گوش، یا آموختن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دامنۀ آن تا آگاهی از غیب نیز گسترش می‌یابد، غیر از علمی است که به خداوند سبحان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از غیر او و حتّی از فرشتگان مقرّب و پیامبران مرسل نیز پوشیده و پنهان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علمی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یا به صورت آموزش غیر طبیعی است؛ مانند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فرشتۀ وحی بر پیامبران نازل می‌شود و به حسب نوع رسالت 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و اخباری را دربارۀ حوادث گذشته، حال و حتّی آینده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صورت عملی است مانند معجزاتی که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بُعد عملی این معجزات احاطه دارد و ممکن است از حقیقت علمی آن آگاه نباشد، امّا گاهی نیز به آن دست می‌یابد؛ مانند زنده کردن مردگان که جزو غیب مختص به</w:t>
      </w:r>
    </w:p>
    <w:p>
      <w:pPr>
        <w:pStyle w:val="BookText"/>
        <w:rPr/>
      </w:pPr>
      <w:r>
        <w:rPr>
          <w:rFonts w:ascii="IRNazanin" w:hAnsi="IRNazanin" w:eastAsia="IRNazanin"/>
          <w:color w:val="111111"/>
          <w:sz w:val="28"/>
          <w:sz w:val="28"/>
          <w:szCs w:val="28"/>
          <w:rtl w:val="true"/>
          <w:lang w:bidi="fa-IR"/>
        </w:rPr>
        <w:t>خداوند است، امّا مانعی ندارد که خدا آن را به برخی از پیامبرانش عطا کند مثل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إِبْرَاهِیمُ رَبِّ أَرِنِی کَیْفَ تُحْیِی الْمَوْتَی</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فرقهای علم امام، با علم 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قدیم است و قبل از معلومات وجود داشته و عین ذات خداست، امّا علم حضوری امام، این ویژگی را ندارد بلکه حادث است و بعد از معلومات، پدید آمده است و عین ذات امام نیست بلکه وجود این علم نزد امام به معنای آشکار و معلوم بودن امور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اشتراک و اتّحاد بین علم خدا و علم امام، شرک و غلوّ است و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قایل نیستند، چه رسد به پیروان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ذاتی است، امّا علم امام، عرضی است و خداوند به او بخشیده است، پس بین آنها اتّحادی نیست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خداوند علم غیب مطلق و بی نهایت دارد و به هر یک از بندگان خاصّ خود که بخواهد از آن می‌بخشد، آیا کسی از این انسانهای خاص وجود دارد که به علم غیب دست یافته و به آن عمل کرده باشد؟ پاسخ به این پرسش در فصل بعد می‌آید</w:t>
      </w:r>
      <w:r>
        <w:rPr>
          <w:rFonts w:eastAsia="IRNazanin" w:cs="IRNazanin"/>
          <w:color w:val="111111"/>
          <w:sz w:val="28"/>
          <w:szCs w:val="28"/>
          <w:rtl w:val="true"/>
          <w:lang w:bidi="fa-IR"/>
        </w:rPr>
        <w:t>.</w:t>
      </w:r>
      <w:bookmarkStart w:id="27" w:name="pg5124_35800"/>
    </w:p>
    <w:p>
      <w:pPr>
        <w:pStyle w:val="Heading2"/>
        <w:numPr>
          <w:ilvl w:val="1"/>
          <w:numId w:val="1"/>
        </w:numPr>
        <w:rPr/>
      </w:pPr>
      <w:bookmarkStart w:id="28" w:name="__RefHeading___Toc1630397_774463916"/>
      <w:bookmarkStart w:id="29" w:name="_Toc10"/>
      <w:bookmarkEnd w:id="27"/>
      <w:bookmarkEnd w:id="28"/>
      <w:r>
        <w:rPr>
          <w:rtl w:val="true"/>
        </w:rPr>
        <w:t xml:space="preserve">فصل سوم </w:t>
      </w:r>
      <w:r>
        <w:rPr>
          <w:rtl w:val="true"/>
        </w:rPr>
        <w:t xml:space="preserve">: </w:t>
      </w:r>
      <w:r>
        <w:rPr>
          <w:rtl w:val="true"/>
        </w:rPr>
        <w:t>علم غیب در قرآن و سنّت</w:t>
      </w:r>
      <w:bookmarkEnd w:id="29"/>
    </w:p>
    <w:p>
      <w:pPr>
        <w:pStyle w:val="Heading3"/>
        <w:numPr>
          <w:ilvl w:val="2"/>
          <w:numId w:val="1"/>
        </w:numPr>
        <w:rPr/>
      </w:pPr>
      <w:bookmarkStart w:id="30" w:name="__RefHeading___Toc1630399_774463916"/>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علم امام معصوم و دامنه و خاستگاه آن را تنها از راههای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سنّت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اثبات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توانایی پرداختن به این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اثبات و چه برای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اثبات آن متوقّف است بر دانستن آن از راه غیب؛ از این رو، این مسأله را در چارچوب نقلی و در خلال چند بخش بررسی می‌کنیم</w:t>
      </w:r>
      <w:r>
        <w:rPr>
          <w:rFonts w:eastAsia="IRNazanin" w:cs="IRNazanin"/>
          <w:color w:val="111111"/>
          <w:sz w:val="28"/>
          <w:szCs w:val="28"/>
          <w:rtl w:val="true"/>
          <w:lang w:bidi="fa-IR"/>
        </w:rPr>
        <w:t>.</w:t>
      </w:r>
    </w:p>
    <w:p>
      <w:pPr>
        <w:pStyle w:val="Heading3"/>
        <w:numPr>
          <w:ilvl w:val="2"/>
          <w:numId w:val="1"/>
        </w:numPr>
        <w:rPr/>
      </w:pPr>
      <w:bookmarkStart w:id="32" w:name="__RefHeading___Toc1630401_774463916"/>
      <w:bookmarkStart w:id="33" w:name="_Toc12"/>
      <w:bookmarkEnd w:id="32"/>
      <w:r>
        <w:rPr>
          <w:rtl w:val="true"/>
        </w:rPr>
        <w:t>بخش اوّل</w:t>
      </w:r>
      <w:r>
        <w:rPr>
          <w:rtl w:val="true"/>
        </w:rPr>
        <w:t xml:space="preserve">: </w:t>
      </w:r>
      <w:r>
        <w:rPr>
          <w:rtl w:val="true"/>
        </w:rPr>
        <w:t>آیاتی که از علم غیب در زندگی انبیا و صالحین خبرمی دهد</w:t>
      </w:r>
      <w:bookmarkEnd w:id="33"/>
    </w:p>
    <w:p>
      <w:pPr>
        <w:pStyle w:val="BookText"/>
        <w:rPr/>
      </w:pPr>
      <w:r>
        <w:rPr>
          <w:rFonts w:ascii="IRNazanin" w:hAnsi="IRNazanin" w:eastAsia="IRNazanin"/>
          <w:color w:val="111111"/>
          <w:sz w:val="28"/>
          <w:sz w:val="28"/>
          <w:szCs w:val="28"/>
          <w:rtl w:val="true"/>
          <w:lang w:bidi="fa-IR"/>
        </w:rPr>
        <w:t>قرآن کریم به این پدیده در زندگی پیامبران و صالحان تصریح 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اذن خداوند، علم غیب داشته‌اند و از آن، در راستای رسالت خویش استفاده کرده‌اند که به چند نمونۀ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پیراهن مرا ببرید و آن را بر چهرۀ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آنچه پس از آن اتّفاق افتاد،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چهرۀ او انداخت، پس بینا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بیانگر این است که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قدرت غیبی ای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کار برد، دوباره بینایی خود را به طور کامل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باز گرداندن بینایی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توسّط خداوند انجام نگرفت بلکه به اذن او و توسّط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سبب بازگشت بینایی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وگرنه به برادرانش دستور نمی‌داد که پیراهن او را ببرند و بر صورت پدرش بیفکنند بلکه تنها کافی بود که دعا کند و از خدا این امر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اقدام غیبی است که از یکی از اولیای خدا؛ یعنی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خداوند، جریان طبعیت را تغییر داد و هیچ کس توان این کار را ندارد مگر این که خداوند به او سلطه و قدرت غیبی بخشیده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بر سنگی زد و از آن دوازده چشمه جوشید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 بِّعَصَاکَ الْحَجَرَ فَانفَجَرَتْ مِنْهُ اثْنَتَا عَشْرَةَ عَیْناً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آن تخته سنگ بزن، پس دوازده چشمه از آن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قدرت غیبی خود را به کار گرفته است؛ هنگامی که با عصای خود به دریا زد و دریا شکافته شد و دوازده مسیر خشک در کف دریا برای بنی اسرائیل به وجود آمد تا از دریا عبور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موسی وحی کردیم با عصای خود بر این دریا بزن تا از هم شکافت و هر پاره‌ای همچون کوهی سترگ‌بود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مورد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غیبی خدادادی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اذن و ارادۀ خدا تحقّق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قدرتهای غیبی متعدّدی بهره‌مند بود و بر جنیّان و پرندگان، سیطره و تسلّط داشت و زبان پرندگان و حشرات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وَوَرِثَ سُلَیْمَانُ دَاوُودَ وَقَالَ یَا أَیُّهَا النَّاسُ عُلِّمْنَا مَنطِقَ الطَّیْرِ وَأُوتِینَا مِن کُلِّ شَیْ‌ءٍ إِنَّ هَذَا لَهُوَ الْفَضْلُ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لِسُلَیْمَانَ جُنُودُهُ مِنَ الْجِنِّ وَالإِنسِ وَالطَّیْرِ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وَادِی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داوود میراث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پرندگان را تعلیم یافته‌ایم و از هر چیزی به ما داده شده است، 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سپاهیانش از جن و انس و پرندگان جمع 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گردیدند و تا آنگاه که به وادی مورچگان رسیدند، 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هایتان داخل شوید، مبادا سلیمان و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دهان به خنده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افکن تا نعمتی را که به من و پدر و مادرم ارزانی داشته‌ای، سپاس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غیبی شگفت انگیزی بر باد داشت به گونه‌ای که به دستور او، به هر کجا که می‌خواست می 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وَلِسُلَیْمَانَ الرِّیحَ عَاصِفَةً تَجْرِی بِأَمْرِهِ إِلَی الْأَرْضِ الَّتِی بَارَکْنَا فِیهَا وَکُنَّا بِکُلِّ شَیْ‌ءٍ عَالِمِینَ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 و ما به هر چیزی، دانا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تَجْرِی بِأَمْرِهِ این امر نشانۀ چیرگی و کنترل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سیر و جهت وزش باد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آیا علم غیبی که خداوند به پیامبران و صالحان بخشیده است، برای مأموریّتی خاص و مصلحتی محدود بوده و سپس از آنان باز پس گرفته است؟ یا برای همیشه و به حسب تداوم مأموریّت و گستردگی رسالت هر پیامبر، یا امام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اعتراف می‌کنند که پیامبران معجزه داشته‌اند و خداوند به آنان علم غیب داده تا درستی رسالت خویش را اثبات نمایند، امّا معتقدند این علم به صورت اتّفاقی و محدود و در هنگام مصلحت پدید می‌آمده است، نه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این علم را به شیر آب تشبیه کرده‌اند که هنگام نیاز و مصلحت باز می‌گردد و سپس بسته می‌شود، پس درست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غیبی دارد و می‌تواند معجزه انجام دهد، امّا این امر فقط به موقعیّتهای مشخّص اختصاص دارد و در غیر آنان این توانایی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پیامبران و علم غیب خدادادی آنان همیشگی و مستمر است، چند آیه از قرآن این مطلب را اثبات می‌کند؛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 وَأُبْرِیءُ الأکْمَهَ والأَبْرَصَ وَأُحْیِی الْمَوْتَی بِإِذْنِ اللّهِ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من از جانب پروردگارتان برایتان معجزه‌ای آورده‌ام؛ 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آنگاه در آن می‌دمم، پس به اذن خدا پرنده‌ای می‌شود و به اذن خدا نابینای مادرزاد و پیس را بهبود می‌بخشم، مردگان را زنده می‌گردانم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ثابت می‌کند که توانایی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معجزات، مخصوص یک واقعۀ معیّن نبوده است؛ زیرا ایشان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برای شما ساختم و نابینای مادرزاد و پیس را بهبود بخشیدم و مرده‌ای را زنده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سخن بفهمیم که منظور ایشان یک اتّفاق معیّن بوده که در گذشته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پرنده‌ای برای شما خواهم ساخت و نابینای مادرزاد و پیس را بهبود خواهم بخشید و مرده‌ای را زنده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دریابیم که این کارها را در زمان مشخّصی در آینده و به طور اتّفاقی انجام خواهد داد بلکه کلام خویش را به زمان حال بیان کرد و دربارۀ نوع پرنده و نابینا و پیس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پرنده می‌سازم و نابینا و پیس را بهبود می‌بخشم و مرده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چنین بر می‌آید که ایشان همواره این توانایی را داراست و هر زمان که اراده کند، می‌تواند این کارها را انجام‌دهد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از قول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اغْفِرْ لِی وَهَبْ لِی مُلْکًا لا یَنبَغِی لأَحَدٍ مِّنْ بَعْدِی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ملکی به من ارزانی دار که هیچ کس را پس از من سزاوار نباشد، در حقیقت تویی که خود بسیار</w:t>
      </w:r>
    </w:p>
    <w:p>
      <w:pPr>
        <w:pStyle w:val="BookText"/>
        <w:rPr/>
      </w:pPr>
      <w:r>
        <w:rPr>
          <w:rFonts w:ascii="IRNazanin" w:hAnsi="IRNazanin" w:eastAsia="IRNazanin"/>
          <w:color w:val="111111"/>
          <w:sz w:val="28"/>
          <w:sz w:val="28"/>
          <w:szCs w:val="28"/>
          <w:rtl w:val="true"/>
          <w:lang w:bidi="fa-IR"/>
        </w:rPr>
        <w:t>بخشنده‌ای، پس باد را در اختیار او قرار دادیم که هر جا تصمیم می‌گرفت، به فرمان او نرم،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گرفتن باد توسّط سلیمان به خاطر مستجاب شدن دعا و درخواست آن حضرت بود که به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لِی مُلْکًا لا یَنبَغِی لأَحَدٍ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خداوند، 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لحظه، یا یک حادثۀ مشخّص مستجاب نکرده است بلکه به خدمت بودن باد جزو سلطنتی بود که خداوند متعال در نتیجۀ 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 و در قرآن از آن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ببخش، یا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فرمانروایی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به اذن خدا به طور پیوسته و دائم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وَأَلَنَّا لَهُ الْحَدِیدَ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برای او نرم گردانیدیم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گرداندن آهن برای داوود به طور موقّت و در یک مورد معیّن و به سبب خاصّی نبود بلکه فضل دائمی خداوند بود که به او بخشید و آیۀ کریمه این نکته را آشکارا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جِبَالُ أَوِّبِی مَعَهُ وَالطَّیْرَ وَأَلَنَّا لَهُ الْحَدِیدَ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داوود را از جانب خویش مزیّتی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شوید و ای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ببینیم آیا این بخشش دائمی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پیامبران داده می‌شود، یا دیگر بندگان صالح را نیز در بر می‌گیرد؟ قرآن کریم آشکارا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الهی مختص پیامبران نیست بلکه خداوند آن را به هر بندۀ صالحی که از او خشنود باشد،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أَیُّهَا المَلؤُا أَیُّکُمْ یَأْتِینِی بِعَرْشِهَا قَبْلَ أَن یَأْتُونِی 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تخت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مطیعانه نزد من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می‌آورم</w:t>
      </w:r>
      <w:r>
        <w:rPr>
          <w:rFonts w:eastAsia="IRNazanin" w:cs="IRNazanin"/>
          <w:color w:val="111111"/>
          <w:sz w:val="28"/>
          <w:szCs w:val="28"/>
          <w:rtl w:val="true"/>
          <w:lang w:bidi="fa-IR"/>
        </w:rPr>
        <w:t>».</w:t>
      </w:r>
      <w:bookmarkStart w:id="34" w:name="pg5124_3581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أَنَا آتِیکَ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خود بر این کار خبر داده است؛ یعنی من توانایی آوردن آن را دارم، به ویژه با در نظر گرفتن سؤال سلیمان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این کار را دارد؛ أَیُّکُمْ یَأْتِینِی بِعَرْشِهَا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این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این است که علّت قدرت داشتن، همان علم به کتاب است و این مطلب را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می‌کند، پس اگر آصف این علم را فراموش نکند، برای همیشه و هرگاه بخواهد، توانایی انجام آن کار را دارد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35" w:name="__RefHeading___Toc1630403_774463916"/>
      <w:bookmarkStart w:id="36" w:name="_Toc13"/>
      <w:bookmarkEnd w:id="35"/>
      <w:r>
        <w:rPr>
          <w:rtl w:val="true"/>
        </w:rPr>
        <w:t>بخش دوّم</w:t>
      </w:r>
      <w:r>
        <w:rPr>
          <w:rtl w:val="true"/>
        </w:rPr>
        <w:t xml:space="preserve">: </w:t>
      </w:r>
      <w:r>
        <w:rPr>
          <w:rtl w:val="true"/>
        </w:rPr>
        <w:t>آیاتی که علم غیب را منحصر در خداوند متعال می داند و آن را از دیگران نفی می کند</w:t>
      </w:r>
      <w:bookmarkEnd w:id="36"/>
    </w:p>
    <w:p>
      <w:pPr>
        <w:pStyle w:val="BookText"/>
        <w:rPr/>
      </w:pPr>
      <w:r>
        <w:rPr>
          <w:rFonts w:ascii="IRNazanin" w:hAnsi="IRNazanin" w:eastAsia="IRNazanin"/>
          <w:color w:val="111111"/>
          <w:sz w:val="28"/>
          <w:sz w:val="28"/>
          <w:szCs w:val="28"/>
          <w:rtl w:val="true"/>
          <w:lang w:bidi="fa-IR"/>
        </w:rPr>
        <w:t>گذشت که علم به غیب یکی از پدیده‌ها و جلوه‌های مطرح در زندگی پیامبران و صالحان است؛ بنابراین، مقصود آیاتی که علم غیب را منحصر در خداوند سبحان دانسته از دیگران نفی می‌کنند چیست؟</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نمی‌شناسد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أَقُولُ لَکُمْ عِندِی خَزَآئِنُ اللّهِ وَلاَ أَعْلَمُ الْغَیْبَ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نمی‌گویم که گنجینه‌های خدا پیش من است و غیب 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غَیْبُ السَّمَاوَاتِ وَالأَرْضِ وَإِلَیْهِ یُرْجَعُ الأَمْرُ کُلُّهُ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آسمانها و زمین، از آن خداست و تمام کارها به او بازگردانده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 اللّهُ الرُّسُلَ فَیَقُولُ مَاذَا أُجِبْتُمْ قَالُواْ لاَ عِلْمَ لَنَا إِنَّکَ أَنتَ عَلاَّمُ الْغُیُوبِ</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 پیامبران را گرد می‌آورد،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هیچ دانشی نیست، تویی که دارای رازهای نهانی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آیات که علم غیب را مختص به خدا می‌داند، با آیاتی که علم غیب را برای دیگران نیز اثبات می‌نماید، تعارض و اختلاف</w:t>
      </w:r>
    </w:p>
    <w:p>
      <w:pPr>
        <w:pStyle w:val="BookText"/>
        <w:rPr/>
      </w:pPr>
      <w:r>
        <w:rPr>
          <w:rFonts w:ascii="IRNazanin" w:hAnsi="IRNazanin" w:eastAsia="IRNazanin"/>
          <w:color w:val="111111"/>
          <w:sz w:val="28"/>
          <w:sz w:val="28"/>
          <w:szCs w:val="28"/>
          <w:rtl w:val="true"/>
          <w:lang w:bidi="fa-IR"/>
        </w:rPr>
        <w:t>ندارند؛ زیرا شیوۀ رایج قرآن در بیان افعال الهی مانند آفریدن، روزی دادن و میراندن به این گونه است که از یک جهت، نفی و از جهت دیگر، اثبات می‌کند؛ مانند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به تمامی باز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انجام عمل به طور مستقیم و بی واسطه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مرگی که بر شما گمارده شده جانتان را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آن، وجود واسطه در این کار بر می‌آید، امّا با تأمّل در آیات، در می‌یابیم که آیۀ اوّل یک جهت را اثبات می‌کند و آیۀ دوّم، جهت دیگر را، پس تعارض، یا نفی و اثبات وجود ندارد؛ زیرا آیۀ اوّل، ثابت می‌کند که در اصل، خداوند جان مردم را می‌گیرد و آیۀ دوّم، ثابت می‌کند که فرشتۀ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این کار را انجام می‌دهد، پس بر اساس هر دو آیه خداوند توسّط عزرائیل جانها را می‌گیرد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آن دسته از آیاتی که علم غیب را مخصوص خداوند می‌داند، ناظر به علم ذاتی و ازلی خداست که به او اختصاص دارد، امّا آن دسته از آیات که دربارۀ</w:t>
      </w:r>
      <w:bookmarkStart w:id="37" w:name="pg5124_35823"/>
    </w:p>
    <w:p>
      <w:pPr>
        <w:pStyle w:val="BookText"/>
        <w:rPr/>
      </w:pPr>
      <w:bookmarkEnd w:id="37"/>
      <w:r>
        <w:rPr>
          <w:rFonts w:ascii="IRNazanin" w:hAnsi="IRNazanin" w:eastAsia="IRNazanin"/>
          <w:color w:val="111111"/>
          <w:sz w:val="28"/>
          <w:sz w:val="28"/>
          <w:szCs w:val="28"/>
          <w:rtl w:val="true"/>
          <w:lang w:bidi="fa-IR"/>
        </w:rPr>
        <w:t xml:space="preserve">علم غیب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علم غیر ذاتی سخن می‌گوید که خداوند به بندگان برگزیده‌اش می‌بخشد تا آنان‌را از برخی حقایق آگاه سازد، پس بین این دو دسته تعارض و اختلافی نیست</w:t>
      </w:r>
      <w:r>
        <w:rPr>
          <w:rFonts w:eastAsia="IRNazanin" w:cs="IRNazanin"/>
          <w:color w:val="111111"/>
          <w:sz w:val="28"/>
          <w:szCs w:val="28"/>
          <w:rtl w:val="true"/>
          <w:lang w:bidi="fa-IR"/>
        </w:rPr>
        <w:t>.</w:t>
      </w:r>
    </w:p>
    <w:p>
      <w:pPr>
        <w:pStyle w:val="Heading3"/>
        <w:numPr>
          <w:ilvl w:val="2"/>
          <w:numId w:val="1"/>
        </w:numPr>
        <w:rPr/>
      </w:pPr>
      <w:bookmarkStart w:id="38" w:name="__RefHeading___Toc1630405_774463916"/>
      <w:bookmarkStart w:id="39" w:name="_Toc14"/>
      <w:bookmarkEnd w:id="38"/>
      <w:r>
        <w:rPr>
          <w:rtl w:val="true"/>
        </w:rPr>
        <w:t>بخش سوّم</w:t>
      </w:r>
      <w:r>
        <w:rPr>
          <w:rtl w:val="true"/>
        </w:rPr>
        <w:t xml:space="preserve">: </w:t>
      </w:r>
      <w:r>
        <w:rPr>
          <w:rtl w:val="true"/>
        </w:rPr>
        <w:t>آیاتی که امکان علم غیب داشتن را برای غیر خداوند اثبات می کند</w:t>
      </w:r>
      <w:bookmarkEnd w:id="39"/>
    </w:p>
    <w:p>
      <w:pPr>
        <w:pStyle w:val="BookText"/>
        <w:rPr/>
      </w:pPr>
      <w:r>
        <w:rPr>
          <w:rFonts w:ascii="IRNazanin" w:hAnsi="IRNazanin" w:eastAsia="IRNazanin"/>
          <w:color w:val="111111"/>
          <w:sz w:val="28"/>
          <w:sz w:val="28"/>
          <w:szCs w:val="28"/>
          <w:rtl w:val="true"/>
          <w:lang w:bidi="fa-IR"/>
        </w:rPr>
        <w:t>در قرآن کریم، آیاتی هست که دربارۀ امکان علم غیب برای غیر خداوند سخن می‌گوید؛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شرط این که از بینشی که آموخته شده‌ای به من یاد دهی، پیروی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همپای من صبر کنی و چگونه می‌توانی بر چیزی که به شناخت آن احاطه نداری، صبر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کُنتُ أَعْلَمُ الْغَیْبَ لاَسْتَکْثَرْتُ مِنَ الْخَیْرِ</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غیب می‌دانستم قطعاً خیر بیشتری می‌اندوختم</w:t>
      </w:r>
      <w:r>
        <w:rPr>
          <w:rFonts w:eastAsia="IRNazanin" w:cs="IRNazanin"/>
          <w:color w:val="111111"/>
          <w:sz w:val="28"/>
          <w:szCs w:val="28"/>
          <w:rtl w:val="true"/>
          <w:lang w:bidi="fa-IR"/>
        </w:rPr>
        <w:t>».</w:t>
      </w:r>
      <w:bookmarkStart w:id="40" w:name="pg5124_35825"/>
    </w:p>
    <w:p>
      <w:pPr>
        <w:pStyle w:val="BookText"/>
        <w:rPr/>
      </w:pPr>
      <w:bookmarkEnd w:id="40"/>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قبل به این نتیجه رسیدیم که علم غیب مختص به خداوند سبحان است و به هر که بخواهد از آن عطا می‌کند و بین این دو علم، هیچ تعارضی در نفی و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می‌توان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آیاتی که علم غیب را منحصر در خداوند می‌داند و آیاتی که دربارۀ امکان علم غیب برای غیر خداوند سخن می‌گوید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دربارۀ دادن علم غیب به غیر خداوند سخن می‌گوید بر می‌آید که این علم با اذن، اراده و رضایت خداوند به دست می‌آید و به هیچ وجه بیرون از حوزۀ اراده و اختیار خداوند و بی ارتباط با او نیست</w:t>
      </w:r>
      <w:r>
        <w:rPr>
          <w:rFonts w:eastAsia="IRNazanin" w:cs="IRNazanin"/>
          <w:color w:val="111111"/>
          <w:sz w:val="28"/>
          <w:szCs w:val="28"/>
          <w:rtl w:val="true"/>
          <w:lang w:bidi="fa-IR"/>
        </w:rPr>
        <w:t>.</w:t>
      </w:r>
    </w:p>
    <w:p>
      <w:pPr>
        <w:pStyle w:val="Heading3"/>
        <w:numPr>
          <w:ilvl w:val="2"/>
          <w:numId w:val="1"/>
        </w:numPr>
        <w:rPr/>
      </w:pPr>
      <w:bookmarkStart w:id="41" w:name="__RefHeading___Toc1630407_774463916"/>
      <w:bookmarkStart w:id="42" w:name="_Toc15"/>
      <w:bookmarkEnd w:id="41"/>
      <w:r>
        <w:rPr>
          <w:rtl w:val="true"/>
        </w:rPr>
        <w:t>بخش چهارم</w:t>
      </w:r>
      <w:r>
        <w:rPr>
          <w:rtl w:val="true"/>
        </w:rPr>
        <w:t xml:space="preserve">: </w:t>
      </w:r>
      <w:r>
        <w:rPr>
          <w:rtl w:val="true"/>
        </w:rPr>
        <w:t>آیاتی که اعطای علم غیب به خاتم پیامبران را اثبات می کند</w:t>
      </w:r>
      <w:bookmarkEnd w:id="42"/>
    </w:p>
    <w:p>
      <w:pPr>
        <w:pStyle w:val="BookText"/>
        <w:rPr/>
      </w:pPr>
      <w:r>
        <w:rPr>
          <w:rFonts w:ascii="IRNazanin" w:hAnsi="IRNazanin" w:eastAsia="IRNazanin"/>
          <w:color w:val="111111"/>
          <w:sz w:val="28"/>
          <w:sz w:val="28"/>
          <w:szCs w:val="28"/>
          <w:rtl w:val="true"/>
          <w:lang w:bidi="fa-IR"/>
        </w:rPr>
        <w:t>آیاتی که امکان دستیابی به علم غیب را برای برخی از بندگان اثبات می‌کند،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آیاتی که اعطای علم غیب به غیر خداوند را اثبات می‌کند، اشاره کردیم؛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غذایی را که روزی شماست، برای شما نمی آورند، مگر آن که من از تعبیر آن به شما خبر می‌دهم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را جز خدا و ریشه داران در دانش،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دسته‌ای از آیات هست که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 این سخن به جز وحیی که وحی می‌شود،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سَنُقْرِؤُکَ فَلا تَنسَی</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وسیلۀ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خواهیم خواند تا فراموش نکنی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غیب است که به تو وحی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هرگز جاهل نباشد؛ ممکن نیست چیزی را بداند و چیزی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آن است که فرمانبری از بنده‌ای را واجب کند که علم آسمان و زمینش را از او پنهان داشته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عزّوجلّ پیامبرش را تربیت کرد و نیکو تربیت کرد؛ چون تربیت او را تکمیل نمود،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وَإِنَّکَ لَعَلی خُلُقٍ عَظِیمٍ؛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دین و امّت را به او واگذار فرمود تا سیاست بندگانش را به عهده گیرد،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آتَاکُمُ الرَّسُولُ فَخُذُوهُ وَمَا نَهَاکُمْ عَنْهُ فَانتَهُوا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به شما داد، آن را بگیرید و از آنچه شما را بازداشت، باز ایستید</w:t>
      </w:r>
      <w:r>
        <w:rPr>
          <w:rFonts w:eastAsia="IRNazanin" w:cs="IRNazanin"/>
          <w:color w:val="111111"/>
          <w:sz w:val="28"/>
          <w:szCs w:val="28"/>
          <w:rtl w:val="true"/>
          <w:lang w:bidi="fa-IR"/>
        </w:rPr>
        <w:t>».</w:t>
      </w:r>
      <w:bookmarkStart w:id="43" w:name="pg5124_3583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استوار، موفّق و مؤیّد به روح القدس بود و نسبت به سیاست و تدبیر خلق، هیچ گونه لغزشی نداشت و به آداب خدا تربیت 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اگر شأن پیامبر چنین است و خداوند به خاطر کامل شدن رسالت و اداره کردن بندگان و گستراندن عدالت، به او علم غیب ارزانی داشته و توسّط روح القدس او را راهنمایی کرده است، آیا در راستای همین اهداف، این تواناییها و نیز علم غیب را به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آنان را برای تمام کردن رسالت پیامبر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است؟ در بخش بعد به این مسأله می‌پردازیم</w:t>
      </w:r>
      <w:r>
        <w:rPr>
          <w:rFonts w:eastAsia="IRNazanin" w:cs="IRNazanin"/>
          <w:color w:val="111111"/>
          <w:sz w:val="28"/>
          <w:szCs w:val="28"/>
          <w:rtl w:val="true"/>
          <w:lang w:bidi="fa-IR"/>
        </w:rPr>
        <w:t>.</w:t>
      </w:r>
    </w:p>
    <w:p>
      <w:pPr>
        <w:pStyle w:val="Heading3"/>
        <w:numPr>
          <w:ilvl w:val="2"/>
          <w:numId w:val="1"/>
        </w:numPr>
        <w:rPr/>
      </w:pPr>
      <w:bookmarkStart w:id="44" w:name="__RefHeading___Toc1630409_774463916"/>
      <w:bookmarkStart w:id="45" w:name="_Toc16"/>
      <w:bookmarkEnd w:id="44"/>
      <w:r>
        <w:rPr>
          <w:rtl w:val="true"/>
        </w:rPr>
        <w:t>بخش پنجم</w:t>
      </w:r>
      <w:r>
        <w:rPr>
          <w:rtl w:val="true"/>
        </w:rPr>
        <w:t xml:space="preserve">: </w:t>
      </w:r>
      <w:r>
        <w:rPr>
          <w:rtl w:val="true"/>
        </w:rPr>
        <w:t>آیات و روایاتی که اعطای علم غیب به ائمّه</w:t>
      </w:r>
      <w:r>
        <w:rPr>
          <w:rtl w:val="true"/>
        </w:rPr>
        <w:t>(</w:t>
      </w:r>
      <w:r>
        <w:rPr>
          <w:rtl w:val="true"/>
        </w:rPr>
        <w:t>علیهم السّلام</w:t>
      </w:r>
      <w:r>
        <w:rPr>
          <w:rtl w:val="true"/>
        </w:rPr>
        <w:t>) (</w:t>
      </w:r>
      <w:r>
        <w:rPr>
          <w:rtl w:val="true"/>
        </w:rPr>
        <w:t>اهل بیت</w:t>
      </w:r>
      <w:r>
        <w:rPr>
          <w:rtl w:val="true"/>
        </w:rPr>
        <w:t xml:space="preserve">) </w:t>
      </w:r>
      <w:r>
        <w:rPr>
          <w:rtl w:val="true"/>
        </w:rPr>
        <w:t>را اثبات می کند</w:t>
      </w:r>
      <w:bookmarkEnd w:id="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خداوند سبحان به پیامبران و بندگان صالح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کسانی هستند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را از آنان زدوده و آنان را پاک و پاکیزه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پیامبر در به انجام رساندن مسؤولیّتها و اهداف رسالت هستند و لازمۀ این امر، آن است که همانند پیامبر، علم به غیب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آدم از آسمان به زمین فرو آورد و همۀ آنچه پیامبران تا پیامبر خاتم به آن برتری یافته‌اند، در خاندان آخرین پیامبر، گرد آمده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ولید سمّان نقل شده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زمینه‌ای سؤال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فضل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دربارۀ آنان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داناتر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قایلند که علی همان علم پیامبران را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آنان مخالفت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لَهُ فِی الأَلْوَاحِ مِن کُلِّ شَیْ‌ءٍ؛ </w:t>
      </w:r>
      <w:r>
        <w:rPr>
          <w:rStyle w:val="FootnoteAnchor"/>
          <w:rtl w:val="true"/>
        </w:rPr>
        <w:footnoteReference w:id="89"/>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هر موردی نگاشتیم، که از آن بر می‌آید، خدا همه امور را برای او آشکار نساخته است، امّا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وَجِئْنَا بِکَ عَلَی هَؤُلاء شَهِیدًا؛ </w:t>
      </w:r>
      <w:r>
        <w:rPr>
          <w:rStyle w:val="FootnoteAnchor"/>
          <w:rtl w:val="true"/>
        </w:rPr>
        <w:footnoteReference w:id="90"/>
      </w: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را بر آنان گواه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عَلَیْکَ الْکِتَابَ تِبْیَانًا لِّکُلِّ شَیْ‌ءٍ؛ </w:t>
      </w:r>
      <w:r>
        <w:rPr>
          <w:rStyle w:val="FootnoteAnchor"/>
          <w:rtl w:val="true"/>
        </w:rPr>
        <w:footnoteReference w:id="91"/>
      </w:r>
      <w:r>
        <w:rPr>
          <w:rFonts w:ascii="IRNazanin" w:hAnsi="IRNazanin" w:eastAsia="IRNazanin"/>
          <w:color w:val="111111"/>
          <w:sz w:val="28"/>
          <w:sz w:val="28"/>
          <w:szCs w:val="28"/>
          <w:rtl w:val="true"/>
          <w:lang w:bidi="fa-IR"/>
        </w:rPr>
        <w:t>این کتاب را که روشنگر هر چیزی است، بر تو نازل کردیم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داشت 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نقض کنندۀ قوانین عادی طبیعت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از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نشانگر این است که قدرت او سبب دیگری نداشت و ولایت و قدرت او، بر مدار دانشی از کتاب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دانشی از کتاب باشد، این ولایت و قدرت نیز برای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منزلت کسی که دانشی از کتاب دارد، این چنین باشد، پس منزلت کسی که همۀ علم کتاب را دارد تا چه حداست؟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امامان به آنچه در کتاب است،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نخوانده‌ای؟ سدیر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خوانده‌ای به این آیه برخورد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همۀ علم کتاب نزد اوست، داناتر و برتر است، یا کسی که جزئی از علم کتاب را دارد؟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همۀ علم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دست به سینۀ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 کتاب نزد ماست،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 کتاب نزد ماست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زدودن آلودگیها و پاک کردن از همۀ عیبها و نقصهای ظاهری و باطنی و انحرافات و تاریکیهای نادانی و غفلت، به طور عام بیان شده است، نتیجه می‌گیریم که علم آنان عام و بالفعل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زادۀ رسول خدا هستم و به قرآن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و آنچه تا روز قیامت رخ می‌دهد و خبر آسمان و زمین و بهشت و دوزخ و اخبار گذشته و آینده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می‌دانم چنانکه به کف دست خود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روشنگر هر چیزی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آموخت که از هر باب آن، هزار باب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طوماری است به طول هفتاد ذراع پیامبر، که به املای آن حضرت و دستخطّ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حلال و حرام و همۀ احتیاجات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جریمۀ خراش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ای ابامحمّد؟ گفتم من از آن شما هستم، هر چه می‌خواهی بنما، آنگاه با دست مبارک مرا نشگون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جریمۀ این نشگون در جامعه هست، در حالی که حضرت خشمگین به نظر می‌رسید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داوود و تورات موسی و انجیل عیسی و صحف ابراهیم، حلال و حرام و مصحف فاطمه، امّا در آن، چیزی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جفر،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احتیاج دارند و ما به کسی احتیاج نداریم حتّی مجازات یک تازیانه و نصف تازیانه و ربع تازیانه و جریمۀ خراش در آن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خواسته است که کارها را توسّط اسباب آن فراهم آورد، پس برای هر چیزی، سبب و وسیله‌ای قرار داد و برای هر سببی، شرح و گشایشی مقرّر داشت و برای هر شرحی،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برای هر نشانه دری گویا نهاد؛ گروهی آشنا به این در و جماعتی نادان به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گویا رسول خدا و ما هستیم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کرب صیرفی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با آن از مردم بی نیازیم و مردم به ما نیاز دارند؛ نزد ما کتابی است که رسول خدا آن را املا نموده و حضرت علی نوشته است؛ صحیفه‌ای که هر حلال و حرامی در آن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 حجّتی قرار نمی‌دهد که دربارۀ چیزی از او سؤال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 کلیب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ابزاری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کتاب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کتاب و سنّت وجود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کتاب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 کلیب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یا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راه درست راهنمایی می‌کند و به او توفیق می‌دهد، امّا آنچه تو می‌پنداری، درست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مغیره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زمین، عالمی هست که مردم به او نیاز دارند و او از مردم بی نیاز است و حلال و حرام را می‌داند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خلق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بر خلق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می‌دانند، بگویند و در آنچه نمی‌دانند، دست نگه دارند، اگر این طور عمل کردند، حقّ خدا را ادا کرده‌اند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با آن مواجه می‌شوید و حکمش را نمی‌دانید، وظیفه ندارید جز این که دست نگه دارید و درنگ کنید و حکم آن</w:t>
      </w:r>
    </w:p>
    <w:p>
      <w:pPr>
        <w:pStyle w:val="BookText"/>
        <w:rPr/>
      </w:pPr>
      <w:r>
        <w:rPr>
          <w:rFonts w:ascii="IRNazanin" w:hAnsi="IRNazanin" w:eastAsia="IRNazanin"/>
          <w:color w:val="111111"/>
          <w:sz w:val="28"/>
          <w:sz w:val="28"/>
          <w:szCs w:val="28"/>
          <w:rtl w:val="true"/>
          <w:lang w:bidi="fa-IR"/>
        </w:rPr>
        <w:t>را به ائمّۀ هدی ارجاع دهید تا ایشان شما را به اعتدال وا دارند و گمراهی را از شما بردارند و حقّ را به شما بفهمانند،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الذِّکْرِ إِن کُنتُمْ لاَ تَعْلَمُونَ؛ </w:t>
      </w:r>
      <w:r>
        <w:rPr>
          <w:rStyle w:val="FootnoteAnchor"/>
          <w:rtl w:val="true"/>
        </w:rPr>
        <w:footnoteReference w:id="108"/>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نحوی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پیغمبرش را بر محبّت خود، تربیت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لَعَلی خُلُقٍ عَظِیمٍ؛ 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کارها را به او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آتَاکُمُ الرَّسُولُ فَخُذُوهُ وَمَا نَهَاکُمْ عَنْهُ فَانتَهُوا؛ آنچه را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بازداشت،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Style w:val="FootnoteAnchor"/>
          <w:rtl w:val="true"/>
        </w:rPr>
        <w:footnoteReference w:id="110"/>
      </w:r>
      <w:r>
        <w:rPr>
          <w:rFonts w:ascii="IRNazanin" w:hAnsi="IRNazanin" w:eastAsia="IRNazanin"/>
          <w:color w:val="111111"/>
          <w:sz w:val="28"/>
          <w:sz w:val="28"/>
          <w:szCs w:val="28"/>
          <w:rtl w:val="true"/>
          <w:lang w:bidi="fa-IR"/>
        </w:rPr>
        <w:t>هر کس از رسول، اطاعت کند، خدا را اطاعت کرده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خدا کارها را به علی واگذار کرد و او را امین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شدید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شما هرگاه ما بگوییم، بگویید و هرگاه سکوت کنیم،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واسطۀ میان شما و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هیچ کس در مخالفت با امر ما خیری قرار نداده است</w:t>
      </w:r>
      <w:r>
        <w:rPr>
          <w:rFonts w:eastAsia="IRNazanin" w:cs="IRNazanin"/>
          <w:color w:val="111111"/>
          <w:sz w:val="28"/>
          <w:szCs w:val="28"/>
          <w:rtl w:val="true"/>
          <w:lang w:bidi="fa-IR"/>
        </w:rPr>
        <w:t xml:space="preserve">». </w:t>
      </w:r>
      <w:r>
        <w:rPr>
          <w:rStyle w:val="FootnoteAnchor"/>
          <w:rtl w:val="true"/>
        </w:rPr>
        <w:footnoteReference w:id="111"/>
      </w:r>
      <w:bookmarkStart w:id="46" w:name="pg5124_35849"/>
    </w:p>
    <w:p>
      <w:pPr>
        <w:pStyle w:val="BookText"/>
        <w:rPr/>
      </w:pPr>
      <w:bookmarkEnd w:id="46"/>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هیچ گاه از امام خالی نمی‌شود تا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چیزی کم کردند، برای آنان تکمیل 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آنچه به مردم داده و به ایشان معرّفی کرده برای آنان دلیل آورده و حجّت را بر آنان تمام کرده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47" w:name="__RefHeading___Toc1630411_774463916"/>
      <w:bookmarkStart w:id="48" w:name="_Toc17"/>
      <w:bookmarkEnd w:id="47"/>
      <w:r>
        <w:rPr>
          <w:rtl w:val="true"/>
        </w:rPr>
        <w:t>بخش ششم</w:t>
      </w:r>
      <w:r>
        <w:rPr>
          <w:rtl w:val="true"/>
        </w:rPr>
        <w:t xml:space="preserve">: </w:t>
      </w:r>
      <w:r>
        <w:rPr>
          <w:rtl w:val="true"/>
        </w:rPr>
        <w:t>امام علی ابن ابی طالب</w:t>
      </w:r>
      <w:r>
        <w:rPr>
          <w:rtl w:val="true"/>
        </w:rPr>
        <w:t>(</w:t>
      </w:r>
      <w:r>
        <w:rPr>
          <w:rtl w:val="true"/>
        </w:rPr>
        <w:t>علیه السلام</w:t>
      </w:r>
      <w:r>
        <w:rPr>
          <w:rtl w:val="true"/>
        </w:rPr>
        <w:t xml:space="preserve">) </w:t>
      </w:r>
      <w:r>
        <w:rPr>
          <w:rtl w:val="true"/>
        </w:rPr>
        <w:t>و علم غیب</w:t>
      </w:r>
      <w:bookmarkEnd w:id="48"/>
    </w:p>
    <w:p>
      <w:pPr>
        <w:pStyle w:val="BookText"/>
        <w:rPr/>
      </w:pPr>
      <w:r>
        <w:rPr>
          <w:rFonts w:ascii="IRNazanin" w:hAnsi="IRNazanin" w:eastAsia="IRNazanin"/>
          <w:color w:val="111111"/>
          <w:sz w:val="28"/>
          <w:sz w:val="28"/>
          <w:szCs w:val="28"/>
          <w:rtl w:val="true"/>
          <w:lang w:bidi="fa-IR"/>
        </w:rPr>
        <w:t>از آن جا که 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ادلّۀ نقلی و عقلی که در جای خود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شده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خداوند سبحان به امام نیز علم غیب بخشیده است، همان گونه که به پیامبر عطا فرمود، تا توانایی ایفای مسؤولیّتهای رسالت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برخی از آیات و روایات که علم غیب امام را تأیید می‌کند،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علم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که از روشن‌ترین مصادیق بندگان برگزیدۀ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شیعه و سنّی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دربارۀ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همچنین روایت کرده‌اند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یک‌از سخنانی که از پیامبر شنیدم، فراموش نکرده‌ام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 کسی که علم کتاب دارد و جزء برگزیدگانی است که کتاب را به ارث برده‌اند، درب علم پیامبر است و این علم، علوم غیبی و غیر آن را در بردارد و بر طبق این آیات و روایات،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حوادث غیبی فرموده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هر کدام شما را از آغاز و پایان کارش و از تمام شؤون زندگی، آگاه سازم، امّا از آن می‌ترسم که با این گونه خبرها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اسرار گرانبها را به یاران رازدار و مورد اطمینان خود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برانگیخت و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راستی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اطّلاعات را به من سپرده است و از محلّ هلاکت آن کس که هلاک می‌شود و جای نجات کسی که نجات می‌یابد و پایان این حکومت، همه را به من خبر داده و مرا آگاهانده است، هیچ حادثه‌ای بر من نگذشت جز آن که در گوشم نجوا کرد و مرا از آن مطّلع ساخت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کارهایی که قرامطه </w:t>
      </w:r>
      <w:r>
        <w:rPr>
          <w:rStyle w:val="FootnoteAnchor"/>
          <w:rtl w:val="true"/>
        </w:rPr>
        <w:footnoteReference w:id="122"/>
      </w:r>
      <w:r>
        <w:rPr>
          <w:rFonts w:ascii="IRNazanin" w:hAnsi="IRNazanin" w:eastAsia="IRNazanin"/>
          <w:color w:val="111111"/>
          <w:sz w:val="28"/>
          <w:sz w:val="28"/>
          <w:szCs w:val="28"/>
          <w:rtl w:val="true"/>
          <w:lang w:bidi="fa-IR"/>
        </w:rPr>
        <w:t>مرتکب شدند، خبر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ظاهر و به دروغ به ما عشق می ورزند، در حالی که کینه و دشمنی ما را در دل دارند و نشانه‌اش این است که وارثان ما را می‌کشند و از کودکان ما روی می‌گردانند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آن حضرت درست بود؛ زیرا قرامطه افراد بسیاری از خاندان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 آن که مرا نیابید،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نمی‌پرسید از گروهی که صد نفر را گمراه، یا هدایت می‌سازد، جز آن که شما را آگاه می‌سازم از آن کسی که مردم را بدان می‌خواند و آنان که از آنان پیروی می کنند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 در سر و صورت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آنچه پرسیدی با من سخن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تار مویی از سر تو، فرشته‌ای است که تو را لعن می‌کند و بر هر تار مویی از ریش تو، شیطانی است که تو را تحریک می‌کند و در خانۀ تو کودکی است که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کشت، اگر اثبات جواب سؤال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نبود، تو را از آن آگاه می‌کردم، امّا نشانۀ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دانستن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شدن تو و پسر ملعون تو است که از آن خبر دادم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پسر او کوچک بود و همو بعدها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حکمهای شگفت انگیزی صادر کرده که بیش از حدّ شمارش است و به نوبۀ خود، نشانۀ علم خدادای امام است؛ زیرا ایشان احکام الهی را که دیگران از پاسخ به آن عاجز می‌ماندند، بیان فرموده است؛ مانند ماجرای دعوای دوزن بر سر یک کودک که حضرت دستور داد کودک را با شمشیر دو نیمه کنند و مادر واقعی برای نجات جان کودک خود از ادّعایش دست برداشت و بدین ترتیب، حق روشن گردید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یا مانند تقسیم درهمها بین صاحبان نان </w:t>
      </w:r>
      <w:r>
        <w:rPr>
          <w:rStyle w:val="FootnoteAnchor"/>
          <w:rtl w:val="true"/>
        </w:rPr>
        <w:footnoteReference w:id="127"/>
      </w:r>
      <w:r>
        <w:rPr>
          <w:rFonts w:ascii="IRNazanin" w:hAnsi="IRNazanin" w:eastAsia="IRNazanin"/>
          <w:color w:val="111111"/>
          <w:sz w:val="28"/>
          <w:sz w:val="28"/>
          <w:szCs w:val="28"/>
          <w:rtl w:val="true"/>
          <w:lang w:bidi="fa-IR"/>
        </w:rPr>
        <w:t xml:space="preserve">و بیان حکم خنثی </w:t>
      </w:r>
      <w:r>
        <w:rPr>
          <w:rStyle w:val="FootnoteAnchor"/>
          <w:rtl w:val="true"/>
        </w:rPr>
        <w:footnoteReference w:id="128"/>
      </w:r>
      <w:r>
        <w:rPr>
          <w:rFonts w:ascii="IRNazanin" w:hAnsi="IRNazanin" w:eastAsia="IRNazanin"/>
          <w:color w:val="111111"/>
          <w:sz w:val="28"/>
          <w:sz w:val="28"/>
          <w:szCs w:val="28"/>
          <w:rtl w:val="true"/>
          <w:lang w:bidi="fa-IR"/>
        </w:rPr>
        <w:t xml:space="preserve">و احکام 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اهل بغی را از علی آموختیم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اسد الغابه در معرّفی غرفۀ الازدی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 پیامبر و از اصحاب صفّه است که پیامبر برای او دعا کرد تا معامله و خرید و فروش او برکت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ساحل فرات همراه آن حضرت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خود را کج کرد و در نقطه‌ای ایستاد و ما نیز اطراف آن حضرت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w:t>
      </w:r>
    </w:p>
    <w:p>
      <w:pPr>
        <w:pStyle w:val="BookText"/>
        <w:rPr/>
      </w:pPr>
      <w:r>
        <w:rPr>
          <w:rFonts w:ascii="IRNazanin" w:hAnsi="IRNazanin" w:eastAsia="IRNazanin"/>
          <w:color w:val="111111"/>
          <w:sz w:val="28"/>
          <w:sz w:val="28"/>
          <w:szCs w:val="28"/>
          <w:rtl w:val="true"/>
          <w:lang w:bidi="fa-IR"/>
        </w:rPr>
        <w:t>دستش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رحلتشان و منزلگاه سوارکارانشان و محلّ ریختن خونهایشان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کسی که در زمین و آسمان یاوری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به محلّ شهادت او آمدم، همان گونه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بدون هیچ اشتباهی، پس، از خدا به خاطر شک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بخشش کردم و دریافتم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ویژگیها و صفاتی که در او هست، از دیگران برتر و بر آنان مقدّم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ذی 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وقتی شایعۀ عبور خوارج از نهر به امام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آنان از رود عبور نکرده‌اند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شهادت خویش خبر داده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بینی کرد که مغولان، حکومت را از بنی عبّاس خواهند گرفت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به صلیب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دهمین نفر، نیزه در بدن او فرو می‌کند، خبر داد و نخلی را که بعدها</w:t>
      </w:r>
      <w:bookmarkStart w:id="49" w:name="pg5124_35863"/>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ساقه آن دار زدند،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را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هر دوی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50" w:name="__RefHeading___Toc1630413_774463916"/>
      <w:bookmarkStart w:id="51" w:name="_Toc18"/>
      <w:bookmarkEnd w:id="50"/>
      <w:r>
        <w:rPr>
          <w:rtl w:val="true"/>
        </w:rPr>
        <w:t>بخش هفتم</w:t>
      </w:r>
      <w:r>
        <w:rPr>
          <w:rtl w:val="true"/>
        </w:rPr>
        <w:t xml:space="preserve">: </w:t>
      </w:r>
      <w:r>
        <w:rPr>
          <w:rtl w:val="true"/>
        </w:rPr>
        <w:t>روایاتی که از علم غیب امامان</w:t>
      </w:r>
      <w:r>
        <w:rPr>
          <w:rtl w:val="true"/>
        </w:rPr>
        <w:t>(</w:t>
      </w:r>
      <w:r>
        <w:rPr>
          <w:rtl w:val="true"/>
        </w:rPr>
        <w:t>علیه السلام</w:t>
      </w:r>
      <w:r>
        <w:rPr>
          <w:rtl w:val="true"/>
        </w:rPr>
        <w:t xml:space="preserve">) </w:t>
      </w:r>
      <w:r>
        <w:rPr>
          <w:rtl w:val="true"/>
        </w:rPr>
        <w:t>و پیشگوییهای آنان سخن می گوید</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نیازی هستم که نیازمند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اطاعت کن تا تو را بی نیاز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نمی‌میرم، دستورات مرا اطاعت کن تا به تو حیاتی جاودانه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بگویم موجود باش، موجود می‌شود، دستورات مرا اطاعت کن تا به تو مقام و قدرتی دهم که به هر چه بگویی موجود باش، موجود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اطاعت کردند تا آن جا که خدا بر عصمت آنان گواهی داد، پس آنان سزاوارترین کسانی هستند که این حدیث قدسی بر آنان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عطای مکّی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دیدار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از این رو، از مکّه به مدینه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 شدیدی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خانۀ امام رسیدم،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موقع شب در بزنم، یا تا صبح منتظر بمانم؟ در این بین ناگاه شنیدم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ابن عطا باز کن، امشب سرمای سختی به او رسیده است و کنیز در را باز کرد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 در خانه‌ای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کنیزی بود که از او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اتاق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زدم و وقتی در را باز کرد، دستان او را گرفتم، فردای آن شب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دیشب مرتکب شدی، توبه کن</w:t>
      </w:r>
      <w:r>
        <w:rPr>
          <w:rFonts w:eastAsia="IRNazanin" w:cs="IRNazanin"/>
          <w:color w:val="111111"/>
          <w:sz w:val="28"/>
          <w:szCs w:val="28"/>
          <w:rtl w:val="true"/>
          <w:lang w:bidi="fa-IR"/>
        </w:rPr>
        <w:t xml:space="preserve">». </w:t>
      </w:r>
      <w:r>
        <w:rPr>
          <w:rStyle w:val="FootnoteAnchor"/>
          <w:rtl w:val="true"/>
        </w:rPr>
        <w:footnoteReference w:id="138"/>
      </w:r>
      <w:bookmarkStart w:id="52" w:name="pg5124_35867"/>
    </w:p>
    <w:p>
      <w:pPr>
        <w:pStyle w:val="Heading2"/>
        <w:numPr>
          <w:ilvl w:val="1"/>
          <w:numId w:val="1"/>
        </w:numPr>
        <w:rPr/>
      </w:pPr>
      <w:bookmarkStart w:id="53" w:name="__RefHeading___Toc1630415_774463916"/>
      <w:bookmarkStart w:id="54" w:name="_Toc19"/>
      <w:bookmarkEnd w:id="52"/>
      <w:bookmarkEnd w:id="53"/>
      <w:r>
        <w:rPr>
          <w:rtl w:val="true"/>
        </w:rPr>
        <w:t xml:space="preserve">فصل چهارم </w:t>
      </w:r>
      <w:r>
        <w:rPr>
          <w:rtl w:val="true"/>
        </w:rPr>
        <w:t xml:space="preserve">: </w:t>
      </w:r>
      <w:r>
        <w:rPr>
          <w:rtl w:val="true"/>
        </w:rPr>
        <w:t>علم غیب از دیدگاه روان شناسی فلسفی</w:t>
      </w:r>
      <w:bookmarkEnd w:id="54"/>
    </w:p>
    <w:p>
      <w:pPr>
        <w:pStyle w:val="BookText"/>
        <w:rPr/>
      </w:pPr>
      <w:r>
        <w:rPr>
          <w:rFonts w:ascii="IRNazanin" w:hAnsi="IRNazanin" w:eastAsia="IRNazanin"/>
          <w:color w:val="111111"/>
          <w:sz w:val="28"/>
          <w:sz w:val="28"/>
          <w:szCs w:val="28"/>
          <w:rtl w:val="true"/>
          <w:lang w:bidi="fa-IR"/>
        </w:rPr>
        <w:t xml:space="preserve">وجود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ممکنات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غیر ازلی است، در حالی که امور غیبی، حد و مرز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برخی گفته‌اند از آن جا که به حکم عقل، محدود نمی‌تواند غیر محدود را فرا گیرد، پس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ندارند و از این رو، علم غیب، مختص به خداوند متعال است که محدودیّت ندارد؛ چرا که در محدود بودن پیامبر و امام، هیچ شک و تردیدی نیست و همچنین اختصاص علم غیب به خداوند، امر مسلّمی است که هیچ یک از مسلمانان، انکار نکرده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 درست نیست؛ زیرا ادّعای ما این است که خداوند متعال، ایشان را با مطّلع ساختن از برخی اخبار غیبی، بزرگ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علم غیب بخشید و بدین ترتیب، امور غیبی برای ایشان روشن گردیده است، هر چند از دیگران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که ایشان به وسیلۀ عمل صالح، نیّت درست، اخلاص، پرهیزگاری و تلاش و کوشش، به او نزدیک شدند، این علم را در اختیار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از روی اجبار و اکراه به آنان داده نشده بلکه به خاطر این است که دارای ویژگیهایی هستند که آنان را برای رسیدن به درجات 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می‌کند و همچنین به خاطر شایستگیهایی است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آزمایشها و رنجهای بسیار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به تنهایی و به طور مستقل،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گذشته و حال و آینده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 بلکه به وسیلۀ وحی الهی که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یا از راه الهام به خود ایشان، از آن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نکته، بعید شمردن و انکار کردن علم غیب امامان، امر بی ارزش و بی اهمّیّت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از راه نقلی ثابت شد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الهی و موهبت او به علم غیب دست یافته‌اند، به جنبۀ فلسفی بحث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تحقیق در این مسأله تنها با اصول عقلی مورد استفاده در برهانهای فلسفی؛ یعنی اصول بی نیاز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ثانیۀ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مثلاً برای این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شیئی مادّی و از اعراض جسم انسان است، یا پدیده‌ای فراتر و برتر از افق مادّه و مجرّد از عالم؟ اگر از ویژگیهای بُعد غیر مادّی انسان است، رابطۀ آن با او چیست؟ چگونه علم، نقش خود را ایفا می‌کند؟ بلکه اصلاً نقش و عملکرد علم چیست و حد و مرز آن کدام است؟ پاسخ همۀ این سؤالها را بر طبق گذاره‌های یقینی عقلی</w:t>
      </w:r>
    </w:p>
    <w:p>
      <w:pPr>
        <w:pStyle w:val="BookText"/>
        <w:rPr/>
      </w:pPr>
      <w:r>
        <w:rPr>
          <w:rFonts w:ascii="IRNazanin" w:hAnsi="IRNazanin" w:eastAsia="IRNazanin"/>
          <w:color w:val="111111"/>
          <w:sz w:val="28"/>
          <w:sz w:val="28"/>
          <w:szCs w:val="28"/>
          <w:rtl w:val="true"/>
          <w:lang w:bidi="fa-IR"/>
        </w:rPr>
        <w:t>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فلسفه چگونه ما را در این بحث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می‌شود که حقیقت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برداشتن از جهان واقع و آشکار کردن آن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نهفته است؛ بنابراین، علم، واقعیّت را برای ما روشن می‌کند و این امری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واقعیّت از ویژگیهای مختص انسان است به گونه‌ای که فرض جدایی آن از او محال و غیر ممکن است؛ چرا که این کار، جدایی او از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کشف واقع، پدیده‌ای فراتر و برتر از مادّه است؛ زیرا ویژگیهای مادّه همچون تقسیم پذیری و نابودی و تبدیل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تطبیق نمی‌کند؛ بنابراین، علم، ویژگی موجود مجرّد از مادّه است و در نتیجه نفس، امری ما ورای مادّه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آشکار شدن واقع در اثر اتّصال وجودی و واقعی بین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که می‌خواهیم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و بدون این اتّصال، فرض انکشاف واقع و پیدایش علم، ناممکن و محال است؛ زیرا سببی برای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اتّصال علمی با واقع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از طریق حواسّی که به پدیده‌های مادّی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از راه عقل که کار آن، درک کلّیّات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با واقع، بدون واسطه بودن عقل یا حس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پدیده‌های مجرّد از مادّه و شناخت آنها برای نفس انسان، امری ممکن و دست یافتنی است؛ زیرا نفس، هم رتبه و هم سطح مجرّدات است و هیچ مانعی آنها را از یکدیگر جدا نمی‌کند؛ چرا که موانع علم و کشف، یا خارجی هستند و در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امور جسمانی هستند، پدیدار می‌شوند و یا باطنی و معنوی هستند که در سرگرم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توجهی، نمود می‌یابند و از آن جا که ثابت شد نفس و ادراک آن، فراتر از مادّه است، پس مانعهای زمکانی، به آن مربوط نمی‌شود بلکه به جنبۀ جسمانی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ارتباطی با علم و کشف واقع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امّا مانعهای معنوی می‌توانند بر سر راه نفس قرار گیرند؛ به این ترتیب که نفس به ادراکات حواس، مشغول و سرگرم می‌شود و به آنها خو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حقایقی که ماورای آنها هستند، غفلت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 و حال آنکه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کسانی را که با علم خود بر ظاهر دنیا تکیه و اعتماد می‌کنند و به باطن و حقیقت آن رو نمی‌آورند،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یافتن به باطن امور ناممکن بود، این سرزنش نیز بی جا و بی مورد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امور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انواع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انسان میسّر و ممکن است و امری فراتر از طاقت او و بیرون از دایرۀ تواناییهایش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اوّل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دوّمی که در این بحث مطرح می‌شود،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است و دو بُعد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که در آن با سایر موجودات مشترک است و به تعبیر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عالم بودن در امام، همان نفس شریف اوست که از نظر نفسانی، شبیه سایر نفوس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که در آن با سایر مردم تفاوت دارد و او را به مراتب بالا؛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تعبیر دقیق‌تر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عالم بودن امام و گسترۀ وسیع آن که موجب تفاوت نفس امام با نفوس سایر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در این زمینه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مکاتب جدید روان شناسی به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حقیقی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تحلیلی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فلسفی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شاخه‌های فلسفۀ اسلامی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روان شناسی تحلیلی از بحث دربارۀ خود نفس، چشم می‌پوشد و مظاهر و تجلّیّات نفس؛ یعنی صفات و افعال آن را بررسی می‌کند در حالی که روان شناسی فلسفی، به اثبات وجود نفس می‌پردازد و آن را از نظر کیفیّت پیدایش و حالات باطنی آن، پس از مرگ و نیز حشر و معاد و دیگر مسائل مربوط به آن،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روان شناسی فلسفی چگونه ما را در این بحث یاری می‌کند؟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پژوهشهای این علم برای نفس انسان اثبات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شدّت و ضعف، در تجرّد از مادّه و سیر به عالم بالا، دارای مراتب، مقامات و درجات است و کم یا زیاد بودن توجّه و التفات نفس، ناشی از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ادراک، مجرّد از مادّه است و از ویژگیهای نفس انسان به شمار می‌رود، بنابراین، بررسی سطح تجرّد ادراک، بیانگر سطح تجرّد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ادراک محسوسات را از پایین‌ترین و</w:t>
      </w:r>
    </w:p>
    <w:p>
      <w:pPr>
        <w:pStyle w:val="BookText"/>
        <w:rPr/>
      </w:pPr>
      <w:r>
        <w:rPr>
          <w:rFonts w:ascii="IRNazanin" w:hAnsi="IRNazanin" w:eastAsia="IRNazanin"/>
          <w:color w:val="111111"/>
          <w:sz w:val="28"/>
          <w:sz w:val="28"/>
          <w:szCs w:val="28"/>
          <w:rtl w:val="true"/>
          <w:lang w:bidi="fa-IR"/>
        </w:rPr>
        <w:t>ضعیف‌ترین مراتب ادراک قرار می‌دهد؛ زیرا این ادراک از مادّه جدّاً نمی‌شود و حتّی بدون اتّصال به مادّه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این مرتبه با انسان مشترک هستند و چه بسا برتر و قوی‌تر از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پژوهشها، ادراک کلّیّات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انسان از نظر افق تجرّد، از حیوان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متوسّط تجرّد معرّفی می‌کند، امّا بالاترین مرتبۀ ادراک از نظر تجرّد و فراگیری، مرتبه‌ای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در اصطلاح فلسفی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مرتبه نیز مراتب و درجاتی دارد که پایین‌ترین آن، رؤیاهای صادقه، مرتبۀ متوسّط آن، الهام و سخن گفتن ملائکه و بالاترین مرتبۀ آن، دریافت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امام، با سایر نفوس از این جهت تفاوت دارد که دامنۀ ادراک امام گسترده است و به عالم واقع تسلّط و احاطه داشته، از مادّه، تجرّد تام دارد، به گونه‌ای که برای علم پیدا کردن به امور، از حس، یا عقل کمک نمی‌گیرد که این امر، نشانگر بزرگی نفس و مرتبۀ بلند و جایگاه والای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نیز این نتیجه را تأیید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هدایت مردم به فرمان خداست،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متوقف بر آن قرار داده و صبر را نیز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ادراک است؛ زیرا بنابر فرمودۀ قرآن، متعلّق آن در افقی فراتر از مادّه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 تا از جملۀ یقین کنندگان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 به یقین دوزخ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برای نفسی که به مقام امامت رسیده باشد، کشف واقعیّتهای غیر مادّی و آگاهی از آنها از ضروریّات مقام وجودی آن نفس به شمار می‌رود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سوّمی که در این بحث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که می‌خواهیم بشناسیم و به آن</w:t>
      </w:r>
    </w:p>
    <w:p>
      <w:pPr>
        <w:pStyle w:val="BookText"/>
        <w:rPr/>
      </w:pPr>
      <w:r>
        <w:rPr>
          <w:rFonts w:ascii="IRNazanin" w:hAnsi="IRNazanin" w:eastAsia="IRNazanin"/>
          <w:color w:val="111111"/>
          <w:sz w:val="28"/>
          <w:sz w:val="28"/>
          <w:szCs w:val="28"/>
          <w:rtl w:val="true"/>
          <w:lang w:bidi="fa-IR"/>
        </w:rPr>
        <w:t>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بحث ما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وجود اشیاء و مراتب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و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الشیء بعلله؛ شناخت شیء توسّط علّتهای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ضروری است که با این بُعد از بحث نیز آشنا شویم تا ببینیم شناخت تفصیلی از سرنوشت، چگونه تحقّق می‌یابد و علم، چگونه به آن دست می‌یابد؟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نظام علّی و معلولی حاکم بر هستی، مسألۀ تشکیکی بودن وجود اشیاء، با برهان، ثابت و قطعی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مرتبۀ مادّی اشیاء قرار دارد، رشحه‌ای از مرتبۀ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بلکه پرتو کم فروغ و محدودی از وجود آن است؛ بنابراین، اشیاء دارای وجود دیگری فراتر از مادّه و زمان هستند که در ظرف تجرّد و دهر قرار دارد و آگاه شدن و اطّلاع یافتن از آن در آن مرحله، اطّلاع و آگاهی تام و کامل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حوادثی که به اختیار انسان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یافتن از علل آنها آگاهی یافتن از خود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علل آنها را بشناسیم، خود آنها را شناخته‌ایم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جای خود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بالعلّة علم بمعلولها؛ علم به علّت، علم به معلول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اطّلاع کامل از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این علل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اطّلاع از دیگر عللی که یک پدیده را به وجود می‌آورند، موجب کشف واقع و پیدایش علم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مرتبۀ وجودی هر شیء، از جمله اشیایی که به تجربۀ انسان در می‌آیند، وجود آن در ظرف علم تامّ خداوند سبحان است و بنابراین، علم پیدا کردن انسان به آن، به واسطۀ خداوند و از راه آگاهی بخشیدن او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از این نتیجه سخن گفته است و برای اشیاء، نوعی وجود فراتر از مادّه اثبات کرده و وجود مادّی را مرتبۀ نازل و پایین آن دانسته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 وجود واحد تشکیکی برای همۀ اشیاء اثبات می‌کند، همان گونه که در این آیه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 که گنجینه‌های آن نزد ما است و ما آن را جز به اندازه‌ای معیّن، فرو نمی‌فرستیم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معیّن از هر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مرتبۀ پایین و مادّی آن قرار می‌گیرد و تمام وجود آن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حَبَّةٍ فِی ظُلُمَاتِ الأَرْضِ وَلاَ رَطْبٍ وَلاَ یَابِسٍ إِلاَّ فِی کِتَابٍ مُّبِینٍ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دانه‌ای در تاریکیهای زمین و هیچ تر و خشکی نیست، مگر این 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نحوه‌ای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اشیاء است که خداوند متعال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ذات خداوند بر نمی‌گردد؛ زیرا هر چیزی برای خداوند این چنین است و خبر دادن از آن،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قسمتی از این کتاب، یا وجود جمعی مطّلع شود و این علم به کتاب، توانایی و قدرت بر شیء معلوم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می‌آورم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جمعی اشیاء،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مفصّلاً در تعیین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دارند، امّا تحقیقات ما در این بحث، محکم و استوار است</w:t>
      </w:r>
      <w:r>
        <w:rPr>
          <w:rFonts w:eastAsia="IRNazanin" w:cs="IRNazanin"/>
          <w:color w:val="111111"/>
          <w:sz w:val="28"/>
          <w:szCs w:val="28"/>
          <w:rtl w:val="true"/>
          <w:lang w:bidi="fa-IR"/>
        </w:rPr>
        <w:t xml:space="preserve">. </w:t>
      </w:r>
      <w:r>
        <w:rPr>
          <w:rStyle w:val="FootnoteAnchor"/>
          <w:rtl w:val="true"/>
        </w:rPr>
        <w:footnoteReference w:id="148"/>
      </w:r>
      <w:bookmarkStart w:id="55" w:name="pg5124_35890"/>
    </w:p>
    <w:p>
      <w:pPr>
        <w:pStyle w:val="Heading2"/>
        <w:numPr>
          <w:ilvl w:val="1"/>
          <w:numId w:val="1"/>
        </w:numPr>
        <w:rPr/>
      </w:pPr>
      <w:bookmarkStart w:id="56" w:name="__RefHeading___Toc1630417_774463916"/>
      <w:bookmarkStart w:id="57" w:name="_Toc20"/>
      <w:bookmarkEnd w:id="55"/>
      <w:bookmarkEnd w:id="56"/>
      <w:r>
        <w:rPr>
          <w:rtl w:val="true"/>
        </w:rPr>
        <w:t xml:space="preserve">فصل پنجم </w:t>
      </w:r>
      <w:r>
        <w:rPr>
          <w:rtl w:val="true"/>
        </w:rPr>
        <w:t xml:space="preserve">: </w:t>
      </w:r>
      <w:r>
        <w:rPr>
          <w:rtl w:val="true"/>
        </w:rPr>
        <w:t>علم غیب از دیدگاه غیر امامیّه</w:t>
      </w:r>
      <w:bookmarkEnd w:id="57"/>
    </w:p>
    <w:p>
      <w:pPr>
        <w:pStyle w:val="Heading3"/>
        <w:numPr>
          <w:ilvl w:val="2"/>
          <w:numId w:val="1"/>
        </w:numPr>
        <w:rPr/>
      </w:pPr>
      <w:bookmarkStart w:id="58" w:name="__RefHeading___Toc1630419_774463916"/>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گرایش مخالف با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در زندگی پیامبران و صالحان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اصطلاح به کار می‌برد؛ از جمله مکاشفه، کرامت و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داده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فرقه‌های این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قبول دارند، ولی در پایه‌ها و مبانی تحلیلی و ادلّۀ شرعی برای اثبات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این تحلیلها و استدلالها، سستی، ضعف و ناپایداری، موج می‌زند و به نظر می‌آید که این گرایش از بررسی و ژرف نگری در این مسأله کوتاهی کرده است، شاید به این علّت 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می‌کند، اعتقاد ندارند؛ چرا که اعتقاد به علم غیب معصوم، از سوی کسانی که آن را پذیرفته‌اند، مورد بحث و جدل و بررسیهای عمیق قرار گرفته است، به گونه‌ای که این بررسیها در ساختن مبانی آن، به صورت فنّی و ممتاز، نقش داشته است</w:t>
      </w:r>
      <w:r>
        <w:rPr>
          <w:rFonts w:eastAsia="IRNazanin" w:cs="IRNazanin"/>
          <w:color w:val="111111"/>
          <w:sz w:val="28"/>
          <w:szCs w:val="28"/>
          <w:rtl w:val="true"/>
          <w:lang w:bidi="fa-IR"/>
        </w:rPr>
        <w:t>.</w:t>
      </w:r>
      <w:bookmarkStart w:id="60" w:name="pg5124_35892"/>
    </w:p>
    <w:p>
      <w:pPr>
        <w:pStyle w:val="BookText"/>
        <w:rPr/>
      </w:pPr>
      <w:bookmarkEnd w:id="60"/>
      <w:r>
        <w:rPr>
          <w:rFonts w:ascii="IRNazanin" w:hAnsi="IRNazanin" w:eastAsia="IRNazanin"/>
          <w:color w:val="111111"/>
          <w:sz w:val="28"/>
          <w:sz w:val="28"/>
          <w:szCs w:val="28"/>
          <w:rtl w:val="true"/>
          <w:lang w:bidi="fa-IR"/>
        </w:rPr>
        <w:t xml:space="preserve">امّا گرایش دیگر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قبول ندارد، با مسألۀ عصمت به طور سطحی برخورد نموده است و ریشه‌های آن را دنبال نکرده و ابعاد آن را نشناخته است و مثلاً بین مکاشفه، فراست، کرامت و علم حضوری معصوم، خلط کرده و آنها را با هم اشتباه کرده است، از این رو، مهمترین نظریّات تحلیلی آنان دربارۀ این پدیده را بررسی می‌کنیم</w:t>
      </w:r>
      <w:r>
        <w:rPr>
          <w:rFonts w:eastAsia="IRNazanin" w:cs="IRNazanin"/>
          <w:color w:val="111111"/>
          <w:sz w:val="28"/>
          <w:szCs w:val="28"/>
          <w:rtl w:val="true"/>
          <w:lang w:bidi="fa-IR"/>
        </w:rPr>
        <w:t>:</w:t>
      </w:r>
    </w:p>
    <w:p>
      <w:pPr>
        <w:pStyle w:val="Heading3"/>
        <w:numPr>
          <w:ilvl w:val="2"/>
          <w:numId w:val="1"/>
        </w:numPr>
        <w:rPr/>
      </w:pPr>
      <w:bookmarkStart w:id="61" w:name="__RefHeading___Toc1630421_774463916"/>
      <w:bookmarkStart w:id="62" w:name="_Toc22"/>
      <w:bookmarkEnd w:id="61"/>
      <w:r>
        <w:rPr/>
        <w:t>1</w:t>
      </w:r>
      <w:r>
        <w:rPr>
          <w:rtl w:val="true"/>
        </w:rPr>
        <w:t xml:space="preserve">- </w:t>
      </w:r>
      <w:r>
        <w:rPr>
          <w:rtl w:val="true"/>
        </w:rPr>
        <w:t>نظر شوکانی</w:t>
      </w:r>
      <w:r>
        <w:rPr>
          <w:rtl w:val="true"/>
        </w:rPr>
        <w:t>:</w:t>
      </w:r>
      <w:bookmarkEnd w:id="62"/>
    </w:p>
    <w:p>
      <w:pPr>
        <w:pStyle w:val="BookText"/>
        <w:rPr/>
      </w:pPr>
      <w:r>
        <w:rPr>
          <w:rFonts w:ascii="IRNazanin" w:hAnsi="IRNazanin" w:eastAsia="IRNazanin"/>
          <w:color w:val="111111"/>
          <w:sz w:val="28"/>
          <w:sz w:val="28"/>
          <w:szCs w:val="28"/>
          <w:rtl w:val="true"/>
          <w:lang w:bidi="fa-IR"/>
        </w:rPr>
        <w:t xml:space="preserve">او برای اثبات این مسأله به منابع و شیوه‌های نقلی استدلال نموده و پنداشته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نمونه به این حدیث استناد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فإنَّه یری بنور الله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و زیرکی مؤمن بپرهیزید که او با نور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پیامبر را به عنوان مصداق این حدیث نام می‌برد؛ زیرا او با فراست خود، منافقان را می‌شناخت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علمی است که حذیفه داشت؛ زیرا او علم و شناخت نسبت به منافقان را به خاطر شایستگیهایی که داشت، از پیامبر دریافت کرده بود، پس این علم،</w:t>
      </w:r>
    </w:p>
    <w:p>
      <w:pPr>
        <w:pStyle w:val="BookText"/>
        <w:rPr/>
      </w:pPr>
      <w:r>
        <w:rPr>
          <w:rFonts w:ascii="IRNazanin" w:hAnsi="IRNazanin" w:eastAsia="IRNazanin"/>
          <w:color w:val="111111"/>
          <w:sz w:val="28"/>
          <w:sz w:val="28"/>
          <w:szCs w:val="28"/>
          <w:rtl w:val="true"/>
          <w:lang w:bidi="fa-IR"/>
        </w:rPr>
        <w:t>موهبتی از سوی خداوند بود و با فراست فرق داشت، هر چند فراست نیز نوعی موهبت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اشتباه دیگر شوکانی این است که شیطان می‌تواند در کرامت، یا مکاشفه راه یابد و بر آن چیره شود و از آن جا که علم حضوری عطا شده به معصوم، از دسترس شیطان به دور است، پس علم معصوم، غیر از کرامت، یا مکاشفه‌ای است که در کلام شوکانی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خبرهای درست و مطابق با واقع از سوی کسانی که ولایت، یا کرامت دارند را نشانگر درستی و صحّت مکاشفه دانسته است، امّا این امر بعید است؛ زیرا علم حذیفه با علم دیگران تفاوت داشت؛ او منافقان را با مکاشفه نمی‌شناخت هر چند گفته‌های او درست و مطابق با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علم حضوری، یا مقداری از آن را دارد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امری ممکن الوقوع است و هیچ کس نمی‌تواند آن را انکار کند و از نمونه‌های آن، حذیفۀ بن یمان است که می‌توانست منافقان را بشناسد؛ بنابراین، هیچ کس نمی‌تواند مکاشفات درست و مطابق با واقعی که برای اولیای خدا رخ می‌دهد را انکار کند</w:t>
      </w:r>
      <w:r>
        <w:rPr>
          <w:rFonts w:eastAsia="IRNazanin" w:cs="IRNazanin"/>
          <w:color w:val="111111"/>
          <w:sz w:val="28"/>
          <w:szCs w:val="28"/>
          <w:rtl w:val="true"/>
          <w:lang w:bidi="fa-IR"/>
        </w:rPr>
        <w:t xml:space="preserve">». </w:t>
      </w:r>
      <w:r>
        <w:rPr>
          <w:rStyle w:val="FootnoteAnchor"/>
          <w:rtl w:val="true"/>
        </w:rPr>
        <w:footnoteReference w:id="150"/>
      </w:r>
      <w:bookmarkStart w:id="63" w:name="pg5124_35896"/>
    </w:p>
    <w:p>
      <w:pPr>
        <w:pStyle w:val="BookText"/>
        <w:rPr/>
      </w:pPr>
      <w:bookmarkEnd w:id="63"/>
      <w:r>
        <w:rPr>
          <w:rFonts w:ascii="IRNazanin" w:hAnsi="IRNazanin" w:eastAsia="IRNazanin"/>
          <w:color w:val="111111"/>
          <w:sz w:val="28"/>
          <w:sz w:val="28"/>
          <w:szCs w:val="28"/>
          <w:rtl w:val="true"/>
          <w:lang w:bidi="fa-IR"/>
        </w:rPr>
        <w:t>در این زمینه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و زیرکی مؤمن بپرهیزید که او با نور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این مکاشفات را به شرع، عرضه کنیم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شویم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گاهی شیطان، برخی از مردم که دارای درک و احساس قوی و عواطفی جوشان هستند را می‌فریبد و به انواع طالع بینیها و حرکتهای عجیب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احکام اسلامی،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نظر آنان اسرار و رموز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افراد، باطن و حقیقت آنان را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بسیاری از مردم را تباه و فاسد کرده و آنان را به کفر و ارتداد از اسلام، واداشته 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64" w:name="__RefHeading___Toc1630423_774463916"/>
      <w:bookmarkStart w:id="65" w:name="_Toc23"/>
      <w:bookmarkEnd w:id="64"/>
      <w:r>
        <w:rPr/>
        <w:t>2</w:t>
      </w:r>
      <w:r>
        <w:rPr>
          <w:rtl w:val="true"/>
        </w:rPr>
        <w:t xml:space="preserve">- </w:t>
      </w:r>
      <w:r>
        <w:rPr>
          <w:rtl w:val="true"/>
        </w:rPr>
        <w:t>نظر ابن تیمیّه</w:t>
      </w:r>
      <w:r>
        <w:rPr>
          <w:rtl w:val="true"/>
        </w:rPr>
        <w:t>:</w:t>
      </w:r>
      <w:bookmarkEnd w:id="65"/>
    </w:p>
    <w:p>
      <w:pPr>
        <w:pStyle w:val="BookText"/>
        <w:rPr/>
      </w:pPr>
      <w:r>
        <w:rPr>
          <w:rFonts w:ascii="IRNazanin" w:hAnsi="IRNazanin" w:eastAsia="IRNazanin"/>
          <w:color w:val="111111"/>
          <w:sz w:val="28"/>
          <w:sz w:val="28"/>
          <w:szCs w:val="28"/>
          <w:rtl w:val="true"/>
          <w:lang w:bidi="fa-IR"/>
        </w:rPr>
        <w:t>او کارهای خارق العاده را به چند دسته تقسیم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که از نوع علم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و کارهایی که از جنس قدرت و تسلّط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از بی نیازی و دارایی، سر چشمه می گیرد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ابن تیمیّه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او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آنچه خدا دوست دارد و می‌پسندد و باعث نزدیکی او به خدا و بالا رفتن مرتبۀ او می‌شود، استفاده کند، بر مقام نزدیکی او به خدا و رسول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در اموری که خدا و رسول از آنها نهی کرده‌اند مانند شرک و ستمگری و کارهای زشت، به کار گیرد، شایستۀ سرزنش و عقاب است، از این رو، در بسیاری از موارد، کسانی که توانایی کارهای خارق العاده را دارند، مجازات و عقاب می‌شوند؛ گاه به از دست دادن این توانایی، همچنان که پادشاهی از حکومت خود عزل می‌شود، یا عالمی، علم خود را از دست می‌دهد؛ گاهی نیز توفیق مستحبّات و کارهای نیک از او گرفته می‌شود و از ولایت خاصّه به ولایت عامّه منتقل می‌شود و گاه به مرتبۀ فاسقان سقوط می‌کند و گاهی نیز از اسلام بر می‌گردد و مرتد می‌شود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 بندی برای کارهای خارق العاده یا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کاملاً با آنچه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قایل است، مغایرت دارد؛ زیرا خداوند،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تقدیر الهی، شایستۀ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بردارندۀ علم حضوری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را از او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همچنین علم حضوری خدادادی را نمی‌توان بر خلاف ارادۀ الهی به کار بست؛ زیرا معصوم در اثر این علم، شایستۀ عصمت شده است و خداوند نیز این علم را به امامی که پیامبر منصوب کرده است، می‌بخشد تا نبوّت را تصدیق کند و دین او را اجرا نماید و مردم را به سوی آن رهنمون شود، پس گرفتن این علم از امام با غرض الهی که باید پس از پیامبر توسّط معصوم تحقّق یابد،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کلام ابن تیمیّه را این گونه معنا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نوع دیگری از امور خارق العاده است، نه علم خارق العادۀ خدادادی که بنابر نظر مکتب اهل‌بیت،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ابن ابی الحدید برای فهم موضوع و نزدیک کردن آن به ذهن گفته است، همۀ جوانب و تفاصیل مسأله را در بر ندارد و تنها به برطرف کردن تعارض بین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تَدْرِی نَفْسٌ مَّاذَا تَکْسِبُ غَدًا </w:t>
      </w:r>
      <w:r>
        <w:rPr>
          <w:rStyle w:val="FootnoteAnchor"/>
          <w:rtl w:val="true"/>
        </w:rPr>
        <w:footnoteReference w:id="155"/>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که فردا چه به دست می‌آورد</w:t>
      </w:r>
      <w:r>
        <w:rPr>
          <w:rFonts w:eastAsia="IRNazanin" w:cs="IRNazanin"/>
          <w:color w:val="111111"/>
          <w:sz w:val="28"/>
          <w:szCs w:val="28"/>
          <w:rtl w:val="true"/>
          <w:lang w:bidi="fa-IR"/>
        </w:rPr>
        <w:t>».</w:t>
      </w:r>
      <w:bookmarkStart w:id="66" w:name="pg5124_35902"/>
    </w:p>
    <w:p>
      <w:pPr>
        <w:pStyle w:val="BookText"/>
        <w:rPr/>
      </w:pPr>
      <w:bookmarkEnd w:id="66"/>
      <w:r>
        <w:rPr>
          <w:rFonts w:ascii="IRNazanin" w:hAnsi="IRNazanin" w:eastAsia="IRNazanin"/>
          <w:color w:val="111111"/>
          <w:sz w:val="28"/>
          <w:sz w:val="28"/>
          <w:szCs w:val="28"/>
          <w:rtl w:val="true"/>
          <w:lang w:bidi="fa-IR"/>
        </w:rPr>
        <w:t>و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مکّه و جنگ با ناکثان و مارقان بسنده کرده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حدّاکثر می‌تواند بر نفی علم به آنچه در آینده رخ می‌دهد، دلالت کند، امّا اگر این عمل از سوی خدا عطا شود، آیه آن را نفی نمی‌کند؛ زیرا این که خداوند، پیامبر خود را از آینده آگاه و با خبر سازد، امری امکان‌پذیراست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پرداختن به مسأله در این حد، مقصود و خواستۀ ما را برآورده نمی‌کند، امّا با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تعارضی ندارد</w:t>
      </w:r>
      <w:r>
        <w:rPr>
          <w:rFonts w:eastAsia="IRNazanin" w:cs="IRNazanin"/>
          <w:color w:val="111111"/>
          <w:sz w:val="28"/>
          <w:szCs w:val="28"/>
          <w:rtl w:val="true"/>
          <w:lang w:bidi="fa-IR"/>
        </w:rPr>
        <w:t>.</w:t>
      </w:r>
    </w:p>
    <w:p>
      <w:pPr>
        <w:pStyle w:val="Heading3"/>
        <w:numPr>
          <w:ilvl w:val="2"/>
          <w:numId w:val="1"/>
        </w:numPr>
        <w:rPr/>
      </w:pPr>
      <w:bookmarkStart w:id="67" w:name="__RefHeading___Toc1630425_774463916"/>
      <w:bookmarkStart w:id="68" w:name="_Toc24"/>
      <w:bookmarkEnd w:id="67"/>
      <w:r>
        <w:rPr/>
        <w:t>3</w:t>
      </w:r>
      <w:r>
        <w:rPr>
          <w:rtl w:val="true"/>
        </w:rPr>
        <w:t xml:space="preserve">- </w:t>
      </w:r>
      <w:r>
        <w:rPr>
          <w:rtl w:val="true"/>
        </w:rPr>
        <w:t>نظر ابن خلدون</w:t>
      </w:r>
      <w:r>
        <w:rPr>
          <w:rtl w:val="true"/>
        </w:rPr>
        <w:t>:</w:t>
      </w:r>
      <w:bookmarkEnd w:id="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مکاشفه و علم به غیب، مستلزم کسب علم، رفتار و کردار درست و مطابق با امر و نهی الهی نیست و از این رو، وی تأکید می‌کند که خداوند، این ولایت، مکاشفه و علم به غیب را به مردمانی نادان و احمق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بهلول صفت و کم خرد که به دیوانگان شبیه ترند تا به عاقلان و با این همه مقامات ولایت و حالات صدّیقان دربارۀ آنان، به صحّت پیوسته است و کسانی از اهل ذوق که با آنان تفاهم دارند، این گونه احوال را از ایشان در می‌یابند، با آن که آن گروه، محجورند و مکلّف نمی‌باشند و در عین حال، اخبار شگفت آوری دربارۀ مغیّباتی که</w:t>
      </w:r>
      <w:bookmarkStart w:id="69" w:name="pg5124_35904"/>
    </w:p>
    <w:p>
      <w:pPr>
        <w:pStyle w:val="BookText"/>
        <w:rPr/>
      </w:pPr>
      <w:bookmarkEnd w:id="69"/>
      <w:r>
        <w:rPr>
          <w:rFonts w:ascii="IRNazanin" w:hAnsi="IRNazanin" w:eastAsia="IRNazanin"/>
          <w:color w:val="111111"/>
          <w:sz w:val="28"/>
          <w:sz w:val="28"/>
          <w:szCs w:val="28"/>
          <w:rtl w:val="true"/>
          <w:lang w:bidi="fa-IR"/>
        </w:rPr>
        <w:t>برای آنان دست می‌دهد، نقل می‌کنند؛ چه آن گروه، به هیچ چیز مقیّد نیستند و از این رو، در این باره بی هیچ تکلّفی سخن می‌گویند و از شگفتیهایی خبر می‌دهند و چه بسا که فقیهان، منکر مقامات ایشان باشند؛ چه آنان را از تکلیف ساقط می‌یابند و معتقدند ولایت جز با عبادت میسّر نمی‌شود، ولی این پندار غلط است؛ زیرا خدا احسان و کرم خویش را به هر که بخواهد، ارزانی می‌فرماید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ابن خلدون، غیر از ولایت و علم معصوم است؛ زیرا علم خدادادی معصوم و رفتار و کردار او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پدید آمدن رفتار و کردار، علم و یقین به وجود شیء واحساس نیاز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نیست که رفتار انسان به علّت عدم علم پدید آید، یا این که با علم او مخالف باشد و الّا مانند کسی است که یقین دارد پشت سر او آب وجود دارد و با این که نیازمند به آب است، در غیر آن جهت، به دنبال آب می‌گردد</w:t>
      </w:r>
      <w:r>
        <w:rPr>
          <w:rFonts w:eastAsia="IRNazanin" w:cs="IRNazanin"/>
          <w:color w:val="111111"/>
          <w:sz w:val="28"/>
          <w:szCs w:val="28"/>
          <w:rtl w:val="true"/>
          <w:lang w:bidi="fa-IR"/>
        </w:rPr>
        <w:t>.</w:t>
      </w:r>
    </w:p>
    <w:p>
      <w:pPr>
        <w:pStyle w:val="Heading3"/>
        <w:numPr>
          <w:ilvl w:val="2"/>
          <w:numId w:val="1"/>
        </w:numPr>
        <w:rPr/>
      </w:pPr>
      <w:bookmarkStart w:id="70" w:name="__RefHeading___Toc1630427_774463916"/>
      <w:bookmarkStart w:id="71" w:name="_Toc25"/>
      <w:bookmarkEnd w:id="70"/>
      <w:r>
        <w:rPr/>
        <w:t>4</w:t>
      </w:r>
      <w:r>
        <w:rPr>
          <w:rtl w:val="true"/>
        </w:rPr>
        <w:t xml:space="preserve">- </w:t>
      </w:r>
      <w:r>
        <w:rPr>
          <w:rtl w:val="true"/>
        </w:rPr>
        <w:t>نظر فخر رازی</w:t>
      </w:r>
      <w:r>
        <w:rPr>
          <w:rtl w:val="true"/>
        </w:rPr>
        <w:t>:</w:t>
      </w:r>
      <w:bookmarkEnd w:id="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تفسیر خود، </w:t>
      </w:r>
      <w:r>
        <w:rPr>
          <w:rStyle w:val="FootnoteAnchor"/>
          <w:rtl w:val="true"/>
        </w:rPr>
        <w:footnoteReference w:id="158"/>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اثبات می‌کند، نه بیشتر، در حالی که ما می‌خواهیم علم خدادادی را به عنوان یک ویژگی لازم برای معصوم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w:t>
      </w:r>
    </w:p>
    <w:p>
      <w:pPr>
        <w:pStyle w:val="BookText"/>
        <w:rPr/>
      </w:pPr>
      <w:r>
        <w:rPr>
          <w:rFonts w:ascii="IRNazanin" w:hAnsi="IRNazanin" w:eastAsia="IRNazanin"/>
          <w:color w:val="111111"/>
          <w:sz w:val="28"/>
          <w:sz w:val="28"/>
          <w:szCs w:val="28"/>
          <w:rtl w:val="true"/>
          <w:lang w:bidi="fa-IR"/>
        </w:rPr>
        <w:t xml:space="preserve">می‌توانیم از مباحث فخر رازی استفاده کنیم، امکان کرامت برای غیر معصوم است و نیز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برای هیچ یک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مبنای فخر 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تعیین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این امر به نوبۀ خود،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 حضوری را نیز در بر دارد؛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نمی‌تواند راه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72" w:name="pg5124_35910"/>
    </w:p>
    <w:p>
      <w:pPr>
        <w:pStyle w:val="Heading2"/>
        <w:numPr>
          <w:ilvl w:val="1"/>
          <w:numId w:val="1"/>
        </w:numPr>
        <w:rPr/>
      </w:pPr>
      <w:bookmarkStart w:id="73" w:name="__RefHeading___Toc1630429_774463916"/>
      <w:bookmarkStart w:id="74" w:name="_Toc26"/>
      <w:bookmarkEnd w:id="72"/>
      <w:bookmarkEnd w:id="73"/>
      <w:r>
        <w:rPr>
          <w:rtl w:val="true"/>
        </w:rPr>
        <w:t xml:space="preserve">فصل ششم </w:t>
      </w:r>
      <w:r>
        <w:rPr>
          <w:rtl w:val="true"/>
        </w:rPr>
        <w:t xml:space="preserve">: </w:t>
      </w:r>
      <w:r>
        <w:rPr>
          <w:rtl w:val="true"/>
        </w:rPr>
        <w:t>تاریخچۀ بحث و گرایش های تحلیلی آن از دیدگاه امامیّه</w:t>
      </w:r>
      <w:bookmarkEnd w:id="74"/>
    </w:p>
    <w:p>
      <w:pPr>
        <w:pStyle w:val="Heading3"/>
        <w:numPr>
          <w:ilvl w:val="2"/>
          <w:numId w:val="1"/>
        </w:numPr>
        <w:rPr/>
      </w:pPr>
      <w:bookmarkStart w:id="75" w:name="__RefHeading___Toc1630431_774463916"/>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آگاه به همۀ نیازهای امّت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کاملترین مردم باشد تا شایستگی رهبری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دانا و آگاه باشد تا شایستۀ جانشینی پیامبر در امر رهبری و فرماندهی باشد و الگوی مردم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دایرۀ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فقط علم به احکام است؟ یا علم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جهان از جمله امور غیبی گذشته و آینده را نیز شامل می‌شود؟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بر این باورند که علم پیامبر و امامان، مطلق است و مختص، یا مقیّد به امر خاصّی نیست، مگر مواردی که دلایل قطعی بر بیرون بودن آنها از دایرۀ علم امام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باور امامیّه از چند جهت اعتراض و اشکال شده است که در این جا تنها به دو جهت آن می‌پردازیم؛ زیرا بحث و جدل در محافل امامیّه اطراف این دو محور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غیب آگاه بودند و ناگزیر باید اموری که به آنها ضرر و آسیب می‌رساند، بشناسند و از سویی، عقل و شرع حکم می‌کنند که باید از آنچه موجب ضرر و زیان می‌شود، اجتناب و دوری کرد، در حالی که می‌بینیم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اموری که موجب زیان و آزار آنان شده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آیه به این حقیقت تصریح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کُنتُ أَعْلَمُ الْغَیْبَ لاَسْتَکْثَرْتُ مِنَ الْخَیْرِ وَمَا مَسَّنِیَ السُّوءُ إِنْ أَنَاْ إِلاَّ نَذِیرٌ وَبَشِیرٌ لِّقَوْمٍ یُؤْمِنُونَ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قطعاً خیر بیشتری می‌اندوختم و هرگز به من آسیبی نمی‌رسید، من جز بیم دهنده و بشارت گر برای گروهی که ایمان می‌آورند، نیستم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ائمّه علم غیب داشتند به کارهایی که سرانجام به شهادت، یا فوت، یا آزار آنان می‌انجامید، اقدام نمی‌کردند؛ مثلاً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ابن ملجم با شمشیر به آن حضرت ضربه زد، به مسجد نمی‌رفت تا به شهادت برسد و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نمی‌رفت</w:t>
      </w:r>
    </w:p>
    <w:p>
      <w:pPr>
        <w:pStyle w:val="BookText"/>
        <w:rPr/>
      </w:pPr>
      <w:r>
        <w:rPr>
          <w:rFonts w:ascii="IRNazanin" w:hAnsi="IRNazanin" w:eastAsia="IRNazanin"/>
          <w:color w:val="111111"/>
          <w:sz w:val="28"/>
          <w:sz w:val="28"/>
          <w:szCs w:val="28"/>
          <w:rtl w:val="true"/>
          <w:lang w:bidi="fa-IR"/>
        </w:rPr>
        <w:t>تا کشته شود و خاندان او اسیر گردند و دارایی او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حوادث اگر با علم و آگاهی به آنان رخ داده باشد، از روشن‌ترین مصادیق به هلاکت افکندن خویش است که خداوند در قرآن کریم از آن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تُلْقُواْ بِأَیْدِیکُمْ إِلَی التَّهْلُکَةِ وَأَحْسِنُوَاْ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نیفکنید و نیکی کنید که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از زمانهای بسیار دور مطرح بوده است به طوری که حتّی بر خود ائمّه نیز عرضه شده و پس از آن، در قرنهای بعد، پی در پی دربارۀ آن بحث شده و پاسخهای متعدّدی به آن داده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یک تکلیف و وظیفۀ پنهان وجود داشته که امام را با وجود علم به سرنوشت خویش، به در افتادن در هلاکت فرا می‌خوانده است، در این صورت،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امامانی که علم غیب داشته‌اند، اقدامی بیهوده و بی فایده خواهد بود؛ زیرا امام در پیش روی خود، گزینه‌ای جز حرکت به سوی سرنوشت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کنیم که امام از سرنوشت خویش آگاه نبوده است، در این صورت قیام، یکی از گزینه‌های پیش روی آن حضرت بوده است و فرق بین این دو فرض،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تاریخچۀ مسأله و مبانی تحلیلی آن بپردازیم، باید مقدّمه‌ای را اثبات کنیم که بحث و جدل در این زمینه را از ریشه قطع می‌کند و آن 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بر عهدۀ کسی قرار گرفت، آن شخص ناگزیر می‌باید شرایط اساسی امامت را داشته باشد و از جملۀ این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اختیاری از گناه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باید به جزئیّات و تفاصیل احکام شرعی علم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کسی که امامت او مسلّم و ثابت و همۀ شرایط آن را دارا باشد، نمی‌توان دربارۀ او تصوّر کرد که کار حرامی انجام دهد و مثلاً خود را به هلاکت بیفکند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از آن نهی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 به کاری بیهوده بزند بلکه باید کارها و اقدامات او مشروع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نمی‌توان برای انکار علم غیب امام،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افکندن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کارهای بی فایده استناد کرد؛ زیرا بحث از علم امام به غیب، بعد از قبول امامت او مطرح می‌شود و با فرض امامت، امکان انجام حرام منتفی می‌شود؛ بدین معنا که کاری که امام انجام می‌دهد، حلال و مشروع است چه علم غیب بداند یا نداند،</w:t>
      </w:r>
      <w:bookmarkStart w:id="77" w:name="pg5124_35917"/>
    </w:p>
    <w:p>
      <w:pPr>
        <w:pStyle w:val="BookText"/>
        <w:rPr/>
      </w:pPr>
      <w:bookmarkEnd w:id="77"/>
      <w:r>
        <w:rPr>
          <w:rFonts w:ascii="IRNazanin" w:hAnsi="IRNazanin" w:eastAsia="IRNazanin"/>
          <w:color w:val="111111"/>
          <w:sz w:val="28"/>
          <w:sz w:val="28"/>
          <w:szCs w:val="28"/>
          <w:rtl w:val="true"/>
          <w:lang w:bidi="fa-IR"/>
        </w:rPr>
        <w:t>پس نمی‌توان به خاطر حرام بودن به هلاکت افکندن خویش و نیز اقدام به کار بیهوده و بی فایده، علم غیب را از امام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نتیجه می‌رسیم که با توجّه به حقّانیّت امامت که در کتابهای کلامی و مباحث امامت اثبات شده است، این دو اشکال برای کسی که به شرایط امامت معتقد باشد، پیش نمی‌آید و آن دسته از اشکالاتی که در این زمینه در میراث ما مطرح می‌شود، فرضهایی است که برای دفع شبهه‌های مخالفان و پاسخ به اشکالاتشان در نظر گرفته می‌شود</w:t>
      </w:r>
      <w:r>
        <w:rPr>
          <w:rFonts w:eastAsia="IRNazanin" w:cs="IRNazanin"/>
          <w:color w:val="111111"/>
          <w:sz w:val="28"/>
          <w:szCs w:val="28"/>
          <w:rtl w:val="true"/>
          <w:lang w:bidi="fa-IR"/>
        </w:rPr>
        <w:t>.</w:t>
      </w:r>
    </w:p>
    <w:p>
      <w:pPr>
        <w:pStyle w:val="Heading3"/>
        <w:numPr>
          <w:ilvl w:val="2"/>
          <w:numId w:val="1"/>
        </w:numPr>
        <w:rPr/>
      </w:pPr>
      <w:bookmarkStart w:id="78" w:name="__RefHeading___Toc1630433_774463916"/>
      <w:bookmarkStart w:id="79" w:name="_Toc28"/>
      <w:bookmarkEnd w:id="78"/>
      <w:r>
        <w:rPr>
          <w:rtl w:val="true"/>
        </w:rPr>
        <w:t>مراحل بحث پیرامون علم غیب ائمّه</w:t>
      </w:r>
      <w:r>
        <w:rPr>
          <w:rtl w:val="true"/>
        </w:rPr>
        <w:t>(</w:t>
      </w:r>
      <w:r>
        <w:rPr>
          <w:rtl w:val="true"/>
        </w:rPr>
        <w:t>علیهم السّلام</w:t>
      </w:r>
      <w:r>
        <w:rPr>
          <w:rtl w:val="true"/>
        </w:rPr>
        <w:t>)</w:t>
      </w:r>
      <w:bookmarkEnd w:id="79"/>
    </w:p>
    <w:p>
      <w:pPr>
        <w:pStyle w:val="Heading4"/>
        <w:numPr>
          <w:ilvl w:val="3"/>
          <w:numId w:val="1"/>
        </w:numPr>
        <w:rPr/>
      </w:pPr>
      <w:bookmarkStart w:id="80" w:name="__RefHeading___Toc1630435_774463916"/>
      <w:bookmarkStart w:id="81" w:name="_Toc29"/>
      <w:bookmarkEnd w:id="80"/>
      <w:r>
        <w:rPr>
          <w:rtl w:val="true"/>
        </w:rPr>
        <w:t>مرحلۀ نخست</w:t>
      </w:r>
      <w:r>
        <w:rPr>
          <w:rtl w:val="true"/>
        </w:rPr>
        <w:t xml:space="preserve">: </w:t>
      </w:r>
      <w:r>
        <w:rPr>
          <w:rtl w:val="true"/>
        </w:rPr>
        <w:t>در عصر امامان</w:t>
      </w:r>
      <w:r>
        <w:rPr>
          <w:rtl w:val="true"/>
        </w:rPr>
        <w:t>(</w:t>
      </w:r>
      <w:r>
        <w:rPr>
          <w:rtl w:val="true"/>
        </w:rPr>
        <w:t>علیهم السّلام</w:t>
      </w:r>
      <w:r>
        <w:rPr>
          <w:rtl w:val="true"/>
        </w:rPr>
        <w:t>)</w:t>
      </w:r>
      <w:bookmarkEnd w:id="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پدیدۀ اعتقادی و عملی در محافل شیعیان امامیّه شکل گرفت و از سوی شیعیان، مورد بحث و جدل و پرسش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احادیثی که در کتابهای حدیثی گرد آمده است، با تأمّل بنگرد، در می‌یابد که این احادیث، بیانگر اهمّیّت بالای این موضوع نزد ائمّه است، همچنین در می‌یابد که این مسأله از جنبۀ تربیتی برای مردم لازم و ضروری است و برای برخورد آگاهانه با آن باید درک و شناخت کاملی از مفهوم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پاسخهای ائمّه دربارۀ این موضوع، دارای جنبه‌های گوناگون بوده و در عین حال، ابهامات موجود در این زمینه را برطرف نموده است تا از انحراف و لغزش در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احادیث مربوط به این موضوع رابررسی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خویش را می‌شناخت و از مکان و شبی که در آن به شهادت رسید، آگاه بود، علاوه بر آن، هنگامی که فریاد غازهای خانه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فریادهایی که شیون و زاری به دنبال دارد و وقتی امّ کلثوم از آن حضرت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خانه نماز بخوانید و به شخص دیگری فرمان دهید نماز جماعت را برگزار کند، حضرت نپذیرفت و در آن شب، چندین بار بدون اسلحه از خانه بیرون رفت و همچنین می‌دانست که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با شمشیر خواهد کشت، با توجّه به این امور، جایز نبود امام خود را در معرض خطر قرار دهد؟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امور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امام به علم غیب از شهادت خویش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شب، ایشان مخیّر شد تا تقدیر خداوند را رقم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این حدیث چند نکته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از زمان خود ائمّه و در سطح بالایی مطرح بوده است؛ زیرا یکی از راویان بزرگ از آن سؤال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بن بکیر بن اعین، ابومحمّد زراری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نقل کرده و برخی از بزرگان شیعه نیز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رجالی، به توثیق او تصریح شده و کتاب معروفی دارد که در کتابهای فهارس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کتب اربعه روایات بسیاری از او نقل شده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او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خاندانی که پایبندی آن به مذهب تشیّع،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از زمان شهادت خویش و نیز سخنان و کارهایی که در روایت ذکر شده نشانۀ این است که امام، شهادت را انتخاب نموده و به آن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عصر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مسلّم و مشهور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اقدام امام به این امور چیست؟ و با توجّه به این که امام می‌دانستند این امور به قتل ایشان می‌انجامد، چگونه جایز است خود را در معرض آنها قرار دهند؟ این سؤال در واقع همان اشکال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تأییدی بود بر همۀ سخنان و کارهایی که سؤال کننده بر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و انکار امام نسبت به این امور، نشانۀ این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سؤال کننده دربارۀ علم امام به زمان قتل خویش،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اقدام امام را توجیه نمودند و به اصل علم غیب داشتن امام اعتراض نکردند، نشانۀ قبول این اصل از سوی ایشان است، پس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آشکارا بیانگر آن است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مرگ، حق انتخاب داده شده بود و ایشان نیز کشته شدن را برگزید تا امور بر طبق تقدیرات تعیین شده در غیب، پیش رود ، این امر نشانۀ تسلیم بودن امام در برابر ارادۀ خدا و تن دادن به تقدیر او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و مناسب‌ترین معنا برای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نسخه‌ای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نوشته شده و علامۀ مجلسی آن را نقل نموده معنا چنین است که زمان و هنگام قتل امام بر اساس مقدّرات حتمی الهی تعیین شده بود؛ بنابراین، حدیث مزبور فقط بر علم امام به زمان قتل و نیز بر مبادرت به آن و عدم خودداری از آن دلالت</w:t>
      </w:r>
    </w:p>
    <w:p>
      <w:pPr>
        <w:pStyle w:val="BookText"/>
        <w:rPr/>
      </w:pPr>
      <w:r>
        <w:rPr>
          <w:rFonts w:ascii="IRNazanin" w:hAnsi="IRNazanin" w:eastAsia="IRNazanin"/>
          <w:color w:val="111111"/>
          <w:sz w:val="28"/>
          <w:sz w:val="28"/>
          <w:szCs w:val="28"/>
          <w:rtl w:val="true"/>
          <w:lang w:bidi="fa-IR"/>
        </w:rPr>
        <w:t xml:space="preserve">می‌کند و همچنین از حدیث فهمیده می‌شود که امام بر طبق تقدیر و در راستای آن، عمل کرده است، امّا بنابر نسخه‌ای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آمده است، هیچ معنایی نمی‌توان در نظر گرفت؛ زیرا سرگردانی امام نمی‌تواند توجیهی برای اقدام آگاهانه به قتل خویش به حساب آید بلکه آن را نقض می‌کند و علاوه بر آن، با عنوان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ندارد؛ بنابراین، احتمال آن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نسخه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این صورت، تن دادن به تقدیر و عمل کردن به آن از سوی امام، به علّت باخبر ساختن و آگاه کردن امام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را از زمان شهادت آگاه کردند تا به تقدیر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نیز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بهترین و مناسب ترین معنا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آن گذشت و بنابر آن، دلالت حدیث بر آگاه بودن امام از زمان شهادت و نیز انتخاب آن، کاملاً روشن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افکندن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موت و قتل خویش را به گونه‌ای که مقدّر شده بود، انتخاب کرد تا اطاعت خود از ارادۀ خدا و عشق و شوق به او و لقای او و نیز فانی شدن در او را آشکار کند و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خشنودی تو خشنودیم و در برابر فرمان تو تسلیم هستیم، معبودی جز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خبر داد که مسموم شده است و فردا در حال احتضار خواهد بود و پس فردا به شهادت خواهد رسید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دلالت این روایت بر آگاهی امام از زمان موت خویش،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نزد پدرم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 است که من از دنیا می‌روم و در همین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دلالت این حدیث نیز بر آگاهی امام از شب وفات خویش،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به او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ماست برای تو بهتر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روشن است که این سخن، امام را به آنچه نزد پیامبر است، فرا می‌خواند که کنایۀ آشکاری از مرگ است و خود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بودن این سخن را به آشکار بودن وجود مارها در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سفارش کرد که اعمالی را در هنگام غسل و کفن و در قبر گذاشتن او انجام دهم، در حالی که هیچ نشانه‌ای از موت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پشت دیوار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عجله کن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حدیث نیز مانند حدیث قبل بر دعوت به سرای دیگر، دلالت می‌کند و در این جا قرینه روشن‌تر است؛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وصیّت به اعمال غسل و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دو حدیث بر مختار بودن امام و داشتن حقّ انتخاب واضح است؛ زیرا صرف دعوت شدن، هیچ اجباری در اطاعت کردن و امتثال به دنبال ندارد بلکه متوقّف بر پذیرفتن اختیاری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پیروزی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به گونه‌ای که بین آسمان و زمین قرار داشت و آنگاه به او اختیار داد</w:t>
      </w:r>
      <w:bookmarkStart w:id="82" w:name="pg5124_35933"/>
    </w:p>
    <w:p>
      <w:pPr>
        <w:pStyle w:val="BookText"/>
        <w:rPr/>
      </w:pPr>
      <w:bookmarkEnd w:id="82"/>
      <w:r>
        <w:rPr>
          <w:rFonts w:ascii="IRNazanin" w:hAnsi="IRNazanin" w:eastAsia="IRNazanin"/>
          <w:color w:val="111111"/>
          <w:sz w:val="28"/>
          <w:sz w:val="28"/>
          <w:szCs w:val="28"/>
          <w:rtl w:val="true"/>
          <w:lang w:bidi="fa-IR"/>
        </w:rPr>
        <w:t>تا پیروزی، یا لقای خداوند را برگزیند و او لقای خداوند را برگزید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حدیث، آشکارا دلالت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 و خودش لقای خداوند را انتخاب کرد</w:t>
      </w:r>
      <w:r>
        <w:rPr>
          <w:rFonts w:eastAsia="IRNazanin" w:cs="IRNazanin"/>
          <w:color w:val="111111"/>
          <w:sz w:val="28"/>
          <w:szCs w:val="28"/>
          <w:rtl w:val="true"/>
          <w:lang w:bidi="fa-IR"/>
        </w:rPr>
        <w:t>.</w:t>
      </w:r>
    </w:p>
    <w:p>
      <w:pPr>
        <w:pStyle w:val="Heading4"/>
        <w:numPr>
          <w:ilvl w:val="3"/>
          <w:numId w:val="1"/>
        </w:numPr>
        <w:rPr/>
      </w:pPr>
      <w:bookmarkStart w:id="83" w:name="__RefHeading___Toc1630437_774463916"/>
      <w:bookmarkStart w:id="84" w:name="_Toc30"/>
      <w:bookmarkEnd w:id="83"/>
      <w:r>
        <w:rPr>
          <w:rtl w:val="true"/>
        </w:rPr>
        <w:t>مرحلۀ دوّم</w:t>
      </w:r>
      <w:r>
        <w:rPr>
          <w:rtl w:val="true"/>
        </w:rPr>
        <w:t xml:space="preserve">: </w:t>
      </w:r>
      <w:r>
        <w:rPr>
          <w:rtl w:val="true"/>
        </w:rPr>
        <w:t>دوران پس از غیبت معصوم</w:t>
      </w:r>
      <w:r>
        <w:rPr>
          <w:rtl w:val="true"/>
        </w:rPr>
        <w:t>(</w:t>
      </w:r>
      <w:r>
        <w:rPr>
          <w:rtl w:val="true"/>
        </w:rPr>
        <w:t>علیه السلام</w:t>
      </w:r>
      <w:r>
        <w:rPr>
          <w:rtl w:val="true"/>
        </w:rPr>
        <w:t>)</w:t>
      </w:r>
      <w:bookmarkEnd w:id="84"/>
    </w:p>
    <w:p>
      <w:pPr>
        <w:pStyle w:val="Heading5"/>
        <w:numPr>
          <w:ilvl w:val="4"/>
          <w:numId w:val="1"/>
        </w:numPr>
        <w:rPr/>
      </w:pPr>
      <w:bookmarkStart w:id="85" w:name="__RefHeading___Toc1630439_774463916"/>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ابتدا آرای برخی از علمای پیشین که به این مسأله پرداخته‌اند را ارائه می‌کنیم</w:t>
      </w:r>
      <w:r>
        <w:rPr>
          <w:rFonts w:eastAsia="IRNazanin" w:cs="IRNazanin"/>
          <w:color w:val="111111"/>
          <w:sz w:val="28"/>
          <w:szCs w:val="28"/>
          <w:rtl w:val="true"/>
          <w:lang w:bidi="fa-IR"/>
        </w:rPr>
        <w:t>:</w:t>
      </w:r>
    </w:p>
    <w:p>
      <w:pPr>
        <w:pStyle w:val="Heading5"/>
        <w:numPr>
          <w:ilvl w:val="4"/>
          <w:numId w:val="1"/>
        </w:numPr>
        <w:rPr/>
      </w:pPr>
      <w:bookmarkStart w:id="87" w:name="__RefHeading___Toc1630441_774463916"/>
      <w:bookmarkStart w:id="88" w:name="_Toc32"/>
      <w:bookmarkEnd w:id="87"/>
      <w:r>
        <w:rPr/>
        <w:t>1</w:t>
      </w:r>
      <w:r>
        <w:rPr>
          <w:rtl w:val="true"/>
        </w:rPr>
        <w:t xml:space="preserve">- </w:t>
      </w:r>
      <w:r>
        <w:rPr>
          <w:rtl w:val="true"/>
        </w:rPr>
        <w:t>شیخ مفید</w:t>
      </w:r>
      <w:bookmarkEnd w:id="88"/>
    </w:p>
    <w:p>
      <w:pPr>
        <w:pStyle w:val="BookText"/>
        <w:rPr/>
      </w:pPr>
      <w:r>
        <w:rPr>
          <w:rFonts w:ascii="IRNazanin" w:hAnsi="IRNazanin" w:eastAsia="IRNazanin"/>
          <w:color w:val="111111"/>
          <w:sz w:val="28"/>
          <w:sz w:val="28"/>
          <w:szCs w:val="28"/>
          <w:rtl w:val="true"/>
          <w:lang w:bidi="fa-IR"/>
        </w:rPr>
        <w:t>ایشان معتقد است که ائمّه علم غیب دارند، امّا صفت ذاتی آنان نیست و وجوب عقلی ندارد بلکه کرامتی است که خداوند به ایشان داده و در ادلّۀ نقلی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عقیده را به همۀ پیروان مذهب امامیّه نسبت داده و تنها</w:t>
      </w:r>
    </w:p>
    <w:p>
      <w:pPr>
        <w:pStyle w:val="BookText"/>
        <w:rPr/>
      </w:pPr>
      <w:r>
        <w:rPr>
          <w:rFonts w:ascii="IRNazanin" w:hAnsi="IRNazanin" w:eastAsia="IRNazanin"/>
          <w:color w:val="111111"/>
          <w:sz w:val="28"/>
          <w:sz w:val="28"/>
          <w:szCs w:val="28"/>
          <w:rtl w:val="true"/>
          <w:lang w:bidi="fa-IR"/>
        </w:rPr>
        <w:t>افراد معدودی از غلات را از آن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ما فی الضمیر برخی مردم آگاه بودند و اموری را پیش از آن که رخ دهد، می دانستند، امّا این علم و آگاهی، جزو ویژگیهای لازم آنان و از شرایط امامتشان به حساب نمی‌آید بلکه</w:t>
      </w:r>
    </w:p>
    <w:p>
      <w:pPr>
        <w:pStyle w:val="BookText"/>
        <w:rPr/>
      </w:pPr>
      <w:r>
        <w:rPr>
          <w:rFonts w:ascii="IRNazanin" w:hAnsi="IRNazanin" w:eastAsia="IRNazanin"/>
          <w:color w:val="111111"/>
          <w:sz w:val="28"/>
          <w:sz w:val="28"/>
          <w:szCs w:val="28"/>
          <w:rtl w:val="true"/>
          <w:lang w:bidi="fa-IR"/>
        </w:rPr>
        <w:t>خداوند بدین وسیله آنان را گرامی داشته و به آنان این علم را بخشیده است تا مردم از آنان اطاعت کنند و به امامت آنان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از راه عقل به دست نیاورده‌ایم بلکه از راه نقلی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مطلق دارند و از همه چیز آگاهند، قولی است که بطلان و نادرستی آن آشکار است؛ زیرا چنین علمی، تنها شایستۀ کسی است که خودش مستقلاً به اشیاء علم داشته باشد، نه این که از علم دیگران بهره ببرد و این ویژگی مختص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پیروان مذهب امامیّه بر این عقیده‌اند، مگر گروه هایی که از آنان جدا و منحرف شده‌اند؛ مانند مفوّضه </w:t>
      </w:r>
      <w:r>
        <w:rPr>
          <w:rStyle w:val="FootnoteAnchor"/>
          <w:rtl w:val="true"/>
        </w:rPr>
        <w:footnoteReference w:id="170"/>
      </w:r>
      <w:r>
        <w:rPr>
          <w:rFonts w:ascii="IRNazanin" w:hAnsi="IRNazanin" w:eastAsia="IRNazanin"/>
          <w:color w:val="111111"/>
          <w:sz w:val="28"/>
          <w:sz w:val="28"/>
          <w:szCs w:val="28"/>
          <w:rtl w:val="true"/>
          <w:lang w:bidi="fa-IR"/>
        </w:rPr>
        <w:t xml:space="preserve">و غلات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الارشاد، برخی از روایات را در زمینۀ خبر دادن ائمّه چه از زمان گذشته و چه آینده و حتّی از آنچه مخاطبان در</w:t>
      </w:r>
    </w:p>
    <w:p>
      <w:pPr>
        <w:pStyle w:val="BookText"/>
        <w:rPr/>
      </w:pPr>
      <w:r>
        <w:rPr>
          <w:rFonts w:ascii="IRNazanin" w:hAnsi="IRNazanin" w:eastAsia="IRNazanin"/>
          <w:color w:val="111111"/>
          <w:sz w:val="28"/>
          <w:sz w:val="28"/>
          <w:szCs w:val="28"/>
          <w:rtl w:val="true"/>
          <w:lang w:bidi="fa-IR"/>
        </w:rPr>
        <w:t>درون خود پنهان می‌دارند،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فصلی که به احوال هر یک از ائمّه اختصاص دارد، برای دلالت بر امامت ایشان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شیخ مفید، این سؤال برایشان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ما امام می‌داند چه اتّفاقی خواهد افتاد، پس چرا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می‌دانست کشته خواهد شد و قاتل خود را می‌شناخت و از زمان قتل نیز آگاه بود، به مسجد رفت؟</w:t>
      </w:r>
    </w:p>
    <w:p>
      <w:pPr>
        <w:pStyle w:val="BookText"/>
        <w:rPr/>
      </w:pPr>
      <w:r>
        <w:rPr>
          <w:rFonts w:ascii="IRNazanin" w:hAnsi="IRNazanin" w:eastAsia="IRNazanin"/>
          <w:color w:val="111111"/>
          <w:sz w:val="28"/>
          <w:sz w:val="28"/>
          <w:szCs w:val="28"/>
          <w:rtl w:val="true"/>
          <w:lang w:bidi="fa-IR"/>
        </w:rPr>
        <w:t>چرا امام حسین روانۀ کوفه شد؟ در حالی که می‌دانست آنان او را وا می گذارند و یاری نمی‌کنند و در آن سفر کشته خواهد شد؟ چرا هنگامی که در محاصرۀ دشمنان بود و می‌دانست که اگر فقط چند ذراع زمین را حفر کند، به آب می‌رسد، امّا حفر نکرد و بر خود سخت گرفت تا این که از تشنگی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سازش کرد در حالی که می‌دانست او پیمان شکنی می‌کند و وفادار نمی‌ماند و شیعیان پدرش را می‌کشد؟</w:t>
      </w:r>
    </w:p>
    <w:p>
      <w:pPr>
        <w:pStyle w:val="BookText"/>
        <w:rPr/>
      </w:pPr>
      <w:r>
        <w:rPr>
          <w:rFonts w:ascii="IRNazanin" w:hAnsi="IRNazanin" w:eastAsia="IRNazanin"/>
          <w:color w:val="111111"/>
          <w:sz w:val="28"/>
          <w:sz w:val="28"/>
          <w:szCs w:val="28"/>
          <w:rtl w:val="true"/>
          <w:lang w:bidi="fa-IR"/>
        </w:rPr>
        <w:t>ایشان در جواب سؤال فوق 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اجماع دارند که امام هر آنچه اتّفاق خواهد افتاد می‌داند، بر خلاف واقع است و شیعه هرگز بر این قول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آنان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حکم هر آنچه اتّفاق می‌افتد، می‌داند نه این که به خود آنچه رخ می‌دهد، به طور تفصیلی و دقیق، عالم و آگاه</w:t>
      </w:r>
      <w:bookmarkStart w:id="89" w:name="pg5124_35939"/>
    </w:p>
    <w:p>
      <w:pPr>
        <w:pStyle w:val="BookText"/>
        <w:rPr/>
      </w:pPr>
      <w:bookmarkEnd w:id="8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فرضی که همۀ سؤالات فوق بر آن مبتنی بود،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انکار نمی‌کنیم که ممکن است خداوند علم به خود حوادث را نیز به امام عطا کند، امّا قایل نیستیم که امام از آنچه اتّفاق می‌افتد، به طور مطلق آگاه است؛ زیرا دلیل و حجّتی بر این قول نداریم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بنابراین جواب، شیخ مفید تا زمانی که این علم از سوی خداوند به امام افاضه نشود، بین علم به احکام و علم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اشیاء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درست است که امام بر همۀ آنچه اتّفاق می‌افتد، به طور مطلق، علم ندارد</w:t>
      </w:r>
      <w:r>
        <w:rPr>
          <w:rFonts w:eastAsia="IRNazanin" w:cs="IRNazanin"/>
          <w:color w:val="111111"/>
          <w:sz w:val="28"/>
          <w:szCs w:val="28"/>
          <w:rtl w:val="true"/>
          <w:lang w:bidi="fa-IR"/>
        </w:rPr>
        <w:t>.</w:t>
      </w:r>
    </w:p>
    <w:p>
      <w:pPr>
        <w:pStyle w:val="Heading5"/>
        <w:numPr>
          <w:ilvl w:val="4"/>
          <w:numId w:val="1"/>
        </w:numPr>
        <w:rPr/>
      </w:pPr>
      <w:bookmarkStart w:id="90" w:name="__RefHeading___Toc1630443_774463916"/>
      <w:bookmarkStart w:id="91" w:name="_Toc33"/>
      <w:bookmarkEnd w:id="90"/>
      <w:r>
        <w:rPr/>
        <w:t>2</w:t>
      </w:r>
      <w:r>
        <w:rPr>
          <w:rtl w:val="true"/>
        </w:rPr>
        <w:t xml:space="preserve">- </w:t>
      </w:r>
      <w:r>
        <w:rPr>
          <w:rtl w:val="true"/>
        </w:rPr>
        <w:t>شیخ طوسی</w:t>
      </w:r>
      <w:bookmarkEnd w:id="91"/>
    </w:p>
    <w:p>
      <w:pPr>
        <w:pStyle w:val="BookText"/>
        <w:rPr/>
      </w:pPr>
      <w:r>
        <w:rPr>
          <w:rFonts w:ascii="IRNazanin" w:hAnsi="IRNazanin" w:eastAsia="IRNazanin"/>
          <w:color w:val="111111"/>
          <w:sz w:val="28"/>
          <w:sz w:val="28"/>
          <w:szCs w:val="28"/>
          <w:rtl w:val="true"/>
          <w:lang w:bidi="fa-IR"/>
        </w:rPr>
        <w:t>نظر شیخ طوسی در این مسأله نیز از پاسخی که به این سؤال داده 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فرض شده است که ائمّه علم غیب دارند و 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خویش در آن شب آگاه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خویش را می‌دانست، امّا به هر دو، امر شده بود که در برابر آن بردبار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بزرگان ما در این مسأله اختلاف دارند؛ برخی از آنان </w:t>
      </w:r>
      <w:r>
        <w:rPr>
          <w:rStyle w:val="FootnoteAnchor"/>
          <w:rtl w:val="true"/>
        </w:rPr>
        <w:footnoteReference w:id="173"/>
      </w:r>
      <w:r>
        <w:rPr>
          <w:rFonts w:ascii="IRNazanin" w:hAnsi="IRNazanin" w:eastAsia="IRNazanin"/>
          <w:color w:val="111111"/>
          <w:sz w:val="28"/>
          <w:sz w:val="28"/>
          <w:szCs w:val="28"/>
          <w:rtl w:val="true"/>
          <w:lang w:bidi="fa-IR"/>
        </w:rPr>
        <w:t>این امر را ممکن و جایز شمرده‌اند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ایشان تعبّداً و از روی بندگی این مصیبتها را تحمّل کرده باشند؛ زیرا قتلهایی که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زشت و ناپسند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تحمّل آن خوب است و ثواب بسیاری دارد و چه بسا بالاتر از این حد باشد؛ زیرا بردباری و تحمّل، با وجود علم به کشته شدن، دشوارتر و سخت‌تر از جایی است که احتمال پیروزی و رسیدن به هدف،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نیست؛ زیرا دور کردن ضرر و زیان از خود عقلاً و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تعبّداً و از روی بندگی، یک امر ناپسند، تحمّل شود؛ زیرا کار پسندیده تعبّداً تحمّل می‌شود و بدون شک قتلهایی که اتّفاق افتاده زشت و ناپسند و بلکه زشت‌ترین زشتها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روایاتی که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آگاهی از قتل خویش رسیده است، چنین توجیه می‌کنند که آن حضرت به</w:t>
      </w:r>
    </w:p>
    <w:p>
      <w:pPr>
        <w:pStyle w:val="BookText"/>
        <w:rPr/>
      </w:pPr>
      <w:r>
        <w:rPr>
          <w:rFonts w:ascii="IRNazanin" w:hAnsi="IRNazanin" w:eastAsia="IRNazanin"/>
          <w:color w:val="111111"/>
          <w:sz w:val="28"/>
          <w:sz w:val="28"/>
          <w:szCs w:val="28"/>
          <w:rtl w:val="true"/>
          <w:lang w:bidi="fa-IR"/>
        </w:rPr>
        <w:t>طور اجمالی علم داشته و زمان دقیق آن را نمی‌دانسته است و به همین ترتیب، شبی که در آن به شهادت رسید را می‌دانسته امّا لحظه‌ای که قتل در آن رخ داد،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پذیرفته است، امّا به نظر من این مسأله جای بحث و مناقشه 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شیخ طوسی، آرای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علم غیب امامان را در دو قول منحصر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قول، در اصلِ علم غیب داشتن ائمّه اختلاف ندارند بلکه از این نظر که آیا آنان زمان قتل را به طور دقیق می‌دانسته‌اند، یا به طور اجمالی؟ اختلاف دارند و دربارۀ علم تفصیلی به غیر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که این اتّفاق نظر اقتضا می‌کند امام عالم به احکام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قول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سیّد مرتضی نسبت داده است و بنابراین قول، سیّد مرتضی در زمینۀ علم امام به اموری غیر از زمان قتل و از جمله علم به احکام، با مذهب شیعه مخالف نیست</w:t>
      </w:r>
      <w:r>
        <w:rPr>
          <w:rFonts w:eastAsia="IRNazanin" w:cs="IRNazanin"/>
          <w:color w:val="111111"/>
          <w:sz w:val="28"/>
          <w:szCs w:val="28"/>
          <w:rtl w:val="true"/>
          <w:lang w:bidi="fa-IR"/>
        </w:rPr>
        <w:t>.</w:t>
      </w:r>
      <w:bookmarkStart w:id="92" w:name="pg5124_35945"/>
    </w:p>
    <w:p>
      <w:pPr>
        <w:pStyle w:val="Heading5"/>
        <w:numPr>
          <w:ilvl w:val="4"/>
          <w:numId w:val="1"/>
        </w:numPr>
        <w:rPr/>
      </w:pPr>
      <w:bookmarkStart w:id="93" w:name="__RefHeading___Toc1630445_774463916"/>
      <w:bookmarkStart w:id="94" w:name="_Toc34"/>
      <w:bookmarkEnd w:id="92"/>
      <w:bookmarkEnd w:id="93"/>
      <w:r>
        <w:rPr/>
        <w:t>3</w:t>
      </w:r>
      <w:r>
        <w:rPr>
          <w:rtl w:val="true"/>
        </w:rPr>
        <w:t xml:space="preserve">- </w:t>
      </w:r>
      <w:r>
        <w:rPr>
          <w:rtl w:val="true"/>
        </w:rPr>
        <w:t>علامۀ حلّی</w:t>
      </w:r>
      <w:bookmarkEnd w:id="94"/>
    </w:p>
    <w:p>
      <w:pPr>
        <w:pStyle w:val="BookText"/>
        <w:rPr/>
      </w:pPr>
      <w:r>
        <w:rPr>
          <w:rFonts w:ascii="IRNazanin" w:hAnsi="IRNazanin" w:eastAsia="IRNazanin"/>
          <w:color w:val="111111"/>
          <w:sz w:val="28"/>
          <w:sz w:val="28"/>
          <w:szCs w:val="28"/>
          <w:rtl w:val="true"/>
          <w:lang w:bidi="fa-IR"/>
        </w:rPr>
        <w:t>ایشان در پاسخ به سؤال مزبور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وقوع قتل و نیز شب قتل خبر داده و از زمان دقیق آن و یا از امکان آن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تکلیف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تکلیف ما تفاوت دارد؛ یعنی جایز است امام مکلّف شود که خون شریفش را در راه خداوند متعال بدهد، همان گونه که بر یک رزمندۀ مجاهد نیز استقامت و پایداری واجب است، هر چند به کشته شدن او بینجامد و به خاطر آن سرزنش‌نشود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ظاهراً علامه در پاسخ به این سؤال، چنین در نظر گرفته است که القای این شبهه از سوی کسانی که به امامت و ضروریّات آن معتقدند نیست بلکه از طرف یکی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که به امامت امام اعتقاد ندارد و به شرایط معروف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پایبند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بخواهیم او را به پذیرفتن علم امام و نیز تصدیق روایاتی که بیانگر آگاهی امام از کشته شدن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آنها را انکار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واداریم، ناگزیر باید سؤال را به یکی از صورتهایی که علّامه ذکر کرده است، پاسخ دهیم؛ یعنی یا این که خبر داربودن امام را محدود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از</w:t>
      </w:r>
      <w:bookmarkStart w:id="95" w:name="pg5124_35947"/>
    </w:p>
    <w:p>
      <w:pPr>
        <w:pStyle w:val="BookText"/>
        <w:rPr/>
      </w:pPr>
      <w:bookmarkEnd w:id="95"/>
      <w:r>
        <w:rPr>
          <w:rFonts w:ascii="IRNazanin" w:hAnsi="IRNazanin" w:eastAsia="IRNazanin"/>
          <w:color w:val="111111"/>
          <w:sz w:val="28"/>
          <w:sz w:val="28"/>
          <w:szCs w:val="28"/>
          <w:rtl w:val="true"/>
          <w:lang w:bidi="fa-IR"/>
        </w:rPr>
        <w:t>اصل قتل و شخص قاتل خبر داشته است نه از زمان دقیق آن، یا این که امام از یک مکان معیّن خبر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فرض، علم امام، یا اقدام ایشان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زیرا از زمان و مکان دقیق قتل، باخبر نبوده است تا وظیفه داشته باشد از آنها اجتناب کند، پس این اشکال که امام خود را به هلاکت افکنده است،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سوّم علامه حتّی برای سؤال کننده‌ای که به امامت معتقد</w:t>
      </w:r>
    </w:p>
    <w:p>
      <w:pPr>
        <w:pStyle w:val="BookText"/>
        <w:rPr/>
      </w:pPr>
      <w:r>
        <w:rPr>
          <w:rFonts w:ascii="IRNazanin" w:hAnsi="IRNazanin" w:eastAsia="IRNazanin"/>
          <w:color w:val="111111"/>
          <w:sz w:val="28"/>
          <w:sz w:val="28"/>
          <w:szCs w:val="28"/>
          <w:rtl w:val="true"/>
          <w:lang w:bidi="fa-IR"/>
        </w:rPr>
        <w:t>باشد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این است که امام وظیفه و تکلیف خاصّی دارد و باید تعبّداً به آن عمل کند، همانند رزمنده‌ای که وظیفه دارد بجنگد هر چند به شهادت برسد؛ بنابراین، امام مانند رزمنده‌ای که به شهادت می‌رسد، مورد نکوهش قرار نمی‌گیرد و دربارۀ او گفته نمی‌شود که خود را به هلاکت انداخت؛ زیرا عمل او از روی اطاعت</w:t>
      </w:r>
    </w:p>
    <w:p>
      <w:pPr>
        <w:pStyle w:val="BookText"/>
        <w:rPr/>
      </w:pPr>
      <w:r>
        <w:rPr>
          <w:rFonts w:ascii="IRNazanin" w:hAnsi="IRNazanin" w:eastAsia="IRNazanin"/>
          <w:color w:val="111111"/>
          <w:sz w:val="28"/>
          <w:sz w:val="28"/>
          <w:szCs w:val="28"/>
          <w:rtl w:val="true"/>
          <w:lang w:bidi="fa-IR"/>
        </w:rPr>
        <w:t>است و حرام و گناه نیست</w:t>
      </w:r>
      <w:r>
        <w:rPr>
          <w:rFonts w:eastAsia="IRNazanin" w:cs="IRNazanin"/>
          <w:color w:val="111111"/>
          <w:sz w:val="28"/>
          <w:szCs w:val="28"/>
          <w:rtl w:val="true"/>
          <w:lang w:bidi="fa-IR"/>
        </w:rPr>
        <w:t>.</w:t>
      </w:r>
    </w:p>
    <w:p>
      <w:pPr>
        <w:pStyle w:val="Heading4"/>
        <w:numPr>
          <w:ilvl w:val="3"/>
          <w:numId w:val="1"/>
        </w:numPr>
        <w:rPr/>
      </w:pPr>
      <w:bookmarkStart w:id="96" w:name="__RefHeading___Toc1630447_774463916"/>
      <w:bookmarkStart w:id="97" w:name="_Toc35"/>
      <w:bookmarkEnd w:id="96"/>
      <w:r>
        <w:rPr>
          <w:rtl w:val="true"/>
        </w:rPr>
        <w:t>مرحلۀ سوّم</w:t>
      </w:r>
      <w:r>
        <w:rPr>
          <w:rtl w:val="true"/>
        </w:rPr>
        <w:t xml:space="preserve">: </w:t>
      </w:r>
      <w:r>
        <w:rPr>
          <w:rtl w:val="true"/>
        </w:rPr>
        <w:t>از نظر علمای معاصر</w:t>
      </w:r>
      <w:bookmarkEnd w:id="97"/>
    </w:p>
    <w:p>
      <w:pPr>
        <w:pStyle w:val="Heading5"/>
        <w:numPr>
          <w:ilvl w:val="4"/>
          <w:numId w:val="1"/>
        </w:numPr>
        <w:rPr/>
      </w:pPr>
      <w:bookmarkStart w:id="98" w:name="__RefHeading___Toc1630449_774463916"/>
      <w:bookmarkStart w:id="99" w:name="_Toc36"/>
      <w:bookmarkEnd w:id="98"/>
      <w:r>
        <w:rPr>
          <w:rtl w:val="true"/>
        </w:rPr>
        <w:t>اشاره</w:t>
      </w:r>
      <w:bookmarkEnd w:id="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معاصر به تحلیل و توضیح این مسأله بیشتر پرداخته‌اند که به برخی از آنها به طور کوتاه اشاره می‌کنیم</w:t>
      </w:r>
      <w:r>
        <w:rPr>
          <w:rFonts w:eastAsia="IRNazanin" w:cs="IRNazanin"/>
          <w:color w:val="111111"/>
          <w:sz w:val="28"/>
          <w:szCs w:val="28"/>
          <w:rtl w:val="true"/>
          <w:lang w:bidi="fa-IR"/>
        </w:rPr>
        <w:t>:</w:t>
      </w:r>
      <w:bookmarkStart w:id="100" w:name="pg5124_35949"/>
    </w:p>
    <w:p>
      <w:pPr>
        <w:pStyle w:val="Heading5"/>
        <w:numPr>
          <w:ilvl w:val="4"/>
          <w:numId w:val="1"/>
        </w:numPr>
        <w:rPr/>
      </w:pPr>
      <w:bookmarkStart w:id="101" w:name="__RefHeading___Toc1630451_774463916"/>
      <w:bookmarkStart w:id="102" w:name="_Toc37"/>
      <w:bookmarkEnd w:id="100"/>
      <w:bookmarkEnd w:id="101"/>
      <w:r>
        <w:rPr/>
        <w:t>1</w:t>
      </w:r>
      <w:r>
        <w:rPr>
          <w:rtl w:val="true"/>
        </w:rPr>
        <w:t xml:space="preserve">- </w:t>
      </w:r>
      <w:r>
        <w:rPr>
          <w:rtl w:val="true"/>
        </w:rPr>
        <w:t>امام کاشف الغطاء</w:t>
      </w:r>
      <w:bookmarkEnd w:id="102"/>
    </w:p>
    <w:p>
      <w:pPr>
        <w:pStyle w:val="BookText"/>
        <w:rPr/>
      </w:pPr>
      <w:r>
        <w:rPr>
          <w:rFonts w:ascii="IRNazanin" w:hAnsi="IRNazanin" w:eastAsia="IRNazanin"/>
          <w:color w:val="111111"/>
          <w:sz w:val="28"/>
          <w:sz w:val="28"/>
          <w:szCs w:val="28"/>
          <w:rtl w:val="true"/>
          <w:lang w:bidi="fa-IR"/>
        </w:rPr>
        <w:t>از نظر ایشان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خویش علم داشت، امّا در عین حال قانون بداء در آن جاری بود و می‌توانست آن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تصویری کم رنگ و مبهم از امور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اخباری که پیامبر از وحی دریافت کرده بود، از همۀ وقایع آگاه بودند، امّا احتمال می دادند که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لوح محو و اثبات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یابد و در علم مکنون که خداوند آن را به خود اختصاص داده است، چیزی بر خلاف آن وجود داشته باشد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ممکن است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خلاف واقع باشد، تنها با مسامحه می‌توان علم نامید؛ زیرا علم چیزی است که واقعیّت را روشن و آشکار می‌کند، امّا چیزی که به نظر می‌آید واقعیّت را نشان می‌دهد، به رتبۀ ظن و گمان تنزّل پیدا می‌کند و به مرتبۀ علم راه نمی‌یابد، مگر این که وضعیّت آن، تغییر کند و از دایرۀ قانون بداء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جای درنگ فراوان دارد</w:t>
      </w:r>
      <w:r>
        <w:rPr>
          <w:rFonts w:eastAsia="IRNazanin" w:cs="IRNazanin"/>
          <w:color w:val="111111"/>
          <w:sz w:val="28"/>
          <w:szCs w:val="28"/>
          <w:rtl w:val="true"/>
          <w:lang w:bidi="fa-IR"/>
        </w:rPr>
        <w:t>.</w:t>
      </w:r>
      <w:bookmarkStart w:id="103" w:name="pg5124_35951"/>
    </w:p>
    <w:p>
      <w:pPr>
        <w:pStyle w:val="BookText"/>
        <w:rPr/>
      </w:pPr>
      <w:bookmarkEnd w:id="103"/>
      <w:r>
        <w:rPr>
          <w:rFonts w:ascii="IRNazanin" w:hAnsi="IRNazanin" w:eastAsia="IRNazanin"/>
          <w:color w:val="111111"/>
          <w:sz w:val="28"/>
          <w:sz w:val="28"/>
          <w:szCs w:val="28"/>
          <w:rtl w:val="true"/>
          <w:lang w:bidi="fa-IR"/>
        </w:rPr>
        <w:t xml:space="preserve">پس به این نتیجه می‌رسیم که دیدگاه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آن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جوانب مسأله را به یک نقطه ارجاع دهد</w:t>
      </w:r>
      <w:r>
        <w:rPr>
          <w:rFonts w:eastAsia="IRNazanin" w:cs="IRNazanin"/>
          <w:color w:val="111111"/>
          <w:sz w:val="28"/>
          <w:szCs w:val="28"/>
          <w:rtl w:val="true"/>
          <w:lang w:bidi="fa-IR"/>
        </w:rPr>
        <w:t>.</w:t>
      </w:r>
    </w:p>
    <w:p>
      <w:pPr>
        <w:pStyle w:val="Heading5"/>
        <w:numPr>
          <w:ilvl w:val="4"/>
          <w:numId w:val="1"/>
        </w:numPr>
        <w:rPr/>
      </w:pPr>
      <w:bookmarkStart w:id="104" w:name="__RefHeading___Toc1630453_774463916"/>
      <w:bookmarkStart w:id="105" w:name="_Toc38"/>
      <w:bookmarkEnd w:id="104"/>
      <w:r>
        <w:rPr/>
        <w:t>2</w:t>
      </w:r>
      <w:r>
        <w:rPr>
          <w:rtl w:val="true"/>
        </w:rPr>
        <w:t xml:space="preserve">- </w:t>
      </w:r>
      <w:r>
        <w:rPr>
          <w:rtl w:val="true"/>
        </w:rPr>
        <w:t>شهید صدر</w:t>
      </w:r>
      <w:bookmarkEnd w:id="105"/>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و حتمی بودن شهادت در کربلا به این امر باز می‌گردد که مسائل سیاسی و اجتماعی، جدای از مسائل غیبی نیست بلکه تابع آن است؛ بنابراین، واقعیّتهای غیبی و اجتماعی از یکدیگر جدا و گسسته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کربلا را در ضمن چند شعار مطرح نمود و تلاش کرد تا امّت را با توجّه دادن به این شعارها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جمله عبدالله بن زبیر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خارج شوم و چه خارج نشوم، به هر حال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مرا رها نخواهند کرد، حتّی اگر در سوراخ حشره‌ای باشم، مرا بیرون خواهند آورد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که باشم، بنی امیّه مرا دنبال می‌کنند؛ بنابراین، من در هر حال؛ چه در مکّه باشم و چه از آن خارج شوم، کشته می‌شوم و بهتر این است که در مکّه کشته نشوم تا حرمت آن شکسته نگردد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گذشته از واقعی بودن آن، با روحیّۀ خودباختگی و ناامیدی حاکم بر امّت در آن زمان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منطقی نمی‌توانست در احساس ناامیدی و یأسی که امّت اسلامی در آن به سر می‌برد، نفوذ کند و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 حال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ظواهر نیز به این امر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قراین و شواهد، حاکی از این بود که بنی امیّه مصمّم هستند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اگر به پرده‌های کعبه درآویخته باشد، به قتل برسانند هر چند از راه ترور؛ بنابراین، مطرح کردن این شعار برای روشن شدن موضع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بود و علاوه بر آن، روحیّۀ خودباخته و ناامید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قانع می‌ساخت و در عین حال، یک شعار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 بودن مسألۀ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به او اعتراض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در ابتدای شب می‌آید و امام را با اندرزهای متعدّد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گفتی،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بر می‌گردد و در پایان شب می‌شنود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می‌آید و شتر آن حضرت را می‌گیرد و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دادی که فکر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هنگامی که شب خوابیدم،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گونه پاسخ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دستوری غیبی است که از عالم بالا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دارای روحیّۀ ناامیدی و خودباختگی است، اگر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آن حضرت ایمان داشته باشد، نمی‌تواند این فرمان غیبی صادر شده از عالم بالا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رؤیای خود با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رؤیا ایمان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بلکه آن را برای محمّد بن حنفیّه و افرادی مانند او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شعار دیگری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حتمی بودن مرگ از سوی عالم بالا بود؛ این که یک فرمان غیبی و آسمانی بر او واجب کرده است که بمیرد، خودش را فدا کند، خودش را به خطر بیندازد و به این سفر که به قتل می‌انجامد، برود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پذیرفتن دعوتهای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سوّمی را مطرح می‌نماید و هنگامی که در طول راه مکّه تا عراق در منزلهای متعدّد به اشخاصی برخورد می‌کرد که به او نصیحت می‌کردند به سمت عراق نرود،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کوفه دعوتنامه هایی دریافت کرده‌ام که به سوی آنان بروم، شرایط در کوفه فراهم شده است تا به آن جا بروم و حقّی را بپا دارم و باطلی را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سفر خود را چنین وانمود و تحلیل می‌کرد که پاسخ و واکنشی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 به حرکت درآمده و اراده کرده است و بدین ترتیب حجّت بر امام تمام شده است و باید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جهادی خویش به این اکتفا نمی‌کرد که مردم از او درخواست کنند والا پیش از هر چیز و در گام نخست، با رهبران پایگاههای مردمی خویش در بصره مکاتبه نمی‌کرد و آنان را به حرکت فرا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جنبۀ دیگر منعکس می‌کرد؛ زیرا این جنبه با روحیّۀ خودباختۀ مردم، هماهنگی و سازگاری بیشتری داشت؛ یعنی روحیّۀ ناامیدی مردم در برابر انسانی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این دعوت برای پاسخ گویی و حرکت به سوی دعوت کنندگان مناسب است، جوابی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فرق بسیاری است بین کسی که ابتدا و خود به خود حرکت می‌کند و کسی که در پاسخ به جمعیّتی که به او و به رهبری و پیشوایی او ایمان دارند،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مأیوس و</w:t>
      </w:r>
    </w:p>
    <w:p>
      <w:pPr>
        <w:pStyle w:val="BookText"/>
        <w:rPr/>
      </w:pPr>
      <w:r>
        <w:rPr>
          <w:rFonts w:ascii="IRNazanin" w:hAnsi="IRNazanin" w:eastAsia="IRNazanin"/>
          <w:color w:val="111111"/>
          <w:sz w:val="28"/>
          <w:sz w:val="28"/>
          <w:szCs w:val="28"/>
          <w:rtl w:val="true"/>
          <w:lang w:bidi="fa-IR"/>
        </w:rPr>
        <w:t xml:space="preserve">خودباخته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شتابزده عمل می‌کند، به عاقبت کار نمی‌اندیشد، خودش را به خطر افکنده است، امّا هنگامی که این حرکت در پاسخ به دعوت جماعتی باشد که همۀ فضاها و شرایط لازم برای دعوت را فراهم کرده است، این روحیّۀ ناامیدی و شکست‌پذیری دربارۀ 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اقدامی حساب نشده و کودکانه و بررسی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شعارهایی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واقعی بود و در عین حال، با خطّ مشی و تفکّر امّتی که از نظر روحی، فکری و روانی، خودباخته و شکست خورده بود، همخوانی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قیام بر ضدّ سلطان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همۀ این شعارها، شعار واقعی را نیز مطرح می‌نمود و تأکید می‌کرد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سلطان ستمگری را ببیند که به غیر احکام خداوند، حکم می‌کند و با قول، یا فعل خود برای تغییر آن سلطان، اقدام نکند، سزاوار است خداوند او را به جایگاه آن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شعارهایی که با آنها به عمل خود در برابر نگرش امّت، مشروعیّت می‌بخشید، همواره شعار واقعی و</w:t>
      </w:r>
      <w:bookmarkStart w:id="106" w:name="pg5124_35961"/>
    </w:p>
    <w:p>
      <w:pPr>
        <w:pStyle w:val="BookText"/>
        <w:rPr/>
      </w:pPr>
      <w:bookmarkEnd w:id="106"/>
      <w:r>
        <w:rPr>
          <w:rFonts w:ascii="IRNazanin" w:hAnsi="IRNazanin" w:eastAsia="IRNazanin"/>
          <w:color w:val="111111"/>
          <w:sz w:val="28"/>
          <w:sz w:val="28"/>
          <w:szCs w:val="28"/>
          <w:rtl w:val="true"/>
          <w:lang w:bidi="fa-IR"/>
        </w:rPr>
        <w:t>زنده‌ای را مطرح می‌کرد که بی تردید، پایه و اساس روحیّۀ نوینی بود که او می‌خواست در ساختار این امّت اسلامی، پدید آورد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107" w:name="__RefHeading___Toc1630455_774463916"/>
      <w:bookmarkStart w:id="108" w:name="_Toc39"/>
      <w:bookmarkEnd w:id="107"/>
      <w:r>
        <w:rPr/>
        <w:t>3</w:t>
      </w:r>
      <w:r>
        <w:rPr>
          <w:rtl w:val="true"/>
        </w:rPr>
        <w:t xml:space="preserve">- </w:t>
      </w:r>
      <w:r>
        <w:rPr>
          <w:rtl w:val="true"/>
        </w:rPr>
        <w:t>سیّد محمّد حسین طباطبایی</w:t>
      </w:r>
      <w:bookmarkEnd w:id="108"/>
    </w:p>
    <w:p>
      <w:pPr>
        <w:pStyle w:val="Heading6"/>
        <w:numPr>
          <w:ilvl w:val="5"/>
          <w:numId w:val="1"/>
        </w:numPr>
        <w:rPr/>
      </w:pPr>
      <w:bookmarkStart w:id="109" w:name="__RefHeading___Toc1630457_774463916"/>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سیّد الشهداء در سفر خود از مکّه به کوفه می‌دانست که به شهادت خواهد رسید یا نه؟ به دیگر سخن، آیا ایشان به قصد شهادت به سمت عراق حرکت کرد، یا به قصد تشکیل یک حکومت اسلامی دادگستر؟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عقیدۀ شیعیان، امامی است که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جانشین پیامبر و دارای ولایت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اذن خداوند متعال به اشیاء و رویدادها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همۀ حقایق عالم هستی، در هر شرایطی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در محدودۀ حس و قابل تجربه باشد، یا بیرون از دایرۀ حس و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مانند موجودات آسمانی و حوادث گذشته و رویدادهای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این گونه استدلال می‌کنیم</w:t>
      </w:r>
      <w:r>
        <w:rPr>
          <w:rFonts w:eastAsia="IRNazanin" w:cs="IRNazanin"/>
          <w:color w:val="111111"/>
          <w:sz w:val="28"/>
          <w:szCs w:val="28"/>
          <w:rtl w:val="true"/>
          <w:lang w:bidi="fa-IR"/>
        </w:rPr>
        <w:t>:</w:t>
      </w:r>
    </w:p>
    <w:p>
      <w:pPr>
        <w:pStyle w:val="Heading6"/>
        <w:numPr>
          <w:ilvl w:val="5"/>
          <w:numId w:val="1"/>
        </w:numPr>
        <w:rPr/>
      </w:pPr>
      <w:bookmarkStart w:id="111" w:name="__RefHeading___Toc1630459_774463916"/>
      <w:bookmarkStart w:id="112" w:name="_Toc41"/>
      <w:bookmarkEnd w:id="111"/>
      <w:r>
        <w:rPr>
          <w:rtl w:val="true"/>
        </w:rPr>
        <w:t>اوّلاً</w:t>
      </w:r>
      <w:r>
        <w:rPr>
          <w:rtl w:val="true"/>
        </w:rPr>
        <w:t xml:space="preserve">: </w:t>
      </w:r>
      <w:r>
        <w:rPr>
          <w:rtl w:val="true"/>
        </w:rPr>
        <w:t>از راه نقل</w:t>
      </w:r>
      <w:r>
        <w:rPr>
          <w:rtl w:val="true"/>
        </w:rPr>
        <w:t>:</w:t>
      </w:r>
      <w:bookmarkEnd w:id="1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متواتری در کتابهای جامع حدیثی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بصائر، کتابهای صدوق، بحارالأنوار و غیره هست که بیش از حدّ</w:t>
      </w:r>
    </w:p>
    <w:p>
      <w:pPr>
        <w:pStyle w:val="BookText"/>
        <w:rPr/>
      </w:pPr>
      <w:r>
        <w:rPr>
          <w:rFonts w:ascii="IRNazanin" w:hAnsi="IRNazanin" w:eastAsia="IRNazanin"/>
          <w:color w:val="111111"/>
          <w:sz w:val="28"/>
          <w:sz w:val="28"/>
          <w:szCs w:val="28"/>
          <w:rtl w:val="true"/>
          <w:lang w:bidi="fa-IR"/>
        </w:rPr>
        <w:t>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بر می‌آید که امام از طریق موهبت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اکتسابی و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آگاه است و به هر چیز بخواهد، به اذن خدا و با کمترین توجّه، علم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کریم هست که علم غیب را منحصر در ساحت مقدس خداوند می‌داند، امّا استثنایی که در آیۀ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روشن می‌کند که اختصاص داشتن علم غیب به خداوند متعال به این معناست که این علم، به طور مستقل و ذاتی، تنها از آنِ خداوند است و هیچ کس جز او چنین علمی ندارد، امّا پیامبران برگزیده می‌توانند این علم را از خداوند متعال فرا بگیرند و همچنین برگزیدگان دیگری نیز می‌توانند آن را از پیامبران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آمده است که پیامبر و نیز هر امامی در آخرین لحظات حیاتش علم خود را به امام بعدی می‌سپارد</w:t>
      </w:r>
      <w:r>
        <w:rPr>
          <w:rFonts w:eastAsia="IRNazanin" w:cs="IRNazanin"/>
          <w:color w:val="111111"/>
          <w:sz w:val="28"/>
          <w:szCs w:val="28"/>
          <w:rtl w:val="true"/>
          <w:lang w:bidi="fa-IR"/>
        </w:rPr>
        <w:t>.</w:t>
      </w:r>
      <w:bookmarkStart w:id="113" w:name="pg5124_35964"/>
    </w:p>
    <w:p>
      <w:pPr>
        <w:pStyle w:val="Heading6"/>
        <w:numPr>
          <w:ilvl w:val="5"/>
          <w:numId w:val="1"/>
        </w:numPr>
        <w:rPr/>
      </w:pPr>
      <w:bookmarkStart w:id="114" w:name="__RefHeading___Toc1630461_774463916"/>
      <w:bookmarkStart w:id="115" w:name="_Toc42"/>
      <w:bookmarkEnd w:id="113"/>
      <w:bookmarkEnd w:id="114"/>
      <w:r>
        <w:rPr>
          <w:rtl w:val="true"/>
        </w:rPr>
        <w:t>ثانیاً</w:t>
      </w:r>
      <w:r>
        <w:rPr>
          <w:rtl w:val="true"/>
        </w:rPr>
        <w:t xml:space="preserve">: </w:t>
      </w:r>
      <w:r>
        <w:rPr>
          <w:rtl w:val="true"/>
        </w:rPr>
        <w:t>از راه عقلی</w:t>
      </w:r>
      <w:r>
        <w:rPr>
          <w:rtl w:val="true"/>
        </w:rPr>
        <w:t>:</w:t>
      </w:r>
      <w:bookmarkEnd w:id="115"/>
    </w:p>
    <w:p>
      <w:pPr>
        <w:pStyle w:val="BookText"/>
        <w:rPr/>
      </w:pPr>
      <w:r>
        <w:rPr>
          <w:rFonts w:ascii="IRNazanin" w:hAnsi="IRNazanin" w:eastAsia="IRNazanin"/>
          <w:color w:val="111111"/>
          <w:sz w:val="28"/>
          <w:sz w:val="28"/>
          <w:szCs w:val="28"/>
          <w:rtl w:val="true"/>
          <w:lang w:bidi="fa-IR"/>
        </w:rPr>
        <w:t>براهینی وجود دارد که بر اساس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حسب مقام نورانی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انسان عصر خویش و مظهر تامّ اسما و صفات الهی است و به طور بالفعل به همۀ وقایع فردی و شخصی علم دارد و به حسب گوهر وجودی اش به هر سو روی گرداند، همۀ حقایق برای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براهین با یک سلسله مسائل عقلی، درهم پیچیده است که سطح آن بالاتر از این مقاله است و لذا آن را به بحثی دیگر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نکته‌ای هست که 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ادلّۀ عقلی و نقلی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تخلّف، یا تغییر است و در اصطلاح، علم به چیزهایی است که در لوح محفوظ، ثابت است و یا با خبر بودن از اموری است که قضای خداوند به آن تعلّق گرفته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بیان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رابطه‌ای بین متعلّقات این علم و هر نوع تکلیف وجود ندارد؛ زیرا متعلّقات این علم، حتمی الوقوعند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ارتباطی بین ارادۀ انسان و متعلّقات این علم وجود ندارد؛ زیرا هرگاه رابطۀ بین تکلیف و فعل، رابطۀ امکانی باشد و انجام و ترک آن، هر دو در اختیار مکلّف باشد، خواست و ارادۀ انسان به آن فعل تعلّق می‌گیرد، امّا اگر فعلی حتمی الوقوع و متعلّق قضای حتمی الهی باشد، محال است که مورد تکلیف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مثلاً خداوند متعال به بنده‌اش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عملی را که انجام و ترک آن برای تو امکان‌پذیر است، انجام بدهی، درست و صحیح است، امّا محال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عملی که بنا بر مشیّت تکوینی و قضای حتمی من مسلّماً پدید می‌آید و در تحقّق یافتن آن، هیچ شک و تردیدی وجود ندارد، انجام بدهی، یا ترک کنی؛ زیرا چنین امر، یا نهیی لغو و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که وقوع و عدم وقوع فعل، امکان‌پذیر است، انسان می‌تواند دارای اراده باشد و همچنین می‌تواند مقصود، هدفی داشته باشد و برای محقّق ساختن آن، سخت تلاش کند، امّا در مواردی که یقیناً رخ می‌دهد و تغییر و تأخیر در آن محال است و قضای حتمی خداوند به آن تعلّق گرفته است، ارادۀ انسان نمی‌تواند نقشی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انسان نمی‌تواند امری از این نوع را که ناگزیر تحقّق می‌یابد، طلب کند، یا فرو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می‌شود 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خدادادی امام در کارها و تکالیف خاصّ او تأثیری ندارد، به طور کلّی، هر امر الزامی، از آن جهت که قضای حتمی الهی به آن تعلّق گرفته است، هیچ ارتباطی با امر، یا نهی، یا عمل و نیّت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چیزی که متعلّق قضای حتمی خداوند و مشیّت قطعی اوست، می‌تواند مورد رضایت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همان گونه که سیّد</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خود و در حالی که در خاک و خون غلتید،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 تو خشنودیم، در برابر فرمان تو تسلیم هستیم،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خطبه‌ای که هنگام بیرون آمدن از مکه 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خدا خشنودی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فعل انسان از جهت تعلّق گرفتن قضای الهی به آن، با اختیاری بودن آن از جهت نقش و تأثیر در اراده و اختیار ما منافات ندارد؛ زیرا قضای الهی به همۀ جزئیّات فعل تعلّق می‌گیرد نه فقط به مطلق فعل، مثلاً خداوند اراده می‌کند که شخصی یک عمل اختیاری را به اختیار خود انجام دهد، در این حالت تحقّق یافتن این عمل اختیاری از آن جهت که ارادۀ حتمی خداوند به آن تعلّق گرفته امری غیر قابل اجتناب است و در عین حال، برای انسان اختیاری است و با او رابطۀ امکانی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ظاهر کارهای امام را می‌توان با عمل و اسباب ظاهری تحلیل کرد، نمی‌تواند دلیل بر عدم وجود علم خدادادی، یا گواه بر جهل امام نسبت به وقایع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اتّفاق افتاد آگاه بود، پس چرا مسلم بن عقیل را به عنوان نمایندۀ خود به کوفه فرستاد؟ چرا صیداوی به اهل کوفه نامه نوشت؟ چرا خودش را به</w:t>
      </w:r>
    </w:p>
    <w:p>
      <w:pPr>
        <w:pStyle w:val="BookText"/>
        <w:rPr/>
      </w:pPr>
      <w:r>
        <w:rPr>
          <w:rFonts w:ascii="IRNazanin" w:hAnsi="IRNazanin" w:eastAsia="IRNazanin"/>
          <w:color w:val="111111"/>
          <w:sz w:val="28"/>
          <w:sz w:val="28"/>
          <w:szCs w:val="28"/>
          <w:rtl w:val="true"/>
          <w:lang w:bidi="fa-IR"/>
        </w:rPr>
        <w:t>هلاکت افکند؟ در حالی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بأیدیکم الی التهلکة </w:t>
      </w:r>
      <w:r>
        <w:rPr>
          <w:rStyle w:val="FootnoteAnchor"/>
          <w:rtl w:val="true"/>
        </w:rPr>
        <w:footnoteReference w:id="181"/>
      </w:r>
      <w:r>
        <w:rPr>
          <w:rFonts w:ascii="IRNazanin" w:hAnsi="IRNazanin" w:eastAsia="IRNazanin"/>
          <w:color w:val="111111"/>
          <w:sz w:val="28"/>
          <w:sz w:val="28"/>
          <w:szCs w:val="28"/>
          <w:rtl w:val="true"/>
          <w:lang w:bidi="fa-IR"/>
        </w:rPr>
        <w:t>چرا؟ چرا؟ آنچه گفتیم پاسخ همۀ این سؤالات را می‌دهد و تکرار آنها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تأکید می 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امامانی که از خاندان پاک آن حضرت اند، همگی انسانهایی هستند مانند سایر انسانها و کارهایی که در طول حیات خویش انجام می‌دهند، مانند کارهای سایر انسانها به اختیار خود و بر پایۀ علم عادی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دیگران، نیکی و بدی و سود و زیان را تشخیص می‌دهد و همۀ کارها نیز از راه علمی انجام می‌گیرد؛ هر کاری را که شایسته و نیکو باشد، آن را اراده می‌کند و برای انجام آن تلاش می‌نماید و هر زمان که عوامل و اوضاع و احوال مناسب باشد، غایات و اهداف آن کار تحقّق می‌یابد و اگر اسباب و شرایط نامناسب باشد، اهداف آن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جزئیّات حوادث گذشته و آینده دارد، تأثیر در کارهای اختیاری او ندارد که توضیح آن گذشت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مانند دیگر افراد بشر، بندۀ خدا و مکلّف به مقرّرات و تکالیف دینی است و با توجّه به جایگاه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عطا کرده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تکالیف را با شیوه‌های عادی بشری انجام دهد و نیز همۀ تلاش خود را در راه زنده کردن کلمۀ حق و محافظت از دین به کار گیرد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تأمّلی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لایموتون إلا باختیار منهم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از کتاب کافی آقای جلالی، سخنان مرحوم کلینی را چنین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لا یموتون الاّ باختیار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کلینی در عنوان باب آورده است، بدین معناست که موت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بندگان خویش و دیگر موجودات را بدون استثنا با آن مقهور و مغلوب خود ساخته و تنها اوست که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امامان را نیز شامل می‌شود و راه فراری از آن ندارند، امّا برجستگی و برتری آنان در برابر دیگر مخلوقات، این است که خداوند اختیار موت آنان را به دست خودشان قرار داده است، این امر می‌رساند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موت، اختیار دارند تا اجلهای معلّق را قبل از آن که حتمی شود، برگزینند، این انتخاب که به خاطر شوق آنان به لقای هر چه زودتر خداوند و نیز به منظور دست یافتن به آثار و نتایج بزرگی که بر شهادت آنان در آن زمان مترتّب است، انجام</w:t>
      </w:r>
    </w:p>
    <w:p>
      <w:pPr>
        <w:pStyle w:val="BookText"/>
        <w:rPr/>
      </w:pPr>
      <w:r>
        <w:rPr>
          <w:rFonts w:ascii="IRNazanin" w:hAnsi="IRNazanin" w:eastAsia="IRNazanin"/>
          <w:color w:val="111111"/>
          <w:sz w:val="28"/>
          <w:sz w:val="28"/>
          <w:szCs w:val="28"/>
          <w:rtl w:val="true"/>
          <w:lang w:bidi="fa-IR"/>
        </w:rPr>
        <w:t>می‌گیرد، از روی اختیار، اراده و علم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اختیاری و غیر اجباری بودن اقدامات ائمّه و نیز مطابقت آن با قضا و قدر الهی، سازگارتر و مناسب‌تر است و بدین معناست که خداوند از آنان خواسته است که آن کارها را انجام دهند بدون این که ضرورت و اجباری در میان باشد؛ چرا که اگر انجام آن کارها قضای حتمی و اجل قطعی باشد، چگونه در آن اختیار دارند؟ و پذیرفتن و موافقت با امری که امکان تغییر در آن نیست و گزینۀ دیگری در کنار آن وجود ندارد، چه معنایی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نوع مرگ خویش را انتخاب کنند که مثلاً کشته شدن با یک ضربۀ شمشیر باشد، همان گونه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یا با نوشیدن سم، یا خوردن غذای مسموم باشد، همان گونه که بیشتر امامان انتخاب کردند و یا با جدا کردن مفصلها و بریدن رگها و تن دادن به تیغها و دردهای جنگ و نبرد و تحمّل تشنگی باشد، همان گونه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عام بودن عنوان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لایموتون الّاباختیار منهم می‌توان آن را بر همۀ این امور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معنای دوّم، این استبعاد و ناسازگاری مهمّ اجتماعی نهفته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رویدادها، قراین و شواهد پیرامون خود و بدون نیاز به استفاده از غیب، می‌دانستند که خلفای ستمگر و کسانی که با زور بر مردم و شهرها حاکم شده بودند، با هر وسیلۀ ممکن، اقدام به کشتن آنان می‌کردند؛ زیرا آنان حکومتهای فاسد و بیدادگر را که به ناحق و</w:t>
      </w:r>
    </w:p>
    <w:p>
      <w:pPr>
        <w:pStyle w:val="BookText"/>
        <w:rPr/>
      </w:pPr>
      <w:r>
        <w:rPr>
          <w:rFonts w:ascii="IRNazanin" w:hAnsi="IRNazanin" w:eastAsia="IRNazanin"/>
          <w:color w:val="111111"/>
          <w:sz w:val="28"/>
          <w:sz w:val="28"/>
          <w:szCs w:val="28"/>
          <w:rtl w:val="true"/>
          <w:lang w:bidi="fa-IR"/>
        </w:rPr>
        <w:t>به نام اسلام بر مردم حکومت می‌کردند و با رفتارهای زشت خود، چهرۀ درخشان اسلام را خدشه دار می‌کردند، مطرود و مردود می‌دانستند و از این رو، آنان نمی‌توانستند وجود ائمّه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اعتراضی بر حق و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حکومت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بودند و به اسلحۀ آهنین دست نمی‌بردند، امّا وجود شریفشان بمبهایی بود که هر زمان قابل انفجار بود، رهنمودها و ارشادات شان فریادها و بانگهایی بود که علیه اهل باطل طنین انداز می‌شد و درسها و منش و رفتارشان جرقّه هایی بود بر ضدّ آن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فاسد چگونه می‌توانستند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لحظه تحمّل کنند؟</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سرانجام آنان، در برخورد با این ستمگران، مرگ است؛ می‌دانستند که ظالمان برای آنان توطئه چینی می‌کنند و در کمین اند تا آنان را به سختی و گرفتاری مبتلا سازند و برای کشتن آنان و رهایی از وجودشان نقشه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 تا جنایات خود را مخفیانه و پنهانی مرتکب شوند تا مسؤولیّتی نداشته باشند و در برابر تاریخ مؤاخذه و بازخواست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بردن ائمّه پنهانی و به شیوه‌ای که آنان مایل بودند، انجام می‌گرفت، برای اهدافشان سودمندتر و کاراتر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نیرنگها و آسیبهای ستمگران جنایتکار را نقش بر آب می‌کردند و در این شرایط مهم و خطرناک، ابتکار عمل را به</w:t>
      </w:r>
    </w:p>
    <w:p>
      <w:pPr>
        <w:pStyle w:val="BookText"/>
        <w:rPr/>
      </w:pPr>
      <w:r>
        <w:rPr>
          <w:rFonts w:ascii="IRNazanin" w:hAnsi="IRNazanin" w:eastAsia="IRNazanin"/>
          <w:color w:val="111111"/>
          <w:sz w:val="28"/>
          <w:sz w:val="28"/>
          <w:szCs w:val="28"/>
          <w:rtl w:val="true"/>
          <w:lang w:bidi="fa-IR"/>
        </w:rPr>
        <w:t>دست می‌گرفتند و خودشان بهترین شکل مرگ را بر می‌گزیدند تا مظلومیّت شان را آشکار کند و بر ستمگریهای آنان فریاد برآورد و قاتلان شان را رسوا سازد و جنایتها و نیرنگهایی که بر آنان روا رفته است، علنی کند و از هدر رفتن جان و خون پاکشان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یا در یکی از کوچه‌های بیرون مسجد، کشته می‌شد، چه کسی شایعات دروغینی که بنی امیّه در بین مردم شام پراکنده بودند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نمی‌خواند، تکذیب و محکوم می‌کرد؟</w:t>
      </w:r>
    </w:p>
    <w:p>
      <w:pPr>
        <w:pStyle w:val="BookText"/>
        <w:rPr/>
      </w:pPr>
      <w:r>
        <w:rPr>
          <w:rFonts w:ascii="IRNazanin" w:hAnsi="IRNazanin" w:eastAsia="IRNazanin"/>
          <w:color w:val="111111"/>
          <w:sz w:val="28"/>
          <w:sz w:val="28"/>
          <w:szCs w:val="28"/>
          <w:rtl w:val="true"/>
          <w:lang w:bidi="fa-IR"/>
        </w:rPr>
        <w:t>هنگامی که مردم شنیدند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کشته شده است، به جعلی و دروغین بودن آن شایعات گمراه کننده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کشته می‌شد، چه کسی از دادخواهیهای او مطّلع می‌شد؟ حتّی اگر در مکّه نیز کشته می‌شد، علاوه بر این که او را سرزنش می‌کردند که با قتل او به حرم، اهانت و بی احترامی شده است، خون او در میان غوغا و هیاهوی حجّاج به هدر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غیر از کربلا کشته می‌شد، در کجا؟ و چگونه؟ و در این صورت، تفسیر روایات و اخباری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فرات، کربلا و خاک سرخ رنگ آن، نقل شده بود، چه می‌شد؟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از معانی عرفانی ای که به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تدبیری حکیمانه، بینشی سیاسی،</w:t>
      </w:r>
    </w:p>
    <w:p>
      <w:pPr>
        <w:pStyle w:val="BookText"/>
        <w:rPr/>
      </w:pPr>
      <w:r>
        <w:rPr>
          <w:rFonts w:ascii="IRNazanin" w:hAnsi="IRNazanin" w:eastAsia="IRNazanin"/>
          <w:color w:val="111111"/>
          <w:sz w:val="28"/>
          <w:sz w:val="28"/>
          <w:szCs w:val="28"/>
          <w:rtl w:val="true"/>
          <w:lang w:bidi="fa-IR"/>
        </w:rPr>
        <w:t>نگرشی دقیق و تصمیمی راسخ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سیاسی خود در برابر ستمگران به کار بستند؛ ستمگرانی که همۀ نیروها و قدرتها را در دست داشتند و همۀ آزادیها را حتّی آزادی انتخاب کمّیّت، کیفیّت، زمان و مکان مرگ را از مردم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تدابیر حکیمانه خود، از تحت سیطرۀ حاکمان در این میدان بیرون آمدند و از ارادۀ آنان فراتر رفتند و زمان انتخاب را به دست گرفتند و عالی‌ترین و آرمانی‌ترین شیوۀ مرگ را برگزیدند که این امر در آن شرایط دشوار و طاقت فرسا، یک پیروزی چشمگیر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محافظت از جان و میل به عدم خونریزی و ترس از کشته شدن، می‌تواند مانع از ادای واجب شود و راه مسؤولیّت بزرگ محافظت از اسلام و حریم مقدّس آن را سد کند؟ علاوه بر آن که پس از دعوتها و کمک خواستنهای پی در پی، حجّت بر امام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آیا پس از گذراندن مراحل مبارزه که کمترین نتیجۀ پیش بینی شده در آن کشته شدن است؟ آیا محافظت از جان معقول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تصمیم قطعی گرفته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زیرا او را تنها سدّی می‌دید که مانع بهره برداری از تلاشهای پدرش برای تشکیل سلطنت ستمگر اموی است؛ بنابراین، ناچار بود امام را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اموی، آرزو می‌کرد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حرکت و آرام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او را هدف بگیرد و به قتل برساند و چقدر خوب بود اگر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و ترور انجام می‌گرفت تا خونش پایمال شود و دادخواهی اش به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که آنان دوست دارند او را این گونه بکشند و در این کار، مصمّم و جدّی هستند حتّی اگر او را در سوراخ حشره‌ای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مزدورانش دستور داده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کجا که یافتند بکشند، هر چند به پرده‌های کعبه درآویخته باشد، حال چرا امام بر آنان پیشی نگیرد و بهترین زمان و بهترین مکان و بهترین شکل کشته شدن را انتخاب نکند؟</w:t>
      </w:r>
    </w:p>
    <w:p>
      <w:pPr>
        <w:pStyle w:val="BookText"/>
        <w:rPr/>
      </w:pPr>
      <w:r>
        <w:rPr>
          <w:rFonts w:ascii="IRNazanin" w:hAnsi="IRNazanin" w:eastAsia="IRNazanin"/>
          <w:color w:val="111111"/>
          <w:sz w:val="28"/>
          <w:sz w:val="28"/>
          <w:szCs w:val="28"/>
          <w:rtl w:val="true"/>
          <w:lang w:bidi="fa-IR"/>
        </w:rPr>
        <w:t>زمان، عاشوراست که در عالم غیب ثبت شده و در صحیفه‌های گذشته ضبط گردیده است و اخبار غیبی دیگری که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کربلاست؛ سرزمینی که از زمان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بر سر زبانها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کیفیّت قتل خویش را این گونه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شهادت طلبانه و بی پروا، نبردی که طنین قهرمانیها و چکاچک شمشیرهایش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روشنگر اهداف</w:t>
      </w:r>
    </w:p>
    <w:p>
      <w:pPr>
        <w:pStyle w:val="BookText"/>
        <w:rPr/>
      </w:pPr>
      <w:r>
        <w:rPr>
          <w:rFonts w:ascii="IRNazanin" w:hAnsi="IRNazanin" w:eastAsia="IRNazanin"/>
          <w:color w:val="111111"/>
          <w:sz w:val="28"/>
          <w:sz w:val="28"/>
          <w:szCs w:val="28"/>
          <w:rtl w:val="true"/>
          <w:lang w:bidi="fa-IR"/>
        </w:rPr>
        <w:t xml:space="preserve">و مظلومیّتهای او است، در گوش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است و آسایش ستمگران و تحریف کنندگان حقایق را پریشان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نام خود و ماجرای کشته شدنش را در صفحه‌های روزگار، جاویدان ساخت تا از خیانت تحریف گران و انکارِ کنندگان و نیرنگ و تزویر حیله گران در امان باشد و همچون حق و دین، جاوید بماند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پایان، گفتنی است، شیخ کلینی که به گواهی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موثّق‌ترین و استوارترین شخص در نقل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پایه‌ای محکم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شواهد محکم بودن کتاب این است که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فی ذکر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در آن، احادیثی که اشکال اوّل را حل می‌کند و همچنین احادیثی که در پاسخ به 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الغیب</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را گرد آورده است و نتیجۀ این باب را موضوع برای بابهای بعد قرار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احادیث، حدیث حمران بن اعین است که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bookmarkStart w:id="116" w:name="pg5124_35986"/>
    </w:p>
    <w:p>
      <w:pPr>
        <w:pStyle w:val="BookText"/>
        <w:rPr/>
      </w:pPr>
      <w:bookmarkEnd w:id="116"/>
      <w:r>
        <w:rPr>
          <w:rFonts w:ascii="Amiri" w:hAnsi="Amiri" w:eastAsia="Amiri" w:cs="Amiri"/>
          <w:color w:val="111111"/>
          <w:sz w:val="28"/>
          <w:sz w:val="28"/>
          <w:szCs w:val="28"/>
          <w:rtl w:val="true"/>
          <w:lang w:bidi="ar-SA"/>
        </w:rPr>
        <w:t>نظر شما دربارۀ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Style w:val="FootnoteAnchor"/>
          <w:rtl w:val="true"/>
        </w:rPr>
        <w:footnoteReference w:id="186"/>
      </w:r>
      <w:r>
        <w:rPr>
          <w:rFonts w:ascii="IRNazanin" w:hAnsi="IRNazanin" w:eastAsia="IRNazanin"/>
          <w:color w:val="111111"/>
          <w:sz w:val="28"/>
          <w:sz w:val="28"/>
          <w:szCs w:val="28"/>
          <w:rtl w:val="true"/>
          <w:lang w:bidi="fa-IR"/>
        </w:rPr>
        <w:t>دانای نهان است و کسی را بر غیب خود آگاه نمی‌کند، چیست؟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جز پیامبری را که از او خشنود باشد،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کسانی بود که خداوند از او خشنود بود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کتاب خود را ترتیبی روشمند و برهانی قرار داده است تا نتایج حتمی خود را به شکل منطقی و قابل قبول، ارائه دهد و به این شکل، کتاب خود کافی را سدّی برای دین قرار داده است که کافران نمی‌توانند با شبهه‌ها و تشکیکهای خود، در آن رخنه کنند و بر آن پیروز شوند</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117" w:name="__RefHeading___Toc1630463_774463916"/>
      <w:bookmarkStart w:id="118" w:name="_Toc43"/>
      <w:bookmarkEnd w:id="117"/>
      <w:r>
        <w:rPr>
          <w:rtl w:val="true"/>
        </w:rPr>
        <w:t>نتیجۀ بحث</w:t>
      </w:r>
      <w:bookmarkEnd w:id="1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بحث، ثابت شد که نوع انسان به گونه‌ای آفریده شده است که از ارتباط با غیب، بی نیاز نیست به طوری که مسؤولیتهای مکتبی و دینی او متوقّف است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به منظور تعامل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محقّق ساختن اهداف الهی، متوقّف بر آگاهی از عالم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تعارضی میان آزادی و ارادۀ انسان و روند هستی که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وجود ندارد؛ زیرا انسان مجهّز به علم است که به وسیلۀ آن از اسرار هستی و حرکت علّی و سرانجام آن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انسان را از سوء استفاده کردن از این اسرار،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 زیرا عصمت به این معناست که معصوم با این علم، حقایق اشیاء را آن گونه که هست، به طور واضح و تردید ناپذیر درک کند و آن را در راستای دین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علم، علمی نیست که با تلاش و کوشش قابل اکتساب باشد؛ زیرا چنین علمی، ناقص و محدود است، در حالی که دین برای این علم، نقش کامل و مهمّی در نظر گرفته است؛ بنابراین،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خداوند متعال عطا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و علم خداوند، جدای از یکدیگرند و با هم فرق دارند؛ زیرا علم خداوند، قدیم و عین ذات اوست و قبل از معلومات، وجود داشته است، امّا علم حضوری امام، هیچ یک از این ویژگیها را ندارد؛ زیرا حادث و غیر ذاتی است و بعد از معلومات، پدید آمده است؛</w:t>
      </w:r>
    </w:p>
    <w:p>
      <w:pPr>
        <w:pStyle w:val="BookText"/>
        <w:rPr/>
      </w:pPr>
      <w:r>
        <w:rPr>
          <w:rFonts w:ascii="IRNazanin" w:hAnsi="IRNazanin" w:eastAsia="IRNazanin"/>
          <w:color w:val="111111"/>
          <w:sz w:val="28"/>
          <w:sz w:val="28"/>
          <w:szCs w:val="28"/>
          <w:rtl w:val="true"/>
          <w:lang w:bidi="fa-IR"/>
        </w:rPr>
        <w:t>بنابراین، علم امام، عرضی و موهبتی از سوی خداوند است و اتّحادی بین این دو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بسیاری از قرآن کریم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پیامبران و صالحان همچون حضرت یوسف، حضرت سلیمان و حضرت عیسی و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آیاتی که علم غیب را در خداوند متعال منحصر می‌داند و از غیر او نفی می‌کند و آیاتی که علم غیب را برای غیر خداوند، اثبات می‌نماید، تعارضی وجود ندارد؛ چرا که دستۀ اوّل، علم غیب را بالأصاله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و دستۀ دوّم،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علم حضوری معصوم، دارای تداوم و استمرار است و منظور از آن، علم به همراه توانایی و قدرت است، نه علم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حقیقت علم، آشکار کردن واقعیّت است و علم، یا کشف واقعیّت، پدیده‌ای فراتر از مادّه است؛ زیرا ویژگیهای مادّه بر آن منطبق نیست، پیدایش علم و کشف واقعیّت، تنها در اثر اتّصال وجودی و واقعی بین نفس و شیئی که می‌خواهیم بشناسیم صورت می‌گیرد، بنابر آنچه مشهور است، ابزارها و شیوه‌های ارتباط علمی با واقعیّت عبارتند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با شیء، بدون واسطه بودن حس یا عقل،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ابزارهای تحصیل علم برای همگان بدون استثنا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بنابر پژوهشهای روان‌شناسی فلسفی، نفس انسان دارای مقامات و مراتبی است و توانایی درک کلّیّات را نیز دارد و بالاترین مرتبۀ آن، ادراک قلبی، یا شهودی، یا علم حضوری به واقع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مرتبه نیز دارای درجات و مراتبی است که پایین‌ترین آن، رؤیاهای صادقه، مرتبۀ متوسّط آن، الهام و سخن گفتن فرشتگان و بالاترین درجۀ این سلسله بلند و طولانی، دریافت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نفس امام از جهت گستردگی ادراک و احاطه به واقع و نیز تجرّد تام از مادّه، با دیگر نفوس تفاوت دارد؛ امام از نظام علّی و معلولی حاکم بر هستی، آگاهی کامل دارد و روشن است که علم به علّت، علم به معلول را به همراه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این علل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علّتها اطّلاع کامل دارد، از همۀ معلولها نیز آگاه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مرتبۀ وجود اشیاء و از جمله اموری که اختیار انسان به آن تعلّق می‌گیرد، در علم تامّ خداوند موجود است؛ بنابراین، از طریق خبر دادن و آگاهی بخشیدن از سوی خداوند، می‌توان به این امور، علم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مذاهب و فرقه‌های غیر امامیّه این مسأله را بدون هیچ گونه تردیدی تأیید می‌کنند و می‌پذیرند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پیامبران بلکه به انسانهای غیر معصوم نیز عطا شده است، امّا از سویی قایلند که این علم، ولایت به وجود نمی‌آورد بلکه ولایت فقط با نصّ و تعیین الهی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انکشاف می‌خوانند،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در طول تاریخ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که پیامبر یا امام باید از آن بهره‌مند باشد، علم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حوادث هستی و نیز علم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اشکالات دربارۀ این مسأله مطرح شده است و همۀ پاسخهای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کرده است که ایشان علم حضوری دارند که با مسألۀ به هلاکت افکندن خود، یا بی فایده بودن اعمال، تعارضی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آرای علمای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طوسی، علامۀ حلّی و علمای معاصر نیز دربارۀ این مسأله اختلافی وجود ندارد و تنها در چگونگی تفسیر و تبیین این مسأله اختلاف نظر هست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نبوءات نوستراداموس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مکتبه مدبولی،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نبوءات، نوستراداموس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33561</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کرامات الأولیاء، نبهانی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الکنز الموعود فی فضائح التلمود، شرقاوی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دعاها و نغمه‌های حضرت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کتاب زبور گردآمده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المسیح فی مصادر العقائد المسیحیه، احمد بن عبدالوهّاب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تنبوءات، نوستراداموس،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حماده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المستقبلیّه، شماره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مقاله مستقبل العالم، حسن سعید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کرامات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الکریم، محمّد فؤاد عبدالباقی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مادّۀ 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الامامه و الولایه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العصمه و شروط الحفاظ علی النظام، سیّد مهدی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دست 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کتاب بحث حول الامامه، کمال حیدری و نیز کتاب الامامة و الولایه، گروهی از نویسندگان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الوهّابیِّه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الولایه التکوینیّه بین الکتاب و السنه، هشام شری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الولایه التکوینیّه بین الکتاب و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السلیمانیّه، عبدالحسین نجفی لاری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الرد الی الکتاب،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الحجّه، باب فیه ذکر الصحیفه،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کتاب الحجّه، باب فیه ذکر الصحیفه،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الحجّه، باب معرفه الامام،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فی أن الأئمّة عندهم الصحیفه الجامعه</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الرّد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فی الائمّة انّهم یوفقون و یسددون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کتاب مصابیح الظلم،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مصابیح الظلم،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حقّ الله عزّوجلّ فی خلقه،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فضل العلم، باب النوادر،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الحجّه، باب التفویض الی رسول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الحجّه، باب أن الأرض لا تخلو من حجّه،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التوحید، باب البیان و التعریف و لزوم الحجّه،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حاکم 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توضیح الدلائل، علامه شهاب الدین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النور المشتعل، حافظ ابی نعیم احمد بن عبدالله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تنزیل الآیات، حافظ حسین حبری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قندوزی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استانبول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ارجح المطالب، علامه شیخ عبیدالله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لاحکام القرآن، علامه ابی عبدالله محمّد بن احمد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الاتقان،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استانبول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که آن را از شیعه و سنّی نقل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 اوّل و سکون دوّم، بر وزن دلبری و آن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جنابی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سر حلقه قرامطه که در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بحرین بپاخاست و جمعی از اعراب را گرد خویش فراهم کرد و فراسوی بصره تاختن برد و معتضد عبّاسی آهنگ سرکوفتنش کرد و لشکری به سرکردگی عبّاس بن عمرو غنوی برای سرکوبی اش فرستاد و میان لشکر معتضد و لشکر ابو سعید قرمطی، به شدّت جنگ در گرفت و در پایان، لشکر معتضد، شکست خورد و ابو سعید، فیروز گردید و عبّاس و بقیّت لشکر او را به اسیری گرفت و همچنین نوشتند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اسیران را بسوزانید و عبّاس را آزاد کرد تا خبر واقعه را به معتضد رساند و این قضیّه در سال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سال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به شام تاختن برد و در سال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خادمش در گرمابه کشته گردید و فرزندش ابو طاهر سلیمان بن ابی سعید بر جای پدر نشست و داستان تاختن قرامطه به مکّه و بردن حجر الأسود در زمان همین ابو طاهر قرمطی است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راهنمای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برقعی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انتشارات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روایت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هلال ثقفی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سنان بن انس 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کودک مذکور در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بود که در قتل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احمد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فی باب الخلاف، فی قتال اهل البغی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الکامل ،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المرتضوی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32978</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اصطلاح فلسفی، کاشفیّت از واقع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الامام ونهضة سید الشهداء ، علامه 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قطر الولی علی حدیث الولی، شوکانی، با تحقیق و مقدّمة ابراهیم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قطر الولی علی حدیث الولی، شوکانی، با تحقیق و مقدمّه ابراهیم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التصوّف،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به نقل از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اسعد سحمرانی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 بین اولیاء الرضا و اولیاء الشیطان،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الاعلام من آل اعین الکرام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 آن تعیین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سرگردان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الزیارة الجامعه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آل زراره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کلمات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غلات شیعه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محمّد را خلق کرد و سپس خلق دنیا را به او تفویض نمود و محمّد خالق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 که این کار را به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کرد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مُفوضه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عام جمیع فرقه هایی است که در باب پیغمبر اسلام و یا ائمّه شیعه، یا بزرگان اسلام، غلّو کرده و ایشان را درجه الوهیّت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درباره علی ابن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کرده و او را مرتبه الوهیّت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غلات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کنگره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حاشیه کتاب تلخیص الشافی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شیخ مفید و شیخ کلینی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در اصول کافی، یک باب مستقل به این امر اختصاص داده است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الائمّة یعلمون متی یموتون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 و در آن برخی از روایات ائمّه را در اثبات این مطلب آورده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حاشیه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259/42</w:t>
      </w:r>
      <w:r>
        <w:rPr>
          <w:rFonts w:ascii="IRNazanin" w:hAnsi="IRNazanin" w:eastAsia="IRNazanin"/>
          <w:b w:val="false"/>
          <w:b w:val="false"/>
          <w:bCs w:val="false"/>
          <w:i w:val="false"/>
          <w:i w:val="false"/>
          <w:iCs w:val="false"/>
          <w:color w:val="333333"/>
          <w:sz w:val="20"/>
          <w:sz w:val="20"/>
          <w:szCs w:val="20"/>
          <w:rtl w:val="true"/>
        </w:rPr>
        <w:t>؛ الدرة النجفیة،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اجوبة المسائل المهنائیّه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 علی قتلی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الفکر الاسلامی،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الامام و نهضة سیّد الشهداء، 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معصومین علیهم السلام فقط با اختیار خویش می میرند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سماته و سیرته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شما علم غیب دارید؟</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و بیشتر مفسّرین از شیعه و سنّی این معنا را پذیرفته‌اند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سال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محمّد رضا جلالی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29321</Words>
  <Characters>112146</Characters>
  <CharactersWithSpaces>140488</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2026-08-18T23:34:00Z</dcterms:created>
  <dc:creator>ghaemiyeh.com</dc:creator>
  <dc:description/>
  <dc:language>en-US</dc:language>
  <cp:lastModifiedBy/>
  <dcterms:modified xsi:type="dcterms:W3CDTF">2026-08-19T03:04:04Z</dcterms:modified>
  <cp:revision>1</cp:revision>
  <dc:subject/>
  <dc:title>آگاهی ائمه اثنی عشر علیهم السلام از غیب</dc:title>
</cp:coreProperties>
</file>

<file path=docProps/custom.xml><?xml version="1.0" encoding="utf-8"?>
<Properties xmlns="http://schemas.openxmlformats.org/officeDocument/2006/custom-properties" xmlns:vt="http://schemas.openxmlformats.org/officeDocument/2006/docPropsVTypes"/>
</file>