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مشروع دائرة المعارف الحسینیة الالفبائیة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3547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23549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23551_774463916">
            <w:r>
              <w:rPr>
                <w:webHidden/>
                <w:rStyle w:val="IndexLink"/>
                <w:rtl w:val="true"/>
              </w:rPr>
              <w:t>مقدّمة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1323553_774463916">
            <w:r>
              <w:rPr>
                <w:webHidden/>
                <w:rStyle w:val="IndexLink"/>
                <w:rtl w:val="true"/>
              </w:rPr>
              <w:t>مدخل</w:t>
            </w:r>
            <w:r>
              <w:rPr>
                <w:rStyle w:val="IndexLink"/>
                <w:rtl w:val="true"/>
              </w:rPr>
              <w:tab/>
            </w:r>
            <w:r>
              <w:rPr>
                <w:rStyle w:val="IndexLink"/>
              </w:rPr>
              <w:t>18</w:t>
            </w:r>
          </w:hyperlink>
        </w:p>
        <w:p>
          <w:pPr>
            <w:pStyle w:val="Contents3"/>
            <w:tabs>
              <w:tab w:val="clear" w:pos="8459"/>
              <w:tab w:val="right" w:pos="9026" w:leader="dot"/>
            </w:tabs>
            <w:rPr/>
          </w:pPr>
          <w:hyperlink w:anchor="__RefHeading___Toc1323555_774463916">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323557_774463916">
            <w:r>
              <w:rPr>
                <w:webHidden/>
                <w:rStyle w:val="IndexLink"/>
                <w:rtl w:val="true"/>
              </w:rPr>
              <w:t>ضرورة المشروع وأهمیته</w:t>
            </w:r>
            <w:r>
              <w:rPr>
                <w:rStyle w:val="IndexLink"/>
                <w:rtl w:val="true"/>
              </w:rPr>
              <w:tab/>
            </w:r>
            <w:r>
              <w:rPr>
                <w:rStyle w:val="IndexLink"/>
              </w:rPr>
              <w:t>20</w:t>
            </w:r>
          </w:hyperlink>
        </w:p>
        <w:p>
          <w:pPr>
            <w:pStyle w:val="Contents3"/>
            <w:tabs>
              <w:tab w:val="clear" w:pos="8459"/>
              <w:tab w:val="right" w:pos="9026" w:leader="dot"/>
            </w:tabs>
            <w:rPr/>
          </w:pPr>
          <w:hyperlink w:anchor="__RefHeading___Toc1323559_774463916">
            <w:r>
              <w:rPr>
                <w:webHidden/>
                <w:rStyle w:val="IndexLink"/>
                <w:rtl w:val="true"/>
              </w:rPr>
              <w:t>خصائص هذه الموسوعة</w:t>
            </w:r>
            <w:r>
              <w:rPr>
                <w:rStyle w:val="IndexLink"/>
                <w:rtl w:val="true"/>
              </w:rPr>
              <w:tab/>
            </w:r>
            <w:r>
              <w:rPr>
                <w:rStyle w:val="IndexLink"/>
              </w:rPr>
              <w:t>21</w:t>
            </w:r>
          </w:hyperlink>
        </w:p>
        <w:p>
          <w:pPr>
            <w:pStyle w:val="Contents3"/>
            <w:tabs>
              <w:tab w:val="clear" w:pos="8459"/>
              <w:tab w:val="right" w:pos="9026" w:leader="dot"/>
            </w:tabs>
            <w:rPr/>
          </w:pPr>
          <w:hyperlink w:anchor="__RefHeading___Toc1323561_774463916">
            <w:r>
              <w:rPr>
                <w:webHidden/>
                <w:rStyle w:val="IndexLink"/>
                <w:rtl w:val="true"/>
              </w:rPr>
              <w:t>تعریف الموسوعة</w:t>
            </w:r>
            <w:r>
              <w:rPr>
                <w:rStyle w:val="IndexLink"/>
                <w:rtl w:val="true"/>
              </w:rPr>
              <w:tab/>
            </w:r>
            <w:r>
              <w:rPr>
                <w:rStyle w:val="IndexLink"/>
              </w:rPr>
              <w:t>22</w:t>
            </w:r>
          </w:hyperlink>
        </w:p>
        <w:p>
          <w:pPr>
            <w:pStyle w:val="Contents3"/>
            <w:tabs>
              <w:tab w:val="clear" w:pos="8459"/>
              <w:tab w:val="right" w:pos="9026" w:leader="dot"/>
            </w:tabs>
            <w:rPr/>
          </w:pPr>
          <w:hyperlink w:anchor="__RefHeading___Toc1323563_774463916">
            <w:r>
              <w:rPr>
                <w:webHidden/>
                <w:rStyle w:val="IndexLink"/>
                <w:rtl w:val="true"/>
              </w:rPr>
              <w:t>اسم الموسوعة</w:t>
            </w:r>
            <w:r>
              <w:rPr>
                <w:rStyle w:val="IndexLink"/>
                <w:rtl w:val="true"/>
              </w:rPr>
              <w:tab/>
            </w:r>
            <w:r>
              <w:rPr>
                <w:rStyle w:val="IndexLink"/>
              </w:rPr>
              <w:t>22</w:t>
            </w:r>
          </w:hyperlink>
        </w:p>
        <w:p>
          <w:pPr>
            <w:pStyle w:val="Contents3"/>
            <w:tabs>
              <w:tab w:val="clear" w:pos="8459"/>
              <w:tab w:val="right" w:pos="9026" w:leader="dot"/>
            </w:tabs>
            <w:rPr/>
          </w:pPr>
          <w:hyperlink w:anchor="__RefHeading___Toc1323565_774463916">
            <w:r>
              <w:rPr>
                <w:webHidden/>
                <w:rStyle w:val="IndexLink"/>
                <w:rtl w:val="true"/>
              </w:rPr>
              <w:t>الأهداف</w:t>
            </w:r>
            <w:r>
              <w:rPr>
                <w:rStyle w:val="IndexLink"/>
                <w:rtl w:val="true"/>
              </w:rPr>
              <w:tab/>
            </w:r>
            <w:r>
              <w:rPr>
                <w:rStyle w:val="IndexLink"/>
              </w:rPr>
              <w:t>23</w:t>
            </w:r>
          </w:hyperlink>
        </w:p>
        <w:p>
          <w:pPr>
            <w:pStyle w:val="Contents3"/>
            <w:tabs>
              <w:tab w:val="clear" w:pos="8459"/>
              <w:tab w:val="right" w:pos="9026" w:leader="dot"/>
            </w:tabs>
            <w:rPr/>
          </w:pPr>
          <w:hyperlink w:anchor="__RefHeading___Toc1323567_774463916">
            <w:r>
              <w:rPr>
                <w:webHidden/>
                <w:rStyle w:val="IndexLink"/>
                <w:rtl w:val="true"/>
              </w:rPr>
              <w:t>المخاطب</w:t>
            </w:r>
            <w:r>
              <w:rPr>
                <w:rStyle w:val="IndexLink"/>
                <w:rtl w:val="true"/>
              </w:rPr>
              <w:tab/>
            </w:r>
            <w:r>
              <w:rPr>
                <w:rStyle w:val="IndexLink"/>
              </w:rPr>
              <w:t>23</w:t>
            </w:r>
          </w:hyperlink>
        </w:p>
        <w:p>
          <w:pPr>
            <w:pStyle w:val="Contents3"/>
            <w:tabs>
              <w:tab w:val="clear" w:pos="8459"/>
              <w:tab w:val="right" w:pos="9026" w:leader="dot"/>
            </w:tabs>
            <w:rPr/>
          </w:pPr>
          <w:hyperlink w:anchor="__RefHeading___Toc1323569_774463916">
            <w:r>
              <w:rPr>
                <w:webHidden/>
                <w:rStyle w:val="IndexLink"/>
                <w:rtl w:val="true"/>
              </w:rPr>
              <w:t>نظام کتابة دائرة المعارف</w:t>
            </w:r>
            <w:r>
              <w:rPr>
                <w:rStyle w:val="IndexLink"/>
                <w:rtl w:val="true"/>
              </w:rPr>
              <w:tab/>
            </w:r>
            <w:r>
              <w:rPr>
                <w:rStyle w:val="IndexLink"/>
              </w:rPr>
              <w:t>24</w:t>
            </w:r>
          </w:hyperlink>
        </w:p>
        <w:p>
          <w:pPr>
            <w:pStyle w:val="Contents3"/>
            <w:tabs>
              <w:tab w:val="clear" w:pos="8459"/>
              <w:tab w:val="right" w:pos="9026" w:leader="dot"/>
            </w:tabs>
            <w:rPr/>
          </w:pPr>
          <w:hyperlink w:anchor="__RefHeading___Toc1323571_774463916">
            <w:r>
              <w:rPr>
                <w:webHidden/>
                <w:rStyle w:val="IndexLink"/>
                <w:rtl w:val="true"/>
              </w:rPr>
              <w:t>حجم دائرة المعارف</w:t>
            </w:r>
            <w:r>
              <w:rPr>
                <w:rStyle w:val="IndexLink"/>
                <w:rtl w:val="true"/>
              </w:rPr>
              <w:tab/>
            </w:r>
            <w:r>
              <w:rPr>
                <w:rStyle w:val="IndexLink"/>
              </w:rPr>
              <w:t>25</w:t>
            </w:r>
          </w:hyperlink>
        </w:p>
        <w:p>
          <w:pPr>
            <w:pStyle w:val="Contents3"/>
            <w:tabs>
              <w:tab w:val="clear" w:pos="8459"/>
              <w:tab w:val="right" w:pos="9026" w:leader="dot"/>
            </w:tabs>
            <w:rPr/>
          </w:pPr>
          <w:hyperlink w:anchor="__RefHeading___Toc1323573_774463916">
            <w:r>
              <w:rPr>
                <w:webHidden/>
                <w:rStyle w:val="IndexLink"/>
                <w:rtl w:val="true"/>
              </w:rPr>
              <w:t>زمان إنجاز دائرة المعارف</w:t>
            </w:r>
            <w:r>
              <w:rPr>
                <w:rStyle w:val="IndexLink"/>
                <w:rtl w:val="true"/>
              </w:rPr>
              <w:tab/>
            </w:r>
            <w:r>
              <w:rPr>
                <w:rStyle w:val="IndexLink"/>
              </w:rPr>
              <w:t>25</w:t>
            </w:r>
          </w:hyperlink>
        </w:p>
        <w:p>
          <w:pPr>
            <w:pStyle w:val="Contents2"/>
            <w:tabs>
              <w:tab w:val="clear" w:pos="8743"/>
              <w:tab w:val="right" w:pos="9026" w:leader="dot"/>
            </w:tabs>
            <w:rPr/>
          </w:pPr>
          <w:hyperlink w:anchor="__RefHeading___Toc1323575_774463916">
            <w:r>
              <w:rPr>
                <w:webHidden/>
                <w:rStyle w:val="IndexLink"/>
                <w:rtl w:val="true"/>
              </w:rPr>
              <w:t>المفاصل الرئیسة ومراحل العمل</w:t>
            </w:r>
            <w:r>
              <w:rPr>
                <w:rStyle w:val="IndexLink"/>
                <w:rtl w:val="true"/>
              </w:rPr>
              <w:tab/>
            </w:r>
            <w:r>
              <w:rPr>
                <w:rStyle w:val="IndexLink"/>
              </w:rPr>
              <w:t>26</w:t>
            </w:r>
          </w:hyperlink>
        </w:p>
        <w:p>
          <w:pPr>
            <w:pStyle w:val="Contents3"/>
            <w:tabs>
              <w:tab w:val="clear" w:pos="8459"/>
              <w:tab w:val="right" w:pos="9026" w:leader="dot"/>
            </w:tabs>
            <w:rPr/>
          </w:pPr>
          <w:hyperlink w:anchor="__RefHeading___Toc1323577_774463916">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323579_774463916">
            <w:r>
              <w:rPr>
                <w:webHidden/>
                <w:rStyle w:val="IndexLink"/>
                <w:rtl w:val="true"/>
              </w:rPr>
              <w:t>أولاً</w:t>
            </w:r>
            <w:r>
              <w:rPr>
                <w:rStyle w:val="IndexLink"/>
                <w:rtl w:val="true"/>
              </w:rPr>
              <w:t xml:space="preserve">: </w:t>
            </w:r>
            <w:r>
              <w:rPr>
                <w:rStyle w:val="IndexLink"/>
                <w:rtl w:val="true"/>
              </w:rPr>
              <w:t>اللجنة العلمیة ومهامها</w:t>
            </w:r>
            <w:r>
              <w:rPr>
                <w:rStyle w:val="IndexLink"/>
                <w:rtl w:val="true"/>
              </w:rPr>
              <w:tab/>
            </w:r>
            <w:r>
              <w:rPr>
                <w:rStyle w:val="IndexLink"/>
              </w:rPr>
              <w:t>26</w:t>
            </w:r>
          </w:hyperlink>
        </w:p>
        <w:p>
          <w:pPr>
            <w:pStyle w:val="Contents3"/>
            <w:tabs>
              <w:tab w:val="clear" w:pos="8459"/>
              <w:tab w:val="right" w:pos="9026" w:leader="dot"/>
            </w:tabs>
            <w:rPr/>
          </w:pPr>
          <w:hyperlink w:anchor="__RefHeading___Toc1323581_774463916">
            <w:r>
              <w:rPr>
                <w:webHidden/>
                <w:rStyle w:val="IndexLink"/>
                <w:rtl w:val="true"/>
              </w:rPr>
              <w:t>ثانیاً</w:t>
            </w:r>
            <w:r>
              <w:rPr>
                <w:rStyle w:val="IndexLink"/>
                <w:rtl w:val="true"/>
              </w:rPr>
              <w:t xml:space="preserve">: </w:t>
            </w:r>
            <w:r>
              <w:rPr>
                <w:rStyle w:val="IndexLink"/>
                <w:rtl w:val="true"/>
              </w:rPr>
              <w:t>المداخل</w:t>
            </w:r>
            <w:r>
              <w:rPr>
                <w:rStyle w:val="IndexLink"/>
                <w:rtl w:val="true"/>
              </w:rPr>
              <w:tab/>
            </w:r>
            <w:r>
              <w:rPr>
                <w:rStyle w:val="IndexLink"/>
              </w:rPr>
              <w:t>27</w:t>
            </w:r>
          </w:hyperlink>
        </w:p>
        <w:p>
          <w:pPr>
            <w:pStyle w:val="Contents4"/>
            <w:tabs>
              <w:tab w:val="clear" w:pos="8176"/>
              <w:tab w:val="right" w:pos="9026" w:leader="dot"/>
            </w:tabs>
            <w:rPr/>
          </w:pPr>
          <w:hyperlink w:anchor="__RefHeading___Toc1323583_774463916">
            <w:r>
              <w:rPr>
                <w:webHidden/>
                <w:rStyle w:val="IndexLink"/>
                <w:rtl w:val="true"/>
              </w:rPr>
              <w:t>أ</w:t>
            </w:r>
            <w:r>
              <w:rPr>
                <w:rStyle w:val="IndexLink"/>
                <w:rtl w:val="true"/>
              </w:rPr>
              <w:t xml:space="preserve">- </w:t>
            </w:r>
            <w:r>
              <w:rPr>
                <w:rStyle w:val="IndexLink"/>
                <w:rtl w:val="true"/>
              </w:rPr>
              <w:t>تعریف المدخل</w:t>
            </w:r>
            <w:r>
              <w:rPr>
                <w:rStyle w:val="IndexLink"/>
                <w:rtl w:val="true"/>
              </w:rPr>
              <w:tab/>
            </w:r>
            <w:r>
              <w:rPr>
                <w:rStyle w:val="IndexLink"/>
              </w:rPr>
              <w:t>27</w:t>
            </w:r>
          </w:hyperlink>
        </w:p>
        <w:p>
          <w:pPr>
            <w:pStyle w:val="Contents4"/>
            <w:tabs>
              <w:tab w:val="clear" w:pos="8176"/>
              <w:tab w:val="right" w:pos="9026" w:leader="dot"/>
            </w:tabs>
            <w:rPr/>
          </w:pPr>
          <w:hyperlink w:anchor="__RefHeading___Toc1323585_774463916">
            <w:r>
              <w:rPr>
                <w:webHidden/>
                <w:rStyle w:val="IndexLink"/>
                <w:rtl w:val="true"/>
              </w:rPr>
              <w:t xml:space="preserve">ب </w:t>
            </w:r>
            <w:r>
              <w:rPr>
                <w:rStyle w:val="IndexLink"/>
                <w:rtl w:val="true"/>
              </w:rPr>
              <w:t xml:space="preserve">- </w:t>
            </w:r>
            <w:r>
              <w:rPr>
                <w:rStyle w:val="IndexLink"/>
                <w:rtl w:val="true"/>
              </w:rPr>
              <w:t>أنواع المداخل</w:t>
            </w:r>
            <w:r>
              <w:rPr>
                <w:rStyle w:val="IndexLink"/>
                <w:rtl w:val="true"/>
              </w:rPr>
              <w:tab/>
            </w:r>
            <w:r>
              <w:rPr>
                <w:rStyle w:val="IndexLink"/>
              </w:rPr>
              <w:t>27</w:t>
            </w:r>
          </w:hyperlink>
        </w:p>
        <w:p>
          <w:pPr>
            <w:pStyle w:val="Contents5"/>
            <w:tabs>
              <w:tab w:val="clear" w:pos="7892"/>
              <w:tab w:val="right" w:pos="9026" w:leader="dot"/>
            </w:tabs>
            <w:rPr/>
          </w:pPr>
          <w:hyperlink w:anchor="__RefHeading___Toc1323587_774463916">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323589_774463916">
            <w:r>
              <w:rPr>
                <w:webHidden/>
                <w:rStyle w:val="IndexLink"/>
                <w:rtl w:val="true"/>
              </w:rPr>
              <w:t>تنبیه</w:t>
            </w:r>
            <w:r>
              <w:rPr>
                <w:rStyle w:val="IndexLink"/>
                <w:rtl w:val="true"/>
              </w:rPr>
              <w:tab/>
            </w:r>
            <w:r>
              <w:rPr>
                <w:rStyle w:val="IndexLink"/>
              </w:rPr>
              <w:t>28</w:t>
            </w:r>
          </w:hyperlink>
        </w:p>
        <w:p>
          <w:pPr>
            <w:pStyle w:val="Contents4"/>
            <w:tabs>
              <w:tab w:val="clear" w:pos="8176"/>
              <w:tab w:val="right" w:pos="9026" w:leader="dot"/>
            </w:tabs>
            <w:rPr/>
          </w:pPr>
          <w:hyperlink w:anchor="__RefHeading___Toc1323591_774463916">
            <w:r>
              <w:rPr>
                <w:webHidden/>
                <w:rStyle w:val="IndexLink"/>
                <w:rtl w:val="true"/>
              </w:rPr>
              <w:t xml:space="preserve">ج </w:t>
            </w:r>
            <w:r>
              <w:rPr>
                <w:rStyle w:val="IndexLink"/>
                <w:rtl w:val="true"/>
              </w:rPr>
              <w:t xml:space="preserve">- </w:t>
            </w:r>
            <w:r>
              <w:rPr>
                <w:rStyle w:val="IndexLink"/>
                <w:rtl w:val="true"/>
              </w:rPr>
              <w:t>خصائص المدخل</w:t>
            </w:r>
            <w:r>
              <w:rPr>
                <w:rStyle w:val="IndexLink"/>
                <w:rtl w:val="true"/>
              </w:rPr>
              <w:tab/>
            </w:r>
            <w:r>
              <w:rPr>
                <w:rStyle w:val="IndexLink"/>
              </w:rPr>
              <w:t>28</w:t>
            </w:r>
          </w:hyperlink>
        </w:p>
        <w:p>
          <w:pPr>
            <w:pStyle w:val="Contents4"/>
            <w:tabs>
              <w:tab w:val="clear" w:pos="8176"/>
              <w:tab w:val="right" w:pos="9026" w:leader="dot"/>
            </w:tabs>
            <w:rPr/>
          </w:pPr>
          <w:hyperlink w:anchor="__RefHeading___Toc1323593_774463916">
            <w:r>
              <w:rPr>
                <w:webHidden/>
                <w:rStyle w:val="IndexLink"/>
                <w:rtl w:val="true"/>
              </w:rPr>
              <w:t xml:space="preserve">د </w:t>
            </w:r>
            <w:r>
              <w:rPr>
                <w:rStyle w:val="IndexLink"/>
                <w:rtl w:val="true"/>
              </w:rPr>
              <w:t xml:space="preserve">- </w:t>
            </w:r>
            <w:r>
              <w:rPr>
                <w:rStyle w:val="IndexLink"/>
                <w:rtl w:val="true"/>
              </w:rPr>
              <w:t>ترتیب المداخل</w:t>
            </w:r>
            <w:r>
              <w:rPr>
                <w:rStyle w:val="IndexLink"/>
                <w:rtl w:val="true"/>
              </w:rPr>
              <w:tab/>
            </w:r>
            <w:r>
              <w:rPr>
                <w:rStyle w:val="IndexLink"/>
              </w:rPr>
              <w:t>29</w:t>
            </w:r>
          </w:hyperlink>
        </w:p>
        <w:p>
          <w:pPr>
            <w:pStyle w:val="Contents4"/>
            <w:tabs>
              <w:tab w:val="clear" w:pos="8176"/>
              <w:tab w:val="right" w:pos="9026" w:leader="dot"/>
            </w:tabs>
            <w:rPr/>
          </w:pPr>
          <w:hyperlink w:anchor="__RefHeading___Toc1323595_774463916">
            <w:r>
              <w:rPr>
                <w:webHidden/>
                <w:rStyle w:val="IndexLink"/>
                <w:rtl w:val="true"/>
              </w:rPr>
              <w:t>ه</w:t>
            </w:r>
            <w:r>
              <w:rPr>
                <w:rStyle w:val="IndexLink"/>
                <w:rtl w:val="true"/>
              </w:rPr>
              <w:t xml:space="preserve">- - </w:t>
            </w:r>
            <w:r>
              <w:rPr>
                <w:rStyle w:val="IndexLink"/>
                <w:rtl w:val="true"/>
              </w:rPr>
              <w:t>معاییر المدخل الحسینی</w:t>
            </w:r>
            <w:r>
              <w:rPr>
                <w:rStyle w:val="IndexLink"/>
                <w:rtl w:val="true"/>
              </w:rPr>
              <w:tab/>
            </w:r>
            <w:r>
              <w:rPr>
                <w:rStyle w:val="IndexLink"/>
              </w:rPr>
              <w:t>29</w:t>
            </w:r>
          </w:hyperlink>
        </w:p>
        <w:p>
          <w:pPr>
            <w:pStyle w:val="Contents5"/>
            <w:tabs>
              <w:tab w:val="clear" w:pos="7892"/>
              <w:tab w:val="right" w:pos="9026" w:leader="dot"/>
            </w:tabs>
            <w:rPr/>
          </w:pPr>
          <w:hyperlink w:anchor="__RefHeading___Toc1323597_774463916">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323599_774463916">
            <w:r>
              <w:rPr>
                <w:webHidden/>
                <w:rStyle w:val="IndexLink"/>
                <w:rtl w:val="true"/>
              </w:rPr>
              <w:t>أولاً</w:t>
            </w:r>
            <w:r>
              <w:rPr>
                <w:rStyle w:val="IndexLink"/>
                <w:rtl w:val="true"/>
              </w:rPr>
              <w:t xml:space="preserve">: </w:t>
            </w:r>
            <w:r>
              <w:rPr>
                <w:rStyle w:val="IndexLink"/>
                <w:rtl w:val="true"/>
              </w:rPr>
              <w:t>المفاهیم</w:t>
            </w:r>
            <w:r>
              <w:rPr>
                <w:rStyle w:val="IndexLink"/>
                <w:rtl w:val="true"/>
              </w:rPr>
              <w:tab/>
            </w:r>
            <w:r>
              <w:rPr>
                <w:rStyle w:val="IndexLink"/>
              </w:rPr>
              <w:t>29</w:t>
            </w:r>
          </w:hyperlink>
        </w:p>
        <w:p>
          <w:pPr>
            <w:pStyle w:val="Contents6"/>
            <w:tabs>
              <w:tab w:val="clear" w:pos="7609"/>
              <w:tab w:val="right" w:pos="9026" w:leader="dot"/>
            </w:tabs>
            <w:rPr/>
          </w:pPr>
          <w:hyperlink w:anchor="__RefHeading___Toc1323601_774463916">
            <w:r>
              <w:rPr>
                <w:webHidden/>
                <w:rStyle w:val="IndexLink"/>
                <w:rtl w:val="true"/>
              </w:rPr>
              <w:t xml:space="preserve">ألف </w:t>
            </w:r>
            <w:r>
              <w:rPr>
                <w:rStyle w:val="IndexLink"/>
                <w:rtl w:val="true"/>
              </w:rPr>
              <w:t xml:space="preserve">- </w:t>
            </w:r>
            <w:r>
              <w:rPr>
                <w:rStyle w:val="IndexLink"/>
                <w:rtl w:val="true"/>
              </w:rPr>
              <w:t>الضوابط والمعاییر</w:t>
            </w:r>
            <w:r>
              <w:rPr>
                <w:rStyle w:val="IndexLink"/>
                <w:rtl w:val="true"/>
              </w:rPr>
              <w:tab/>
            </w:r>
            <w:r>
              <w:rPr>
                <w:rStyle w:val="IndexLink"/>
              </w:rPr>
              <w:t>29</w:t>
            </w:r>
          </w:hyperlink>
        </w:p>
        <w:p>
          <w:pPr>
            <w:pStyle w:val="Contents6"/>
            <w:tabs>
              <w:tab w:val="clear" w:pos="7609"/>
              <w:tab w:val="right" w:pos="9026" w:leader="dot"/>
            </w:tabs>
            <w:rPr/>
          </w:pPr>
          <w:hyperlink w:anchor="__RefHeading___Toc1323603_774463916">
            <w:r>
              <w:rPr>
                <w:webHidden/>
                <w:rStyle w:val="IndexLink"/>
                <w:rtl w:val="true"/>
              </w:rPr>
              <w:t xml:space="preserve">ب </w:t>
            </w:r>
            <w:r>
              <w:rPr>
                <w:rStyle w:val="IndexLink"/>
                <w:rtl w:val="true"/>
              </w:rPr>
              <w:t xml:space="preserve">- </w:t>
            </w:r>
            <w:r>
              <w:rPr>
                <w:rStyle w:val="IndexLink"/>
                <w:rtl w:val="true"/>
              </w:rPr>
              <w:t>المحاور</w:t>
            </w:r>
            <w:r>
              <w:rPr>
                <w:rStyle w:val="IndexLink"/>
                <w:rtl w:val="true"/>
              </w:rPr>
              <w:tab/>
            </w:r>
            <w:r>
              <w:rPr>
                <w:rStyle w:val="IndexLink"/>
              </w:rPr>
              <w:t>30</w:t>
            </w:r>
          </w:hyperlink>
        </w:p>
        <w:p>
          <w:pPr>
            <w:pStyle w:val="Contents5"/>
            <w:tabs>
              <w:tab w:val="clear" w:pos="7892"/>
              <w:tab w:val="right" w:pos="9026" w:leader="dot"/>
            </w:tabs>
            <w:rPr/>
          </w:pPr>
          <w:hyperlink w:anchor="__RefHeading___Toc1323605_774463916">
            <w:r>
              <w:rPr>
                <w:webHidden/>
                <w:rStyle w:val="IndexLink"/>
                <w:rtl w:val="true"/>
              </w:rPr>
              <w:t>ثانیاً</w:t>
            </w:r>
            <w:r>
              <w:rPr>
                <w:rStyle w:val="IndexLink"/>
                <w:rtl w:val="true"/>
              </w:rPr>
              <w:t xml:space="preserve">: </w:t>
            </w:r>
            <w:r>
              <w:rPr>
                <w:rStyle w:val="IndexLink"/>
                <w:rtl w:val="true"/>
              </w:rPr>
              <w:t>الثقافة والأدب والفن</w:t>
            </w:r>
            <w:r>
              <w:rPr>
                <w:rStyle w:val="IndexLink"/>
                <w:rtl w:val="true"/>
              </w:rPr>
              <w:tab/>
            </w:r>
            <w:r>
              <w:rPr>
                <w:rStyle w:val="IndexLink"/>
              </w:rPr>
              <w:t>30</w:t>
            </w:r>
          </w:hyperlink>
        </w:p>
        <w:p>
          <w:pPr>
            <w:pStyle w:val="Contents6"/>
            <w:tabs>
              <w:tab w:val="clear" w:pos="7609"/>
              <w:tab w:val="right" w:pos="9026" w:leader="dot"/>
            </w:tabs>
            <w:rPr/>
          </w:pPr>
          <w:hyperlink w:anchor="__RefHeading___Toc1323607_774463916">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1323609_774463916">
            <w:r>
              <w:rPr>
                <w:webHidden/>
                <w:rStyle w:val="IndexLink"/>
                <w:rtl w:val="true"/>
              </w:rPr>
              <w:t xml:space="preserve">ألف </w:t>
            </w:r>
            <w:r>
              <w:rPr>
                <w:rStyle w:val="IndexLink"/>
                <w:rtl w:val="true"/>
              </w:rPr>
              <w:t xml:space="preserve">- </w:t>
            </w:r>
            <w:r>
              <w:rPr>
                <w:rStyle w:val="IndexLink"/>
                <w:rtl w:val="true"/>
              </w:rPr>
              <w:t>الضوابط والمعاییر</w:t>
            </w:r>
            <w:r>
              <w:rPr>
                <w:rStyle w:val="IndexLink"/>
                <w:rtl w:val="true"/>
              </w:rPr>
              <w:tab/>
            </w:r>
            <w:r>
              <w:rPr>
                <w:rStyle w:val="IndexLink"/>
              </w:rPr>
              <w:t>30</w:t>
            </w:r>
          </w:hyperlink>
        </w:p>
        <w:p>
          <w:pPr>
            <w:pStyle w:val="Contents6"/>
            <w:tabs>
              <w:tab w:val="clear" w:pos="7609"/>
              <w:tab w:val="right" w:pos="9026" w:leader="dot"/>
            </w:tabs>
            <w:rPr/>
          </w:pPr>
          <w:hyperlink w:anchor="__RefHeading___Toc1323611_774463916">
            <w:r>
              <w:rPr>
                <w:webHidden/>
                <w:rStyle w:val="IndexLink"/>
                <w:rtl w:val="true"/>
              </w:rPr>
              <w:t xml:space="preserve">ب </w:t>
            </w:r>
            <w:r>
              <w:rPr>
                <w:rStyle w:val="IndexLink"/>
                <w:rtl w:val="true"/>
              </w:rPr>
              <w:t xml:space="preserve">- </w:t>
            </w:r>
            <w:r>
              <w:rPr>
                <w:rStyle w:val="IndexLink"/>
                <w:rtl w:val="true"/>
              </w:rPr>
              <w:t>المحاور</w:t>
            </w:r>
            <w:r>
              <w:rPr>
                <w:rStyle w:val="IndexLink"/>
                <w:rtl w:val="true"/>
              </w:rPr>
              <w:tab/>
            </w:r>
            <w:r>
              <w:rPr>
                <w:rStyle w:val="IndexLink"/>
              </w:rPr>
              <w:t>31</w:t>
            </w:r>
          </w:hyperlink>
        </w:p>
        <w:p>
          <w:pPr>
            <w:pStyle w:val="Contents5"/>
            <w:tabs>
              <w:tab w:val="clear" w:pos="7892"/>
              <w:tab w:val="right" w:pos="9026" w:leader="dot"/>
            </w:tabs>
            <w:rPr/>
          </w:pPr>
          <w:hyperlink w:anchor="__RefHeading___Toc1323613_774463916">
            <w:r>
              <w:rPr>
                <w:webHidden/>
                <w:rStyle w:val="IndexLink"/>
                <w:rtl w:val="true"/>
              </w:rPr>
              <w:t>ثالثاً</w:t>
            </w:r>
            <w:r>
              <w:rPr>
                <w:rStyle w:val="IndexLink"/>
                <w:rtl w:val="true"/>
              </w:rPr>
              <w:t xml:space="preserve">: </w:t>
            </w:r>
            <w:r>
              <w:rPr>
                <w:rStyle w:val="IndexLink"/>
                <w:rtl w:val="true"/>
              </w:rPr>
              <w:t>المسائل التاریخیة</w:t>
            </w:r>
            <w:r>
              <w:rPr>
                <w:rStyle w:val="IndexLink"/>
                <w:rtl w:val="true"/>
              </w:rPr>
              <w:tab/>
            </w:r>
            <w:r>
              <w:rPr>
                <w:rStyle w:val="IndexLink"/>
              </w:rPr>
              <w:t>31</w:t>
            </w:r>
          </w:hyperlink>
        </w:p>
        <w:p>
          <w:pPr>
            <w:pStyle w:val="Contents6"/>
            <w:tabs>
              <w:tab w:val="clear" w:pos="7609"/>
              <w:tab w:val="right" w:pos="9026" w:leader="dot"/>
            </w:tabs>
            <w:rPr/>
          </w:pPr>
          <w:hyperlink w:anchor="__RefHeading___Toc1323615_774463916">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1323617_774463916">
            <w:r>
              <w:rPr>
                <w:webHidden/>
                <w:rStyle w:val="IndexLink"/>
                <w:rtl w:val="true"/>
              </w:rPr>
              <w:t xml:space="preserve">ألف </w:t>
            </w:r>
            <w:r>
              <w:rPr>
                <w:rStyle w:val="IndexLink"/>
                <w:rtl w:val="true"/>
              </w:rPr>
              <w:t xml:space="preserve">- </w:t>
            </w:r>
            <w:r>
              <w:rPr>
                <w:rStyle w:val="IndexLink"/>
                <w:rtl w:val="true"/>
              </w:rPr>
              <w:t>الضوابط والمعاییر</w:t>
            </w:r>
            <w:r>
              <w:rPr>
                <w:rStyle w:val="IndexLink"/>
                <w:rtl w:val="true"/>
              </w:rPr>
              <w:tab/>
            </w:r>
            <w:r>
              <w:rPr>
                <w:rStyle w:val="IndexLink"/>
              </w:rPr>
              <w:t>31</w:t>
            </w:r>
          </w:hyperlink>
        </w:p>
        <w:p>
          <w:pPr>
            <w:pStyle w:val="Contents6"/>
            <w:tabs>
              <w:tab w:val="clear" w:pos="7609"/>
              <w:tab w:val="right" w:pos="9026" w:leader="dot"/>
            </w:tabs>
            <w:rPr/>
          </w:pPr>
          <w:hyperlink w:anchor="__RefHeading___Toc1323619_774463916">
            <w:r>
              <w:rPr>
                <w:webHidden/>
                <w:rStyle w:val="IndexLink"/>
                <w:rtl w:val="true"/>
              </w:rPr>
              <w:t xml:space="preserve">ب </w:t>
            </w:r>
            <w:r>
              <w:rPr>
                <w:rStyle w:val="IndexLink"/>
                <w:rtl w:val="true"/>
              </w:rPr>
              <w:t xml:space="preserve">- </w:t>
            </w:r>
            <w:r>
              <w:rPr>
                <w:rStyle w:val="IndexLink"/>
                <w:rtl w:val="true"/>
              </w:rPr>
              <w:t>المحاور</w:t>
            </w:r>
            <w:r>
              <w:rPr>
                <w:rStyle w:val="IndexLink"/>
                <w:rtl w:val="true"/>
              </w:rPr>
              <w:tab/>
            </w:r>
            <w:r>
              <w:rPr>
                <w:rStyle w:val="IndexLink"/>
              </w:rPr>
              <w:t>31</w:t>
            </w:r>
          </w:hyperlink>
        </w:p>
        <w:p>
          <w:pPr>
            <w:pStyle w:val="Contents5"/>
            <w:tabs>
              <w:tab w:val="clear" w:pos="7892"/>
              <w:tab w:val="right" w:pos="9026" w:leader="dot"/>
            </w:tabs>
            <w:rPr/>
          </w:pPr>
          <w:hyperlink w:anchor="__RefHeading___Toc1323621_774463916">
            <w:r>
              <w:rPr>
                <w:webHidden/>
                <w:rStyle w:val="IndexLink"/>
                <w:rtl w:val="true"/>
              </w:rPr>
              <w:t>رابعاً</w:t>
            </w:r>
            <w:r>
              <w:rPr>
                <w:rStyle w:val="IndexLink"/>
                <w:rtl w:val="true"/>
              </w:rPr>
              <w:t xml:space="preserve">: </w:t>
            </w:r>
            <w:r>
              <w:rPr>
                <w:rStyle w:val="IndexLink"/>
                <w:rtl w:val="true"/>
              </w:rPr>
              <w:t>الأعلام</w:t>
            </w:r>
            <w:r>
              <w:rPr>
                <w:rStyle w:val="IndexLink"/>
                <w:rtl w:val="true"/>
              </w:rPr>
              <w:tab/>
            </w:r>
            <w:r>
              <w:rPr>
                <w:rStyle w:val="IndexLink"/>
              </w:rPr>
              <w:t>32</w:t>
            </w:r>
          </w:hyperlink>
        </w:p>
        <w:p>
          <w:pPr>
            <w:pStyle w:val="Contents6"/>
            <w:tabs>
              <w:tab w:val="clear" w:pos="7609"/>
              <w:tab w:val="right" w:pos="9026" w:leader="dot"/>
            </w:tabs>
            <w:rPr/>
          </w:pPr>
          <w:hyperlink w:anchor="__RefHeading___Toc1323623_774463916">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1323625_774463916">
            <w:r>
              <w:rPr>
                <w:webHidden/>
                <w:rStyle w:val="IndexLink"/>
                <w:rtl w:val="true"/>
              </w:rPr>
              <w:t xml:space="preserve">ألف </w:t>
            </w:r>
            <w:r>
              <w:rPr>
                <w:rStyle w:val="IndexLink"/>
                <w:rtl w:val="true"/>
              </w:rPr>
              <w:t xml:space="preserve">- </w:t>
            </w:r>
            <w:r>
              <w:rPr>
                <w:rStyle w:val="IndexLink"/>
                <w:rtl w:val="true"/>
              </w:rPr>
              <w:t>الضوابط والمعاییر</w:t>
            </w:r>
            <w:r>
              <w:rPr>
                <w:rStyle w:val="IndexLink"/>
                <w:rtl w:val="true"/>
              </w:rPr>
              <w:tab/>
            </w:r>
            <w:r>
              <w:rPr>
                <w:rStyle w:val="IndexLink"/>
              </w:rPr>
              <w:t>32</w:t>
            </w:r>
          </w:hyperlink>
        </w:p>
        <w:p>
          <w:pPr>
            <w:pStyle w:val="Contents6"/>
            <w:tabs>
              <w:tab w:val="clear" w:pos="7609"/>
              <w:tab w:val="right" w:pos="9026" w:leader="dot"/>
            </w:tabs>
            <w:rPr/>
          </w:pPr>
          <w:hyperlink w:anchor="__RefHeading___Toc1323627_774463916">
            <w:r>
              <w:rPr>
                <w:webHidden/>
                <w:rStyle w:val="IndexLink"/>
                <w:rtl w:val="true"/>
              </w:rPr>
              <w:t xml:space="preserve">ب </w:t>
            </w:r>
            <w:r>
              <w:rPr>
                <w:rStyle w:val="IndexLink"/>
                <w:rtl w:val="true"/>
              </w:rPr>
              <w:t xml:space="preserve">- </w:t>
            </w:r>
            <w:r>
              <w:rPr>
                <w:rStyle w:val="IndexLink"/>
                <w:rtl w:val="true"/>
              </w:rPr>
              <w:t>المحاور</w:t>
            </w:r>
            <w:r>
              <w:rPr>
                <w:rStyle w:val="IndexLink"/>
                <w:rtl w:val="true"/>
              </w:rPr>
              <w:tab/>
            </w:r>
            <w:r>
              <w:rPr>
                <w:rStyle w:val="IndexLink"/>
              </w:rPr>
              <w:t>33</w:t>
            </w:r>
          </w:hyperlink>
        </w:p>
        <w:p>
          <w:pPr>
            <w:pStyle w:val="Contents5"/>
            <w:tabs>
              <w:tab w:val="clear" w:pos="7892"/>
              <w:tab w:val="right" w:pos="9026" w:leader="dot"/>
            </w:tabs>
            <w:rPr/>
          </w:pPr>
          <w:hyperlink w:anchor="__RefHeading___Toc1323629_774463916">
            <w:r>
              <w:rPr>
                <w:webHidden/>
                <w:rStyle w:val="IndexLink"/>
                <w:rtl w:val="true"/>
              </w:rPr>
              <w:t>خامساً</w:t>
            </w:r>
            <w:r>
              <w:rPr>
                <w:rStyle w:val="IndexLink"/>
                <w:rtl w:val="true"/>
              </w:rPr>
              <w:t xml:space="preserve">: </w:t>
            </w:r>
            <w:r>
              <w:rPr>
                <w:rStyle w:val="IndexLink"/>
                <w:rtl w:val="true"/>
              </w:rPr>
              <w:t>الأماکن والمواقع الجغرافیة</w:t>
            </w:r>
            <w:r>
              <w:rPr>
                <w:rStyle w:val="IndexLink"/>
                <w:rtl w:val="true"/>
              </w:rPr>
              <w:tab/>
            </w:r>
            <w:r>
              <w:rPr>
                <w:rStyle w:val="IndexLink"/>
              </w:rPr>
              <w:t>33</w:t>
            </w:r>
          </w:hyperlink>
        </w:p>
        <w:p>
          <w:pPr>
            <w:pStyle w:val="Contents6"/>
            <w:tabs>
              <w:tab w:val="clear" w:pos="7609"/>
              <w:tab w:val="right" w:pos="9026" w:leader="dot"/>
            </w:tabs>
            <w:rPr/>
          </w:pPr>
          <w:hyperlink w:anchor="__RefHeading___Toc1323631_774463916">
            <w:r>
              <w:rPr>
                <w:webHidden/>
                <w:rStyle w:val="IndexLink"/>
                <w:rtl w:val="true"/>
              </w:rPr>
              <w:t xml:space="preserve">ألف </w:t>
            </w:r>
            <w:r>
              <w:rPr>
                <w:rStyle w:val="IndexLink"/>
                <w:rtl w:val="true"/>
              </w:rPr>
              <w:t xml:space="preserve">- </w:t>
            </w:r>
            <w:r>
              <w:rPr>
                <w:rStyle w:val="IndexLink"/>
                <w:rtl w:val="true"/>
              </w:rPr>
              <w:t>الضوابط والمعاییر</w:t>
            </w:r>
            <w:r>
              <w:rPr>
                <w:rStyle w:val="IndexLink"/>
                <w:rtl w:val="true"/>
              </w:rPr>
              <w:tab/>
            </w:r>
            <w:r>
              <w:rPr>
                <w:rStyle w:val="IndexLink"/>
              </w:rPr>
              <w:t>33</w:t>
            </w:r>
          </w:hyperlink>
        </w:p>
        <w:p>
          <w:pPr>
            <w:pStyle w:val="Contents6"/>
            <w:tabs>
              <w:tab w:val="clear" w:pos="7609"/>
              <w:tab w:val="right" w:pos="9026" w:leader="dot"/>
            </w:tabs>
            <w:rPr/>
          </w:pPr>
          <w:hyperlink w:anchor="__RefHeading___Toc1323633_774463916">
            <w:r>
              <w:rPr>
                <w:webHidden/>
                <w:rStyle w:val="IndexLink"/>
                <w:rtl w:val="true"/>
              </w:rPr>
              <w:t xml:space="preserve">ب </w:t>
            </w:r>
            <w:r>
              <w:rPr>
                <w:rStyle w:val="IndexLink"/>
                <w:rtl w:val="true"/>
              </w:rPr>
              <w:t xml:space="preserve">- </w:t>
            </w:r>
            <w:r>
              <w:rPr>
                <w:rStyle w:val="IndexLink"/>
                <w:rtl w:val="true"/>
              </w:rPr>
              <w:t>المحاور</w:t>
            </w:r>
            <w:r>
              <w:rPr>
                <w:rStyle w:val="IndexLink"/>
                <w:rtl w:val="true"/>
              </w:rPr>
              <w:tab/>
            </w:r>
            <w:r>
              <w:rPr>
                <w:rStyle w:val="IndexLink"/>
              </w:rPr>
              <w:t>34</w:t>
            </w:r>
          </w:hyperlink>
        </w:p>
        <w:p>
          <w:pPr>
            <w:pStyle w:val="Contents5"/>
            <w:tabs>
              <w:tab w:val="clear" w:pos="7892"/>
              <w:tab w:val="right" w:pos="9026" w:leader="dot"/>
            </w:tabs>
            <w:rPr/>
          </w:pPr>
          <w:hyperlink w:anchor="__RefHeading___Toc1323635_774463916">
            <w:r>
              <w:rPr>
                <w:webHidden/>
                <w:rStyle w:val="IndexLink"/>
                <w:rtl w:val="true"/>
              </w:rPr>
              <w:t>سادساً</w:t>
            </w:r>
            <w:r>
              <w:rPr>
                <w:rStyle w:val="IndexLink"/>
                <w:rtl w:val="true"/>
              </w:rPr>
              <w:t xml:space="preserve">: </w:t>
            </w:r>
            <w:r>
              <w:rPr>
                <w:rStyle w:val="IndexLink"/>
                <w:rtl w:val="true"/>
              </w:rPr>
              <w:t>المصنفات والآثار الحسینیة</w:t>
            </w:r>
            <w:r>
              <w:rPr>
                <w:rStyle w:val="IndexLink"/>
                <w:rtl w:val="true"/>
              </w:rPr>
              <w:tab/>
            </w:r>
            <w:r>
              <w:rPr>
                <w:rStyle w:val="IndexLink"/>
              </w:rPr>
              <w:t>34</w:t>
            </w:r>
          </w:hyperlink>
        </w:p>
        <w:p>
          <w:pPr>
            <w:pStyle w:val="Contents6"/>
            <w:tabs>
              <w:tab w:val="clear" w:pos="7609"/>
              <w:tab w:val="right" w:pos="9026" w:leader="dot"/>
            </w:tabs>
            <w:rPr/>
          </w:pPr>
          <w:hyperlink w:anchor="__RefHeading___Toc1323637_774463916">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1323639_774463916">
            <w:r>
              <w:rPr>
                <w:webHidden/>
                <w:rStyle w:val="IndexLink"/>
                <w:rtl w:val="true"/>
              </w:rPr>
              <w:t xml:space="preserve">ألف </w:t>
            </w:r>
            <w:r>
              <w:rPr>
                <w:rStyle w:val="IndexLink"/>
                <w:rtl w:val="true"/>
              </w:rPr>
              <w:t xml:space="preserve">- </w:t>
            </w:r>
            <w:r>
              <w:rPr>
                <w:rStyle w:val="IndexLink"/>
                <w:rtl w:val="true"/>
              </w:rPr>
              <w:t>الضوابط والمعاییر</w:t>
            </w:r>
            <w:r>
              <w:rPr>
                <w:rStyle w:val="IndexLink"/>
                <w:rtl w:val="true"/>
              </w:rPr>
              <w:tab/>
            </w:r>
            <w:r>
              <w:rPr>
                <w:rStyle w:val="IndexLink"/>
              </w:rPr>
              <w:t>34</w:t>
            </w:r>
          </w:hyperlink>
        </w:p>
        <w:p>
          <w:pPr>
            <w:pStyle w:val="Contents6"/>
            <w:tabs>
              <w:tab w:val="clear" w:pos="7609"/>
              <w:tab w:val="right" w:pos="9026" w:leader="dot"/>
            </w:tabs>
            <w:rPr/>
          </w:pPr>
          <w:hyperlink w:anchor="__RefHeading___Toc1323641_774463916">
            <w:r>
              <w:rPr>
                <w:webHidden/>
                <w:rStyle w:val="IndexLink"/>
                <w:rtl w:val="true"/>
              </w:rPr>
              <w:t xml:space="preserve">ب </w:t>
            </w:r>
            <w:r>
              <w:rPr>
                <w:rStyle w:val="IndexLink"/>
                <w:rtl w:val="true"/>
              </w:rPr>
              <w:t xml:space="preserve">- </w:t>
            </w:r>
            <w:r>
              <w:rPr>
                <w:rStyle w:val="IndexLink"/>
                <w:rtl w:val="true"/>
              </w:rPr>
              <w:t>المحاور</w:t>
            </w:r>
            <w:r>
              <w:rPr>
                <w:rStyle w:val="IndexLink"/>
                <w:rtl w:val="true"/>
              </w:rPr>
              <w:tab/>
            </w:r>
            <w:r>
              <w:rPr>
                <w:rStyle w:val="IndexLink"/>
              </w:rPr>
              <w:t>35</w:t>
            </w:r>
          </w:hyperlink>
        </w:p>
        <w:p>
          <w:pPr>
            <w:pStyle w:val="Contents3"/>
            <w:tabs>
              <w:tab w:val="clear" w:pos="8459"/>
              <w:tab w:val="right" w:pos="9026" w:leader="dot"/>
            </w:tabs>
            <w:rPr/>
          </w:pPr>
          <w:hyperlink w:anchor="__RefHeading___Toc1323643_774463916">
            <w:r>
              <w:rPr>
                <w:webHidden/>
                <w:rStyle w:val="IndexLink"/>
                <w:rtl w:val="true"/>
              </w:rPr>
              <w:t>ثالثاً</w:t>
            </w:r>
            <w:r>
              <w:rPr>
                <w:rStyle w:val="IndexLink"/>
                <w:rtl w:val="true"/>
              </w:rPr>
              <w:t xml:space="preserve">: </w:t>
            </w:r>
            <w:r>
              <w:rPr>
                <w:rStyle w:val="IndexLink"/>
                <w:rtl w:val="true"/>
              </w:rPr>
              <w:t>مقالات دائرة المعارف</w:t>
            </w:r>
            <w:r>
              <w:rPr>
                <w:rStyle w:val="IndexLink"/>
                <w:rtl w:val="true"/>
              </w:rPr>
              <w:tab/>
            </w:r>
            <w:r>
              <w:rPr>
                <w:rStyle w:val="IndexLink"/>
              </w:rPr>
              <w:t>35</w:t>
            </w:r>
          </w:hyperlink>
        </w:p>
        <w:p>
          <w:pPr>
            <w:pStyle w:val="Contents4"/>
            <w:tabs>
              <w:tab w:val="clear" w:pos="8176"/>
              <w:tab w:val="right" w:pos="9026" w:leader="dot"/>
            </w:tabs>
            <w:rPr/>
          </w:pPr>
          <w:hyperlink w:anchor="__RefHeading___Toc1323645_774463916">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323647_774463916">
            <w:r>
              <w:rPr>
                <w:webHidden/>
                <w:rStyle w:val="IndexLink"/>
                <w:rtl w:val="true"/>
              </w:rPr>
              <w:t xml:space="preserve">أ </w:t>
            </w:r>
            <w:r>
              <w:rPr>
                <w:rStyle w:val="IndexLink"/>
                <w:rtl w:val="true"/>
              </w:rPr>
              <w:t xml:space="preserve">- </w:t>
            </w:r>
            <w:r>
              <w:rPr>
                <w:rStyle w:val="IndexLink"/>
                <w:rtl w:val="true"/>
              </w:rPr>
              <w:t>لغة المقال</w:t>
            </w:r>
            <w:r>
              <w:rPr>
                <w:rStyle w:val="IndexLink"/>
                <w:rtl w:val="true"/>
              </w:rPr>
              <w:tab/>
            </w:r>
            <w:r>
              <w:rPr>
                <w:rStyle w:val="IndexLink"/>
              </w:rPr>
              <w:t>35</w:t>
            </w:r>
          </w:hyperlink>
        </w:p>
        <w:p>
          <w:pPr>
            <w:pStyle w:val="Contents4"/>
            <w:tabs>
              <w:tab w:val="clear" w:pos="8176"/>
              <w:tab w:val="right" w:pos="9026" w:leader="dot"/>
            </w:tabs>
            <w:rPr/>
          </w:pPr>
          <w:hyperlink w:anchor="__RefHeading___Toc1323649_774463916">
            <w:r>
              <w:rPr>
                <w:webHidden/>
                <w:rStyle w:val="IndexLink"/>
                <w:rtl w:val="true"/>
              </w:rPr>
              <w:t xml:space="preserve">ب </w:t>
            </w:r>
            <w:r>
              <w:rPr>
                <w:rStyle w:val="IndexLink"/>
                <w:rtl w:val="true"/>
              </w:rPr>
              <w:t xml:space="preserve">- </w:t>
            </w:r>
            <w:r>
              <w:rPr>
                <w:rStyle w:val="IndexLink"/>
                <w:rtl w:val="true"/>
              </w:rPr>
              <w:t>منهجیة المقالات وخططها</w:t>
            </w:r>
            <w:r>
              <w:rPr>
                <w:rStyle w:val="IndexLink"/>
                <w:rtl w:val="true"/>
              </w:rPr>
              <w:tab/>
            </w:r>
            <w:r>
              <w:rPr>
                <w:rStyle w:val="IndexLink"/>
              </w:rPr>
              <w:t>35</w:t>
            </w:r>
          </w:hyperlink>
        </w:p>
        <w:p>
          <w:pPr>
            <w:pStyle w:val="Contents5"/>
            <w:tabs>
              <w:tab w:val="clear" w:pos="7892"/>
              <w:tab w:val="right" w:pos="9026" w:leader="dot"/>
            </w:tabs>
            <w:rPr/>
          </w:pPr>
          <w:hyperlink w:anchor="__RefHeading___Toc1323651_774463916">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323653_774463916">
            <w:r>
              <w:rPr>
                <w:webHidden/>
                <w:rStyle w:val="IndexLink"/>
                <w:rtl w:val="true"/>
              </w:rPr>
              <w:t>أولاً</w:t>
            </w:r>
            <w:r>
              <w:rPr>
                <w:rStyle w:val="IndexLink"/>
                <w:rtl w:val="true"/>
              </w:rPr>
              <w:t xml:space="preserve">: </w:t>
            </w:r>
            <w:r>
              <w:rPr>
                <w:rStyle w:val="IndexLink"/>
                <w:rtl w:val="true"/>
              </w:rPr>
              <w:t>المفاهیم</w:t>
            </w:r>
            <w:r>
              <w:rPr>
                <w:rStyle w:val="IndexLink"/>
                <w:rtl w:val="true"/>
              </w:rPr>
              <w:tab/>
            </w:r>
            <w:r>
              <w:rPr>
                <w:rStyle w:val="IndexLink"/>
              </w:rPr>
              <w:t>37</w:t>
            </w:r>
          </w:hyperlink>
        </w:p>
        <w:p>
          <w:pPr>
            <w:pStyle w:val="Contents6"/>
            <w:tabs>
              <w:tab w:val="clear" w:pos="7609"/>
              <w:tab w:val="right" w:pos="9026" w:leader="dot"/>
            </w:tabs>
            <w:rPr/>
          </w:pPr>
          <w:hyperlink w:anchor="__RefHeading___Toc1323655_774463916">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1323657_774463916">
            <w:r>
              <w:rPr>
                <w:webHidden/>
                <w:rStyle w:val="IndexLink"/>
                <w:rtl w:val="true"/>
              </w:rPr>
              <w:t xml:space="preserve">ألف </w:t>
            </w:r>
            <w:r>
              <w:rPr>
                <w:rStyle w:val="IndexLink"/>
                <w:rtl w:val="true"/>
              </w:rPr>
              <w:t xml:space="preserve">- </w:t>
            </w:r>
            <w:r>
              <w:rPr>
                <w:rStyle w:val="IndexLink"/>
                <w:rtl w:val="true"/>
              </w:rPr>
              <w:t>الاصطلاحات والعناوین المتعلّقة بالقضایا الکلامیّة</w:t>
            </w:r>
            <w:r>
              <w:rPr>
                <w:rStyle w:val="IndexLink"/>
                <w:rtl w:val="true"/>
              </w:rPr>
              <w:tab/>
            </w:r>
            <w:r>
              <w:rPr>
                <w:rStyle w:val="IndexLink"/>
              </w:rPr>
              <w:t>37</w:t>
            </w:r>
          </w:hyperlink>
        </w:p>
        <w:p>
          <w:pPr>
            <w:pStyle w:val="Contents6"/>
            <w:tabs>
              <w:tab w:val="clear" w:pos="7609"/>
              <w:tab w:val="right" w:pos="9026" w:leader="dot"/>
            </w:tabs>
            <w:rPr/>
          </w:pPr>
          <w:hyperlink w:anchor="__RefHeading___Toc1323659_774463916">
            <w:r>
              <w:rPr>
                <w:webHidden/>
                <w:rStyle w:val="IndexLink"/>
                <w:rtl w:val="true"/>
              </w:rPr>
              <w:t xml:space="preserve">ب </w:t>
            </w:r>
            <w:r>
              <w:rPr>
                <w:rStyle w:val="IndexLink"/>
                <w:rtl w:val="true"/>
              </w:rPr>
              <w:t xml:space="preserve">- </w:t>
            </w:r>
            <w:r>
              <w:rPr>
                <w:rStyle w:val="IndexLink"/>
                <w:rtl w:val="true"/>
              </w:rPr>
              <w:t>الزیارات والأدعیة</w:t>
            </w:r>
            <w:r>
              <w:rPr>
                <w:rStyle w:val="IndexLink"/>
                <w:rtl w:val="true"/>
              </w:rPr>
              <w:tab/>
            </w:r>
            <w:r>
              <w:rPr>
                <w:rStyle w:val="IndexLink"/>
              </w:rPr>
              <w:t>37</w:t>
            </w:r>
          </w:hyperlink>
        </w:p>
        <w:p>
          <w:pPr>
            <w:pStyle w:val="Contents6"/>
            <w:tabs>
              <w:tab w:val="clear" w:pos="7609"/>
              <w:tab w:val="right" w:pos="9026" w:leader="dot"/>
            </w:tabs>
            <w:rPr/>
          </w:pPr>
          <w:hyperlink w:anchor="__RefHeading___Toc1323661_774463916">
            <w:r>
              <w:rPr>
                <w:webHidden/>
                <w:rStyle w:val="IndexLink"/>
                <w:rtl w:val="true"/>
              </w:rPr>
              <w:t xml:space="preserve">ج </w:t>
            </w:r>
            <w:r>
              <w:rPr>
                <w:rStyle w:val="IndexLink"/>
                <w:rtl w:val="true"/>
              </w:rPr>
              <w:t xml:space="preserve">- </w:t>
            </w:r>
            <w:r>
              <w:rPr>
                <w:rStyle w:val="IndexLink"/>
                <w:rtl w:val="true"/>
              </w:rPr>
              <w:t>الخُطب</w:t>
            </w:r>
            <w:r>
              <w:rPr>
                <w:rStyle w:val="IndexLink"/>
                <w:rtl w:val="true"/>
              </w:rPr>
              <w:tab/>
            </w:r>
            <w:r>
              <w:rPr>
                <w:rStyle w:val="IndexLink"/>
              </w:rPr>
              <w:t>38</w:t>
            </w:r>
          </w:hyperlink>
        </w:p>
        <w:p>
          <w:pPr>
            <w:pStyle w:val="Contents6"/>
            <w:tabs>
              <w:tab w:val="clear" w:pos="7609"/>
              <w:tab w:val="right" w:pos="9026" w:leader="dot"/>
            </w:tabs>
            <w:rPr/>
          </w:pPr>
          <w:hyperlink w:anchor="__RefHeading___Toc1323663_774463916">
            <w:r>
              <w:rPr>
                <w:webHidden/>
                <w:rStyle w:val="IndexLink"/>
                <w:rtl w:val="true"/>
              </w:rPr>
              <w:t xml:space="preserve">د </w:t>
            </w:r>
            <w:r>
              <w:rPr>
                <w:rStyle w:val="IndexLink"/>
                <w:rtl w:val="true"/>
              </w:rPr>
              <w:t xml:space="preserve">- </w:t>
            </w:r>
            <w:r>
              <w:rPr>
                <w:rStyle w:val="IndexLink"/>
                <w:rtl w:val="true"/>
              </w:rPr>
              <w:t>الشعارات</w:t>
            </w:r>
            <w:r>
              <w:rPr>
                <w:rStyle w:val="IndexLink"/>
                <w:rtl w:val="true"/>
              </w:rPr>
              <w:tab/>
            </w:r>
            <w:r>
              <w:rPr>
                <w:rStyle w:val="IndexLink"/>
              </w:rPr>
              <w:t>39</w:t>
            </w:r>
          </w:hyperlink>
        </w:p>
        <w:p>
          <w:pPr>
            <w:pStyle w:val="Contents5"/>
            <w:tabs>
              <w:tab w:val="clear" w:pos="7892"/>
              <w:tab w:val="right" w:pos="9026" w:leader="dot"/>
            </w:tabs>
            <w:rPr/>
          </w:pPr>
          <w:hyperlink w:anchor="__RefHeading___Toc1323665_774463916">
            <w:r>
              <w:rPr>
                <w:webHidden/>
                <w:rStyle w:val="IndexLink"/>
                <w:rtl w:val="true"/>
              </w:rPr>
              <w:t>ثانیاً</w:t>
            </w:r>
            <w:r>
              <w:rPr>
                <w:rStyle w:val="IndexLink"/>
                <w:rtl w:val="true"/>
              </w:rPr>
              <w:t xml:space="preserve">: </w:t>
            </w:r>
            <w:r>
              <w:rPr>
                <w:rStyle w:val="IndexLink"/>
                <w:rtl w:val="true"/>
              </w:rPr>
              <w:t>المداخل الثقافیة والأدبیة والفنیة</w:t>
            </w:r>
            <w:r>
              <w:rPr>
                <w:rStyle w:val="IndexLink"/>
                <w:rtl w:val="true"/>
              </w:rPr>
              <w:tab/>
            </w:r>
            <w:r>
              <w:rPr>
                <w:rStyle w:val="IndexLink"/>
              </w:rPr>
              <w:t>39</w:t>
            </w:r>
          </w:hyperlink>
        </w:p>
        <w:p>
          <w:pPr>
            <w:pStyle w:val="Contents6"/>
            <w:tabs>
              <w:tab w:val="clear" w:pos="7609"/>
              <w:tab w:val="right" w:pos="9026" w:leader="dot"/>
            </w:tabs>
            <w:rPr/>
          </w:pPr>
          <w:hyperlink w:anchor="__RefHeading___Toc1323667_774463916">
            <w:r>
              <w:rPr>
                <w:webHidden/>
                <w:rStyle w:val="IndexLink"/>
                <w:rtl w:val="true"/>
              </w:rPr>
              <w:t xml:space="preserve">ألف </w:t>
            </w:r>
            <w:r>
              <w:rPr>
                <w:rStyle w:val="IndexLink"/>
                <w:rtl w:val="true"/>
              </w:rPr>
              <w:t xml:space="preserve">- </w:t>
            </w:r>
            <w:r>
              <w:rPr>
                <w:rStyle w:val="IndexLink"/>
                <w:rtl w:val="true"/>
              </w:rPr>
              <w:t>المصائب الحسینیة</w:t>
            </w:r>
            <w:r>
              <w:rPr>
                <w:rStyle w:val="IndexLink"/>
                <w:rtl w:val="true"/>
              </w:rPr>
              <w:tab/>
            </w:r>
            <w:r>
              <w:rPr>
                <w:rStyle w:val="IndexLink"/>
              </w:rPr>
              <w:t>39</w:t>
            </w:r>
          </w:hyperlink>
        </w:p>
        <w:p>
          <w:pPr>
            <w:pStyle w:val="Contents6"/>
            <w:tabs>
              <w:tab w:val="clear" w:pos="7609"/>
              <w:tab w:val="right" w:pos="9026" w:leader="dot"/>
            </w:tabs>
            <w:rPr/>
          </w:pPr>
          <w:hyperlink w:anchor="__RefHeading___Toc1323669_774463916">
            <w:r>
              <w:rPr>
                <w:webHidden/>
                <w:rStyle w:val="IndexLink"/>
                <w:rtl w:val="true"/>
              </w:rPr>
              <w:t xml:space="preserve">ب </w:t>
            </w:r>
            <w:r>
              <w:rPr>
                <w:rStyle w:val="IndexLink"/>
                <w:rtl w:val="true"/>
              </w:rPr>
              <w:t xml:space="preserve">- </w:t>
            </w:r>
            <w:r>
              <w:rPr>
                <w:rStyle w:val="IndexLink"/>
                <w:rtl w:val="true"/>
              </w:rPr>
              <w:t>الشعائر الحسینیة ورسومها</w:t>
            </w:r>
            <w:r>
              <w:rPr>
                <w:rStyle w:val="IndexLink"/>
                <w:rtl w:val="true"/>
              </w:rPr>
              <w:tab/>
            </w:r>
            <w:r>
              <w:rPr>
                <w:rStyle w:val="IndexLink"/>
              </w:rPr>
              <w:t>39</w:t>
            </w:r>
          </w:hyperlink>
        </w:p>
        <w:p>
          <w:pPr>
            <w:pStyle w:val="Contents6"/>
            <w:tabs>
              <w:tab w:val="clear" w:pos="7609"/>
              <w:tab w:val="right" w:pos="9026" w:leader="dot"/>
            </w:tabs>
            <w:rPr/>
          </w:pPr>
          <w:hyperlink w:anchor="__RefHeading___Toc1323671_774463916">
            <w:r>
              <w:rPr>
                <w:webHidden/>
                <w:rStyle w:val="IndexLink"/>
                <w:rtl w:val="true"/>
              </w:rPr>
              <w:t xml:space="preserve">ج </w:t>
            </w:r>
            <w:r>
              <w:rPr>
                <w:rStyle w:val="IndexLink"/>
                <w:rtl w:val="true"/>
              </w:rPr>
              <w:t xml:space="preserve">- </w:t>
            </w:r>
            <w:r>
              <w:rPr>
                <w:rStyle w:val="IndexLink"/>
                <w:rtl w:val="true"/>
              </w:rPr>
              <w:t>آداب الزیارة</w:t>
            </w:r>
            <w:r>
              <w:rPr>
                <w:rStyle w:val="IndexLink"/>
                <w:rtl w:val="true"/>
              </w:rPr>
              <w:tab/>
            </w:r>
            <w:r>
              <w:rPr>
                <w:rStyle w:val="IndexLink"/>
              </w:rPr>
              <w:t>40</w:t>
            </w:r>
          </w:hyperlink>
        </w:p>
        <w:p>
          <w:pPr>
            <w:pStyle w:val="Contents6"/>
            <w:tabs>
              <w:tab w:val="clear" w:pos="7609"/>
              <w:tab w:val="right" w:pos="9026" w:leader="dot"/>
            </w:tabs>
            <w:rPr/>
          </w:pPr>
          <w:hyperlink w:anchor="__RefHeading___Toc1323673_774463916">
            <w:r>
              <w:rPr>
                <w:webHidden/>
                <w:rStyle w:val="IndexLink"/>
                <w:rtl w:val="true"/>
              </w:rPr>
              <w:t xml:space="preserve">د </w:t>
            </w:r>
            <w:r>
              <w:rPr>
                <w:rStyle w:val="IndexLink"/>
                <w:rtl w:val="true"/>
              </w:rPr>
              <w:t xml:space="preserve">- </w:t>
            </w:r>
            <w:r>
              <w:rPr>
                <w:rStyle w:val="IndexLink"/>
                <w:rtl w:val="true"/>
              </w:rPr>
              <w:t>الشعر والأدب الحسینی</w:t>
            </w:r>
            <w:r>
              <w:rPr>
                <w:rStyle w:val="IndexLink"/>
                <w:rtl w:val="true"/>
              </w:rPr>
              <w:tab/>
            </w:r>
            <w:r>
              <w:rPr>
                <w:rStyle w:val="IndexLink"/>
              </w:rPr>
              <w:t>40</w:t>
            </w:r>
          </w:hyperlink>
        </w:p>
        <w:p>
          <w:pPr>
            <w:pStyle w:val="Contents6"/>
            <w:tabs>
              <w:tab w:val="clear" w:pos="7609"/>
              <w:tab w:val="right" w:pos="9026" w:leader="dot"/>
            </w:tabs>
            <w:rPr/>
          </w:pPr>
          <w:hyperlink w:anchor="__RefHeading___Toc1323675_774463916">
            <w:r>
              <w:rPr>
                <w:webHidden/>
                <w:rStyle w:val="IndexLink"/>
                <w:rtl w:val="true"/>
              </w:rPr>
              <w:t>ه</w:t>
            </w:r>
            <w:r>
              <w:rPr>
                <w:rStyle w:val="IndexLink"/>
                <w:rtl w:val="true"/>
              </w:rPr>
              <w:t xml:space="preserve">- - </w:t>
            </w:r>
            <w:r>
              <w:rPr>
                <w:rStyle w:val="IndexLink"/>
                <w:rtl w:val="true"/>
              </w:rPr>
              <w:t>النتاجات الفنیة</w:t>
            </w:r>
            <w:r>
              <w:rPr>
                <w:rStyle w:val="IndexLink"/>
                <w:rtl w:val="true"/>
              </w:rPr>
              <w:tab/>
            </w:r>
            <w:r>
              <w:rPr>
                <w:rStyle w:val="IndexLink"/>
              </w:rPr>
              <w:t>40</w:t>
            </w:r>
          </w:hyperlink>
        </w:p>
        <w:p>
          <w:pPr>
            <w:pStyle w:val="Contents5"/>
            <w:tabs>
              <w:tab w:val="clear" w:pos="7892"/>
              <w:tab w:val="right" w:pos="9026" w:leader="dot"/>
            </w:tabs>
            <w:rPr/>
          </w:pPr>
          <w:hyperlink w:anchor="__RefHeading___Toc1323677_774463916">
            <w:r>
              <w:rPr>
                <w:webHidden/>
                <w:rStyle w:val="IndexLink"/>
                <w:rtl w:val="true"/>
              </w:rPr>
              <w:t>ثالثاً</w:t>
            </w:r>
            <w:r>
              <w:rPr>
                <w:rStyle w:val="IndexLink"/>
                <w:rtl w:val="true"/>
              </w:rPr>
              <w:t xml:space="preserve">: </w:t>
            </w:r>
            <w:r>
              <w:rPr>
                <w:rStyle w:val="IndexLink"/>
                <w:rtl w:val="true"/>
              </w:rPr>
              <w:t>المداخل التاریخیة</w:t>
            </w:r>
            <w:r>
              <w:rPr>
                <w:rStyle w:val="IndexLink"/>
                <w:rtl w:val="true"/>
              </w:rPr>
              <w:tab/>
            </w:r>
            <w:r>
              <w:rPr>
                <w:rStyle w:val="IndexLink"/>
              </w:rPr>
              <w:t>41</w:t>
            </w:r>
          </w:hyperlink>
        </w:p>
        <w:p>
          <w:pPr>
            <w:pStyle w:val="Contents6"/>
            <w:tabs>
              <w:tab w:val="clear" w:pos="7609"/>
              <w:tab w:val="right" w:pos="9026" w:leader="dot"/>
            </w:tabs>
            <w:rPr/>
          </w:pPr>
          <w:hyperlink w:anchor="__RefHeading___Toc1323679_774463916">
            <w:r>
              <w:rPr>
                <w:webHidden/>
                <w:rStyle w:val="IndexLink"/>
                <w:rtl w:val="true"/>
              </w:rPr>
              <w:t xml:space="preserve">ألف </w:t>
            </w:r>
            <w:r>
              <w:rPr>
                <w:rStyle w:val="IndexLink"/>
                <w:rtl w:val="true"/>
              </w:rPr>
              <w:t xml:space="preserve">- </w:t>
            </w:r>
            <w:r>
              <w:rPr>
                <w:rStyle w:val="IndexLink"/>
                <w:rtl w:val="true"/>
              </w:rPr>
              <w:t>الحوادث المرتبطة بالنهضة الحسینیة</w:t>
            </w:r>
            <w:r>
              <w:rPr>
                <w:rStyle w:val="IndexLink"/>
                <w:rtl w:val="true"/>
              </w:rPr>
              <w:tab/>
            </w:r>
            <w:r>
              <w:rPr>
                <w:rStyle w:val="IndexLink"/>
              </w:rPr>
              <w:t>41</w:t>
            </w:r>
          </w:hyperlink>
        </w:p>
        <w:p>
          <w:pPr>
            <w:pStyle w:val="Contents6"/>
            <w:tabs>
              <w:tab w:val="clear" w:pos="7609"/>
              <w:tab w:val="right" w:pos="9026" w:leader="dot"/>
            </w:tabs>
            <w:rPr/>
          </w:pPr>
          <w:hyperlink w:anchor="__RefHeading___Toc1323681_774463916">
            <w:r>
              <w:rPr>
                <w:webHidden/>
                <w:rStyle w:val="IndexLink"/>
                <w:rtl w:val="true"/>
              </w:rPr>
              <w:t xml:space="preserve">ب </w:t>
            </w:r>
            <w:r>
              <w:rPr>
                <w:rStyle w:val="IndexLink"/>
                <w:rtl w:val="true"/>
              </w:rPr>
              <w:t xml:space="preserve">- </w:t>
            </w:r>
            <w:r>
              <w:rPr>
                <w:rStyle w:val="IndexLink"/>
                <w:rtl w:val="true"/>
              </w:rPr>
              <w:t xml:space="preserve">خلفیات النهضة الحسینیة ومنطلقاتها </w:t>
            </w:r>
            <w:r>
              <w:rPr>
                <w:rStyle w:val="IndexLink"/>
                <w:rtl w:val="true"/>
              </w:rPr>
              <w:t>(</w:t>
            </w:r>
            <w:r>
              <w:rPr>
                <w:rStyle w:val="IndexLink"/>
                <w:rtl w:val="true"/>
              </w:rPr>
              <w:t>التنبؤات والرؤی</w:t>
            </w:r>
            <w:r>
              <w:rPr>
                <w:rStyle w:val="IndexLink"/>
                <w:rtl w:val="true"/>
              </w:rPr>
              <w:t>)</w:t>
              <w:tab/>
            </w:r>
            <w:r>
              <w:rPr>
                <w:rStyle w:val="IndexLink"/>
              </w:rPr>
              <w:t>41</w:t>
            </w:r>
          </w:hyperlink>
        </w:p>
        <w:p>
          <w:pPr>
            <w:pStyle w:val="Contents6"/>
            <w:tabs>
              <w:tab w:val="clear" w:pos="7609"/>
              <w:tab w:val="right" w:pos="9026" w:leader="dot"/>
            </w:tabs>
            <w:rPr/>
          </w:pPr>
          <w:hyperlink w:anchor="__RefHeading___Toc1323683_774463916">
            <w:r>
              <w:rPr>
                <w:webHidden/>
                <w:rStyle w:val="IndexLink"/>
                <w:rtl w:val="true"/>
              </w:rPr>
              <w:t xml:space="preserve">ج </w:t>
            </w:r>
            <w:r>
              <w:rPr>
                <w:rStyle w:val="IndexLink"/>
                <w:rtl w:val="true"/>
              </w:rPr>
              <w:t xml:space="preserve">- </w:t>
            </w:r>
            <w:r>
              <w:rPr>
                <w:rStyle w:val="IndexLink"/>
                <w:rtl w:val="true"/>
              </w:rPr>
              <w:t>الحکومات والقبائل والعشائر والأُسر</w:t>
            </w:r>
            <w:r>
              <w:rPr>
                <w:rStyle w:val="IndexLink"/>
                <w:rtl w:val="true"/>
              </w:rPr>
              <w:tab/>
            </w:r>
            <w:r>
              <w:rPr>
                <w:rStyle w:val="IndexLink"/>
              </w:rPr>
              <w:t>41</w:t>
            </w:r>
          </w:hyperlink>
        </w:p>
        <w:p>
          <w:pPr>
            <w:pStyle w:val="Contents6"/>
            <w:tabs>
              <w:tab w:val="clear" w:pos="7609"/>
              <w:tab w:val="right" w:pos="9026" w:leader="dot"/>
            </w:tabs>
            <w:rPr/>
          </w:pPr>
          <w:hyperlink w:anchor="__RefHeading___Toc1323685_774463916">
            <w:r>
              <w:rPr>
                <w:webHidden/>
                <w:rStyle w:val="IndexLink"/>
                <w:rtl w:val="true"/>
              </w:rPr>
              <w:t xml:space="preserve">د </w:t>
            </w:r>
            <w:r>
              <w:rPr>
                <w:rStyle w:val="IndexLink"/>
                <w:rtl w:val="true"/>
              </w:rPr>
              <w:t xml:space="preserve">- </w:t>
            </w:r>
            <w:r>
              <w:rPr>
                <w:rStyle w:val="IndexLink"/>
                <w:rtl w:val="true"/>
              </w:rPr>
              <w:t>الثورات والانتفاضات المرتبطة بالنهضة الحسینیة</w:t>
            </w:r>
            <w:r>
              <w:rPr>
                <w:rStyle w:val="IndexLink"/>
                <w:rtl w:val="true"/>
              </w:rPr>
              <w:tab/>
            </w:r>
            <w:r>
              <w:rPr>
                <w:rStyle w:val="IndexLink"/>
              </w:rPr>
              <w:t>42</w:t>
            </w:r>
          </w:hyperlink>
        </w:p>
        <w:p>
          <w:pPr>
            <w:pStyle w:val="Contents6"/>
            <w:tabs>
              <w:tab w:val="clear" w:pos="7609"/>
              <w:tab w:val="right" w:pos="9026" w:leader="dot"/>
            </w:tabs>
            <w:rPr/>
          </w:pPr>
          <w:hyperlink w:anchor="__RefHeading___Toc1323687_774463916">
            <w:r>
              <w:rPr>
                <w:webHidden/>
                <w:rStyle w:val="IndexLink"/>
                <w:rtl w:val="true"/>
              </w:rPr>
              <w:t>ه</w:t>
            </w:r>
            <w:r>
              <w:rPr>
                <w:rStyle w:val="IndexLink"/>
                <w:rtl w:val="true"/>
              </w:rPr>
              <w:t xml:space="preserve">- - </w:t>
            </w:r>
            <w:r>
              <w:rPr>
                <w:rStyle w:val="IndexLink"/>
                <w:rtl w:val="true"/>
              </w:rPr>
              <w:t>الأزمنة والأوقات</w:t>
            </w:r>
            <w:r>
              <w:rPr>
                <w:rStyle w:val="IndexLink"/>
                <w:rtl w:val="true"/>
              </w:rPr>
              <w:tab/>
            </w:r>
            <w:r>
              <w:rPr>
                <w:rStyle w:val="IndexLink"/>
              </w:rPr>
              <w:t>42</w:t>
            </w:r>
          </w:hyperlink>
        </w:p>
        <w:p>
          <w:pPr>
            <w:pStyle w:val="Contents6"/>
            <w:tabs>
              <w:tab w:val="clear" w:pos="7609"/>
              <w:tab w:val="right" w:pos="9026" w:leader="dot"/>
            </w:tabs>
            <w:rPr/>
          </w:pPr>
          <w:hyperlink w:anchor="__RefHeading___Toc1323689_774463916">
            <w:r>
              <w:rPr>
                <w:webHidden/>
                <w:rStyle w:val="IndexLink"/>
                <w:rtl w:val="true"/>
              </w:rPr>
              <w:t xml:space="preserve">و </w:t>
            </w:r>
            <w:r>
              <w:rPr>
                <w:rStyle w:val="IndexLink"/>
                <w:rtl w:val="true"/>
              </w:rPr>
              <w:t xml:space="preserve">- </w:t>
            </w:r>
            <w:r>
              <w:rPr>
                <w:rStyle w:val="IndexLink"/>
                <w:rtl w:val="true"/>
              </w:rPr>
              <w:t>الاصطلاحات العسکریة وآلات المعرکة ووسائلها</w:t>
            </w:r>
            <w:r>
              <w:rPr>
                <w:rStyle w:val="IndexLink"/>
                <w:rtl w:val="true"/>
              </w:rPr>
              <w:tab/>
            </w:r>
            <w:r>
              <w:rPr>
                <w:rStyle w:val="IndexLink"/>
              </w:rPr>
              <w:t>42</w:t>
            </w:r>
          </w:hyperlink>
        </w:p>
        <w:p>
          <w:pPr>
            <w:pStyle w:val="Contents5"/>
            <w:tabs>
              <w:tab w:val="clear" w:pos="7892"/>
              <w:tab w:val="right" w:pos="9026" w:leader="dot"/>
            </w:tabs>
            <w:rPr/>
          </w:pPr>
          <w:hyperlink w:anchor="__RefHeading___Toc1323691_774463916">
            <w:r>
              <w:rPr>
                <w:webHidden/>
                <w:rStyle w:val="IndexLink"/>
                <w:rtl w:val="true"/>
              </w:rPr>
              <w:t>رابعاً</w:t>
            </w:r>
            <w:r>
              <w:rPr>
                <w:rStyle w:val="IndexLink"/>
                <w:rtl w:val="true"/>
              </w:rPr>
              <w:t xml:space="preserve">: </w:t>
            </w:r>
            <w:r>
              <w:rPr>
                <w:rStyle w:val="IndexLink"/>
                <w:rtl w:val="true"/>
              </w:rPr>
              <w:t>الأعلام</w:t>
            </w:r>
            <w:r>
              <w:rPr>
                <w:rStyle w:val="IndexLink"/>
                <w:rtl w:val="true"/>
              </w:rPr>
              <w:tab/>
            </w:r>
            <w:r>
              <w:rPr>
                <w:rStyle w:val="IndexLink"/>
              </w:rPr>
              <w:t>43</w:t>
            </w:r>
          </w:hyperlink>
        </w:p>
        <w:p>
          <w:pPr>
            <w:pStyle w:val="Contents6"/>
            <w:tabs>
              <w:tab w:val="clear" w:pos="7609"/>
              <w:tab w:val="right" w:pos="9026" w:leader="dot"/>
            </w:tabs>
            <w:rPr/>
          </w:pPr>
          <w:hyperlink w:anchor="__RefHeading___Toc1323693_774463916">
            <w:r>
              <w:rPr>
                <w:webHidden/>
                <w:rStyle w:val="IndexLink"/>
                <w:rtl w:val="true"/>
              </w:rPr>
              <w:t xml:space="preserve">ألف </w:t>
            </w:r>
            <w:r>
              <w:rPr>
                <w:rStyle w:val="IndexLink"/>
                <w:rtl w:val="true"/>
              </w:rPr>
              <w:t xml:space="preserve">- </w:t>
            </w:r>
            <w:r>
              <w:rPr>
                <w:rStyle w:val="IndexLink"/>
                <w:rtl w:val="true"/>
              </w:rPr>
              <w:t>أهل البیت والشهداء والسجناء والأصحاب</w:t>
            </w:r>
            <w:r>
              <w:rPr>
                <w:rStyle w:val="IndexLink"/>
                <w:rtl w:val="true"/>
              </w:rPr>
              <w:tab/>
            </w:r>
            <w:r>
              <w:rPr>
                <w:rStyle w:val="IndexLink"/>
              </w:rPr>
              <w:t>43</w:t>
            </w:r>
          </w:hyperlink>
        </w:p>
        <w:p>
          <w:pPr>
            <w:pStyle w:val="Contents6"/>
            <w:tabs>
              <w:tab w:val="clear" w:pos="7609"/>
              <w:tab w:val="right" w:pos="9026" w:leader="dot"/>
            </w:tabs>
            <w:rPr/>
          </w:pPr>
          <w:hyperlink w:anchor="__RefHeading___Toc1323695_774463916">
            <w:r>
              <w:rPr>
                <w:webHidden/>
                <w:rStyle w:val="IndexLink"/>
                <w:rtl w:val="true"/>
              </w:rPr>
              <w:t xml:space="preserve">ب </w:t>
            </w:r>
            <w:r>
              <w:rPr>
                <w:rStyle w:val="IndexLink"/>
                <w:rtl w:val="true"/>
              </w:rPr>
              <w:t xml:space="preserve">- </w:t>
            </w:r>
            <w:r>
              <w:rPr>
                <w:rStyle w:val="IndexLink"/>
                <w:rtl w:val="true"/>
              </w:rPr>
              <w:t>الرواة المحدثون</w:t>
            </w:r>
            <w:r>
              <w:rPr>
                <w:rStyle w:val="IndexLink"/>
                <w:rtl w:val="true"/>
              </w:rPr>
              <w:tab/>
            </w:r>
            <w:r>
              <w:rPr>
                <w:rStyle w:val="IndexLink"/>
              </w:rPr>
              <w:t>43</w:t>
            </w:r>
          </w:hyperlink>
        </w:p>
        <w:p>
          <w:pPr>
            <w:pStyle w:val="Contents6"/>
            <w:tabs>
              <w:tab w:val="clear" w:pos="7609"/>
              <w:tab w:val="right" w:pos="9026" w:leader="dot"/>
            </w:tabs>
            <w:rPr/>
          </w:pPr>
          <w:hyperlink w:anchor="__RefHeading___Toc1323697_774463916">
            <w:r>
              <w:rPr>
                <w:webHidden/>
                <w:rStyle w:val="IndexLink"/>
                <w:rtl w:val="true"/>
              </w:rPr>
              <w:t xml:space="preserve">ج </w:t>
            </w:r>
            <w:r>
              <w:rPr>
                <w:rStyle w:val="IndexLink"/>
                <w:rtl w:val="true"/>
              </w:rPr>
              <w:t xml:space="preserve">- </w:t>
            </w:r>
            <w:r>
              <w:rPr>
                <w:rStyle w:val="IndexLink"/>
                <w:rtl w:val="true"/>
              </w:rPr>
              <w:t>الأشخاص الذین لهم دور وأثر إیجابی أو سلبی فی القضیة الحسینیة</w:t>
            </w:r>
            <w:r>
              <w:rPr>
                <w:rStyle w:val="IndexLink"/>
                <w:rtl w:val="true"/>
              </w:rPr>
              <w:tab/>
            </w:r>
            <w:r>
              <w:rPr>
                <w:rStyle w:val="IndexLink"/>
              </w:rPr>
              <w:t>43</w:t>
            </w:r>
          </w:hyperlink>
        </w:p>
        <w:p>
          <w:pPr>
            <w:pStyle w:val="Contents6"/>
            <w:tabs>
              <w:tab w:val="clear" w:pos="7609"/>
              <w:tab w:val="right" w:pos="9026" w:leader="dot"/>
            </w:tabs>
            <w:rPr/>
          </w:pPr>
          <w:hyperlink w:anchor="__RefHeading___Toc1323699_774463916">
            <w:r>
              <w:rPr>
                <w:webHidden/>
                <w:rStyle w:val="IndexLink"/>
                <w:rtl w:val="true"/>
              </w:rPr>
              <w:t xml:space="preserve">د </w:t>
            </w:r>
            <w:r>
              <w:rPr>
                <w:rStyle w:val="IndexLink"/>
                <w:rtl w:val="true"/>
              </w:rPr>
              <w:t xml:space="preserve">- </w:t>
            </w:r>
            <w:r>
              <w:rPr>
                <w:rStyle w:val="IndexLink"/>
                <w:rtl w:val="true"/>
              </w:rPr>
              <w:t>الفنانون البارزون الذین لدیهم أعمال بارزة ترتبط بالنهضة الحسینیة</w:t>
            </w:r>
            <w:r>
              <w:rPr>
                <w:rStyle w:val="IndexLink"/>
                <w:rtl w:val="true"/>
              </w:rPr>
              <w:tab/>
            </w:r>
            <w:r>
              <w:rPr>
                <w:rStyle w:val="IndexLink"/>
              </w:rPr>
              <w:t>44</w:t>
            </w:r>
          </w:hyperlink>
        </w:p>
        <w:p>
          <w:pPr>
            <w:pStyle w:val="Contents5"/>
            <w:tabs>
              <w:tab w:val="clear" w:pos="7892"/>
              <w:tab w:val="right" w:pos="9026" w:leader="dot"/>
            </w:tabs>
            <w:rPr/>
          </w:pPr>
          <w:hyperlink w:anchor="__RefHeading___Toc1323701_774463916">
            <w:r>
              <w:rPr>
                <w:webHidden/>
                <w:rStyle w:val="IndexLink"/>
                <w:rtl w:val="true"/>
              </w:rPr>
              <w:t>خامساً</w:t>
            </w:r>
            <w:r>
              <w:rPr>
                <w:rStyle w:val="IndexLink"/>
                <w:rtl w:val="true"/>
              </w:rPr>
              <w:t xml:space="preserve">: </w:t>
            </w:r>
            <w:r>
              <w:rPr>
                <w:rStyle w:val="IndexLink"/>
                <w:rtl w:val="true"/>
              </w:rPr>
              <w:t>المداخل الجغرافیة</w:t>
            </w:r>
            <w:r>
              <w:rPr>
                <w:rStyle w:val="IndexLink"/>
                <w:rtl w:val="true"/>
              </w:rPr>
              <w:tab/>
            </w:r>
            <w:r>
              <w:rPr>
                <w:rStyle w:val="IndexLink"/>
              </w:rPr>
              <w:t>44</w:t>
            </w:r>
          </w:hyperlink>
        </w:p>
        <w:p>
          <w:pPr>
            <w:pStyle w:val="Contents6"/>
            <w:tabs>
              <w:tab w:val="clear" w:pos="7609"/>
              <w:tab w:val="right" w:pos="9026" w:leader="dot"/>
            </w:tabs>
            <w:rPr/>
          </w:pPr>
          <w:hyperlink w:anchor="__RefHeading___Toc1323703_774463916">
            <w:r>
              <w:rPr>
                <w:webHidden/>
                <w:rStyle w:val="IndexLink"/>
                <w:rtl w:val="true"/>
              </w:rPr>
              <w:t xml:space="preserve">ألف </w:t>
            </w:r>
            <w:r>
              <w:rPr>
                <w:rStyle w:val="IndexLink"/>
                <w:rtl w:val="true"/>
              </w:rPr>
              <w:t xml:space="preserve">- </w:t>
            </w:r>
            <w:r>
              <w:rPr>
                <w:rStyle w:val="IndexLink"/>
                <w:rtl w:val="true"/>
              </w:rPr>
              <w:t>الدول والمدن والأماکن التی جرت علیها الحوادث الحسینیة</w:t>
            </w:r>
            <w:r>
              <w:rPr>
                <w:rStyle w:val="IndexLink"/>
                <w:rtl w:val="true"/>
              </w:rPr>
              <w:tab/>
            </w:r>
            <w:r>
              <w:rPr>
                <w:rStyle w:val="IndexLink"/>
              </w:rPr>
              <w:t>44</w:t>
            </w:r>
          </w:hyperlink>
        </w:p>
        <w:p>
          <w:pPr>
            <w:pStyle w:val="Contents6"/>
            <w:tabs>
              <w:tab w:val="clear" w:pos="7609"/>
              <w:tab w:val="right" w:pos="9026" w:leader="dot"/>
            </w:tabs>
            <w:rPr/>
          </w:pPr>
          <w:hyperlink w:anchor="__RefHeading___Toc1323705_774463916">
            <w:r>
              <w:rPr>
                <w:webHidden/>
                <w:rStyle w:val="IndexLink"/>
                <w:rtl w:val="true"/>
              </w:rPr>
              <w:t xml:space="preserve">ب </w:t>
            </w:r>
            <w:r>
              <w:rPr>
                <w:rStyle w:val="IndexLink"/>
                <w:rtl w:val="true"/>
              </w:rPr>
              <w:t xml:space="preserve">- </w:t>
            </w:r>
            <w:r>
              <w:rPr>
                <w:rStyle w:val="IndexLink"/>
                <w:rtl w:val="true"/>
              </w:rPr>
              <w:t>الأماکن والنواحی والنقاط الجغرافیة التی مرّ بها الإمام الحسین</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6"/>
            <w:tabs>
              <w:tab w:val="clear" w:pos="7609"/>
              <w:tab w:val="right" w:pos="9026" w:leader="dot"/>
            </w:tabs>
            <w:rPr/>
          </w:pPr>
          <w:hyperlink w:anchor="__RefHeading___Toc1323707_774463916">
            <w:r>
              <w:rPr>
                <w:webHidden/>
                <w:rStyle w:val="IndexLink"/>
                <w:rtl w:val="true"/>
              </w:rPr>
              <w:t xml:space="preserve">ج </w:t>
            </w:r>
            <w:r>
              <w:rPr>
                <w:rStyle w:val="IndexLink"/>
                <w:rtl w:val="true"/>
              </w:rPr>
              <w:t xml:space="preserve">- </w:t>
            </w:r>
            <w:r>
              <w:rPr>
                <w:rStyle w:val="IndexLink"/>
                <w:rtl w:val="true"/>
              </w:rPr>
              <w:t>المقامات والمزارات والمراقد المهمّة</w:t>
            </w:r>
            <w:r>
              <w:rPr>
                <w:rStyle w:val="IndexLink"/>
                <w:rtl w:val="true"/>
              </w:rPr>
              <w:tab/>
            </w:r>
            <w:r>
              <w:rPr>
                <w:rStyle w:val="IndexLink"/>
              </w:rPr>
              <w:t>45</w:t>
            </w:r>
          </w:hyperlink>
        </w:p>
        <w:p>
          <w:pPr>
            <w:pStyle w:val="Contents6"/>
            <w:tabs>
              <w:tab w:val="clear" w:pos="7609"/>
              <w:tab w:val="right" w:pos="9026" w:leader="dot"/>
            </w:tabs>
            <w:rPr/>
          </w:pPr>
          <w:hyperlink w:anchor="__RefHeading___Toc1323709_774463916">
            <w:r>
              <w:rPr>
                <w:webHidden/>
                <w:rStyle w:val="IndexLink"/>
                <w:rtl w:val="true"/>
              </w:rPr>
              <w:t xml:space="preserve">د </w:t>
            </w:r>
            <w:r>
              <w:rPr>
                <w:rStyle w:val="IndexLink"/>
                <w:rtl w:val="true"/>
              </w:rPr>
              <w:t xml:space="preserve">- </w:t>
            </w:r>
            <w:r>
              <w:rPr>
                <w:rStyle w:val="IndexLink"/>
                <w:rtl w:val="true"/>
              </w:rPr>
              <w:t>المساجد والحسینیات والأوقاف المهمّة</w:t>
            </w:r>
            <w:r>
              <w:rPr>
                <w:rStyle w:val="IndexLink"/>
                <w:rtl w:val="true"/>
              </w:rPr>
              <w:tab/>
            </w:r>
            <w:r>
              <w:rPr>
                <w:rStyle w:val="IndexLink"/>
              </w:rPr>
              <w:t>45</w:t>
            </w:r>
          </w:hyperlink>
        </w:p>
        <w:p>
          <w:pPr>
            <w:pStyle w:val="Contents5"/>
            <w:tabs>
              <w:tab w:val="clear" w:pos="7892"/>
              <w:tab w:val="right" w:pos="9026" w:leader="dot"/>
            </w:tabs>
            <w:rPr/>
          </w:pPr>
          <w:hyperlink w:anchor="__RefHeading___Toc1323711_774463916">
            <w:r>
              <w:rPr>
                <w:webHidden/>
                <w:rStyle w:val="IndexLink"/>
                <w:rtl w:val="true"/>
              </w:rPr>
              <w:t>سادساً</w:t>
            </w:r>
            <w:r>
              <w:rPr>
                <w:rStyle w:val="IndexLink"/>
                <w:rtl w:val="true"/>
              </w:rPr>
              <w:t xml:space="preserve">: </w:t>
            </w:r>
            <w:r>
              <w:rPr>
                <w:rStyle w:val="IndexLink"/>
                <w:rtl w:val="true"/>
              </w:rPr>
              <w:t>الکتاب الحسینی</w:t>
            </w:r>
            <w:r>
              <w:rPr>
                <w:rStyle w:val="IndexLink"/>
                <w:rtl w:val="true"/>
              </w:rPr>
              <w:tab/>
            </w:r>
            <w:r>
              <w:rPr>
                <w:rStyle w:val="IndexLink"/>
              </w:rPr>
              <w:t>46</w:t>
            </w:r>
          </w:hyperlink>
        </w:p>
        <w:p>
          <w:pPr>
            <w:pStyle w:val="Contents4"/>
            <w:tabs>
              <w:tab w:val="clear" w:pos="8176"/>
              <w:tab w:val="right" w:pos="9026" w:leader="dot"/>
            </w:tabs>
            <w:rPr/>
          </w:pPr>
          <w:hyperlink w:anchor="__RefHeading___Toc1323713_774463916">
            <w:r>
              <w:rPr>
                <w:webHidden/>
                <w:rStyle w:val="IndexLink"/>
                <w:rtl w:val="true"/>
              </w:rPr>
              <w:t xml:space="preserve">ج </w:t>
            </w:r>
            <w:r>
              <w:rPr>
                <w:rStyle w:val="IndexLink"/>
                <w:rtl w:val="true"/>
              </w:rPr>
              <w:t xml:space="preserve">- </w:t>
            </w:r>
            <w:r>
              <w:rPr>
                <w:rStyle w:val="IndexLink"/>
                <w:rtl w:val="true"/>
              </w:rPr>
              <w:t>حجم المقالات وکیفیتها</w:t>
            </w:r>
            <w:r>
              <w:rPr>
                <w:rStyle w:val="IndexLink"/>
                <w:rtl w:val="true"/>
              </w:rPr>
              <w:tab/>
            </w:r>
            <w:r>
              <w:rPr>
                <w:rStyle w:val="IndexLink"/>
              </w:rPr>
              <w:t>46</w:t>
            </w:r>
          </w:hyperlink>
        </w:p>
        <w:p>
          <w:pPr>
            <w:pStyle w:val="Contents4"/>
            <w:tabs>
              <w:tab w:val="clear" w:pos="8176"/>
              <w:tab w:val="right" w:pos="9026" w:leader="dot"/>
            </w:tabs>
            <w:rPr/>
          </w:pPr>
          <w:hyperlink w:anchor="__RefHeading___Toc1323715_774463916">
            <w:r>
              <w:rPr>
                <w:webHidden/>
                <w:rStyle w:val="IndexLink"/>
                <w:rtl w:val="true"/>
              </w:rPr>
              <w:t xml:space="preserve">د </w:t>
            </w:r>
            <w:r>
              <w:rPr>
                <w:rStyle w:val="IndexLink"/>
                <w:rtl w:val="true"/>
              </w:rPr>
              <w:t xml:space="preserve">- </w:t>
            </w:r>
            <w:r>
              <w:rPr>
                <w:rStyle w:val="IndexLink"/>
                <w:rtl w:val="true"/>
              </w:rPr>
              <w:t>أُسلوب الکتابة</w:t>
            </w:r>
            <w:r>
              <w:rPr>
                <w:rStyle w:val="IndexLink"/>
                <w:rtl w:val="true"/>
              </w:rPr>
              <w:tab/>
            </w:r>
            <w:r>
              <w:rPr>
                <w:rStyle w:val="IndexLink"/>
              </w:rPr>
              <w:t>47</w:t>
            </w:r>
          </w:hyperlink>
        </w:p>
        <w:p>
          <w:pPr>
            <w:pStyle w:val="Contents3"/>
            <w:tabs>
              <w:tab w:val="clear" w:pos="8459"/>
              <w:tab w:val="right" w:pos="9026" w:leader="dot"/>
            </w:tabs>
            <w:rPr/>
          </w:pPr>
          <w:hyperlink w:anchor="__RefHeading___Toc1323717_774463916">
            <w:r>
              <w:rPr>
                <w:webHidden/>
                <w:rStyle w:val="IndexLink"/>
                <w:rtl w:val="true"/>
              </w:rPr>
              <w:t>رابعاً</w:t>
            </w:r>
            <w:r>
              <w:rPr>
                <w:rStyle w:val="IndexLink"/>
                <w:rtl w:val="true"/>
              </w:rPr>
              <w:t xml:space="preserve">: </w:t>
            </w:r>
            <w:r>
              <w:rPr>
                <w:rStyle w:val="IndexLink"/>
                <w:rtl w:val="true"/>
              </w:rPr>
              <w:t>التوثیق</w:t>
            </w:r>
            <w:r>
              <w:rPr>
                <w:rStyle w:val="IndexLink"/>
                <w:rtl w:val="true"/>
              </w:rPr>
              <w:tab/>
            </w:r>
            <w:r>
              <w:rPr>
                <w:rStyle w:val="IndexLink"/>
              </w:rPr>
              <w:t>48</w:t>
            </w:r>
          </w:hyperlink>
        </w:p>
        <w:p>
          <w:pPr>
            <w:pStyle w:val="Contents3"/>
            <w:tabs>
              <w:tab w:val="clear" w:pos="8459"/>
              <w:tab w:val="right" w:pos="9026" w:leader="dot"/>
            </w:tabs>
            <w:rPr/>
          </w:pPr>
          <w:hyperlink w:anchor="__RefHeading___Toc1323719_774463916">
            <w:r>
              <w:rPr>
                <w:webHidden/>
                <w:rStyle w:val="IndexLink"/>
                <w:rtl w:val="true"/>
              </w:rPr>
              <w:t>خامساً</w:t>
            </w:r>
            <w:r>
              <w:rPr>
                <w:rStyle w:val="IndexLink"/>
                <w:rtl w:val="true"/>
              </w:rPr>
              <w:t xml:space="preserve">: </w:t>
            </w:r>
            <w:r>
              <w:rPr>
                <w:rStyle w:val="IndexLink"/>
                <w:rtl w:val="true"/>
              </w:rPr>
              <w:t>المسائل الشکلیة والفنیة</w:t>
            </w:r>
            <w:r>
              <w:rPr>
                <w:rStyle w:val="IndexLink"/>
                <w:rtl w:val="true"/>
              </w:rPr>
              <w:tab/>
            </w:r>
            <w:r>
              <w:rPr>
                <w:rStyle w:val="IndexLink"/>
              </w:rPr>
              <w:t>50</w:t>
            </w:r>
          </w:hyperlink>
        </w:p>
        <w:p>
          <w:pPr>
            <w:pStyle w:val="Contents2"/>
            <w:tabs>
              <w:tab w:val="clear" w:pos="8743"/>
              <w:tab w:val="right" w:pos="9026" w:leader="dot"/>
            </w:tabs>
            <w:rPr/>
          </w:pPr>
          <w:hyperlink w:anchor="__RefHeading___Toc1323721_774463916">
            <w:r>
              <w:rPr>
                <w:webHidden/>
                <w:rStyle w:val="IndexLink"/>
                <w:rtl w:val="true"/>
              </w:rPr>
              <w:t>الطریقة العامة فی تقویم النص</w:t>
            </w:r>
            <w:r>
              <w:rPr>
                <w:rStyle w:val="IndexLink"/>
                <w:rtl w:val="true"/>
              </w:rPr>
              <w:tab/>
            </w:r>
            <w:r>
              <w:rPr>
                <w:rStyle w:val="IndexLink"/>
              </w:rPr>
              <w:t>51</w:t>
            </w:r>
          </w:hyperlink>
        </w:p>
        <w:p>
          <w:pPr>
            <w:pStyle w:val="Contents2"/>
            <w:tabs>
              <w:tab w:val="clear" w:pos="8743"/>
              <w:tab w:val="right" w:pos="9026" w:leader="dot"/>
            </w:tabs>
            <w:rPr/>
          </w:pPr>
          <w:hyperlink w:anchor="__RefHeading___Toc1323723_774463916">
            <w:r>
              <w:rPr>
                <w:webHidden/>
                <w:rStyle w:val="IndexLink"/>
                <w:rtl w:val="true"/>
              </w:rPr>
              <w:t>علامات الترقیم</w:t>
            </w:r>
            <w:r>
              <w:rPr>
                <w:rStyle w:val="IndexLink"/>
                <w:rtl w:val="true"/>
              </w:rPr>
              <w:tab/>
            </w:r>
            <w:r>
              <w:rPr>
                <w:rStyle w:val="IndexLink"/>
              </w:rPr>
              <w:t>51</w:t>
            </w:r>
          </w:hyperlink>
        </w:p>
        <w:p>
          <w:pPr>
            <w:pStyle w:val="Contents2"/>
            <w:tabs>
              <w:tab w:val="clear" w:pos="8743"/>
              <w:tab w:val="right" w:pos="9026" w:leader="dot"/>
            </w:tabs>
            <w:rPr/>
          </w:pPr>
          <w:hyperlink w:anchor="__RefHeading___Toc1323725_774463916">
            <w:r>
              <w:rPr>
                <w:webHidden/>
                <w:rStyle w:val="IndexLink"/>
                <w:rtl w:val="true"/>
              </w:rPr>
              <w:t xml:space="preserve">ملحق رقم </w:t>
            </w:r>
            <w:r>
              <w:rPr>
                <w:rStyle w:val="IndexLink"/>
              </w:rPr>
              <w:t>1</w:t>
            </w:r>
            <w:r>
              <w:rPr>
                <w:rStyle w:val="IndexLink"/>
                <w:rtl w:val="true"/>
              </w:rPr>
              <w:tab/>
            </w:r>
            <w:r>
              <w:rPr>
                <w:rStyle w:val="IndexLink"/>
              </w:rPr>
              <w:t>56</w:t>
            </w:r>
          </w:hyperlink>
        </w:p>
        <w:p>
          <w:pPr>
            <w:pStyle w:val="Contents3"/>
            <w:tabs>
              <w:tab w:val="clear" w:pos="8459"/>
              <w:tab w:val="right" w:pos="9026" w:leader="dot"/>
            </w:tabs>
            <w:rPr/>
          </w:pPr>
          <w:hyperlink w:anchor="__RefHeading___Toc1323727_774463916">
            <w:r>
              <w:rPr>
                <w:webHidden/>
                <w:rStyle w:val="IndexLink"/>
                <w:rtl w:val="true"/>
              </w:rPr>
              <w:t>نماذج من کل حرف لمداخل دائرة المعارف الحسینیة الألفبائیة</w:t>
            </w:r>
            <w:r>
              <w:rPr>
                <w:rStyle w:val="IndexLink"/>
                <w:rtl w:val="true"/>
              </w:rPr>
              <w:tab/>
            </w:r>
            <w:r>
              <w:rPr>
                <w:rStyle w:val="IndexLink"/>
              </w:rPr>
              <w:t>56</w:t>
            </w:r>
          </w:hyperlink>
        </w:p>
        <w:p>
          <w:pPr>
            <w:pStyle w:val="Contents4"/>
            <w:tabs>
              <w:tab w:val="clear" w:pos="8176"/>
              <w:tab w:val="right" w:pos="9026" w:leader="dot"/>
            </w:tabs>
            <w:rPr/>
          </w:pPr>
          <w:hyperlink w:anchor="__RefHeading___Toc1323729_774463916">
            <w:r>
              <w:rPr>
                <w:webHidden/>
                <w:rStyle w:val="IndexLink"/>
                <w:rtl w:val="true"/>
              </w:rPr>
              <w:t>المد</w:t>
            </w:r>
            <w:r>
              <w:rPr>
                <w:rStyle w:val="IndexLink"/>
                <w:rtl w:val="true"/>
              </w:rPr>
              <w:t xml:space="preserve">: </w:t>
            </w:r>
            <w:r>
              <w:rPr>
                <w:rStyle w:val="IndexLink"/>
                <w:rtl w:val="true"/>
              </w:rPr>
              <w:t>آ</w:t>
            </w:r>
            <w:r>
              <w:rPr>
                <w:rStyle w:val="IndexLink"/>
                <w:rtl w:val="true"/>
              </w:rPr>
              <w:tab/>
            </w:r>
            <w:r>
              <w:rPr>
                <w:rStyle w:val="IndexLink"/>
              </w:rPr>
              <w:t>56</w:t>
            </w:r>
          </w:hyperlink>
        </w:p>
        <w:p>
          <w:pPr>
            <w:pStyle w:val="Contents4"/>
            <w:tabs>
              <w:tab w:val="clear" w:pos="8176"/>
              <w:tab w:val="right" w:pos="9026" w:leader="dot"/>
            </w:tabs>
            <w:rPr/>
          </w:pPr>
          <w:hyperlink w:anchor="__RefHeading___Toc1323731_774463916">
            <w:r>
              <w:rPr>
                <w:webHidden/>
                <w:rStyle w:val="IndexLink"/>
                <w:rtl w:val="true"/>
              </w:rPr>
              <w:t>حرف الألف</w:t>
            </w:r>
            <w:r>
              <w:rPr>
                <w:rStyle w:val="IndexLink"/>
                <w:rtl w:val="true"/>
              </w:rPr>
              <w:tab/>
            </w:r>
            <w:r>
              <w:rPr>
                <w:rStyle w:val="IndexLink"/>
              </w:rPr>
              <w:t>56</w:t>
            </w:r>
          </w:hyperlink>
        </w:p>
        <w:p>
          <w:pPr>
            <w:pStyle w:val="Contents4"/>
            <w:tabs>
              <w:tab w:val="clear" w:pos="8176"/>
              <w:tab w:val="right" w:pos="9026" w:leader="dot"/>
            </w:tabs>
            <w:rPr/>
          </w:pPr>
          <w:hyperlink w:anchor="__RefHeading___Toc1323733_774463916">
            <w:r>
              <w:rPr>
                <w:webHidden/>
                <w:rStyle w:val="IndexLink"/>
                <w:rtl w:val="true"/>
              </w:rPr>
              <w:t>حرف الباء</w:t>
            </w:r>
            <w:r>
              <w:rPr>
                <w:rStyle w:val="IndexLink"/>
                <w:rtl w:val="true"/>
              </w:rPr>
              <w:tab/>
            </w:r>
            <w:r>
              <w:rPr>
                <w:rStyle w:val="IndexLink"/>
              </w:rPr>
              <w:t>56</w:t>
            </w:r>
          </w:hyperlink>
        </w:p>
        <w:p>
          <w:pPr>
            <w:pStyle w:val="Contents4"/>
            <w:tabs>
              <w:tab w:val="clear" w:pos="8176"/>
              <w:tab w:val="right" w:pos="9026" w:leader="dot"/>
            </w:tabs>
            <w:rPr/>
          </w:pPr>
          <w:hyperlink w:anchor="__RefHeading___Toc1323735_774463916">
            <w:r>
              <w:rPr>
                <w:webHidden/>
                <w:rStyle w:val="IndexLink"/>
                <w:rtl w:val="true"/>
              </w:rPr>
              <w:t>حرف التاء</w:t>
            </w:r>
            <w:r>
              <w:rPr>
                <w:rStyle w:val="IndexLink"/>
                <w:rtl w:val="true"/>
              </w:rPr>
              <w:tab/>
            </w:r>
            <w:r>
              <w:rPr>
                <w:rStyle w:val="IndexLink"/>
              </w:rPr>
              <w:t>56</w:t>
            </w:r>
          </w:hyperlink>
        </w:p>
        <w:p>
          <w:pPr>
            <w:pStyle w:val="Contents4"/>
            <w:tabs>
              <w:tab w:val="clear" w:pos="8176"/>
              <w:tab w:val="right" w:pos="9026" w:leader="dot"/>
            </w:tabs>
            <w:rPr/>
          </w:pPr>
          <w:hyperlink w:anchor="__RefHeading___Toc1323737_774463916">
            <w:r>
              <w:rPr>
                <w:webHidden/>
                <w:rStyle w:val="IndexLink"/>
                <w:rtl w:val="true"/>
              </w:rPr>
              <w:t>حرف الثاء</w:t>
            </w:r>
            <w:r>
              <w:rPr>
                <w:rStyle w:val="IndexLink"/>
                <w:rtl w:val="true"/>
              </w:rPr>
              <w:tab/>
            </w:r>
            <w:r>
              <w:rPr>
                <w:rStyle w:val="IndexLink"/>
              </w:rPr>
              <w:t>56</w:t>
            </w:r>
          </w:hyperlink>
        </w:p>
        <w:p>
          <w:pPr>
            <w:pStyle w:val="Contents4"/>
            <w:tabs>
              <w:tab w:val="clear" w:pos="8176"/>
              <w:tab w:val="right" w:pos="9026" w:leader="dot"/>
            </w:tabs>
            <w:rPr/>
          </w:pPr>
          <w:hyperlink w:anchor="__RefHeading___Toc1323739_774463916">
            <w:r>
              <w:rPr>
                <w:webHidden/>
                <w:rStyle w:val="IndexLink"/>
                <w:rtl w:val="true"/>
              </w:rPr>
              <w:t>حرف الجیم</w:t>
            </w:r>
            <w:r>
              <w:rPr>
                <w:rStyle w:val="IndexLink"/>
                <w:rtl w:val="true"/>
              </w:rPr>
              <w:tab/>
            </w:r>
            <w:r>
              <w:rPr>
                <w:rStyle w:val="IndexLink"/>
              </w:rPr>
              <w:t>58</w:t>
            </w:r>
          </w:hyperlink>
        </w:p>
        <w:p>
          <w:pPr>
            <w:pStyle w:val="Contents4"/>
            <w:tabs>
              <w:tab w:val="clear" w:pos="8176"/>
              <w:tab w:val="right" w:pos="9026" w:leader="dot"/>
            </w:tabs>
            <w:rPr/>
          </w:pPr>
          <w:hyperlink w:anchor="__RefHeading___Toc1323741_774463916">
            <w:r>
              <w:rPr>
                <w:webHidden/>
                <w:rStyle w:val="IndexLink"/>
                <w:rtl w:val="true"/>
              </w:rPr>
              <w:t>حرف الحاء</w:t>
            </w:r>
            <w:r>
              <w:rPr>
                <w:rStyle w:val="IndexLink"/>
                <w:rtl w:val="true"/>
              </w:rPr>
              <w:tab/>
            </w:r>
            <w:r>
              <w:rPr>
                <w:rStyle w:val="IndexLink"/>
              </w:rPr>
              <w:t>58</w:t>
            </w:r>
          </w:hyperlink>
        </w:p>
        <w:p>
          <w:pPr>
            <w:pStyle w:val="Contents4"/>
            <w:tabs>
              <w:tab w:val="clear" w:pos="8176"/>
              <w:tab w:val="right" w:pos="9026" w:leader="dot"/>
            </w:tabs>
            <w:rPr/>
          </w:pPr>
          <w:hyperlink w:anchor="__RefHeading___Toc1323743_774463916">
            <w:r>
              <w:rPr>
                <w:webHidden/>
                <w:rStyle w:val="IndexLink"/>
                <w:rtl w:val="true"/>
              </w:rPr>
              <w:t>حرف الخاء</w:t>
            </w:r>
            <w:r>
              <w:rPr>
                <w:rStyle w:val="IndexLink"/>
                <w:rtl w:val="true"/>
              </w:rPr>
              <w:tab/>
            </w:r>
            <w:r>
              <w:rPr>
                <w:rStyle w:val="IndexLink"/>
              </w:rPr>
              <w:t>58</w:t>
            </w:r>
          </w:hyperlink>
        </w:p>
        <w:p>
          <w:pPr>
            <w:pStyle w:val="Contents4"/>
            <w:tabs>
              <w:tab w:val="clear" w:pos="8176"/>
              <w:tab w:val="right" w:pos="9026" w:leader="dot"/>
            </w:tabs>
            <w:rPr/>
          </w:pPr>
          <w:hyperlink w:anchor="__RefHeading___Toc1323745_774463916">
            <w:r>
              <w:rPr>
                <w:webHidden/>
                <w:rStyle w:val="IndexLink"/>
                <w:rtl w:val="true"/>
              </w:rPr>
              <w:t>حرف الدال</w:t>
            </w:r>
            <w:r>
              <w:rPr>
                <w:rStyle w:val="IndexLink"/>
                <w:rtl w:val="true"/>
              </w:rPr>
              <w:tab/>
            </w:r>
            <w:r>
              <w:rPr>
                <w:rStyle w:val="IndexLink"/>
              </w:rPr>
              <w:t>58</w:t>
            </w:r>
          </w:hyperlink>
        </w:p>
        <w:p>
          <w:pPr>
            <w:pStyle w:val="Contents4"/>
            <w:tabs>
              <w:tab w:val="clear" w:pos="8176"/>
              <w:tab w:val="right" w:pos="9026" w:leader="dot"/>
            </w:tabs>
            <w:rPr/>
          </w:pPr>
          <w:hyperlink w:anchor="__RefHeading___Toc1323747_774463916">
            <w:r>
              <w:rPr>
                <w:webHidden/>
                <w:rStyle w:val="IndexLink"/>
                <w:rtl w:val="true"/>
              </w:rPr>
              <w:t>حرف الذال</w:t>
            </w:r>
            <w:r>
              <w:rPr>
                <w:rStyle w:val="IndexLink"/>
                <w:rtl w:val="true"/>
              </w:rPr>
              <w:tab/>
            </w:r>
            <w:r>
              <w:rPr>
                <w:rStyle w:val="IndexLink"/>
              </w:rPr>
              <w:t>58</w:t>
            </w:r>
          </w:hyperlink>
        </w:p>
        <w:p>
          <w:pPr>
            <w:pStyle w:val="Contents4"/>
            <w:tabs>
              <w:tab w:val="clear" w:pos="8176"/>
              <w:tab w:val="right" w:pos="9026" w:leader="dot"/>
            </w:tabs>
            <w:rPr/>
          </w:pPr>
          <w:hyperlink w:anchor="__RefHeading___Toc1323749_774463916">
            <w:r>
              <w:rPr>
                <w:webHidden/>
                <w:rStyle w:val="IndexLink"/>
                <w:rtl w:val="true"/>
              </w:rPr>
              <w:t>حرف الراء</w:t>
            </w:r>
            <w:r>
              <w:rPr>
                <w:rStyle w:val="IndexLink"/>
                <w:rtl w:val="true"/>
              </w:rPr>
              <w:tab/>
            </w:r>
            <w:r>
              <w:rPr>
                <w:rStyle w:val="IndexLink"/>
              </w:rPr>
              <w:t>59</w:t>
            </w:r>
          </w:hyperlink>
        </w:p>
        <w:p>
          <w:pPr>
            <w:pStyle w:val="Contents4"/>
            <w:tabs>
              <w:tab w:val="clear" w:pos="8176"/>
              <w:tab w:val="right" w:pos="9026" w:leader="dot"/>
            </w:tabs>
            <w:rPr/>
          </w:pPr>
          <w:hyperlink w:anchor="__RefHeading___Toc1323751_774463916">
            <w:r>
              <w:rPr>
                <w:webHidden/>
                <w:rStyle w:val="IndexLink"/>
                <w:rtl w:val="true"/>
              </w:rPr>
              <w:t>حرف الزای</w:t>
            </w:r>
            <w:r>
              <w:rPr>
                <w:rStyle w:val="IndexLink"/>
                <w:rtl w:val="true"/>
              </w:rPr>
              <w:tab/>
            </w:r>
            <w:r>
              <w:rPr>
                <w:rStyle w:val="IndexLink"/>
              </w:rPr>
              <w:t>59</w:t>
            </w:r>
          </w:hyperlink>
        </w:p>
        <w:p>
          <w:pPr>
            <w:pStyle w:val="Contents4"/>
            <w:tabs>
              <w:tab w:val="clear" w:pos="8176"/>
              <w:tab w:val="right" w:pos="9026" w:leader="dot"/>
            </w:tabs>
            <w:rPr/>
          </w:pPr>
          <w:hyperlink w:anchor="__RefHeading___Toc1323753_774463916">
            <w:r>
              <w:rPr>
                <w:webHidden/>
                <w:rStyle w:val="IndexLink"/>
                <w:rtl w:val="true"/>
              </w:rPr>
              <w:t>حرف السین</w:t>
            </w:r>
            <w:r>
              <w:rPr>
                <w:rStyle w:val="IndexLink"/>
                <w:rtl w:val="true"/>
              </w:rPr>
              <w:tab/>
            </w:r>
            <w:r>
              <w:rPr>
                <w:rStyle w:val="IndexLink"/>
              </w:rPr>
              <w:t>60</w:t>
            </w:r>
          </w:hyperlink>
        </w:p>
        <w:p>
          <w:pPr>
            <w:pStyle w:val="Contents4"/>
            <w:tabs>
              <w:tab w:val="clear" w:pos="8176"/>
              <w:tab w:val="right" w:pos="9026" w:leader="dot"/>
            </w:tabs>
            <w:rPr/>
          </w:pPr>
          <w:hyperlink w:anchor="__RefHeading___Toc1323755_774463916">
            <w:r>
              <w:rPr>
                <w:webHidden/>
                <w:rStyle w:val="IndexLink"/>
                <w:rtl w:val="true"/>
              </w:rPr>
              <w:t>حرف الشین</w:t>
            </w:r>
            <w:r>
              <w:rPr>
                <w:rStyle w:val="IndexLink"/>
                <w:rtl w:val="true"/>
              </w:rPr>
              <w:tab/>
            </w:r>
            <w:r>
              <w:rPr>
                <w:rStyle w:val="IndexLink"/>
              </w:rPr>
              <w:t>60</w:t>
            </w:r>
          </w:hyperlink>
        </w:p>
        <w:p>
          <w:pPr>
            <w:pStyle w:val="Contents4"/>
            <w:tabs>
              <w:tab w:val="clear" w:pos="8176"/>
              <w:tab w:val="right" w:pos="9026" w:leader="dot"/>
            </w:tabs>
            <w:rPr/>
          </w:pPr>
          <w:hyperlink w:anchor="__RefHeading___Toc1323757_774463916">
            <w:r>
              <w:rPr>
                <w:webHidden/>
                <w:rStyle w:val="IndexLink"/>
                <w:rtl w:val="true"/>
              </w:rPr>
              <w:t>حرف الصاد</w:t>
            </w:r>
            <w:r>
              <w:rPr>
                <w:rStyle w:val="IndexLink"/>
                <w:rtl w:val="true"/>
              </w:rPr>
              <w:tab/>
            </w:r>
            <w:r>
              <w:rPr>
                <w:rStyle w:val="IndexLink"/>
              </w:rPr>
              <w:t>60</w:t>
            </w:r>
          </w:hyperlink>
        </w:p>
        <w:p>
          <w:pPr>
            <w:pStyle w:val="Contents4"/>
            <w:tabs>
              <w:tab w:val="clear" w:pos="8176"/>
              <w:tab w:val="right" w:pos="9026" w:leader="dot"/>
            </w:tabs>
            <w:rPr/>
          </w:pPr>
          <w:hyperlink w:anchor="__RefHeading___Toc1323759_774463916">
            <w:r>
              <w:rPr>
                <w:webHidden/>
                <w:rStyle w:val="IndexLink"/>
                <w:rtl w:val="true"/>
              </w:rPr>
              <w:t>حرف الضاد</w:t>
            </w:r>
            <w:r>
              <w:rPr>
                <w:rStyle w:val="IndexLink"/>
                <w:rtl w:val="true"/>
              </w:rPr>
              <w:tab/>
            </w:r>
            <w:r>
              <w:rPr>
                <w:rStyle w:val="IndexLink"/>
              </w:rPr>
              <w:t>60</w:t>
            </w:r>
          </w:hyperlink>
        </w:p>
        <w:p>
          <w:pPr>
            <w:pStyle w:val="Contents4"/>
            <w:tabs>
              <w:tab w:val="clear" w:pos="8176"/>
              <w:tab w:val="right" w:pos="9026" w:leader="dot"/>
            </w:tabs>
            <w:rPr/>
          </w:pPr>
          <w:hyperlink w:anchor="__RefHeading___Toc1323761_774463916">
            <w:r>
              <w:rPr>
                <w:webHidden/>
                <w:rStyle w:val="IndexLink"/>
                <w:rtl w:val="true"/>
              </w:rPr>
              <w:t>حرف الطاء</w:t>
            </w:r>
            <w:r>
              <w:rPr>
                <w:rStyle w:val="IndexLink"/>
                <w:rtl w:val="true"/>
              </w:rPr>
              <w:tab/>
            </w:r>
            <w:r>
              <w:rPr>
                <w:rStyle w:val="IndexLink"/>
              </w:rPr>
              <w:t>60</w:t>
            </w:r>
          </w:hyperlink>
        </w:p>
        <w:p>
          <w:pPr>
            <w:pStyle w:val="Contents4"/>
            <w:tabs>
              <w:tab w:val="clear" w:pos="8176"/>
              <w:tab w:val="right" w:pos="9026" w:leader="dot"/>
            </w:tabs>
            <w:rPr/>
          </w:pPr>
          <w:hyperlink w:anchor="__RefHeading___Toc1323763_774463916">
            <w:r>
              <w:rPr>
                <w:webHidden/>
                <w:rStyle w:val="IndexLink"/>
                <w:rtl w:val="true"/>
              </w:rPr>
              <w:t>حرف الظاء</w:t>
            </w:r>
            <w:r>
              <w:rPr>
                <w:rStyle w:val="IndexLink"/>
                <w:rtl w:val="true"/>
              </w:rPr>
              <w:tab/>
            </w:r>
            <w:r>
              <w:rPr>
                <w:rStyle w:val="IndexLink"/>
              </w:rPr>
              <w:t>61</w:t>
            </w:r>
          </w:hyperlink>
        </w:p>
        <w:p>
          <w:pPr>
            <w:pStyle w:val="Contents4"/>
            <w:tabs>
              <w:tab w:val="clear" w:pos="8176"/>
              <w:tab w:val="right" w:pos="9026" w:leader="dot"/>
            </w:tabs>
            <w:rPr/>
          </w:pPr>
          <w:hyperlink w:anchor="__RefHeading___Toc1323765_774463916">
            <w:r>
              <w:rPr>
                <w:webHidden/>
                <w:rStyle w:val="IndexLink"/>
                <w:rtl w:val="true"/>
              </w:rPr>
              <w:t>حرف العین</w:t>
            </w:r>
            <w:r>
              <w:rPr>
                <w:rStyle w:val="IndexLink"/>
                <w:rtl w:val="true"/>
              </w:rPr>
              <w:tab/>
            </w:r>
            <w:r>
              <w:rPr>
                <w:rStyle w:val="IndexLink"/>
              </w:rPr>
              <w:t>61</w:t>
            </w:r>
          </w:hyperlink>
        </w:p>
        <w:p>
          <w:pPr>
            <w:pStyle w:val="Contents4"/>
            <w:tabs>
              <w:tab w:val="clear" w:pos="8176"/>
              <w:tab w:val="right" w:pos="9026" w:leader="dot"/>
            </w:tabs>
            <w:rPr/>
          </w:pPr>
          <w:hyperlink w:anchor="__RefHeading___Toc1323767_774463916">
            <w:r>
              <w:rPr>
                <w:webHidden/>
                <w:rStyle w:val="IndexLink"/>
                <w:rtl w:val="true"/>
              </w:rPr>
              <w:t>حرف الغین</w:t>
            </w:r>
            <w:r>
              <w:rPr>
                <w:rStyle w:val="IndexLink"/>
                <w:rtl w:val="true"/>
              </w:rPr>
              <w:tab/>
            </w:r>
            <w:r>
              <w:rPr>
                <w:rStyle w:val="IndexLink"/>
              </w:rPr>
              <w:t>62</w:t>
            </w:r>
          </w:hyperlink>
        </w:p>
        <w:p>
          <w:pPr>
            <w:pStyle w:val="Contents4"/>
            <w:tabs>
              <w:tab w:val="clear" w:pos="8176"/>
              <w:tab w:val="right" w:pos="9026" w:leader="dot"/>
            </w:tabs>
            <w:rPr/>
          </w:pPr>
          <w:hyperlink w:anchor="__RefHeading___Toc1323769_774463916">
            <w:r>
              <w:rPr>
                <w:webHidden/>
                <w:rStyle w:val="IndexLink"/>
                <w:rtl w:val="true"/>
              </w:rPr>
              <w:t>حرف الفاء</w:t>
            </w:r>
            <w:r>
              <w:rPr>
                <w:rStyle w:val="IndexLink"/>
                <w:rtl w:val="true"/>
              </w:rPr>
              <w:tab/>
            </w:r>
            <w:r>
              <w:rPr>
                <w:rStyle w:val="IndexLink"/>
              </w:rPr>
              <w:t>62</w:t>
            </w:r>
          </w:hyperlink>
        </w:p>
        <w:p>
          <w:pPr>
            <w:pStyle w:val="Contents4"/>
            <w:tabs>
              <w:tab w:val="clear" w:pos="8176"/>
              <w:tab w:val="right" w:pos="9026" w:leader="dot"/>
            </w:tabs>
            <w:rPr/>
          </w:pPr>
          <w:hyperlink w:anchor="__RefHeading___Toc1323771_774463916">
            <w:r>
              <w:rPr>
                <w:webHidden/>
                <w:rStyle w:val="IndexLink"/>
                <w:rtl w:val="true"/>
              </w:rPr>
              <w:t>حرف القاف</w:t>
            </w:r>
            <w:r>
              <w:rPr>
                <w:rStyle w:val="IndexLink"/>
                <w:rtl w:val="true"/>
              </w:rPr>
              <w:tab/>
            </w:r>
            <w:r>
              <w:rPr>
                <w:rStyle w:val="IndexLink"/>
              </w:rPr>
              <w:t>62</w:t>
            </w:r>
          </w:hyperlink>
        </w:p>
        <w:p>
          <w:pPr>
            <w:pStyle w:val="Contents4"/>
            <w:tabs>
              <w:tab w:val="clear" w:pos="8176"/>
              <w:tab w:val="right" w:pos="9026" w:leader="dot"/>
            </w:tabs>
            <w:rPr/>
          </w:pPr>
          <w:hyperlink w:anchor="__RefHeading___Toc1323773_774463916">
            <w:r>
              <w:rPr>
                <w:webHidden/>
                <w:rStyle w:val="IndexLink"/>
                <w:rtl w:val="true"/>
              </w:rPr>
              <w:t>حرف الکاف</w:t>
            </w:r>
            <w:r>
              <w:rPr>
                <w:rStyle w:val="IndexLink"/>
                <w:rtl w:val="true"/>
              </w:rPr>
              <w:tab/>
            </w:r>
            <w:r>
              <w:rPr>
                <w:rStyle w:val="IndexLink"/>
              </w:rPr>
              <w:t>62</w:t>
            </w:r>
          </w:hyperlink>
        </w:p>
        <w:p>
          <w:pPr>
            <w:pStyle w:val="Contents4"/>
            <w:tabs>
              <w:tab w:val="clear" w:pos="8176"/>
              <w:tab w:val="right" w:pos="9026" w:leader="dot"/>
            </w:tabs>
            <w:rPr/>
          </w:pPr>
          <w:hyperlink w:anchor="__RefHeading___Toc1323775_774463916">
            <w:r>
              <w:rPr>
                <w:webHidden/>
                <w:rStyle w:val="IndexLink"/>
                <w:rtl w:val="true"/>
              </w:rPr>
              <w:t>حرف اللام</w:t>
            </w:r>
            <w:r>
              <w:rPr>
                <w:rStyle w:val="IndexLink"/>
                <w:rtl w:val="true"/>
              </w:rPr>
              <w:tab/>
            </w:r>
            <w:r>
              <w:rPr>
                <w:rStyle w:val="IndexLink"/>
              </w:rPr>
              <w:t>62</w:t>
            </w:r>
          </w:hyperlink>
        </w:p>
        <w:p>
          <w:pPr>
            <w:pStyle w:val="Contents4"/>
            <w:tabs>
              <w:tab w:val="clear" w:pos="8176"/>
              <w:tab w:val="right" w:pos="9026" w:leader="dot"/>
            </w:tabs>
            <w:rPr/>
          </w:pPr>
          <w:hyperlink w:anchor="__RefHeading___Toc1323777_774463916">
            <w:r>
              <w:rPr>
                <w:webHidden/>
                <w:rStyle w:val="IndexLink"/>
                <w:rtl w:val="true"/>
              </w:rPr>
              <w:t>حرف المیم</w:t>
            </w:r>
            <w:r>
              <w:rPr>
                <w:rStyle w:val="IndexLink"/>
                <w:rtl w:val="true"/>
              </w:rPr>
              <w:tab/>
            </w:r>
            <w:r>
              <w:rPr>
                <w:rStyle w:val="IndexLink"/>
              </w:rPr>
              <w:t>63</w:t>
            </w:r>
          </w:hyperlink>
        </w:p>
        <w:p>
          <w:pPr>
            <w:pStyle w:val="Contents4"/>
            <w:tabs>
              <w:tab w:val="clear" w:pos="8176"/>
              <w:tab w:val="right" w:pos="9026" w:leader="dot"/>
            </w:tabs>
            <w:rPr/>
          </w:pPr>
          <w:hyperlink w:anchor="__RefHeading___Toc1323779_774463916">
            <w:r>
              <w:rPr>
                <w:webHidden/>
                <w:rStyle w:val="IndexLink"/>
                <w:rtl w:val="true"/>
              </w:rPr>
              <w:t>حرف النون</w:t>
            </w:r>
            <w:r>
              <w:rPr>
                <w:rStyle w:val="IndexLink"/>
                <w:rtl w:val="true"/>
              </w:rPr>
              <w:tab/>
            </w:r>
            <w:r>
              <w:rPr>
                <w:rStyle w:val="IndexLink"/>
              </w:rPr>
              <w:t>64</w:t>
            </w:r>
          </w:hyperlink>
        </w:p>
        <w:p>
          <w:pPr>
            <w:pStyle w:val="Contents4"/>
            <w:tabs>
              <w:tab w:val="clear" w:pos="8176"/>
              <w:tab w:val="right" w:pos="9026" w:leader="dot"/>
            </w:tabs>
            <w:rPr/>
          </w:pPr>
          <w:hyperlink w:anchor="__RefHeading___Toc1323781_774463916">
            <w:r>
              <w:rPr>
                <w:webHidden/>
                <w:rStyle w:val="IndexLink"/>
                <w:rtl w:val="true"/>
              </w:rPr>
              <w:t>حرف الهاء</w:t>
            </w:r>
            <w:r>
              <w:rPr>
                <w:rStyle w:val="IndexLink"/>
                <w:rtl w:val="true"/>
              </w:rPr>
              <w:tab/>
            </w:r>
            <w:r>
              <w:rPr>
                <w:rStyle w:val="IndexLink"/>
              </w:rPr>
              <w:t>64</w:t>
            </w:r>
          </w:hyperlink>
        </w:p>
        <w:p>
          <w:pPr>
            <w:pStyle w:val="Contents4"/>
            <w:tabs>
              <w:tab w:val="clear" w:pos="8176"/>
              <w:tab w:val="right" w:pos="9026" w:leader="dot"/>
            </w:tabs>
            <w:rPr/>
          </w:pPr>
          <w:hyperlink w:anchor="__RefHeading___Toc1323783_774463916">
            <w:r>
              <w:rPr>
                <w:webHidden/>
                <w:rStyle w:val="IndexLink"/>
                <w:rtl w:val="true"/>
              </w:rPr>
              <w:t>حرف الواو</w:t>
            </w:r>
            <w:r>
              <w:rPr>
                <w:rStyle w:val="IndexLink"/>
                <w:rtl w:val="true"/>
              </w:rPr>
              <w:tab/>
            </w:r>
            <w:r>
              <w:rPr>
                <w:rStyle w:val="IndexLink"/>
              </w:rPr>
              <w:t>64</w:t>
            </w:r>
          </w:hyperlink>
        </w:p>
        <w:p>
          <w:pPr>
            <w:pStyle w:val="Contents4"/>
            <w:tabs>
              <w:tab w:val="clear" w:pos="8176"/>
              <w:tab w:val="right" w:pos="9026" w:leader="dot"/>
            </w:tabs>
            <w:rPr/>
          </w:pPr>
          <w:hyperlink w:anchor="__RefHeading___Toc1323785_774463916">
            <w:r>
              <w:rPr>
                <w:webHidden/>
                <w:rStyle w:val="IndexLink"/>
                <w:rtl w:val="true"/>
              </w:rPr>
              <w:t>حرف الیاء</w:t>
            </w:r>
            <w:r>
              <w:rPr>
                <w:rStyle w:val="IndexLink"/>
                <w:rtl w:val="true"/>
              </w:rPr>
              <w:tab/>
            </w:r>
            <w:r>
              <w:rPr>
                <w:rStyle w:val="IndexLink"/>
              </w:rPr>
              <w:t>64</w:t>
            </w:r>
          </w:hyperlink>
        </w:p>
        <w:p>
          <w:pPr>
            <w:pStyle w:val="Contents3"/>
            <w:tabs>
              <w:tab w:val="clear" w:pos="8459"/>
              <w:tab w:val="right" w:pos="9026" w:leader="dot"/>
            </w:tabs>
            <w:rPr/>
          </w:pPr>
          <w:hyperlink w:anchor="__RefHeading___Toc1323787_774463916">
            <w:r>
              <w:rPr>
                <w:webHidden/>
                <w:rStyle w:val="IndexLink"/>
                <w:rtl w:val="true"/>
              </w:rPr>
              <w:t>نماذج من مقالات دائرة المعارف الحسینیة</w:t>
            </w:r>
            <w:r>
              <w:rPr>
                <w:rStyle w:val="IndexLink"/>
                <w:rtl w:val="true"/>
              </w:rPr>
              <w:tab/>
            </w:r>
            <w:r>
              <w:rPr>
                <w:rStyle w:val="IndexLink"/>
              </w:rPr>
              <w:t>65</w:t>
            </w:r>
          </w:hyperlink>
        </w:p>
        <w:p>
          <w:pPr>
            <w:pStyle w:val="Contents4"/>
            <w:tabs>
              <w:tab w:val="clear" w:pos="8176"/>
              <w:tab w:val="right" w:pos="9026" w:leader="dot"/>
            </w:tabs>
            <w:rPr/>
          </w:pPr>
          <w:hyperlink w:anchor="__RefHeading___Toc1323789_774463916">
            <w:r>
              <w:rPr>
                <w:webHidden/>
                <w:rStyle w:val="IndexLink"/>
                <w:rtl w:val="true"/>
              </w:rPr>
              <w:t>أنس بن الحارث</w:t>
            </w:r>
            <w:r>
              <w:rPr>
                <w:rStyle w:val="IndexLink"/>
                <w:rtl w:val="true"/>
              </w:rPr>
              <w:tab/>
            </w:r>
            <w:r>
              <w:rPr>
                <w:rStyle w:val="IndexLink"/>
              </w:rPr>
              <w:t>65</w:t>
            </w:r>
          </w:hyperlink>
        </w:p>
        <w:p>
          <w:pPr>
            <w:pStyle w:val="Contents4"/>
            <w:tabs>
              <w:tab w:val="clear" w:pos="8176"/>
              <w:tab w:val="right" w:pos="9026" w:leader="dot"/>
            </w:tabs>
            <w:rPr/>
          </w:pPr>
          <w:hyperlink w:anchor="__RefHeading___Toc1323791_774463916">
            <w:r>
              <w:rPr>
                <w:webHidden/>
                <w:rStyle w:val="IndexLink"/>
                <w:rtl w:val="true"/>
              </w:rPr>
              <w:t>الثّعلبیة</w:t>
            </w:r>
            <w:r>
              <w:rPr>
                <w:rStyle w:val="IndexLink"/>
                <w:rtl w:val="true"/>
              </w:rPr>
              <w:tab/>
            </w:r>
            <w:r>
              <w:rPr>
                <w:rStyle w:val="IndexLink"/>
              </w:rPr>
              <w:t>69</w:t>
            </w:r>
          </w:hyperlink>
        </w:p>
        <w:p>
          <w:pPr>
            <w:pStyle w:val="Contents4"/>
            <w:tabs>
              <w:tab w:val="clear" w:pos="8176"/>
              <w:tab w:val="right" w:pos="9026" w:leader="dot"/>
            </w:tabs>
            <w:rPr/>
          </w:pPr>
          <w:hyperlink w:anchor="__RefHeading___Toc1323793_774463916">
            <w:r>
              <w:rPr>
                <w:webHidden/>
                <w:rStyle w:val="IndexLink"/>
                <w:rtl w:val="true"/>
              </w:rPr>
              <w:t>حمید بن مسلم</w:t>
            </w:r>
            <w:r>
              <w:rPr>
                <w:rStyle w:val="IndexLink"/>
                <w:rtl w:val="true"/>
              </w:rPr>
              <w:tab/>
            </w:r>
            <w:r>
              <w:rPr>
                <w:rStyle w:val="IndexLink"/>
              </w:rPr>
              <w:t>76</w:t>
            </w:r>
          </w:hyperlink>
        </w:p>
        <w:p>
          <w:pPr>
            <w:pStyle w:val="Contents4"/>
            <w:tabs>
              <w:tab w:val="clear" w:pos="8176"/>
              <w:tab w:val="right" w:pos="9026" w:leader="dot"/>
            </w:tabs>
            <w:rPr/>
          </w:pPr>
          <w:hyperlink w:anchor="__RefHeading___Toc1323795_774463916">
            <w:r>
              <w:rPr>
                <w:webHidden/>
                <w:rStyle w:val="IndexLink"/>
                <w:rtl w:val="true"/>
              </w:rPr>
              <w:t>زهیر بن القین</w:t>
            </w:r>
            <w:r>
              <w:rPr>
                <w:rStyle w:val="IndexLink"/>
                <w:rtl w:val="true"/>
              </w:rPr>
              <w:tab/>
            </w:r>
            <w:r>
              <w:rPr>
                <w:rStyle w:val="IndexLink"/>
              </w:rPr>
              <w:t>81</w:t>
            </w:r>
          </w:hyperlink>
        </w:p>
        <w:p>
          <w:pPr>
            <w:pStyle w:val="Contents4"/>
            <w:tabs>
              <w:tab w:val="clear" w:pos="8176"/>
              <w:tab w:val="right" w:pos="9026" w:leader="dot"/>
            </w:tabs>
            <w:rPr/>
          </w:pPr>
          <w:hyperlink w:anchor="__RefHeading___Toc1323797_774463916">
            <w:r>
              <w:rPr>
                <w:webHidden/>
                <w:rStyle w:val="IndexLink"/>
                <w:rtl w:val="true"/>
              </w:rPr>
              <w:t>لُبس السّواد</w:t>
            </w:r>
            <w:r>
              <w:rPr>
                <w:rStyle w:val="IndexLink"/>
                <w:rtl w:val="true"/>
              </w:rPr>
              <w:tab/>
            </w:r>
            <w:r>
              <w:rPr>
                <w:rStyle w:val="IndexLink"/>
              </w:rPr>
              <w:t>94</w:t>
            </w:r>
          </w:hyperlink>
        </w:p>
        <w:p>
          <w:pPr>
            <w:pStyle w:val="Contents4"/>
            <w:tabs>
              <w:tab w:val="clear" w:pos="8176"/>
              <w:tab w:val="right" w:pos="9026" w:leader="dot"/>
            </w:tabs>
            <w:rPr/>
          </w:pPr>
          <w:hyperlink w:anchor="__RefHeading___Toc1323799_774463916">
            <w:r>
              <w:rPr>
                <w:webHidden/>
                <w:rStyle w:val="IndexLink"/>
                <w:rtl w:val="true"/>
              </w:rPr>
              <w:t>مقتل أبی مخنف</w:t>
            </w:r>
            <w:r>
              <w:rPr>
                <w:rStyle w:val="IndexLink"/>
                <w:rtl w:val="true"/>
              </w:rPr>
              <w:tab/>
            </w:r>
            <w:r>
              <w:rPr>
                <w:rStyle w:val="IndexLink"/>
              </w:rPr>
              <w:t>110</w:t>
            </w:r>
          </w:hyperlink>
        </w:p>
        <w:p>
          <w:pPr>
            <w:pStyle w:val="Contents2"/>
            <w:tabs>
              <w:tab w:val="clear" w:pos="8743"/>
              <w:tab w:val="right" w:pos="9026" w:leader="dot"/>
            </w:tabs>
            <w:rPr/>
          </w:pPr>
          <w:hyperlink w:anchor="__RefHeading___Toc1323801_774463916">
            <w:r>
              <w:rPr>
                <w:webHidden/>
                <w:rStyle w:val="IndexLink"/>
                <w:rtl w:val="true"/>
              </w:rPr>
              <w:t>دعوة الکتاب</w:t>
            </w:r>
            <w:r>
              <w:rPr>
                <w:rStyle w:val="IndexLink"/>
                <w:rtl w:val="true"/>
              </w:rPr>
              <w:tab/>
            </w:r>
            <w:r>
              <w:rPr>
                <w:rStyle w:val="IndexLink"/>
              </w:rPr>
              <w:t>121</w:t>
            </w:r>
          </w:hyperlink>
        </w:p>
        <w:p>
          <w:pPr>
            <w:pStyle w:val="Contents2"/>
            <w:tabs>
              <w:tab w:val="clear" w:pos="8743"/>
              <w:tab w:val="right" w:pos="9026" w:leader="dot"/>
            </w:tabs>
            <w:rPr/>
          </w:pPr>
          <w:hyperlink w:anchor="__RefHeading___Toc1323803_774463916">
            <w:r>
              <w:rPr>
                <w:webHidden/>
                <w:rStyle w:val="IndexLink"/>
                <w:rtl w:val="true"/>
              </w:rPr>
              <w:t>المحتویات</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4_36212"/>
      <w:bookmarkStart w:id="1" w:name="pg5104_36212"/>
      <w:bookmarkEnd w:id="1"/>
    </w:p>
    <w:p>
      <w:pPr>
        <w:pStyle w:val="Heading2"/>
        <w:numPr>
          <w:ilvl w:val="1"/>
          <w:numId w:val="1"/>
        </w:numPr>
        <w:rPr/>
      </w:pPr>
      <w:bookmarkStart w:id="2" w:name="pg5104_36212"/>
      <w:bookmarkStart w:id="3" w:name="__RefHeading___Toc1323547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دائرة المعارف الحسینیة الألفبائیة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مؤسّسة وارث الأنبیاء</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3549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فَسَیَرَی اللَّهُ عَمَلَکُمْ وَرَسُولُهُ وَالْمُؤْمِنُونَ وَسَتُرَدُّونَ إِلَی عَالِمِ الْغَیْبِ وَالشَّهَادَةِ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04_36225"/>
      <w:bookmarkStart w:id="8" w:name="pg5104_36225"/>
      <w:bookmarkEnd w:id="8"/>
    </w:p>
    <w:p>
      <w:pPr>
        <w:pStyle w:val="Heading2"/>
        <w:numPr>
          <w:ilvl w:val="1"/>
          <w:numId w:val="1"/>
        </w:numPr>
        <w:rPr/>
      </w:pPr>
      <w:bookmarkStart w:id="9" w:name="pg5104_36225"/>
      <w:bookmarkStart w:id="10" w:name="__RefHeading___Toc1323551_774463916"/>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التنقیب والتتبّع فی الجزئیات المتنوّعة والمتعدّدة، والتی تحتاج إلی الدراسة بشکلٍ تخصّصی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الإحساس بالمسؤولیة العظیمة الملقاة علی عاتق هذه المؤسّسة المبارکة؛ کونها مختصّة بإحدی أهمّ القضایا الدینیة، بل والإنسانیة، فقد قامت بالعمل علی مجموعة من المشاریع العلمیة التخصّصیة، التی من شأنها أن تُعطی نقلة نوعیة للتراث، والفکر، </w:t>
      </w:r>
    </w:p>
    <w:p>
      <w:pPr>
        <w:pStyle w:val="BookText"/>
        <w:rPr/>
      </w:pPr>
      <w:r>
        <w:rPr>
          <w:rFonts w:ascii="IRNazanin" w:hAnsi="IRNazanin" w:eastAsia="IRNazanin"/>
          <w:color w:val="111111"/>
          <w:sz w:val="28"/>
          <w:sz w:val="28"/>
          <w:szCs w:val="28"/>
          <w:rtl w:val="true"/>
          <w:lang w:bidi="fa-IR"/>
        </w:rPr>
        <w:t>والثقافة الحسینیة، ومن تلک المشاریع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قائم علی تألیف کتبٍ حول الموضوعات الحسینیة المهمّة،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یتمّ استقبال الکتب الحسینیة المؤلَّفة خارج المؤسّسة، ومتابعتها علمیّاً وفنّیاً من قبل اللجنة العلمیة، وبعد إجراء التعدیلات والإصلاحات اللازمة تتمّ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جمع وتحقیق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یتم استقبال الکتب التی تم تحقیقها خارج المؤسّسة، لغرض طباعتها ونشرها، وذلک بعد مراجعتها وتقییمها وإدخال التعدیلات الّلازمة علیها وتأیید صلاحیتها للنشر من قبل اللجنة العلمیة فی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ثمّ فرزها وتبویبها، ثمّ الرد علیها بشکل علمی تحقیقی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مختلف العلوم وفروع المعرفة، ثمّ تبویبها حسب التخصّصات العلمیة، ووضعها بین یدی ذوی الاختصاص؛ لیستخرجوا نظریات علمیّة ممازجة بین کلمات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دائرة المعارف الحسینیة الألفبائیة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تشتمل علی کلّ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من أحداث، ووقائع، ومفاهیم، ورؤی، وأسماء أعلام وأماکن، وکتب، وغیر ذلک من الأُمور، مرتّبة حسب الحروف الهجائیة، کما هو معمول به فی دوائر المعارف والموسوعات، وعلی شکل مقالات علمیّة رصینة، تُراعی فیها کلّ شروط المقالة العلمیّة، ومکتوبةٌ بلغةٍ عصریة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المکتوب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المناهج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لجنة علمیة فنیة تقوم بعرض القضیة الحسینیة بشکل مناهج دراسیة علی ناشئة الجیل بالکیفیة المتعارفة من إعداد دروس وأسئلة بطرق معاصرة ومناسبة لمختلف المستویات والأعمار؛ لئلا یبقی بعیداً عن الثورة وأهدافها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من خلاله إقامة ندوات علمیّة تخصّصیة فی النهضة الحسینیة، یحضرها الباحثون، والمحقّقون، وذوو الاختصاص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الموقع الإلکترونی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المؤسسة بإنشاء موقع إلکترونی یحمل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الحسینیة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alderasatalhusainia@yahoo.com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مهمته إثراء القراء والمختصین بالشأن العلمی والدینی فی المجال الإلکترونی بنتاجات المؤسسة ونشاطاتها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قسم علمی تبلیغی یهتم بالنتاجات والأبحاث الفکریة المتعلقة بالنهضة الحسینیة مع التأکید علی الجانب النسوی فی هذه النهضة العظیمة والدور الزینبی البارز فی هذه الواقعة، وما تلاها من أحداث مصیریة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هذا القسم إلی شعب علمیة موازیة للأقسام العلمیة الأُخری ومنبثقة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bookmarkStart w:id="12" w:name="pg5104_36234"/>
    </w:p>
    <w:p>
      <w:pPr>
        <w:pStyle w:val="Heading2"/>
        <w:numPr>
          <w:ilvl w:val="1"/>
          <w:numId w:val="1"/>
        </w:numPr>
        <w:rPr/>
      </w:pPr>
      <w:bookmarkStart w:id="13" w:name="__RefHeading___Toc1323553_774463916"/>
      <w:bookmarkStart w:id="14" w:name="_Toc4"/>
      <w:bookmarkEnd w:id="12"/>
      <w:bookmarkEnd w:id="13"/>
      <w:r>
        <w:rPr>
          <w:rtl w:val="true"/>
        </w:rPr>
        <w:t>مدخل</w:t>
      </w:r>
      <w:bookmarkEnd w:id="14"/>
    </w:p>
    <w:p>
      <w:pPr>
        <w:pStyle w:val="Heading3"/>
        <w:numPr>
          <w:ilvl w:val="2"/>
          <w:numId w:val="1"/>
        </w:numPr>
        <w:rPr/>
      </w:pPr>
      <w:bookmarkStart w:id="15" w:name="__RefHeading___Toc1323555_774463916"/>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واجهت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 التاریخ أنواعاً من الظلم والقمع والإقصاء والتهمیش، ومحاولات عدیدة لطمس معالمها من قبل الحکّام وأتباعهم من وعّاظ السّلاطین وأعوانهم، وقد کان لثورة الإمام الحسین العظیمة بمبادئها الرفیعة وأهدافها السامیة القسط الأکبر من تلک المحاولات؛ حتی لا تأخذ هذه المدرسة العظیمة دورها الرسالی فی فکر الأُمة ووعیها بما تحمله من مبادئ حقّة، وفکر أصیل، ووعی رصین لما جاءت به الرسالات السماویة من قیم وأخلاق، وما تهدف إلیه من تحریر الإنسان من رواسب الجاهلیة وقیود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تمرّ هذه المدرسة بمتنفّسٍ إلّا فی بعض الحقب الزمنیة، مستغلة تلک الحقب لنشر فکرها، وممارسة دورها فی حیاة الناس؛ لأنّ الله سبحانه یأبی إلّا أن یُتمّ نوره، ویحفظ دینه ویظهره ولو کره الکافرون والمشرکون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زالت فی زماننا هذا عن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وحصل انفراج فی أوضاعهم الفکریّة والسیاسیة والاجتماعیة والاقتصادیة، وانقشعت عن سمائهم غیوم الاستبداد والظلم؛ نتیجة للتطورات التی حصلت علی الساحة العالمیة بشکل عام، والعالم العربی والإسلامی بشکل خاص، کان لزاماً علی أتباع تلک المدرسة الأصیلة اغتنام هذه الفرصة واستثمارها، ومن أوضح أوجه الاستثمار هو دراسة ما لدینا من تراث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وتحقیقه وتحلیله وعرضه للناس بحلل بهیة وصور ناصعة وأسالیب علمیة وطرق حدیثة، مستفیدین مما تیسّر من إمکانات مادیة ومعنویة فی ظلّ هذه الأجواء والظروف المواتیة؛ وبذلک نحیی أمرهم وننشر فکرهم ونعکس نورهم لیستضیء به </w:t>
      </w:r>
    </w:p>
    <w:p>
      <w:pPr>
        <w:pStyle w:val="BookText"/>
        <w:rPr/>
      </w:pPr>
      <w:r>
        <w:rPr>
          <w:rFonts w:ascii="IRNazanin" w:hAnsi="IRNazanin" w:eastAsia="IRNazanin"/>
          <w:color w:val="111111"/>
          <w:sz w:val="28"/>
          <w:sz w:val="28"/>
          <w:szCs w:val="28"/>
          <w:rtl w:val="true"/>
          <w:lang w:bidi="fa-IR"/>
        </w:rPr>
        <w:t>الناس، ففی روایة عن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حبّبنا إلی الناس ولم یُبغّضنا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یروون محاسن کلامنا لکانوا به أعزّ، وما استطاع أحد أن یتعلق علیهم بشیء</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وانطلاقاً من هذه الرؤیة قام کثیر من الحوزات العلمیة والمراکز البحثیة والمؤسّسات التحقیقیة بالعمل علی إقامة مشاریع علمیة وتحقیقیة فی التراث الإسلامی، وإصدار عدّة کتب ومؤلّفات وإصدارات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مقدمة تلک المراکز والجهات العلمیة والثقافیة هی العتبة الحسینیة المبارکة التی کانت لها الید الطولی فی مجال الاهتمام العلمی والبحثی فی تراث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 تمثّل بأوجه متعددة، کدعم الفعالیات العلمیة والفکریة، وإنشاء المؤسسات، واستقطاب الکوادر والکفاءات، وتهیئة کل مستلزمات الإبداع والتطویر، ونشر وترویج النتاجات العلمیة وإیصالها إلی أبعد نقطة ممکنة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السیاق یسرّ مؤسسة وارث الانبیاء للدراسات التخصصیة فی النهضة الحسینیة، التابعة للعتبة الحسینیة المبارکة أن تقوم بمشروع فکری یختصّ بتراث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الإصلاحیة المبارکة، من خلال تألیف دائرة معارف حسینیة ألفبائیة، تشتمل علی کل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من أحداث ووقائع ومفاهیم ورؤی وأسماء أعلام وأماکن وکتب، وغیر ذلک من الأمور، مرتّبة حسب الحروف الهجائیة، کما هو معمول به فی دوائر المعارف والموسوعات، بلغة علمیة رصینة وأُسلوب عصری</w:t>
      </w:r>
      <w:r>
        <w:rPr>
          <w:rFonts w:eastAsia="IRNazanin" w:cs="IRNazanin"/>
          <w:color w:val="111111"/>
          <w:sz w:val="28"/>
          <w:szCs w:val="28"/>
          <w:rtl w:val="true"/>
          <w:lang w:bidi="fa-IR"/>
        </w:rPr>
        <w:t xml:space="preserve">. </w:t>
      </w:r>
      <w:bookmarkStart w:id="17" w:name="pg5104_36238"/>
    </w:p>
    <w:p>
      <w:pPr>
        <w:pStyle w:val="Heading3"/>
        <w:numPr>
          <w:ilvl w:val="2"/>
          <w:numId w:val="1"/>
        </w:numPr>
        <w:rPr/>
      </w:pPr>
      <w:bookmarkStart w:id="18" w:name="__RefHeading___Toc1323557_774463916"/>
      <w:bookmarkStart w:id="19" w:name="_Toc6"/>
      <w:bookmarkEnd w:id="17"/>
      <w:bookmarkEnd w:id="18"/>
      <w:r>
        <w:rPr>
          <w:rtl w:val="true"/>
        </w:rPr>
        <w:t>ضرورة المشروع وأهمیته</w:t>
      </w:r>
      <w:bookmarkEnd w:id="19"/>
    </w:p>
    <w:p>
      <w:pPr>
        <w:pStyle w:val="BookText"/>
        <w:rPr/>
      </w:pPr>
      <w:r>
        <w:rPr>
          <w:rFonts w:ascii="IRNazanin" w:hAnsi="IRNazanin" w:eastAsia="IRNazanin"/>
          <w:color w:val="111111"/>
          <w:sz w:val="28"/>
          <w:sz w:val="28"/>
          <w:szCs w:val="28"/>
          <w:rtl w:val="true"/>
          <w:lang w:bidi="fa-IR"/>
        </w:rPr>
        <w:t>تبرز أهمیة هذا المشروع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الموسوعات ودوائر المعارف فی حدّ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عبارة عن مؤلفات تجمع معلومات عامّة حول العلوم والمعارف الإنسانیة أو فی موضوع وعلم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استیعاب الموضوع من کلّ جوانبه، ما یجعلها مصدراً مهمّاً للمعلومات الأساسیة التی یحتاجها الباحث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سهولة الوصول إلی المعلومة؛ لاعتمادها الترتیب الهجائی فی مفاصل الموضوع، ومفرداته ومداخله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غزارة المعلومات وتنوعها؛ لاعتمادها علی کتّاب متعددین، وفی اختصاصات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العمق والتحقیق؛ کونها ترکّز علی جزئیة معینة، فتحاول بحث کل حیثیاتها وأطرافها، مع خضوع مقالاتها للتحکیم العلمی من قبل هیئة علمیة من ذوی الاختصاص، فتعدّ هذه الدوائر من المصادر المهمّة والرصینة فی مجالها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مخاطبة جمیع المستویات العلمیة والثقافیة، فیمکن للمتخصصین والباحثین الإفادة منها، کما یمکن ذلک للقراء والمثقفین الذین یبحثون عن معلومة جاهزة مختصرة مبلورة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المساهمة فی إرشاد الباحث أو القارئ إلی معلومات إضافیة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الاستزادة منها فی المجال المبحوث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الببلیوغرافیات وقائمة المصادر التی تقدمها فی نهایة مقالاتها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الجهة الثانیة التی تبرز من خلالها أهمیة هذا المشروع وضرورته، فهی اختصاصه بموضوع التراث الحسینی الثرّ، الذی یعدّ منهج حیاة أمثل للبشریة فی سیرها التکاملی علی طریق الهدایة والصلاح، المتمثّل فی خلفیات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وأسبابها وأهدافها وآثارها، وما حملته من مفاهیم إنسانیة وإسلامیة، وأعطته من دروس وعبر، ورسمته من </w:t>
      </w:r>
      <w:bookmarkStart w:id="20" w:name="pg5104_36240"/>
    </w:p>
    <w:p>
      <w:pPr>
        <w:pStyle w:val="BookText"/>
        <w:rPr/>
      </w:pPr>
      <w:bookmarkEnd w:id="20"/>
      <w:r>
        <w:rPr>
          <w:rFonts w:ascii="IRNazanin" w:hAnsi="IRNazanin" w:eastAsia="IRNazanin"/>
          <w:color w:val="111111"/>
          <w:sz w:val="28"/>
          <w:sz w:val="28"/>
          <w:szCs w:val="28"/>
          <w:rtl w:val="true"/>
          <w:lang w:bidi="fa-IR"/>
        </w:rPr>
        <w:t>منهج للحریة والإباء، واشتملت علیه مواقفها وشعاراتها وشعائرها من فقه وفکر وأخلاق سامیة ومفاهیم عظیمة، ومعارف قیّمة أهّلتها لأن تکون السبب فی حفظ الإسلام وضمان بقائه واستمراریته، وأن تصبح مدرسة عظیمة للأجیال ومَعیناً لا ینضب رغم محاولات الحکّام الجائرین وکید الکائدین وظلم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فیتطلّب ذلک منّا إحیاء التراث الحسینی وتجدیده عبر إبرازه للقارئ والمتلقّی بصورة یسهل علیه أخذه والإفادة منه، من خلال الطرق والأسالیب الحدیثة فی العرض والبیان التی منها دوائر المعارف والموسوعات التی ذکرنا خصائصها وممیزاتها آنفاً، ویأتی هذا المشروع لتحقیق هذا الغرض؛ إذ یهدف إلی وضع دائرة معارف شاملة وجامعة لکل ما یتعلق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العظیمة؛ لتکون من أهم وأوسع المصادر فی المجال التاریخی والعلمی والعقدی والفکری، وغیر ذلک من المعارف الحسینیة؛ لتساعد الباحثین والکتّاب والخطباء والمثقفین علی الوصول إلی تلک المعارف، وتختصر لهم الطریق، وتوفّر علیهم الجهد والوقت، وتثری الجانب المعرفی والمعلوماتی عندهم، کما تعکس للعالم أیضاً أصالة فکر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وعمقه ومعالجاته الواقعیة لمشکلات الحیاة</w:t>
      </w:r>
      <w:r>
        <w:rPr>
          <w:rFonts w:eastAsia="IRNazanin" w:cs="IRNazanin"/>
          <w:color w:val="111111"/>
          <w:sz w:val="28"/>
          <w:szCs w:val="28"/>
          <w:rtl w:val="true"/>
          <w:lang w:bidi="fa-IR"/>
        </w:rPr>
        <w:t>.</w:t>
      </w:r>
    </w:p>
    <w:p>
      <w:pPr>
        <w:pStyle w:val="Heading3"/>
        <w:numPr>
          <w:ilvl w:val="2"/>
          <w:numId w:val="1"/>
        </w:numPr>
        <w:rPr/>
      </w:pPr>
      <w:bookmarkStart w:id="21" w:name="__RefHeading___Toc1323559_774463916"/>
      <w:bookmarkStart w:id="22" w:name="_Toc7"/>
      <w:bookmarkEnd w:id="21"/>
      <w:r>
        <w:rPr>
          <w:rtl w:val="true"/>
        </w:rPr>
        <w:t>خصائص هذه الموسوعة</w:t>
      </w:r>
      <w:bookmarkEnd w:id="22"/>
    </w:p>
    <w:p>
      <w:pPr>
        <w:pStyle w:val="BookText"/>
        <w:rPr/>
      </w:pPr>
      <w:r>
        <w:rPr>
          <w:rFonts w:ascii="IRNazanin" w:hAnsi="IRNazanin" w:eastAsia="IRNazanin"/>
          <w:color w:val="111111"/>
          <w:sz w:val="28"/>
          <w:sz w:val="28"/>
          <w:szCs w:val="28"/>
          <w:rtl w:val="true"/>
          <w:lang w:bidi="fa-IR"/>
        </w:rPr>
        <w:t>رغم المحاولات الجادّة فی هذا النوع من العمل فی مجال التراث الحسینی؛ حیث أُلّفت بعض الموسوعات ودوائر المعارف، کدائرة المعارف الحسینیة للکرباسی، وموسوعة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الری شهری، وتاریخ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لمجموعة من الباحثین والباحثات، وموسوعة الثورة الحسینیة للسماوی، وموسوعة الإمام الحسین للسید علی عاشور وغیرها، والتی هی جهود عظیمة ونتاجات قیّمة، إلاّ أنَّ هذه الموسوعة تختلف عمّا سبقها من الموسوعات والدراسات الحسینیة من عدّة جهات، أهمّها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تغطیتها لمساحات کثیرة لم یسبق تغطیتها فی الموسوعات الأُخری حسب استقرائنا، </w:t>
      </w:r>
      <w:bookmarkStart w:id="23" w:name="pg5104_36242"/>
    </w:p>
    <w:p>
      <w:pPr>
        <w:pStyle w:val="BookText"/>
        <w:rPr/>
      </w:pPr>
      <w:bookmarkEnd w:id="23"/>
      <w:r>
        <w:rPr>
          <w:rFonts w:ascii="IRNazanin" w:hAnsi="IRNazanin" w:eastAsia="IRNazanin"/>
          <w:color w:val="111111"/>
          <w:sz w:val="28"/>
          <w:sz w:val="28"/>
          <w:szCs w:val="28"/>
          <w:rtl w:val="true"/>
          <w:lang w:bidi="fa-IR"/>
        </w:rPr>
        <w:t>إذ تشمل کل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العظیمة من مفاهیم وأحکام وأماکن وأعلام، وغیر ذلک، وتحتوی علی بحوث تاریخیة وجغرافیة وفقهیة وعقدیة وأخلاقیة، وغیر ذلک من العلوم والفنون حسب المدخل أو المصطلح المبحوث، بل قد یتنوع البحث فی المدخل الواحد لتنوع جهات البحث فیه، کالمداخل المرتبطة بالشعائر الحسینیة؛ فإنها تبحث من الجهة الفقهیة، کما أن للبعد الفکری والعقائدی أهمّیة کبیرة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الخضوع لسلیقة معینة وذوق خاص لکونها تضم بین دفتیها مقالات وأبحاث لمختلف العلماء والباحثین، وفی مختلف الاختصاصات بخلاف الموسوعات التی یتصدّی لتألیفها شخص واحد أو تتم تحت إشراف شخص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أغلب الموسوعات فی هذا المجال حسب اطّلاعنا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تتأثر بطبیعة الحال بطریقته ومنهجه وذوقه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اعتمادها الترتیب الألفبائی الذی ذکرنا خصائصه فی حین أنّ أغلب الموسوعات الحسینیة التی صدرت اعتمدت المنهج الموضوعی المحوری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صدورها عن مؤسسة وارث الأنبیاء للدراسات التخصصیة فی النهضة الحسینیة، التی تضمّ نخبة من الباحثین والمتخصصین فی هذا المیدان</w:t>
      </w:r>
      <w:r>
        <w:rPr>
          <w:rFonts w:eastAsia="IRNazanin" w:cs="IRNazanin"/>
          <w:color w:val="111111"/>
          <w:sz w:val="28"/>
          <w:szCs w:val="28"/>
          <w:rtl w:val="true"/>
          <w:lang w:bidi="fa-IR"/>
        </w:rPr>
        <w:t>.</w:t>
      </w:r>
    </w:p>
    <w:p>
      <w:pPr>
        <w:pStyle w:val="Heading3"/>
        <w:numPr>
          <w:ilvl w:val="2"/>
          <w:numId w:val="1"/>
        </w:numPr>
        <w:rPr/>
      </w:pPr>
      <w:bookmarkStart w:id="24" w:name="__RefHeading___Toc1323561_774463916"/>
      <w:bookmarkStart w:id="25" w:name="_Toc8"/>
      <w:bookmarkEnd w:id="24"/>
      <w:r>
        <w:rPr>
          <w:rtl w:val="true"/>
        </w:rPr>
        <w:t>تعریف الموسوعة</w:t>
      </w:r>
      <w:bookmarkEnd w:id="25"/>
    </w:p>
    <w:p>
      <w:pPr>
        <w:pStyle w:val="BookText"/>
        <w:rPr/>
      </w:pPr>
      <w:r>
        <w:rPr>
          <w:rFonts w:ascii="IRNazanin" w:hAnsi="IRNazanin" w:eastAsia="IRNazanin"/>
          <w:color w:val="111111"/>
          <w:sz w:val="28"/>
          <w:sz w:val="28"/>
          <w:szCs w:val="28"/>
          <w:rtl w:val="true"/>
          <w:lang w:bidi="fa-IR"/>
        </w:rPr>
        <w:t>دائرة المعارف الحسینیة الألفبائیة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متخصصة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وکل ما یرتبط بها، تعتمد أُسلوب دائرة المعارف، وطریقة المداخل والتسلسل الألفبائی</w:t>
      </w:r>
      <w:r>
        <w:rPr>
          <w:rFonts w:eastAsia="IRNazanin" w:cs="IRNazanin"/>
          <w:color w:val="111111"/>
          <w:sz w:val="28"/>
          <w:szCs w:val="28"/>
          <w:rtl w:val="true"/>
          <w:lang w:bidi="fa-IR"/>
        </w:rPr>
        <w:t>.</w:t>
      </w:r>
    </w:p>
    <w:p>
      <w:pPr>
        <w:pStyle w:val="Heading3"/>
        <w:numPr>
          <w:ilvl w:val="2"/>
          <w:numId w:val="1"/>
        </w:numPr>
        <w:rPr/>
      </w:pPr>
      <w:bookmarkStart w:id="26" w:name="__RefHeading___Toc1323563_774463916"/>
      <w:bookmarkStart w:id="27" w:name="_Toc9"/>
      <w:bookmarkEnd w:id="26"/>
      <w:r>
        <w:rPr>
          <w:rtl w:val="true"/>
        </w:rPr>
        <w:t>اسم الموسوعة</w:t>
      </w:r>
      <w:bookmarkEnd w:id="27"/>
    </w:p>
    <w:p>
      <w:pPr>
        <w:pStyle w:val="BookText"/>
        <w:rPr/>
      </w:pPr>
      <w:r>
        <w:rPr>
          <w:rFonts w:ascii="Amiri" w:hAnsi="Amiri" w:eastAsia="Amiri" w:cs="Amiri"/>
          <w:color w:val="111111"/>
          <w:sz w:val="28"/>
          <w:sz w:val="28"/>
          <w:szCs w:val="28"/>
          <w:rtl w:val="true"/>
          <w:lang w:bidi="ar-SA"/>
        </w:rPr>
        <w:t>توجد عدة أسماء مقترحة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w:t>
      </w:r>
      <w:bookmarkStart w:id="28" w:name="pg5104_36244"/>
    </w:p>
    <w:p>
      <w:pPr>
        <w:pStyle w:val="BookText"/>
        <w:rPr/>
      </w:pPr>
      <w:bookmarkEnd w:id="28"/>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لم یقع الاختیار علی هذه الأسماء لتفضیل أن یکون الاسم تحت عنوان دائرة المعارف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Encyclopedia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لأن نظام دائرة المعارف قائم علی الحروف الهجائیة الألفبائیة الذی تقوم علیه هذه الدائرة، بخلاف الموسوعات، فإنها لا تقوم بالضرورة علی هذا النظام، بل هی فی الغالب قائمة علی النظام الموضوعی، وتابعة فی ترتیب المواضیع لذوق الکاتب أو أهمیة الموضوعات أو جهات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یضاف لها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الألفبائیة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 ذلک تمییزاً لها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رجّحت اللجنة العلمیة الاسم الأول،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الحسینیة الألفبائیة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العنوان الأنسب للموسوعة التی یراد إنجازها</w:t>
      </w:r>
      <w:r>
        <w:rPr>
          <w:rFonts w:eastAsia="IRNazanin" w:cs="IRNazanin"/>
          <w:color w:val="111111"/>
          <w:sz w:val="28"/>
          <w:szCs w:val="28"/>
          <w:rtl w:val="true"/>
          <w:lang w:bidi="fa-IR"/>
        </w:rPr>
        <w:t>.</w:t>
      </w:r>
    </w:p>
    <w:p>
      <w:pPr>
        <w:pStyle w:val="Heading3"/>
        <w:numPr>
          <w:ilvl w:val="2"/>
          <w:numId w:val="1"/>
        </w:numPr>
        <w:rPr/>
      </w:pPr>
      <w:bookmarkStart w:id="29" w:name="__RefHeading___Toc1323565_774463916"/>
      <w:bookmarkStart w:id="30" w:name="_Toc10"/>
      <w:bookmarkEnd w:id="29"/>
      <w:r>
        <w:rPr>
          <w:rtl w:val="true"/>
        </w:rPr>
        <w:t>الأهداف</w:t>
      </w:r>
      <w:bookmarkEnd w:id="30"/>
    </w:p>
    <w:p>
      <w:pPr>
        <w:pStyle w:val="BookText"/>
        <w:rPr/>
      </w:pPr>
      <w:r>
        <w:rPr>
          <w:rFonts w:ascii="IRNazanin" w:hAnsi="IRNazanin" w:eastAsia="IRNazanin"/>
          <w:color w:val="111111"/>
          <w:sz w:val="28"/>
          <w:sz w:val="28"/>
          <w:szCs w:val="28"/>
          <w:rtl w:val="true"/>
          <w:lang w:bidi="fa-IR"/>
        </w:rPr>
        <w:t>تتمثّل الأهدف من کتابة دائرة المعارف الحسینیّة بما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أکبر قدرٍ من المعلومات عن النهضة الحسینیة بأقل ما یمکن من الکلمات، وبأسلوب موسوعی حدیث، یسهّل علی القارئ والباحث الوصول إلی المعلومة بأسرع وقت وأقلّ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مرجعاً للباحثین المتخصصین والطبقات المثقفة، توصلهم إلی المعلومات وتهدیهم إلی المصادر</w:t>
      </w:r>
      <w:r>
        <w:rPr>
          <w:rFonts w:eastAsia="IRNazanin" w:cs="IRNazanin"/>
          <w:color w:val="111111"/>
          <w:sz w:val="28"/>
          <w:szCs w:val="28"/>
          <w:rtl w:val="true"/>
          <w:lang w:bidi="fa-IR"/>
        </w:rPr>
        <w:t>.</w:t>
      </w:r>
    </w:p>
    <w:p>
      <w:pPr>
        <w:pStyle w:val="Heading3"/>
        <w:numPr>
          <w:ilvl w:val="2"/>
          <w:numId w:val="1"/>
        </w:numPr>
        <w:rPr/>
      </w:pPr>
      <w:bookmarkStart w:id="31" w:name="__RefHeading___Toc1323567_774463916"/>
      <w:bookmarkStart w:id="32" w:name="_Toc11"/>
      <w:bookmarkEnd w:id="31"/>
      <w:r>
        <w:rPr>
          <w:rtl w:val="true"/>
        </w:rPr>
        <w:t>المخاطب</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المخاطب فی دائرة المعارف الحسینیة جمیع طلاب العلم ورواد الفکر من باحثین ومحققین وخطباء وأکادیمیین ومثقفین، وفی جمیع الاختصاصات؛ لأنها تشتمل علی موضوعات متعددة، تاریخیة وعقدیة وفقهیة وأخلاقیة وغیرها، وهو ما یفرض لغة واضحة ورصینة فی الوقت نفسه</w:t>
      </w:r>
      <w:r>
        <w:rPr>
          <w:rFonts w:eastAsia="IRNazanin" w:cs="IRNazanin"/>
          <w:color w:val="111111"/>
          <w:sz w:val="28"/>
          <w:szCs w:val="28"/>
          <w:rtl w:val="true"/>
          <w:lang w:bidi="fa-IR"/>
        </w:rPr>
        <w:t xml:space="preserve">. </w:t>
      </w:r>
      <w:bookmarkStart w:id="33" w:name="pg5104_36245"/>
    </w:p>
    <w:p>
      <w:pPr>
        <w:pStyle w:val="Heading3"/>
        <w:numPr>
          <w:ilvl w:val="2"/>
          <w:numId w:val="1"/>
        </w:numPr>
        <w:rPr/>
      </w:pPr>
      <w:bookmarkStart w:id="34" w:name="__RefHeading___Toc1323569_774463916"/>
      <w:bookmarkStart w:id="35" w:name="_Toc12"/>
      <w:bookmarkEnd w:id="33"/>
      <w:bookmarkEnd w:id="34"/>
      <w:r>
        <w:rPr>
          <w:rtl w:val="true"/>
        </w:rPr>
        <w:t>نظام کتابة دائرة المعارف</w:t>
      </w:r>
      <w:bookmarkEnd w:id="35"/>
    </w:p>
    <w:p>
      <w:pPr>
        <w:pStyle w:val="BookText"/>
        <w:rPr/>
      </w:pPr>
      <w:r>
        <w:rPr>
          <w:rFonts w:ascii="IRNazanin" w:hAnsi="IRNazanin" w:eastAsia="IRNazanin"/>
          <w:color w:val="111111"/>
          <w:sz w:val="28"/>
          <w:sz w:val="28"/>
          <w:szCs w:val="28"/>
          <w:rtl w:val="true"/>
          <w:lang w:bidi="fa-IR"/>
        </w:rPr>
        <w:t>هناک ثلاثة طرق فی کتابة الموسوعات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علیه أکثر دوائر المعارف والموسوعات العامّة والعالمیة کالموسوعة البریطانیة، والموسوعة الإسلامیة الکبری، والموسوعة السیاسیة للکیالی، والموسوعة الفقهیة الکویتیة، وموسوعة الفقه الإسلامی طبقاً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ودائرة المعارف الشیعیة العامّة، وغیرها؛ فإنها قد اعتمدت فی ترتیب المداخل والمصطلحات النظام الألفبائی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الألفبائیة المحوریة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تقسیم الموضوعات إلی محاور، مع اعتماد التسلسل الألفبائی فی ترتیب المحاور والمداخل فی کل محور، بمعنی أنّ ترتیب المداخل ضمن کل محور یقوم علی أساس التسلسل الألفبائی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ویبدأ بالأصحاب، ثمَّ الأعداء ثمَّ الأهل طبقاً للتسلسل الألفبائی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تتبع الطریقة نفسها فی المداخل داخل کل 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اتّباع الطریقة الموضوعیة بغضِّ النظر عن التسلسل الألفبائی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قررت اللجنة العلمیة اتباع الطریقة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الألفبائیّة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 لکونها الطریقة الرائجة والعصریة فی کتابة الموسوعات التی یسهل أخذها والاستفادة منها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نرفق قائمة ببعض الأمثلة علی المداخل</w:t>
      </w:r>
      <w:r>
        <w:rPr>
          <w:rFonts w:eastAsia="IRNazanin" w:cs="IRNazanin"/>
          <w:color w:val="111111"/>
          <w:sz w:val="28"/>
          <w:szCs w:val="28"/>
          <w:rtl w:val="true"/>
          <w:lang w:bidi="fa-IR"/>
        </w:rPr>
        <w:t xml:space="preserve">. </w:t>
      </w:r>
      <w:bookmarkStart w:id="36" w:name="pg5104_36248"/>
    </w:p>
    <w:p>
      <w:pPr>
        <w:pStyle w:val="Heading3"/>
        <w:numPr>
          <w:ilvl w:val="2"/>
          <w:numId w:val="1"/>
        </w:numPr>
        <w:rPr/>
      </w:pPr>
      <w:bookmarkStart w:id="37" w:name="__RefHeading___Toc1323571_774463916"/>
      <w:bookmarkStart w:id="38" w:name="_Toc13"/>
      <w:bookmarkEnd w:id="36"/>
      <w:bookmarkEnd w:id="37"/>
      <w:r>
        <w:rPr>
          <w:rtl w:val="true"/>
        </w:rPr>
        <w:t>حجم دائرة المعارف</w:t>
      </w:r>
      <w:bookmarkEnd w:id="38"/>
    </w:p>
    <w:p>
      <w:pPr>
        <w:pStyle w:val="BookText"/>
        <w:rPr/>
      </w:pPr>
      <w:r>
        <w:rPr>
          <w:rFonts w:ascii="IRNazanin" w:hAnsi="IRNazanin" w:eastAsia="IRNazanin"/>
          <w:color w:val="111111"/>
          <w:sz w:val="28"/>
          <w:sz w:val="28"/>
          <w:szCs w:val="28"/>
          <w:rtl w:val="true"/>
          <w:lang w:bidi="fa-IR"/>
        </w:rPr>
        <w:t>لا یوجد حجم مُعیّن للموسوعات ودوائر المعارف، إلا أنّنا اخترنا الحجم الوزیری، وأن لا یتجاوز عدد صفحات کل مجلد الخمسمائة صفحة تقریباً؛ لأنّه الحجم المتداول فی هذه الأزمنة، والمتناسب مع أکثر الکتب المطبوعة</w:t>
      </w:r>
      <w:r>
        <w:rPr>
          <w:rFonts w:eastAsia="IRNazanin" w:cs="IRNazanin"/>
          <w:color w:val="111111"/>
          <w:sz w:val="28"/>
          <w:szCs w:val="28"/>
          <w:rtl w:val="true"/>
          <w:lang w:bidi="fa-IR"/>
        </w:rPr>
        <w:t>.</w:t>
      </w:r>
    </w:p>
    <w:p>
      <w:pPr>
        <w:pStyle w:val="Heading3"/>
        <w:numPr>
          <w:ilvl w:val="2"/>
          <w:numId w:val="1"/>
        </w:numPr>
        <w:rPr/>
      </w:pPr>
      <w:bookmarkStart w:id="39" w:name="__RefHeading___Toc1323573_774463916"/>
      <w:bookmarkStart w:id="40" w:name="_Toc14"/>
      <w:bookmarkEnd w:id="39"/>
      <w:r>
        <w:rPr>
          <w:rtl w:val="true"/>
        </w:rPr>
        <w:t>زمان إنجاز دائرة المعارف</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انجاز دائرة المعارف الحسینیة تابع لمدی توفر الإمکانیات وتذلیل الصعوبات وتعاون الکتّاب وتضافر الجهود، وغیر ذلک مما یؤثر فی سرعة العمل، علی أننا سوف نعمل جاهدین علی إنجازها فی غضون عشر سنوات إن شاء الله تعالی، کما نعمل علی أن لا تتجاوز عدد مجلداتها العشرین مجلداً، ونسعی جاهدین للإحاطة بالمعلومات مع الاختصار بالتعبیر</w:t>
      </w:r>
      <w:r>
        <w:rPr>
          <w:rFonts w:eastAsia="IRNazanin" w:cs="IRNazanin"/>
          <w:color w:val="111111"/>
          <w:sz w:val="28"/>
          <w:szCs w:val="28"/>
          <w:rtl w:val="true"/>
          <w:lang w:bidi="fa-IR"/>
        </w:rPr>
        <w:t xml:space="preserve">. </w:t>
      </w:r>
      <w:bookmarkStart w:id="41" w:name="pg5104_36250"/>
    </w:p>
    <w:p>
      <w:pPr>
        <w:pStyle w:val="Heading2"/>
        <w:numPr>
          <w:ilvl w:val="1"/>
          <w:numId w:val="1"/>
        </w:numPr>
        <w:rPr/>
      </w:pPr>
      <w:bookmarkStart w:id="42" w:name="__RefHeading___Toc1323575_774463916"/>
      <w:bookmarkStart w:id="43" w:name="_Toc15"/>
      <w:bookmarkEnd w:id="41"/>
      <w:bookmarkEnd w:id="42"/>
      <w:r>
        <w:rPr>
          <w:rtl w:val="true"/>
        </w:rPr>
        <w:t>المفاصل الرئیسة ومراحل العمل</w:t>
      </w:r>
      <w:bookmarkEnd w:id="43"/>
    </w:p>
    <w:p>
      <w:pPr>
        <w:pStyle w:val="Heading3"/>
        <w:numPr>
          <w:ilvl w:val="2"/>
          <w:numId w:val="1"/>
        </w:numPr>
        <w:rPr/>
      </w:pPr>
      <w:bookmarkStart w:id="44" w:name="__RefHeading___Toc1323577_774463916"/>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وهنا ینبغی بیان الخطوط العامّة والمفاصل الرئیسة لمراحل العمل وآلیاته؛ لیکون بمثابة البرنامج لکتابة دائرة المعارف الحسینیة</w:t>
      </w:r>
      <w:r>
        <w:rPr>
          <w:rFonts w:eastAsia="IRNazanin" w:cs="IRNazanin"/>
          <w:color w:val="111111"/>
          <w:sz w:val="28"/>
          <w:szCs w:val="28"/>
          <w:rtl w:val="true"/>
          <w:lang w:bidi="fa-IR"/>
        </w:rPr>
        <w:t>:</w:t>
      </w:r>
    </w:p>
    <w:p>
      <w:pPr>
        <w:pStyle w:val="Heading3"/>
        <w:numPr>
          <w:ilvl w:val="2"/>
          <w:numId w:val="1"/>
        </w:numPr>
        <w:rPr/>
      </w:pPr>
      <w:bookmarkStart w:id="46" w:name="__RefHeading___Toc1323579_774463916"/>
      <w:bookmarkStart w:id="47" w:name="_Toc17"/>
      <w:bookmarkEnd w:id="46"/>
      <w:r>
        <w:rPr>
          <w:rtl w:val="true"/>
        </w:rPr>
        <w:t>أولاً</w:t>
      </w:r>
      <w:r>
        <w:rPr>
          <w:rtl w:val="true"/>
        </w:rPr>
        <w:t xml:space="preserve">: </w:t>
      </w:r>
      <w:r>
        <w:rPr>
          <w:rtl w:val="true"/>
        </w:rPr>
        <w:t>اللجنة العلمیة ومهامها</w:t>
      </w:r>
      <w:bookmarkEnd w:id="47"/>
    </w:p>
    <w:p>
      <w:pPr>
        <w:pStyle w:val="BookText"/>
        <w:rPr/>
      </w:pPr>
      <w:r>
        <w:rPr>
          <w:rFonts w:ascii="IRNazanin" w:hAnsi="IRNazanin" w:eastAsia="IRNazanin"/>
          <w:color w:val="111111"/>
          <w:sz w:val="28"/>
          <w:sz w:val="28"/>
          <w:szCs w:val="28"/>
          <w:rtl w:val="true"/>
          <w:lang w:bidi="fa-IR"/>
        </w:rPr>
        <w:t>اللجنة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مجموعة من الباحثین وذوی الاختصاص والخبرة تقوم بالإشراف علی کتابة دائرة المعارف من الناحیة العلمیة والفنیّة، ومتابعة جمیع مراحل العمل فیها من خلال إعداد برنامج العمل، ووضع الأُسس والضوابط لکتابة المقالات، وتهیئة المداخل وإعدادها، وبیان ما هو المدخل الأصلی والإجمالی والدلالی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سیأتی توضیحها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ومراجعة المقالات، لتقویم مدی قوتها وصلاحیتها للنشر، وتسجیل الملحوظات والإشکالات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لإصلاحها ورفعها من قبل الکاتب أو الهیئة العلمیة، والتواصل مع الکتّاب والباحثین، والإشراف علی الإخراج النهائی، وغیر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هناک لجنة علمیة عُلیا مشرفة علی أعمال مؤسسة وارث الأنبیاء کافّة مکوّنة من عدد من العلماء والفضلاء فی النجف الأشرف وقم المقدّسة</w:t>
      </w:r>
      <w:r>
        <w:rPr>
          <w:rFonts w:eastAsia="IRNazanin" w:cs="IRNazanin"/>
          <w:color w:val="111111"/>
          <w:sz w:val="28"/>
          <w:szCs w:val="28"/>
          <w:rtl w:val="true"/>
          <w:lang w:bidi="fa-IR"/>
        </w:rPr>
        <w:t xml:space="preserve">. </w:t>
      </w:r>
      <w:bookmarkStart w:id="48" w:name="pg5104_36252"/>
    </w:p>
    <w:p>
      <w:pPr>
        <w:pStyle w:val="Heading3"/>
        <w:numPr>
          <w:ilvl w:val="2"/>
          <w:numId w:val="1"/>
        </w:numPr>
        <w:rPr/>
      </w:pPr>
      <w:bookmarkStart w:id="49" w:name="__RefHeading___Toc1323581_774463916"/>
      <w:bookmarkStart w:id="50" w:name="_Toc18"/>
      <w:bookmarkEnd w:id="48"/>
      <w:bookmarkEnd w:id="49"/>
      <w:r>
        <w:rPr>
          <w:rtl w:val="true"/>
        </w:rPr>
        <w:t>ثانیاً</w:t>
      </w:r>
      <w:r>
        <w:rPr>
          <w:rtl w:val="true"/>
        </w:rPr>
        <w:t xml:space="preserve">: </w:t>
      </w:r>
      <w:r>
        <w:rPr>
          <w:rtl w:val="true"/>
        </w:rPr>
        <w:t>المداخل</w:t>
      </w:r>
      <w:bookmarkEnd w:id="50"/>
    </w:p>
    <w:p>
      <w:pPr>
        <w:pStyle w:val="Heading4"/>
        <w:numPr>
          <w:ilvl w:val="3"/>
          <w:numId w:val="1"/>
        </w:numPr>
        <w:rPr/>
      </w:pPr>
      <w:bookmarkStart w:id="51" w:name="__RefHeading___Toc1323583_774463916"/>
      <w:bookmarkStart w:id="52" w:name="_Toc19"/>
      <w:bookmarkEnd w:id="51"/>
      <w:r>
        <w:rPr>
          <w:rtl w:val="true"/>
        </w:rPr>
        <w:t>أ</w:t>
      </w:r>
      <w:r>
        <w:rPr>
          <w:rtl w:val="true"/>
        </w:rPr>
        <w:t xml:space="preserve">- </w:t>
      </w:r>
      <w:r>
        <w:rPr>
          <w:rtl w:val="true"/>
        </w:rPr>
        <w:t>تعریف المدخل</w:t>
      </w:r>
      <w:bookmarkEnd w:id="52"/>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عبارة عن عنوانٍ أو اصطلاحٍ لکل مقالة من مقالات دائرة المعارف، تدور حوله تلک المقالة، ویتم تعیینه من قبل الهیئة العلمیة المشرفة علی دائرة المعارف، ولیس للکاتب حقٌ فی تغییر ذلک إلا بعد الرجوع إلی الهیئة</w:t>
      </w:r>
      <w:r>
        <w:rPr>
          <w:rFonts w:eastAsia="IRNazanin" w:cs="IRNazanin"/>
          <w:color w:val="111111"/>
          <w:sz w:val="28"/>
          <w:szCs w:val="28"/>
          <w:rtl w:val="true"/>
          <w:lang w:bidi="fa-IR"/>
        </w:rPr>
        <w:t>.</w:t>
      </w:r>
    </w:p>
    <w:p>
      <w:pPr>
        <w:pStyle w:val="Heading4"/>
        <w:numPr>
          <w:ilvl w:val="3"/>
          <w:numId w:val="1"/>
        </w:numPr>
        <w:rPr/>
      </w:pPr>
      <w:bookmarkStart w:id="53" w:name="__RefHeading___Toc1323585_774463916"/>
      <w:bookmarkStart w:id="54" w:name="_Toc20"/>
      <w:bookmarkEnd w:id="53"/>
      <w:r>
        <w:rPr>
          <w:rtl w:val="true"/>
        </w:rPr>
        <w:t xml:space="preserve">ب </w:t>
      </w:r>
      <w:r>
        <w:rPr>
          <w:rtl w:val="true"/>
        </w:rPr>
        <w:t xml:space="preserve">- </w:t>
      </w:r>
      <w:r>
        <w:rPr>
          <w:rtl w:val="true"/>
        </w:rPr>
        <w:t>أنواع المداخل</w:t>
      </w:r>
      <w:bookmarkEnd w:id="54"/>
    </w:p>
    <w:p>
      <w:pPr>
        <w:pStyle w:val="Heading5"/>
        <w:numPr>
          <w:ilvl w:val="4"/>
          <w:numId w:val="1"/>
        </w:numPr>
        <w:rPr/>
      </w:pPr>
      <w:bookmarkStart w:id="55" w:name="__RefHeading___Toc1323587_774463916"/>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المداخل علی ثلاثة 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المدخل الذی تندرج تحته جمیع المسائل التی ترتبط بالموضوع، ولا یوجد مکان آخر أنسب لذکرها وبحثها منه،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یبحث تحت هذا العنوان کل ما یرتبط بالإمام من ولادته وحسبه ونسبه وإمامته، ویُشار إلی نهضته علی أن یفصل ما یرتبط بالنهضة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النهضة أو الثورة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 ذلک حسب ما یقرّر فی حینه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تندرج تحته بعض الفروع والمسائل التی یناسب شرحها وتفصیلها فی أماکن أخری، فیقتصر علی ذکرها إجمالاً، ثمّ یحال التفصیل إلی تلک المواضع والمداخل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تذکر تحته المباحث العامّة المرتبطة بالموضوع، کعددهم وشجاعتهم، وتترک تفاصیل ما یتعلق بکل واحد منهم إلی عنوانه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المدخل الذی یحال مباشرة إلی ما هو مرادف له أو أشهر منه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یذکر ویحال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وبالشکل التقریبی التالی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بطلة کربلاء→زینب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bookmarkStart w:id="57" w:name="pg5104_36253"/>
    </w:p>
    <w:p>
      <w:pPr>
        <w:pStyle w:val="BookText"/>
        <w:rPr/>
      </w:pPr>
      <w:bookmarkEnd w:id="57"/>
      <w:r>
        <w:rPr>
          <w:rFonts w:ascii="IRNazanin" w:hAnsi="IRNazanin" w:eastAsia="IRNazanin"/>
          <w:color w:val="111111"/>
          <w:sz w:val="28"/>
          <w:sz w:val="28"/>
          <w:szCs w:val="28"/>
          <w:rtl w:val="true"/>
          <w:lang w:bidi="fa-IR"/>
        </w:rPr>
        <w:t>ومن الموارد التی یکون فیها المدخل دلالیاً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المدخل أقلّ شهرة من غیره، فیحال إلی ما هو أشهر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یحال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جزءاً من مدخل آخر، أو شرطاً فیه فقط، ولیس فیه بحث یقتضی إفراده،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یحال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جزء من آداب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یحال المدخل الناقص کالکنیة أو اللقب إلی الاسم الکامل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یحال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یحال ما هو غیر صحیح إلی ما هو صحیح إن وجد</w:t>
      </w:r>
      <w:r>
        <w:rPr>
          <w:rFonts w:eastAsia="IRNazanin" w:cs="IRNazanin"/>
          <w:color w:val="111111"/>
          <w:sz w:val="28"/>
          <w:szCs w:val="28"/>
          <w:rtl w:val="true"/>
          <w:lang w:bidi="fa-IR"/>
        </w:rPr>
        <w:t>.</w:t>
      </w:r>
    </w:p>
    <w:p>
      <w:pPr>
        <w:pStyle w:val="Heading5"/>
        <w:numPr>
          <w:ilvl w:val="4"/>
          <w:numId w:val="1"/>
        </w:numPr>
        <w:rPr/>
      </w:pPr>
      <w:bookmarkStart w:id="58" w:name="__RefHeading___Toc1323589_774463916"/>
      <w:bookmarkStart w:id="59" w:name="_Toc22"/>
      <w:bookmarkEnd w:id="58"/>
      <w:r>
        <w:rPr>
          <w:rtl w:val="true"/>
        </w:rPr>
        <w:t>تنبیه</w:t>
      </w:r>
      <w:bookmarkEnd w:id="59"/>
    </w:p>
    <w:p>
      <w:pPr>
        <w:pStyle w:val="BookText"/>
        <w:rPr/>
      </w:pPr>
      <w:r>
        <w:rPr>
          <w:rFonts w:ascii="IRNazanin" w:hAnsi="IRNazanin" w:eastAsia="IRNazanin"/>
          <w:color w:val="111111"/>
          <w:sz w:val="28"/>
          <w:sz w:val="28"/>
          <w:szCs w:val="28"/>
          <w:rtl w:val="true"/>
          <w:lang w:bidi="fa-IR"/>
        </w:rPr>
        <w:t>لا یصحّ إرجاع المدخل إلی مدخل إرجاعی أیضاً،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الثانی یحال إلی عبید الله بن زیاد، فلا بدّ من إحالة ابن زیاد، وابن مرجانة إلی عبید الله بن زیاد مباشرة</w:t>
      </w:r>
      <w:r>
        <w:rPr>
          <w:rFonts w:eastAsia="IRNazanin" w:cs="IRNazanin"/>
          <w:color w:val="111111"/>
          <w:sz w:val="28"/>
          <w:szCs w:val="28"/>
          <w:rtl w:val="true"/>
          <w:lang w:bidi="fa-IR"/>
        </w:rPr>
        <w:t>.</w:t>
      </w:r>
    </w:p>
    <w:p>
      <w:pPr>
        <w:pStyle w:val="Heading4"/>
        <w:numPr>
          <w:ilvl w:val="3"/>
          <w:numId w:val="1"/>
        </w:numPr>
        <w:rPr/>
      </w:pPr>
      <w:bookmarkStart w:id="60" w:name="__RefHeading___Toc1323591_774463916"/>
      <w:bookmarkStart w:id="61" w:name="_Toc23"/>
      <w:bookmarkEnd w:id="60"/>
      <w:r>
        <w:rPr>
          <w:rtl w:val="true"/>
        </w:rPr>
        <w:t xml:space="preserve">ج </w:t>
      </w:r>
      <w:r>
        <w:rPr>
          <w:rtl w:val="true"/>
        </w:rPr>
        <w:t xml:space="preserve">- </w:t>
      </w:r>
      <w:r>
        <w:rPr>
          <w:rtl w:val="true"/>
        </w:rPr>
        <w:t>خصائص المدخل</w:t>
      </w:r>
      <w:bookmarkEnd w:id="61"/>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حاکیاً ومعبّراً عن الموضوع، بحیث یفهم المخاطب موضوع المقالة بمجرّد قراءة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معروفاً ومتبادراً إلی الأذهان، بحیث یکون مأنوساً لدی المخاطب، وغیر غریب عن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مستعملاً ومتداولاً، فتترک المداخل المستعملة فی فترة زمنیة معینة إلّا أنها لم تجد طریقها لتکون مصطلحاً معروفاً، نعم لا بأس فی ذکرها بوصفها مدخلاً دلالیاً، وإحالتها إلی المدخل المتداول المعروف</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جزئیاً وخاصّاً باستثناء بعض الحالات کما لو کان العنوان الجزئی مخالفاً لطریقة دائرة المعارف، کمدخل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یناسب أن یکون عنواناً؛ لأنّ ذلک </w:t>
      </w:r>
      <w:bookmarkStart w:id="62" w:name="pg5104_36256"/>
    </w:p>
    <w:p>
      <w:pPr>
        <w:pStyle w:val="BookText"/>
        <w:rPr/>
      </w:pPr>
      <w:bookmarkEnd w:id="62"/>
      <w:r>
        <w:rPr>
          <w:rFonts w:ascii="IRNazanin" w:hAnsi="IRNazanin" w:eastAsia="IRNazanin"/>
          <w:color w:val="111111"/>
          <w:sz w:val="28"/>
          <w:sz w:val="28"/>
          <w:szCs w:val="28"/>
          <w:rtl w:val="true"/>
          <w:lang w:bidi="fa-IR"/>
        </w:rPr>
        <w:t>یستلزم اعتبار الأدوات والأسلحة الأُخری فی کربلاء مداخل أیضاً، فلا بد من مدخلٍ کلّی یجمع تلک الوسائل والآلات،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آلات الحرب فی کربلاء</w:t>
      </w:r>
      <w:r>
        <w:rPr>
          <w:rFonts w:eastAsia="IRNazanin" w:cs="IRNazanin"/>
          <w:color w:val="111111"/>
          <w:sz w:val="28"/>
          <w:szCs w:val="28"/>
          <w:rtl w:val="true"/>
          <w:lang w:bidi="fa-IR"/>
        </w:rPr>
        <w:t>).</w:t>
      </w:r>
    </w:p>
    <w:p>
      <w:pPr>
        <w:pStyle w:val="Heading4"/>
        <w:numPr>
          <w:ilvl w:val="3"/>
          <w:numId w:val="1"/>
        </w:numPr>
        <w:rPr/>
      </w:pPr>
      <w:bookmarkStart w:id="63" w:name="__RefHeading___Toc1323593_774463916"/>
      <w:bookmarkStart w:id="64" w:name="_Toc24"/>
      <w:bookmarkEnd w:id="63"/>
      <w:r>
        <w:rPr>
          <w:rtl w:val="true"/>
        </w:rPr>
        <w:t xml:space="preserve">د </w:t>
      </w:r>
      <w:r>
        <w:rPr>
          <w:rtl w:val="true"/>
        </w:rPr>
        <w:t xml:space="preserve">- </w:t>
      </w:r>
      <w:r>
        <w:rPr>
          <w:rtl w:val="true"/>
        </w:rPr>
        <w:t>ترتیب المداخل</w:t>
      </w:r>
      <w:bookmarkEnd w:id="64"/>
    </w:p>
    <w:p>
      <w:pPr>
        <w:pStyle w:val="BookText"/>
        <w:rPr/>
      </w:pPr>
      <w:r>
        <w:rPr>
          <w:rFonts w:ascii="IRNazanin" w:hAnsi="IRNazanin" w:eastAsia="IRNazanin"/>
          <w:color w:val="111111"/>
          <w:sz w:val="28"/>
          <w:sz w:val="28"/>
          <w:szCs w:val="28"/>
          <w:rtl w:val="true"/>
          <w:lang w:bidi="fa-IR"/>
        </w:rPr>
        <w:t>یکون ترتیب المداخل ترتیباً ألفبائیاً، طبقاً للحروف الهجائیة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صورة اشتهار المصطلح بلغة أُخری یذکر ذلک اللفظ غیر العربی بین قوسین بعد ذکر المدخل باللغة العربیة،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المصیبة، أو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الکوریز</w:t>
      </w:r>
      <w:r>
        <w:rPr>
          <w:rFonts w:eastAsia="IRNazanin" w:cs="IRNazanin"/>
          <w:color w:val="111111"/>
          <w:sz w:val="28"/>
          <w:szCs w:val="28"/>
          <w:rtl w:val="true"/>
          <w:lang w:bidi="fa-IR"/>
        </w:rPr>
        <w:t>).</w:t>
      </w:r>
    </w:p>
    <w:p>
      <w:pPr>
        <w:pStyle w:val="Heading4"/>
        <w:numPr>
          <w:ilvl w:val="3"/>
          <w:numId w:val="1"/>
        </w:numPr>
        <w:rPr/>
      </w:pPr>
      <w:bookmarkStart w:id="65" w:name="__RefHeading___Toc1323595_774463916"/>
      <w:bookmarkStart w:id="66" w:name="_Toc25"/>
      <w:bookmarkEnd w:id="65"/>
      <w:r>
        <w:rPr>
          <w:rtl w:val="true"/>
        </w:rPr>
        <w:t>ه</w:t>
      </w:r>
      <w:r>
        <w:rPr>
          <w:rtl w:val="true"/>
        </w:rPr>
        <w:t xml:space="preserve">- - </w:t>
      </w:r>
      <w:r>
        <w:rPr>
          <w:rtl w:val="true"/>
        </w:rPr>
        <w:t>معاییر المدخل الحسینی</w:t>
      </w:r>
      <w:bookmarkEnd w:id="66"/>
    </w:p>
    <w:p>
      <w:pPr>
        <w:pStyle w:val="Heading5"/>
        <w:numPr>
          <w:ilvl w:val="4"/>
          <w:numId w:val="1"/>
        </w:numPr>
        <w:rPr/>
      </w:pPr>
      <w:bookmarkStart w:id="67" w:name="__RefHeading___Toc1323597_774463916"/>
      <w:bookmarkStart w:id="68" w:name="_Toc26"/>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تتنوع مداخل ومصطلحات دائرة المعارف الحسینیة لتناولها علوماً ومعارف مختلفة؛ إذ تشمل المجالات الکلامیة والفکریة والثقافیة والتاریخیة والجغرافیة والرجالیة وغیرها؛ من هنا لا بدّ من وضع ضوابط وقواعد یتمّ بموجبها اختیار المداخل، وقد قامت اللجنة العلمیة بوضع ضوابط لا بد من توافر واحد منها أو أکثر فی المصطلح کی یُعدّ من مداخل دائرة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الضوابط تتنوّع بتنوع العلوم والمعارف أیضاً، ارتأت اللجنة وضع ضوابط لکلّ حقل من تلک الحقول، وبیان معاییر المدخلیة فی ذلک المجال، رغم أنّ بعض الضوابط عامّة ومشترکة، کارتباط المدخل والمفردة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المبارکة</w:t>
      </w:r>
      <w:r>
        <w:rPr>
          <w:rFonts w:eastAsia="IRNazanin" w:cs="IRNazanin"/>
          <w:color w:val="111111"/>
          <w:sz w:val="28"/>
          <w:szCs w:val="28"/>
          <w:rtl w:val="true"/>
          <w:lang w:bidi="fa-IR"/>
        </w:rPr>
        <w:t>.</w:t>
      </w:r>
    </w:p>
    <w:p>
      <w:pPr>
        <w:pStyle w:val="Heading5"/>
        <w:numPr>
          <w:ilvl w:val="4"/>
          <w:numId w:val="1"/>
        </w:numPr>
        <w:rPr/>
      </w:pPr>
      <w:bookmarkStart w:id="69" w:name="__RefHeading___Toc1323599_774463916"/>
      <w:bookmarkStart w:id="70" w:name="_Toc27"/>
      <w:bookmarkEnd w:id="69"/>
      <w:r>
        <w:rPr>
          <w:rtl w:val="true"/>
        </w:rPr>
        <w:t>أولاً</w:t>
      </w:r>
      <w:r>
        <w:rPr>
          <w:rtl w:val="true"/>
        </w:rPr>
        <w:t xml:space="preserve">: </w:t>
      </w:r>
      <w:r>
        <w:rPr>
          <w:rtl w:val="true"/>
        </w:rPr>
        <w:t>المفاهیم</w:t>
      </w:r>
      <w:bookmarkEnd w:id="70"/>
    </w:p>
    <w:p>
      <w:pPr>
        <w:pStyle w:val="Heading6"/>
        <w:numPr>
          <w:ilvl w:val="5"/>
          <w:numId w:val="1"/>
        </w:numPr>
        <w:rPr/>
      </w:pPr>
      <w:bookmarkStart w:id="71" w:name="__RefHeading___Toc1323601_774463916"/>
      <w:bookmarkStart w:id="72" w:name="_Toc28"/>
      <w:bookmarkEnd w:id="71"/>
      <w:r>
        <w:rPr>
          <w:rtl w:val="true"/>
        </w:rPr>
        <w:t xml:space="preserve">ألف </w:t>
      </w:r>
      <w:r>
        <w:rPr>
          <w:rtl w:val="true"/>
        </w:rPr>
        <w:t xml:space="preserve">- </w:t>
      </w:r>
      <w:r>
        <w:rPr>
          <w:rtl w:val="true"/>
        </w:rPr>
        <w:t>الضوابط والمعاییر</w:t>
      </w:r>
      <w:bookmarkEnd w:id="72"/>
    </w:p>
    <w:p>
      <w:pPr>
        <w:pStyle w:val="BookText"/>
        <w:rPr/>
      </w:pPr>
      <w:r>
        <w:rPr>
          <w:rFonts w:ascii="IRNazanin" w:hAnsi="IRNazanin" w:eastAsia="IRNazanin"/>
          <w:color w:val="111111"/>
          <w:sz w:val="28"/>
          <w:sz w:val="28"/>
          <w:szCs w:val="28"/>
          <w:rtl w:val="true"/>
          <w:lang w:bidi="fa-IR"/>
        </w:rPr>
        <w:t>هناک عدة معاییر للمفاهیم التی تصلح لأن تکون مداخل فی دائرة المعارف الحسینیة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الخاص فی التعرّف علی أبعاد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الواضح فی بیان معالم النهضة الحسینیة وأهدافها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المباشر فی تجسید المبادئ الحسینیة علی أرض الواقع</w:t>
      </w:r>
      <w:r>
        <w:rPr>
          <w:rFonts w:eastAsia="IRNazanin" w:cs="IRNazanin"/>
          <w:color w:val="111111"/>
          <w:sz w:val="28"/>
          <w:szCs w:val="28"/>
          <w:rtl w:val="true"/>
          <w:lang w:bidi="fa-IR"/>
        </w:rPr>
        <w:t xml:space="preserve">. </w:t>
      </w:r>
      <w:bookmarkStart w:id="73" w:name="pg5104_36258"/>
    </w:p>
    <w:p>
      <w:pPr>
        <w:pStyle w:val="BookText"/>
        <w:rPr/>
      </w:pPr>
      <w:bookmarkEnd w:id="73"/>
      <w:r>
        <w:rPr>
          <w:rFonts w:ascii="IRNazanin" w:hAnsi="IRNazanin" w:eastAsia="IRNazanin"/>
          <w:color w:val="111111"/>
          <w:sz w:val="28"/>
          <w:sz w:val="28"/>
          <w:szCs w:val="28"/>
          <w:rtl w:val="true"/>
          <w:lang w:bidi="fa-IR"/>
        </w:rPr>
        <w:t>ومن تلک العناوین التی تنطبق علیها المعاییر المذکورة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والحریة، والأمر بالمعروف والنهی عن المنکر، والإباء، والتضحیة، ونحو ذلک</w:t>
      </w:r>
      <w:r>
        <w:rPr>
          <w:rFonts w:eastAsia="IRNazanin" w:cs="IRNazanin"/>
          <w:color w:val="111111"/>
          <w:sz w:val="28"/>
          <w:szCs w:val="28"/>
          <w:rtl w:val="true"/>
          <w:lang w:bidi="fa-IR"/>
        </w:rPr>
        <w:t>.</w:t>
      </w:r>
    </w:p>
    <w:p>
      <w:pPr>
        <w:pStyle w:val="Heading6"/>
        <w:numPr>
          <w:ilvl w:val="5"/>
          <w:numId w:val="1"/>
        </w:numPr>
        <w:rPr/>
      </w:pPr>
      <w:bookmarkStart w:id="74" w:name="__RefHeading___Toc1323603_774463916"/>
      <w:bookmarkStart w:id="75" w:name="_Toc29"/>
      <w:bookmarkEnd w:id="74"/>
      <w:r>
        <w:rPr>
          <w:rtl w:val="true"/>
        </w:rPr>
        <w:t xml:space="preserve">ب </w:t>
      </w:r>
      <w:r>
        <w:rPr>
          <w:rtl w:val="true"/>
        </w:rPr>
        <w:t xml:space="preserve">- </w:t>
      </w:r>
      <w:r>
        <w:rPr>
          <w:rtl w:val="true"/>
        </w:rPr>
        <w:t>المحاور</w:t>
      </w:r>
      <w:bookmarkEnd w:id="75"/>
    </w:p>
    <w:p>
      <w:pPr>
        <w:pStyle w:val="BookText"/>
        <w:rPr/>
      </w:pPr>
      <w:r>
        <w:rPr>
          <w:rFonts w:ascii="IRNazanin" w:hAnsi="IRNazanin" w:eastAsia="IRNazanin"/>
          <w:color w:val="111111"/>
          <w:sz w:val="28"/>
          <w:sz w:val="28"/>
          <w:szCs w:val="28"/>
          <w:rtl w:val="true"/>
          <w:lang w:bidi="fa-IR"/>
        </w:rPr>
        <w:t>وتتمثّل مداخل المفاهیم فی المحاور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الکلامیة والعقدیة، کشفاعة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وإمامته، ومعجزاته وکراماته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فی هذا المحور العناوین الفلسفیة والعرفانیة والأخلاقیة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والقیم الحسینیة، کالشهادة والإیثار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المنحرفة والمضادّة للمبادئ الإسلامیة والإنسانیة، کالخذلان والتخاذل عن نصرة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والطغیان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الشعارات الحسینیة، أعمّ من الشعارات التی أُطلقت فی عاشوراء من قبل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أصحابه، کشعار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التی نشأت بعد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 والأدعیة المختصّة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وکلماته</w:t>
      </w:r>
      <w:r>
        <w:rPr>
          <w:rFonts w:eastAsia="IRNazanin" w:cs="IRNazanin"/>
          <w:color w:val="111111"/>
          <w:sz w:val="28"/>
          <w:szCs w:val="28"/>
          <w:rtl w:val="true"/>
          <w:lang w:bidi="fa-IR"/>
        </w:rPr>
        <w:t>.</w:t>
      </w:r>
    </w:p>
    <w:p>
      <w:pPr>
        <w:pStyle w:val="Heading5"/>
        <w:numPr>
          <w:ilvl w:val="4"/>
          <w:numId w:val="1"/>
        </w:numPr>
        <w:rPr/>
      </w:pPr>
      <w:bookmarkStart w:id="76" w:name="__RefHeading___Toc1323605_774463916"/>
      <w:bookmarkStart w:id="77" w:name="_Toc30"/>
      <w:bookmarkEnd w:id="76"/>
      <w:r>
        <w:rPr>
          <w:rtl w:val="true"/>
        </w:rPr>
        <w:t>ثانیاً</w:t>
      </w:r>
      <w:r>
        <w:rPr>
          <w:rtl w:val="true"/>
        </w:rPr>
        <w:t xml:space="preserve">: </w:t>
      </w:r>
      <w:r>
        <w:rPr>
          <w:rtl w:val="true"/>
        </w:rPr>
        <w:t>الثقافة والأدب والفن</w:t>
      </w:r>
      <w:bookmarkEnd w:id="77"/>
    </w:p>
    <w:p>
      <w:pPr>
        <w:pStyle w:val="Heading6"/>
        <w:numPr>
          <w:ilvl w:val="5"/>
          <w:numId w:val="1"/>
        </w:numPr>
        <w:rPr/>
      </w:pPr>
      <w:bookmarkStart w:id="78" w:name="__RefHeading___Toc1323607_774463916"/>
      <w:bookmarkStart w:id="79" w:name="_Toc31"/>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تشتمل دائرة المعارف الحسینیة علی کثیر من المداخل الأدبیة والثقافیة والفنیة؛ لما تقدّم من اشتمالها علی جمیع العلوم والمعارف، ولأجل ضبط المعیار فی مدخلیة کل عنوان فی هذه الدائرة نذکر المعاییر التالیة، ومن ثمّ المحاور</w:t>
      </w:r>
      <w:r>
        <w:rPr>
          <w:rFonts w:eastAsia="IRNazanin" w:cs="IRNazanin"/>
          <w:color w:val="111111"/>
          <w:sz w:val="28"/>
          <w:szCs w:val="28"/>
          <w:rtl w:val="true"/>
          <w:lang w:bidi="fa-IR"/>
        </w:rPr>
        <w:t>:</w:t>
      </w:r>
    </w:p>
    <w:p>
      <w:pPr>
        <w:pStyle w:val="Heading6"/>
        <w:numPr>
          <w:ilvl w:val="5"/>
          <w:numId w:val="1"/>
        </w:numPr>
        <w:rPr/>
      </w:pPr>
      <w:bookmarkStart w:id="80" w:name="__RefHeading___Toc1323609_774463916"/>
      <w:bookmarkStart w:id="81" w:name="_Toc32"/>
      <w:bookmarkEnd w:id="80"/>
      <w:r>
        <w:rPr>
          <w:rtl w:val="true"/>
        </w:rPr>
        <w:t xml:space="preserve">ألف </w:t>
      </w:r>
      <w:r>
        <w:rPr>
          <w:rtl w:val="true"/>
        </w:rPr>
        <w:t xml:space="preserve">- </w:t>
      </w:r>
      <w:r>
        <w:rPr>
          <w:rtl w:val="true"/>
        </w:rPr>
        <w:t>الضوابط والمعاییر</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الأهمیة الثقافیة والفنیة والأدبیة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الثقافیة والأدبیة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البارز فی أدبیات وثقافة عاشوراء</w:t>
      </w:r>
      <w:r>
        <w:rPr>
          <w:rFonts w:eastAsia="IRNazanin" w:cs="IRNazanin"/>
          <w:color w:val="111111"/>
          <w:sz w:val="28"/>
          <w:szCs w:val="28"/>
          <w:rtl w:val="true"/>
          <w:lang w:bidi="fa-IR"/>
        </w:rPr>
        <w:t xml:space="preserve">. </w:t>
      </w:r>
      <w:bookmarkStart w:id="82" w:name="pg5104_36260"/>
    </w:p>
    <w:p>
      <w:pPr>
        <w:pStyle w:val="BookText"/>
        <w:rPr/>
      </w:pPr>
      <w:bookmarkEnd w:id="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83" w:name="__RefHeading___Toc1323611_774463916"/>
      <w:bookmarkStart w:id="84" w:name="_Toc33"/>
      <w:bookmarkEnd w:id="83"/>
      <w:r>
        <w:rPr>
          <w:rtl w:val="true"/>
        </w:rPr>
        <w:t xml:space="preserve">ب </w:t>
      </w:r>
      <w:r>
        <w:rPr>
          <w:rtl w:val="true"/>
        </w:rPr>
        <w:t xml:space="preserve">- </w:t>
      </w:r>
      <w:r>
        <w:rPr>
          <w:rtl w:val="true"/>
        </w:rPr>
        <w:t>المحاور</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عاشوراء،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مسرحیة الحسین ثائراً والحسین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الحسینی، کالرجز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والفنون التی لها ارتباط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کالرسوم والبوسترات والنحت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ورسومها، کالمنبر الحسینی، والمواکب والمسیرات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ورسوم حسینیة کالسقایة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التمثیلیة، مثل الأفلام والمسرحیات والمسلسلات والمشاهد التمثیلیة، کمسلسل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الانترنت وبرامج الحاسوب، کموقع یا حسین، ومکتبة سفینة النجاة الإلکترونیة</w:t>
      </w:r>
      <w:r>
        <w:rPr>
          <w:rFonts w:eastAsia="IRNazanin" w:cs="IRNazanin"/>
          <w:color w:val="111111"/>
          <w:sz w:val="28"/>
          <w:szCs w:val="28"/>
          <w:rtl w:val="true"/>
          <w:lang w:bidi="fa-IR"/>
        </w:rPr>
        <w:t>.</w:t>
      </w:r>
    </w:p>
    <w:p>
      <w:pPr>
        <w:pStyle w:val="Heading5"/>
        <w:numPr>
          <w:ilvl w:val="4"/>
          <w:numId w:val="1"/>
        </w:numPr>
        <w:rPr/>
      </w:pPr>
      <w:bookmarkStart w:id="85" w:name="__RefHeading___Toc1323613_774463916"/>
      <w:bookmarkStart w:id="86" w:name="_Toc34"/>
      <w:bookmarkEnd w:id="85"/>
      <w:r>
        <w:rPr>
          <w:rtl w:val="true"/>
        </w:rPr>
        <w:t>ثالثاً</w:t>
      </w:r>
      <w:r>
        <w:rPr>
          <w:rtl w:val="true"/>
        </w:rPr>
        <w:t xml:space="preserve">: </w:t>
      </w:r>
      <w:r>
        <w:rPr>
          <w:rtl w:val="true"/>
        </w:rPr>
        <w:t>المسائل التاریخیة</w:t>
      </w:r>
      <w:bookmarkEnd w:id="86"/>
    </w:p>
    <w:p>
      <w:pPr>
        <w:pStyle w:val="Heading6"/>
        <w:numPr>
          <w:ilvl w:val="5"/>
          <w:numId w:val="1"/>
        </w:numPr>
        <w:rPr/>
      </w:pPr>
      <w:bookmarkStart w:id="87" w:name="__RefHeading___Toc1323615_774463916"/>
      <w:bookmarkStart w:id="88" w:name="_Toc35"/>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تشغل الوقائع والأحداث التاریخیة حیّزاً کبیراً مما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وضوابط المداخل التاریخیة ومحاورها ما یأتی</w:t>
      </w:r>
      <w:r>
        <w:rPr>
          <w:rFonts w:eastAsia="IRNazanin" w:cs="IRNazanin"/>
          <w:color w:val="111111"/>
          <w:sz w:val="28"/>
          <w:szCs w:val="28"/>
          <w:rtl w:val="true"/>
          <w:lang w:bidi="fa-IR"/>
        </w:rPr>
        <w:t>:</w:t>
      </w:r>
    </w:p>
    <w:p>
      <w:pPr>
        <w:pStyle w:val="Heading6"/>
        <w:numPr>
          <w:ilvl w:val="5"/>
          <w:numId w:val="1"/>
        </w:numPr>
        <w:rPr/>
      </w:pPr>
      <w:bookmarkStart w:id="89" w:name="__RefHeading___Toc1323617_774463916"/>
      <w:bookmarkStart w:id="90" w:name="_Toc36"/>
      <w:bookmarkEnd w:id="89"/>
      <w:r>
        <w:rPr>
          <w:rtl w:val="true"/>
        </w:rPr>
        <w:t xml:space="preserve">ألف </w:t>
      </w:r>
      <w:r>
        <w:rPr>
          <w:rtl w:val="true"/>
        </w:rPr>
        <w:t xml:space="preserve">- </w:t>
      </w:r>
      <w:r>
        <w:rPr>
          <w:rtl w:val="true"/>
        </w:rPr>
        <w:t>الضوابط والمعاییر</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التأثیر البارز والدور المهم فی 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الأهمیة والمکانة الکبیرة فی حوادث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فی المصادر</w:t>
      </w:r>
      <w:r>
        <w:rPr>
          <w:rFonts w:eastAsia="IRNazanin" w:cs="IRNazanin"/>
          <w:color w:val="111111"/>
          <w:sz w:val="28"/>
          <w:szCs w:val="28"/>
          <w:rtl w:val="true"/>
          <w:lang w:bidi="fa-IR"/>
        </w:rPr>
        <w:t>.</w:t>
      </w:r>
    </w:p>
    <w:p>
      <w:pPr>
        <w:pStyle w:val="Heading6"/>
        <w:numPr>
          <w:ilvl w:val="5"/>
          <w:numId w:val="1"/>
        </w:numPr>
        <w:rPr/>
      </w:pPr>
      <w:bookmarkStart w:id="91" w:name="__RefHeading___Toc1323619_774463916"/>
      <w:bookmarkStart w:id="92" w:name="_Toc37"/>
      <w:bookmarkEnd w:id="91"/>
      <w:r>
        <w:rPr>
          <w:rtl w:val="true"/>
        </w:rPr>
        <w:t xml:space="preserve">ب </w:t>
      </w:r>
      <w:r>
        <w:rPr>
          <w:rtl w:val="true"/>
        </w:rPr>
        <w:t xml:space="preserve">- </w:t>
      </w:r>
      <w:r>
        <w:rPr>
          <w:rtl w:val="true"/>
        </w:rPr>
        <w:t>المحاور</w:t>
      </w:r>
      <w:bookmarkEnd w:id="9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خلفیات النهضة الحسینیة ومنطلقاتها، مثل التنبؤات والرؤی التی حصلت </w:t>
      </w:r>
      <w:bookmarkStart w:id="93" w:name="pg5104_36262"/>
    </w:p>
    <w:p>
      <w:pPr>
        <w:pStyle w:val="BookText"/>
        <w:rPr/>
      </w:pPr>
      <w:bookmarkEnd w:id="93"/>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والإمام الحسین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المرتبطة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من ولادته حتی شهادته، مثل الهجرة، الامتناع عن البیعة، وصیته لمحمد بن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المتعلقة بالثورة الحسینیة بعد عاشوراء حتی رجوع السبایا إلی المدینة، کالسبی وحمل الرؤوس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المرتبطة بالقضیة الحسینیة من رجوع السبایا إلی یومنا الحاضر، کهدم المرقد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الثورات والانتفاضات المرتبطة بالنهضة الحسینیة، مثل ثورة المختار وثورة التوابین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الحکومات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الدولة البویهیة والدولة الصفویة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الأزمنة والأوقات، مثل لیلة عاشوراء، ویوم عاشوراء، وتاسوعاء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الاصطلاحات العسکریة المتعلقة بالثورة الحسینیة، مثل حامل اللواء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المعرکة ووسائلها،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القبائل والعشائر والأُسر التی کان لها دور بارز فی واقعة عاشوراء، مثل آل عقیل وبنی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وفطرس</w:t>
      </w:r>
      <w:r>
        <w:rPr>
          <w:rFonts w:eastAsia="IRNazanin" w:cs="IRNazanin"/>
          <w:color w:val="111111"/>
          <w:sz w:val="28"/>
          <w:szCs w:val="28"/>
          <w:rtl w:val="true"/>
          <w:lang w:bidi="fa-IR"/>
        </w:rPr>
        <w:t>.</w:t>
      </w:r>
    </w:p>
    <w:p>
      <w:pPr>
        <w:pStyle w:val="Heading5"/>
        <w:numPr>
          <w:ilvl w:val="4"/>
          <w:numId w:val="1"/>
        </w:numPr>
        <w:rPr/>
      </w:pPr>
      <w:bookmarkStart w:id="94" w:name="__RefHeading___Toc1323621_774463916"/>
      <w:bookmarkStart w:id="95" w:name="_Toc38"/>
      <w:bookmarkEnd w:id="94"/>
      <w:r>
        <w:rPr>
          <w:rtl w:val="true"/>
        </w:rPr>
        <w:t>رابعاً</w:t>
      </w:r>
      <w:r>
        <w:rPr>
          <w:rtl w:val="true"/>
        </w:rPr>
        <w:t xml:space="preserve">: </w:t>
      </w:r>
      <w:r>
        <w:rPr>
          <w:rtl w:val="true"/>
        </w:rPr>
        <w:t>الأعلام</w:t>
      </w:r>
      <w:bookmarkEnd w:id="95"/>
    </w:p>
    <w:p>
      <w:pPr>
        <w:pStyle w:val="Heading6"/>
        <w:numPr>
          <w:ilvl w:val="5"/>
          <w:numId w:val="1"/>
        </w:numPr>
        <w:rPr/>
      </w:pPr>
      <w:bookmarkStart w:id="96" w:name="__RefHeading___Toc1323623_774463916"/>
      <w:bookmarkStart w:id="97" w:name="_Toc39"/>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المقصود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الرجال والنساء والأطفال</w:t>
      </w:r>
      <w:r>
        <w:rPr>
          <w:rFonts w:eastAsia="IRNazanin" w:cs="IRNazanin"/>
          <w:color w:val="111111"/>
          <w:sz w:val="28"/>
          <w:szCs w:val="28"/>
          <w:rtl w:val="true"/>
          <w:lang w:bidi="fa-IR"/>
        </w:rPr>
        <w:t>.</w:t>
      </w:r>
    </w:p>
    <w:p>
      <w:pPr>
        <w:pStyle w:val="Heading6"/>
        <w:numPr>
          <w:ilvl w:val="5"/>
          <w:numId w:val="1"/>
        </w:numPr>
        <w:rPr/>
      </w:pPr>
      <w:bookmarkStart w:id="98" w:name="__RefHeading___Toc1323625_774463916"/>
      <w:bookmarkStart w:id="99" w:name="_Toc40"/>
      <w:bookmarkEnd w:id="98"/>
      <w:r>
        <w:rPr>
          <w:rtl w:val="true"/>
        </w:rPr>
        <w:t xml:space="preserve">ألف </w:t>
      </w:r>
      <w:r>
        <w:rPr>
          <w:rtl w:val="true"/>
        </w:rPr>
        <w:t xml:space="preserve">- </w:t>
      </w:r>
      <w:r>
        <w:rPr>
          <w:rtl w:val="true"/>
        </w:rPr>
        <w:t>الضوابط والمعاییر</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أو الثورات التی تعدّ امتداداً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والاقتران بالنهضة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الدور الفعّال والتأثیر الإیجابی أو السلبی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فی المصادر والکتب</w:t>
      </w:r>
      <w:r>
        <w:rPr>
          <w:rFonts w:eastAsia="IRNazanin" w:cs="IRNazanin"/>
          <w:color w:val="111111"/>
          <w:sz w:val="28"/>
          <w:szCs w:val="28"/>
          <w:rtl w:val="true"/>
          <w:lang w:bidi="fa-IR"/>
        </w:rPr>
        <w:t xml:space="preserve">. </w:t>
      </w:r>
      <w:bookmarkStart w:id="100" w:name="pg5104_36264"/>
    </w:p>
    <w:p>
      <w:pPr>
        <w:pStyle w:val="Heading6"/>
        <w:numPr>
          <w:ilvl w:val="5"/>
          <w:numId w:val="1"/>
        </w:numPr>
        <w:rPr/>
      </w:pPr>
      <w:bookmarkStart w:id="101" w:name="__RefHeading___Toc1323627_774463916"/>
      <w:bookmarkStart w:id="102" w:name="_Toc41"/>
      <w:bookmarkEnd w:id="100"/>
      <w:bookmarkEnd w:id="101"/>
      <w:r>
        <w:rPr>
          <w:rtl w:val="true"/>
        </w:rPr>
        <w:t xml:space="preserve">ب </w:t>
      </w:r>
      <w:r>
        <w:rPr>
          <w:rtl w:val="true"/>
        </w:rPr>
        <w:t xml:space="preserve">- </w:t>
      </w:r>
      <w:r>
        <w:rPr>
          <w:rtl w:val="true"/>
        </w:rPr>
        <w:t>المحاور</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 وأخواته، وزوجاته، وأولاده، وبنو عمومته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کأبی الفضل العباس وعلی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ولیلی والرباب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والشخصیات التی لها نحو ارتباط بالنهضة الحسینیة، کجابر بن عبد الله الأنصاری، ومحمد بن الحنفیة، وابن عباس، والطرمّاح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النهضة الحسینیة، کحبیب بن مظاهر، وزهیر بن 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حادثة کربلاء، کحمید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الشخصیات التی سجنت أو أُعدمت سواء أکان قبل الثورة المبارکة أو بعدها، وکان ذلک بسبب الارتباط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کمیثم التمار، وسلیمان بن صرد، وعبد الله بن عفیف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الحکام والوزراء والقادة وغیرهم من الشخصیات السیاسیة والاجتماعیة التی لها دور إیجابی أو سلبی، کالمتوکل العباسی، وعباس الصفوی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 کالسید حیدر الحلی، والسید جعفر الحلی، وابن 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الخطباء، کالشیخ الوائلی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الفنانون، کالمخرج أحمد درویش مخرج فیلم یوم القیامة</w:t>
      </w:r>
      <w:r>
        <w:rPr>
          <w:rFonts w:eastAsia="IRNazanin" w:cs="IRNazanin"/>
          <w:color w:val="111111"/>
          <w:sz w:val="28"/>
          <w:szCs w:val="28"/>
          <w:rtl w:val="true"/>
          <w:lang w:bidi="fa-IR"/>
        </w:rPr>
        <w:t>.</w:t>
      </w:r>
    </w:p>
    <w:p>
      <w:pPr>
        <w:pStyle w:val="Heading5"/>
        <w:numPr>
          <w:ilvl w:val="4"/>
          <w:numId w:val="1"/>
        </w:numPr>
        <w:rPr/>
      </w:pPr>
      <w:bookmarkStart w:id="103" w:name="__RefHeading___Toc1323629_774463916"/>
      <w:bookmarkStart w:id="104" w:name="_Toc42"/>
      <w:bookmarkEnd w:id="103"/>
      <w:r>
        <w:rPr>
          <w:rtl w:val="true"/>
        </w:rPr>
        <w:t>خامساً</w:t>
      </w:r>
      <w:r>
        <w:rPr>
          <w:rtl w:val="true"/>
        </w:rPr>
        <w:t xml:space="preserve">: </w:t>
      </w:r>
      <w:r>
        <w:rPr>
          <w:rtl w:val="true"/>
        </w:rPr>
        <w:t>الأماکن والمواقع الجغرافیة</w:t>
      </w:r>
      <w:bookmarkEnd w:id="104"/>
    </w:p>
    <w:p>
      <w:pPr>
        <w:pStyle w:val="Heading6"/>
        <w:numPr>
          <w:ilvl w:val="5"/>
          <w:numId w:val="1"/>
        </w:numPr>
        <w:rPr/>
      </w:pPr>
      <w:bookmarkStart w:id="105" w:name="__RefHeading___Toc1323631_774463916"/>
      <w:bookmarkStart w:id="106" w:name="_Toc43"/>
      <w:bookmarkEnd w:id="105"/>
      <w:r>
        <w:rPr>
          <w:rtl w:val="true"/>
        </w:rPr>
        <w:t xml:space="preserve">ألف </w:t>
      </w:r>
      <w:r>
        <w:rPr>
          <w:rtl w:val="true"/>
        </w:rPr>
        <w:t xml:space="preserve">- </w:t>
      </w:r>
      <w:r>
        <w:rPr>
          <w:rtl w:val="true"/>
        </w:rPr>
        <w:t>الضوابط والمعاییر</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المعروفیة والشهرة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الأهمیة والمکانة الجغرافیة أو الاجتماعیة أو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محلاً لوقوع الحوادث المرتبطة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وما یرتبط بها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الانتساب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7" w:name="pg5104_36266"/>
    </w:p>
    <w:p>
      <w:pPr>
        <w:pStyle w:val="BookText"/>
        <w:rPr/>
      </w:pPr>
      <w:bookmarkEnd w:id="10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الاشتمال علی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08" w:name="__RefHeading___Toc1323633_774463916"/>
      <w:bookmarkStart w:id="109" w:name="_Toc44"/>
      <w:bookmarkEnd w:id="108"/>
      <w:r>
        <w:rPr>
          <w:rtl w:val="true"/>
        </w:rPr>
        <w:t xml:space="preserve">ب </w:t>
      </w:r>
      <w:r>
        <w:rPr>
          <w:rtl w:val="true"/>
        </w:rPr>
        <w:t xml:space="preserve">- </w:t>
      </w:r>
      <w:r>
        <w:rPr>
          <w:rtl w:val="true"/>
        </w:rPr>
        <w:t>المحاور</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والمدن، کالدولة الفاطمیة والکوفة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الأماکن والنواحی والنقاط الجغرافیة، مثل نینوی وزرود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والمزارات والمراقد، کمرقد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ومرقد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والحسینیات والأوقاف، کمسجد الحنّانة</w:t>
      </w:r>
      <w:r>
        <w:rPr>
          <w:rFonts w:eastAsia="IRNazanin" w:cs="IRNazanin"/>
          <w:color w:val="111111"/>
          <w:sz w:val="28"/>
          <w:szCs w:val="28"/>
          <w:rtl w:val="true"/>
          <w:lang w:bidi="fa-IR"/>
        </w:rPr>
        <w:t>.</w:t>
      </w:r>
    </w:p>
    <w:p>
      <w:pPr>
        <w:pStyle w:val="Heading5"/>
        <w:numPr>
          <w:ilvl w:val="4"/>
          <w:numId w:val="1"/>
        </w:numPr>
        <w:rPr/>
      </w:pPr>
      <w:bookmarkStart w:id="110" w:name="__RefHeading___Toc1323635_774463916"/>
      <w:bookmarkStart w:id="111" w:name="_Toc45"/>
      <w:bookmarkEnd w:id="110"/>
      <w:r>
        <w:rPr>
          <w:rtl w:val="true"/>
        </w:rPr>
        <w:t>سادساً</w:t>
      </w:r>
      <w:r>
        <w:rPr>
          <w:rtl w:val="true"/>
        </w:rPr>
        <w:t xml:space="preserve">: </w:t>
      </w:r>
      <w:r>
        <w:rPr>
          <w:rtl w:val="true"/>
        </w:rPr>
        <w:t>المصنفات والآثار الحسینیة</w:t>
      </w:r>
      <w:bookmarkEnd w:id="111"/>
    </w:p>
    <w:p>
      <w:pPr>
        <w:pStyle w:val="Heading6"/>
        <w:numPr>
          <w:ilvl w:val="5"/>
          <w:numId w:val="1"/>
        </w:numPr>
        <w:rPr/>
      </w:pPr>
      <w:bookmarkStart w:id="112" w:name="__RefHeading___Toc1323637_774463916"/>
      <w:bookmarkStart w:id="113" w:name="_Toc46"/>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وتضمّ الکتب الحسینیة القدیمة والحدیثة، ودواوین الشعر، والموسوعات، ودوائر المعارف الحسینیة، والمجلات والدوریات الحسینیة</w:t>
      </w:r>
      <w:r>
        <w:rPr>
          <w:rFonts w:eastAsia="IRNazanin" w:cs="IRNazanin"/>
          <w:color w:val="111111"/>
          <w:sz w:val="28"/>
          <w:szCs w:val="28"/>
          <w:rtl w:val="true"/>
          <w:lang w:bidi="fa-IR"/>
        </w:rPr>
        <w:t>.</w:t>
      </w:r>
    </w:p>
    <w:p>
      <w:pPr>
        <w:pStyle w:val="Heading6"/>
        <w:numPr>
          <w:ilvl w:val="5"/>
          <w:numId w:val="1"/>
        </w:numPr>
        <w:rPr/>
      </w:pPr>
      <w:bookmarkStart w:id="114" w:name="__RefHeading___Toc1323639_774463916"/>
      <w:bookmarkStart w:id="115" w:name="_Toc47"/>
      <w:bookmarkEnd w:id="114"/>
      <w:r>
        <w:rPr>
          <w:rtl w:val="true"/>
        </w:rPr>
        <w:t xml:space="preserve">ألف </w:t>
      </w:r>
      <w:r>
        <w:rPr>
          <w:rtl w:val="true"/>
        </w:rPr>
        <w:t xml:space="preserve">- </w:t>
      </w:r>
      <w:r>
        <w:rPr>
          <w:rtl w:val="true"/>
        </w:rPr>
        <w:t>الضوابط والمعاییر</w:t>
      </w:r>
      <w:bookmarkEnd w:id="115"/>
    </w:p>
    <w:p>
      <w:pPr>
        <w:pStyle w:val="BookText"/>
        <w:rPr/>
      </w:pPr>
      <w:r>
        <w:rPr>
          <w:rFonts w:ascii="IRNazanin" w:hAnsi="IRNazanin" w:eastAsia="IRNazanin"/>
          <w:color w:val="111111"/>
          <w:sz w:val="28"/>
          <w:sz w:val="28"/>
          <w:szCs w:val="28"/>
          <w:rtl w:val="true"/>
          <w:lang w:bidi="fa-IR"/>
        </w:rPr>
        <w:t>یکفی فی دخول الأثر أو المصنّف الحسینی فی هذا القسم انطباق واحد أو أکثر من المعاییر التالیة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بالقضیة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مستلاً من تألیف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تکراراً لأبحاث 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رصانة المحتوی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الواسع فی الأوساط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والمعروفیة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الحجم، کالتألف من عدّة مجلدات أو أعداد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کأن یکون من مؤلفات القرون الأربعة الأُولی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المؤلف أو الکاتب من المشهورین من غیر المسلمین</w:t>
      </w:r>
      <w:r>
        <w:rPr>
          <w:rFonts w:eastAsia="IRNazanin" w:cs="IRNazanin"/>
          <w:color w:val="111111"/>
          <w:sz w:val="28"/>
          <w:szCs w:val="28"/>
          <w:rtl w:val="true"/>
          <w:lang w:bidi="fa-IR"/>
        </w:rPr>
        <w:t xml:space="preserve">. </w:t>
      </w:r>
      <w:bookmarkStart w:id="116" w:name="pg5104_36267"/>
    </w:p>
    <w:p>
      <w:pPr>
        <w:pStyle w:val="BookText"/>
        <w:rPr/>
      </w:pPr>
      <w:bookmarkEnd w:id="11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الأثر من المصادر والمراجع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محلّ نقاش وجدل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المعالجة لشبهة أو موضوع 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الامتیاز بالإبداع والتحلیل والعمق</w:t>
      </w:r>
      <w:r>
        <w:rPr>
          <w:rFonts w:eastAsia="IRNazanin" w:cs="IRNazanin"/>
          <w:color w:val="111111"/>
          <w:sz w:val="28"/>
          <w:szCs w:val="28"/>
          <w:rtl w:val="true"/>
          <w:lang w:bidi="fa-IR"/>
        </w:rPr>
        <w:t>.</w:t>
      </w:r>
    </w:p>
    <w:p>
      <w:pPr>
        <w:pStyle w:val="Heading6"/>
        <w:numPr>
          <w:ilvl w:val="5"/>
          <w:numId w:val="1"/>
        </w:numPr>
        <w:rPr/>
      </w:pPr>
      <w:bookmarkStart w:id="117" w:name="__RefHeading___Toc1323641_774463916"/>
      <w:bookmarkStart w:id="118" w:name="_Toc48"/>
      <w:bookmarkEnd w:id="117"/>
      <w:r>
        <w:rPr>
          <w:rtl w:val="true"/>
        </w:rPr>
        <w:t xml:space="preserve">ب </w:t>
      </w:r>
      <w:r>
        <w:rPr>
          <w:rtl w:val="true"/>
        </w:rPr>
        <w:t xml:space="preserve">- </w:t>
      </w:r>
      <w:r>
        <w:rPr>
          <w:rtl w:val="true"/>
        </w:rPr>
        <w:t>المحاور</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دواوین الشعر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الموسوعات ودوائر المعارف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المجلات والدوریات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والأقسام المختصة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ضمن کتب ومؤلفات أُخری</w:t>
      </w:r>
      <w:r>
        <w:rPr>
          <w:rFonts w:eastAsia="IRNazanin" w:cs="IRNazanin"/>
          <w:color w:val="111111"/>
          <w:sz w:val="28"/>
          <w:szCs w:val="28"/>
          <w:rtl w:val="true"/>
          <w:lang w:bidi="fa-IR"/>
        </w:rPr>
        <w:t>.</w:t>
      </w:r>
    </w:p>
    <w:p>
      <w:pPr>
        <w:pStyle w:val="Heading3"/>
        <w:numPr>
          <w:ilvl w:val="2"/>
          <w:numId w:val="1"/>
        </w:numPr>
        <w:rPr/>
      </w:pPr>
      <w:bookmarkStart w:id="119" w:name="__RefHeading___Toc1323643_774463916"/>
      <w:bookmarkStart w:id="120" w:name="_Toc49"/>
      <w:bookmarkEnd w:id="119"/>
      <w:r>
        <w:rPr>
          <w:rtl w:val="true"/>
        </w:rPr>
        <w:t>ثالثاً</w:t>
      </w:r>
      <w:r>
        <w:rPr>
          <w:rtl w:val="true"/>
        </w:rPr>
        <w:t xml:space="preserve">: </w:t>
      </w:r>
      <w:r>
        <w:rPr>
          <w:rtl w:val="true"/>
        </w:rPr>
        <w:t>مقالات دائرة المعارف</w:t>
      </w:r>
      <w:bookmarkEnd w:id="120"/>
    </w:p>
    <w:p>
      <w:pPr>
        <w:pStyle w:val="Heading4"/>
        <w:numPr>
          <w:ilvl w:val="3"/>
          <w:numId w:val="1"/>
        </w:numPr>
        <w:rPr/>
      </w:pPr>
      <w:bookmarkStart w:id="121" w:name="__RefHeading___Toc1323645_774463916"/>
      <w:bookmarkStart w:id="122" w:name="_Toc50"/>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أهم المفاصل فی مقالات دائرة المعارف الحسینیة ما یلی</w:t>
      </w:r>
      <w:r>
        <w:rPr>
          <w:rFonts w:eastAsia="IRNazanin" w:cs="IRNazanin"/>
          <w:color w:val="111111"/>
          <w:sz w:val="28"/>
          <w:szCs w:val="28"/>
          <w:rtl w:val="true"/>
          <w:lang w:bidi="fa-IR"/>
        </w:rPr>
        <w:t>:</w:t>
      </w:r>
    </w:p>
    <w:p>
      <w:pPr>
        <w:pStyle w:val="Heading4"/>
        <w:numPr>
          <w:ilvl w:val="3"/>
          <w:numId w:val="1"/>
        </w:numPr>
        <w:rPr/>
      </w:pPr>
      <w:bookmarkStart w:id="123" w:name="__RefHeading___Toc1323647_774463916"/>
      <w:bookmarkStart w:id="124" w:name="_Toc51"/>
      <w:bookmarkEnd w:id="123"/>
      <w:r>
        <w:rPr>
          <w:rtl w:val="true"/>
        </w:rPr>
        <w:t xml:space="preserve">أ </w:t>
      </w:r>
      <w:r>
        <w:rPr>
          <w:rtl w:val="true"/>
        </w:rPr>
        <w:t xml:space="preserve">- </w:t>
      </w:r>
      <w:r>
        <w:rPr>
          <w:rtl w:val="true"/>
        </w:rPr>
        <w:t>لغة المقال</w:t>
      </w:r>
      <w:bookmarkEnd w:id="124"/>
    </w:p>
    <w:p>
      <w:pPr>
        <w:pStyle w:val="BookText"/>
        <w:rPr/>
      </w:pPr>
      <w:r>
        <w:rPr>
          <w:rFonts w:ascii="IRNazanin" w:hAnsi="IRNazanin" w:eastAsia="IRNazanin"/>
          <w:color w:val="111111"/>
          <w:sz w:val="28"/>
          <w:sz w:val="28"/>
          <w:szCs w:val="28"/>
          <w:rtl w:val="true"/>
          <w:lang w:bidi="fa-IR"/>
        </w:rPr>
        <w:t>لغة مقالات دائرة المعارف هی اللغة العربیة، وفی صورة کتابة المقالة بلغة أُخری، کالفارسیة أو الإنجلیزیة تُترجم المقالة إلی اللغة العربیة</w:t>
      </w:r>
      <w:r>
        <w:rPr>
          <w:rFonts w:eastAsia="IRNazanin" w:cs="IRNazanin"/>
          <w:color w:val="111111"/>
          <w:sz w:val="28"/>
          <w:szCs w:val="28"/>
          <w:rtl w:val="true"/>
          <w:lang w:bidi="fa-IR"/>
        </w:rPr>
        <w:t>.</w:t>
      </w:r>
    </w:p>
    <w:p>
      <w:pPr>
        <w:pStyle w:val="Heading4"/>
        <w:numPr>
          <w:ilvl w:val="3"/>
          <w:numId w:val="1"/>
        </w:numPr>
        <w:rPr/>
      </w:pPr>
      <w:bookmarkStart w:id="125" w:name="__RefHeading___Toc1323649_774463916"/>
      <w:bookmarkStart w:id="126" w:name="_Toc52"/>
      <w:bookmarkEnd w:id="125"/>
      <w:r>
        <w:rPr>
          <w:rtl w:val="true"/>
        </w:rPr>
        <w:t xml:space="preserve">ب </w:t>
      </w:r>
      <w:r>
        <w:rPr>
          <w:rtl w:val="true"/>
        </w:rPr>
        <w:t xml:space="preserve">- </w:t>
      </w:r>
      <w:r>
        <w:rPr>
          <w:rtl w:val="true"/>
        </w:rPr>
        <w:t>منهجیة المقالات وخططها</w:t>
      </w:r>
      <w:bookmarkEnd w:id="126"/>
    </w:p>
    <w:p>
      <w:pPr>
        <w:pStyle w:val="Heading5"/>
        <w:numPr>
          <w:ilvl w:val="4"/>
          <w:numId w:val="1"/>
        </w:numPr>
        <w:rPr/>
      </w:pPr>
      <w:bookmarkStart w:id="127" w:name="__RefHeading___Toc1323651_774463916"/>
      <w:bookmarkStart w:id="128" w:name="_Toc53"/>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خطة البحث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الهیکلیة الکلیة والفهرس الإجمالی للبحثالتی ترسم مفاصله وعناوینه الرئیسة، ثمّ ما یتفرع علیها من عناوین، وهکذا تجمع متفرقاته، وتکون شاملة لکل ما یرتبط به من أقسام وأحکام وفروع وأبحاث، وغیر ذلک بتسلسل علمی ومنطقی وفنی؛ لتکون القالب الذی تصب فیه المعلومات المرتبطة بالموضوع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وتتکون الخطة من مفصلین رئیسین 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تحته التعریف اللغوی والاصطلاحی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التعریف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المدخل أو المفردة فی المصادر اللغویة والموسوعات والقوامیس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ویقتصر فی التعریف اللغوی علی الترکیب المراد والمقصود بالبحث، ولا یتعرض للمعانی الأُخری المتشعبة عن تلک المادة، والتی لیس لها علاقة بموضوع المقال، وفی صورة تعدّد المعنی المتصل بالمفردة موضوع البحث یرکّز علی المعروف، ویشار إلی المعانی الأُخری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اصطلاح أهل الفنّ فی کل مجال، وفی صورة الاستعمال بنفس المعنی اللغوی ینبّه علی ذلک،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وتستعمل بالمعنی اللغوی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القسم الأکبر والأهم، إذ یشتمل علی جمیع ما یرتبط بالمدخل من أقسام وأحکام ومعلومات،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یجب مراعاة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خطّة البحث قبل الشروع فی کتابة المقال بعد مراجعة المصادر والمعطیات التی تتوفّر لدی الکاتب والاعتماد علی معلوماته المسبقة وخلفیته الذهنیة، ثمّ تعرض علی اللجنة العلمیة لتبدی رأیها، وتجری علیها الإصلاحات المطلوبة، أو تسجّل علیها الملحوظات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تعاد إلی الباحث لیشرع بالکتابة علی ضوء الخطّة المصوّبة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خطّة البحث ینبغی تفکیک المطالب بالشکل الذی لا یستلزم التداخل والتکرار، وأن تکون عناوینها منظمة منطقیاً، متناسبة مع موضوع البحث وطبیعته، مبرزة للمفاصل الرئیسة وما یتفرع علیها، وینطوی تحتها من عناوین وفروع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المقالة مستوعبة لجمیع ما یرتبط بالبحث من مسائل وفروع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أن لا تتجاوز الحدود المناسبة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المقالات الموسّعة تُوزّع المطالب تحت عناوین وأقسام مختلفة تکون هی العناوین الکلیة والمفاصل الرئیسة للموضوع، ویحتوی کلّ قسم علی محاور وعناوین فرعیة تشترک </w:t>
      </w:r>
      <w:bookmarkStart w:id="129" w:name="pg5104_36272"/>
    </w:p>
    <w:p>
      <w:pPr>
        <w:pStyle w:val="BookText"/>
        <w:rPr/>
      </w:pPr>
      <w:bookmarkEnd w:id="129"/>
      <w:r>
        <w:rPr>
          <w:rFonts w:ascii="IRNazanin" w:hAnsi="IRNazanin" w:eastAsia="IRNazanin"/>
          <w:color w:val="111111"/>
          <w:sz w:val="28"/>
          <w:sz w:val="28"/>
          <w:szCs w:val="28"/>
          <w:rtl w:val="true"/>
          <w:lang w:bidi="fa-IR"/>
        </w:rPr>
        <w:t>بالموضوع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نرفق نماذج من المقالات مع هذا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صبّ المقالة فی قالب علمی ممنهج، والإحاطة بأطراف الموضوع والإلمام به، وتجنب الحشو والاستطراد، والحفاظ علی السیاق العام لمقالات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الضروری وضع خطة ومنهجیة موحّدة لمقالات دائرة المعارف الحسینیة تبیّن الخطوط العامة والمفاصل الرئیسة للمقالات، وبما أنّ دائرة المعارف تضمّ بین دفتیها أنواعاً مختلفة من العلوم والمعارف فبطبیعة الحال تختلف وتتنوع خطّة البحث ومنهجیة المقال من عِلم لآخر، وإلیک النماذج العامة لهذه المنهجیة کلاً حسب حقله وقسمه</w:t>
      </w:r>
      <w:r>
        <w:rPr>
          <w:rFonts w:eastAsia="IRNazanin" w:cs="IRNazanin"/>
          <w:color w:val="111111"/>
          <w:sz w:val="28"/>
          <w:szCs w:val="28"/>
          <w:rtl w:val="true"/>
          <w:lang w:bidi="fa-IR"/>
        </w:rPr>
        <w:t>:</w:t>
      </w:r>
    </w:p>
    <w:p>
      <w:pPr>
        <w:pStyle w:val="Heading5"/>
        <w:numPr>
          <w:ilvl w:val="4"/>
          <w:numId w:val="1"/>
        </w:numPr>
        <w:rPr/>
      </w:pPr>
      <w:bookmarkStart w:id="130" w:name="__RefHeading___Toc1323653_774463916"/>
      <w:bookmarkStart w:id="131" w:name="_Toc54"/>
      <w:bookmarkEnd w:id="130"/>
      <w:r>
        <w:rPr>
          <w:rtl w:val="true"/>
        </w:rPr>
        <w:t>أولاً</w:t>
      </w:r>
      <w:r>
        <w:rPr>
          <w:rtl w:val="true"/>
        </w:rPr>
        <w:t xml:space="preserve">: </w:t>
      </w:r>
      <w:r>
        <w:rPr>
          <w:rtl w:val="true"/>
        </w:rPr>
        <w:t>المفاهیم</w:t>
      </w:r>
      <w:bookmarkEnd w:id="131"/>
    </w:p>
    <w:p>
      <w:pPr>
        <w:pStyle w:val="Heading6"/>
        <w:numPr>
          <w:ilvl w:val="5"/>
          <w:numId w:val="1"/>
        </w:numPr>
        <w:rPr/>
      </w:pPr>
      <w:bookmarkStart w:id="132" w:name="__RefHeading___Toc1323655_774463916"/>
      <w:bookmarkStart w:id="133" w:name="_Toc55"/>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فی هذا الحقل توجد عدّة فروع، هی</w:t>
      </w:r>
      <w:r>
        <w:rPr>
          <w:rFonts w:eastAsia="IRNazanin" w:cs="IRNazanin"/>
          <w:color w:val="111111"/>
          <w:sz w:val="28"/>
          <w:szCs w:val="28"/>
          <w:rtl w:val="true"/>
          <w:lang w:bidi="fa-IR"/>
        </w:rPr>
        <w:t>:</w:t>
      </w:r>
    </w:p>
    <w:p>
      <w:pPr>
        <w:pStyle w:val="Heading6"/>
        <w:numPr>
          <w:ilvl w:val="5"/>
          <w:numId w:val="1"/>
        </w:numPr>
        <w:rPr/>
      </w:pPr>
      <w:bookmarkStart w:id="134" w:name="__RefHeading___Toc1323657_774463916"/>
      <w:bookmarkStart w:id="135" w:name="_Toc56"/>
      <w:bookmarkEnd w:id="134"/>
      <w:r>
        <w:rPr>
          <w:rtl w:val="true"/>
        </w:rPr>
        <w:t xml:space="preserve">ألف </w:t>
      </w:r>
      <w:r>
        <w:rPr>
          <w:rtl w:val="true"/>
        </w:rPr>
        <w:t xml:space="preserve">- </w:t>
      </w:r>
      <w:r>
        <w:rPr>
          <w:rtl w:val="true"/>
        </w:rPr>
        <w:t>الاصطلاحات والعناوین المتعلّقة بالقضایا الکلامیّة</w:t>
      </w:r>
      <w:bookmarkEnd w:id="135"/>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الاصطلاحات والعناوین المتعلّقة بالقضایا الکلامیّة والعقدیّة، والمبادئ والقیم الحسینیة، والمفاهیم المنحرفة والمضادّة لمبادئ النهضة الحسینیة، والعناوین الأخلاقیة والعرفانیة</w:t>
      </w:r>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اللغوی والاصطلاحی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القرآنی أو الروائی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والسوابق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والسوابق الفکریة والثقافیة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والنظریات</w:t>
      </w:r>
      <w:r>
        <w:rPr>
          <w:rFonts w:eastAsia="IRNazanin" w:cs="IRNazanin"/>
          <w:color w:val="111111"/>
          <w:sz w:val="28"/>
          <w:szCs w:val="28"/>
          <w:rtl w:val="true"/>
          <w:lang w:bidi="fa-IR"/>
        </w:rPr>
        <w:t>.</w:t>
      </w:r>
    </w:p>
    <w:p>
      <w:pPr>
        <w:pStyle w:val="Heading6"/>
        <w:numPr>
          <w:ilvl w:val="5"/>
          <w:numId w:val="1"/>
        </w:numPr>
        <w:rPr/>
      </w:pPr>
      <w:bookmarkStart w:id="136" w:name="__RefHeading___Toc1323659_774463916"/>
      <w:bookmarkStart w:id="137" w:name="_Toc57"/>
      <w:bookmarkEnd w:id="136"/>
      <w:r>
        <w:rPr>
          <w:rtl w:val="true"/>
        </w:rPr>
        <w:t xml:space="preserve">ب </w:t>
      </w:r>
      <w:r>
        <w:rPr>
          <w:rtl w:val="true"/>
        </w:rPr>
        <w:t xml:space="preserve">- </w:t>
      </w:r>
      <w:r>
        <w:rPr>
          <w:rtl w:val="true"/>
        </w:rPr>
        <w:t>الزیارات والأدعیة</w:t>
      </w:r>
      <w:bookmarkEnd w:id="137"/>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العامة للمتن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التسمیة أو الأسماء الأُخری إن وجدت</w:t>
      </w:r>
      <w:r>
        <w:rPr>
          <w:rFonts w:eastAsia="IRNazanin" w:cs="IRNazanin"/>
          <w:color w:val="111111"/>
          <w:sz w:val="28"/>
          <w:szCs w:val="28"/>
          <w:rtl w:val="true"/>
          <w:lang w:bidi="fa-IR"/>
        </w:rPr>
        <w:t xml:space="preserve">. </w:t>
      </w:r>
      <w:bookmarkStart w:id="138" w:name="pg5104_36274"/>
    </w:p>
    <w:p>
      <w:pPr>
        <w:pStyle w:val="BookText"/>
        <w:rPr/>
      </w:pPr>
      <w:bookmarkEnd w:id="1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للمتن أو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والنصوص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المحتوی والمضمون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الأهمیة والمکانة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العلمیة والعملیة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الکتاب والمصدر</w:t>
      </w:r>
      <w:r>
        <w:rPr>
          <w:rFonts w:eastAsia="IRNazanin" w:cs="IRNazanin"/>
          <w:color w:val="111111"/>
          <w:sz w:val="28"/>
          <w:szCs w:val="28"/>
          <w:rtl w:val="true"/>
          <w:lang w:bidi="fa-IR"/>
        </w:rPr>
        <w:t>.</w:t>
      </w:r>
    </w:p>
    <w:p>
      <w:pPr>
        <w:pStyle w:val="Heading6"/>
        <w:numPr>
          <w:ilvl w:val="5"/>
          <w:numId w:val="1"/>
        </w:numPr>
        <w:rPr/>
      </w:pPr>
      <w:bookmarkStart w:id="139" w:name="__RefHeading___Toc1323661_774463916"/>
      <w:bookmarkStart w:id="140" w:name="_Toc58"/>
      <w:bookmarkEnd w:id="139"/>
      <w:r>
        <w:rPr>
          <w:rtl w:val="true"/>
        </w:rPr>
        <w:t xml:space="preserve">ج </w:t>
      </w:r>
      <w:r>
        <w:rPr>
          <w:rtl w:val="true"/>
        </w:rPr>
        <w:t xml:space="preserve">- </w:t>
      </w:r>
      <w:r>
        <w:rPr>
          <w:rtl w:val="true"/>
        </w:rPr>
        <w:t>الخُطب</w:t>
      </w:r>
      <w:bookmarkEnd w:id="140"/>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العامّة للمتن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الظروف والأجواء المحیطة بالصدور، مثل الزمان والمکان والحضور والمخاطب، وردود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التسمیة والأسماء إن وجدت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الراوی للمتن أو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والنصوص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المحتوی والمضمون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بالقضیة الحسینیة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العلمیة والعملیة</w:t>
      </w:r>
      <w:r>
        <w:rPr>
          <w:rFonts w:eastAsia="IRNazanin" w:cs="IRNazanin"/>
          <w:color w:val="111111"/>
          <w:sz w:val="28"/>
          <w:szCs w:val="28"/>
          <w:rtl w:val="true"/>
          <w:lang w:bidi="fa-IR"/>
        </w:rPr>
        <w:t xml:space="preserve">. </w:t>
      </w:r>
      <w:bookmarkStart w:id="141" w:name="pg5104_36276"/>
    </w:p>
    <w:p>
      <w:pPr>
        <w:pStyle w:val="Heading6"/>
        <w:numPr>
          <w:ilvl w:val="5"/>
          <w:numId w:val="1"/>
        </w:numPr>
        <w:rPr/>
      </w:pPr>
      <w:bookmarkStart w:id="142" w:name="__RefHeading___Toc1323663_774463916"/>
      <w:bookmarkStart w:id="143" w:name="_Toc59"/>
      <w:bookmarkEnd w:id="141"/>
      <w:bookmarkEnd w:id="142"/>
      <w:r>
        <w:rPr>
          <w:rtl w:val="true"/>
        </w:rPr>
        <w:t xml:space="preserve">د </w:t>
      </w:r>
      <w:r>
        <w:rPr>
          <w:rtl w:val="true"/>
        </w:rPr>
        <w:t xml:space="preserve">- </w:t>
      </w:r>
      <w:r>
        <w:rPr>
          <w:rtl w:val="true"/>
        </w:rPr>
        <w:t>الشعارات</w:t>
      </w:r>
      <w:bookmarkEnd w:id="143"/>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الأنواع الأُخری المشابهة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والسوابق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الخلفیات الفکریة والنظریة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المکانة والآثار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العلمیة والعملیة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المجالات التطبیقیة ومقدار الاستفادة منها</w:t>
      </w:r>
      <w:r>
        <w:rPr>
          <w:rFonts w:eastAsia="IRNazanin" w:cs="IRNazanin"/>
          <w:color w:val="111111"/>
          <w:sz w:val="28"/>
          <w:szCs w:val="28"/>
          <w:rtl w:val="true"/>
          <w:lang w:bidi="fa-IR"/>
        </w:rPr>
        <w:t>.</w:t>
      </w:r>
    </w:p>
    <w:p>
      <w:pPr>
        <w:pStyle w:val="Heading5"/>
        <w:numPr>
          <w:ilvl w:val="4"/>
          <w:numId w:val="1"/>
        </w:numPr>
        <w:rPr/>
      </w:pPr>
      <w:bookmarkStart w:id="144" w:name="__RefHeading___Toc1323665_774463916"/>
      <w:bookmarkStart w:id="145" w:name="_Toc60"/>
      <w:bookmarkEnd w:id="144"/>
      <w:r>
        <w:rPr>
          <w:rtl w:val="true"/>
        </w:rPr>
        <w:t>ثانیاً</w:t>
      </w:r>
      <w:r>
        <w:rPr>
          <w:rtl w:val="true"/>
        </w:rPr>
        <w:t xml:space="preserve">: </w:t>
      </w:r>
      <w:r>
        <w:rPr>
          <w:rtl w:val="true"/>
        </w:rPr>
        <w:t>المداخل الثقافیة والأدبیة والفنیة</w:t>
      </w:r>
      <w:bookmarkEnd w:id="145"/>
    </w:p>
    <w:p>
      <w:pPr>
        <w:pStyle w:val="Heading6"/>
        <w:numPr>
          <w:ilvl w:val="5"/>
          <w:numId w:val="1"/>
        </w:numPr>
        <w:rPr/>
      </w:pPr>
      <w:bookmarkStart w:id="146" w:name="__RefHeading___Toc1323667_774463916"/>
      <w:bookmarkStart w:id="147" w:name="_Toc61"/>
      <w:bookmarkEnd w:id="146"/>
      <w:r>
        <w:rPr>
          <w:rtl w:val="true"/>
        </w:rPr>
        <w:t xml:space="preserve">ألف </w:t>
      </w:r>
      <w:r>
        <w:rPr>
          <w:rtl w:val="true"/>
        </w:rPr>
        <w:t xml:space="preserve">- </w:t>
      </w:r>
      <w:r>
        <w:rPr>
          <w:rtl w:val="true"/>
        </w:rPr>
        <w:t>المصائب الحسینیة</w:t>
      </w:r>
      <w:bookmarkEnd w:id="147"/>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التاریخیة للأحداث والروایات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اختلاف النصوص والإشارة إلی الصحیح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السوابق والسَیر التاریخی</w:t>
      </w:r>
      <w:r>
        <w:rPr>
          <w:rFonts w:eastAsia="IRNazanin" w:cs="IRNazanin"/>
          <w:color w:val="111111"/>
          <w:sz w:val="28"/>
          <w:szCs w:val="28"/>
          <w:rtl w:val="true"/>
          <w:lang w:bidi="fa-IR"/>
        </w:rPr>
        <w:t>.</w:t>
      </w:r>
    </w:p>
    <w:p>
      <w:pPr>
        <w:pStyle w:val="Heading6"/>
        <w:numPr>
          <w:ilvl w:val="5"/>
          <w:numId w:val="1"/>
        </w:numPr>
        <w:rPr/>
      </w:pPr>
      <w:bookmarkStart w:id="148" w:name="__RefHeading___Toc1323669_774463916"/>
      <w:bookmarkStart w:id="149" w:name="_Toc62"/>
      <w:bookmarkEnd w:id="148"/>
      <w:r>
        <w:rPr>
          <w:rtl w:val="true"/>
        </w:rPr>
        <w:t xml:space="preserve">ب </w:t>
      </w:r>
      <w:r>
        <w:rPr>
          <w:rtl w:val="true"/>
        </w:rPr>
        <w:t xml:space="preserve">- </w:t>
      </w:r>
      <w:r>
        <w:rPr>
          <w:rtl w:val="true"/>
        </w:rPr>
        <w:t>الشعائر الحسینیة ورسومها</w:t>
      </w:r>
      <w:bookmarkEnd w:id="149"/>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التاریخیة والتطور التاریخی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الخلفیات والمستندات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الصورة الأصیلة والحقیقیة</w:t>
      </w:r>
      <w:r>
        <w:rPr>
          <w:rFonts w:eastAsia="IRNazanin" w:cs="IRNazanin"/>
          <w:color w:val="111111"/>
          <w:sz w:val="28"/>
          <w:szCs w:val="28"/>
          <w:rtl w:val="true"/>
          <w:lang w:bidi="fa-IR"/>
        </w:rPr>
        <w:t xml:space="preserve">. </w:t>
      </w:r>
      <w:bookmarkStart w:id="150" w:name="pg5104_36278"/>
    </w:p>
    <w:p>
      <w:pPr>
        <w:pStyle w:val="BookText"/>
        <w:rPr/>
      </w:pPr>
      <w:bookmarkEnd w:id="15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الجنبة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المسنون والمُبتدع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ومدی الانتشار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الأنواع المشابهة الأُخری</w:t>
      </w:r>
      <w:r>
        <w:rPr>
          <w:rFonts w:eastAsia="IRNazanin" w:cs="IRNazanin"/>
          <w:color w:val="111111"/>
          <w:sz w:val="28"/>
          <w:szCs w:val="28"/>
          <w:rtl w:val="true"/>
          <w:lang w:bidi="fa-IR"/>
        </w:rPr>
        <w:t>.</w:t>
      </w:r>
    </w:p>
    <w:p>
      <w:pPr>
        <w:pStyle w:val="Heading6"/>
        <w:numPr>
          <w:ilvl w:val="5"/>
          <w:numId w:val="1"/>
        </w:numPr>
        <w:rPr/>
      </w:pPr>
      <w:bookmarkStart w:id="151" w:name="__RefHeading___Toc1323671_774463916"/>
      <w:bookmarkStart w:id="152" w:name="_Toc63"/>
      <w:bookmarkEnd w:id="151"/>
      <w:r>
        <w:rPr>
          <w:rtl w:val="true"/>
        </w:rPr>
        <w:t xml:space="preserve">ج </w:t>
      </w:r>
      <w:r>
        <w:rPr>
          <w:rtl w:val="true"/>
        </w:rPr>
        <w:t xml:space="preserve">- </w:t>
      </w:r>
      <w:r>
        <w:rPr>
          <w:rtl w:val="true"/>
        </w:rPr>
        <w:t>آداب الزیارة</w:t>
      </w:r>
      <w:bookmarkEnd w:id="152"/>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التاریخیة والتطور التاریخی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الخلفیات والمستندات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الصورة الأصیلة والحقیقیة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الجنبة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المسنون والمبتدع</w:t>
      </w:r>
      <w:r>
        <w:rPr>
          <w:rFonts w:eastAsia="IRNazanin" w:cs="IRNazanin"/>
          <w:color w:val="111111"/>
          <w:sz w:val="28"/>
          <w:szCs w:val="28"/>
          <w:rtl w:val="true"/>
          <w:lang w:bidi="fa-IR"/>
        </w:rPr>
        <w:t>.</w:t>
      </w:r>
    </w:p>
    <w:p>
      <w:pPr>
        <w:pStyle w:val="Heading6"/>
        <w:numPr>
          <w:ilvl w:val="5"/>
          <w:numId w:val="1"/>
        </w:numPr>
        <w:rPr/>
      </w:pPr>
      <w:bookmarkStart w:id="153" w:name="__RefHeading___Toc1323673_774463916"/>
      <w:bookmarkStart w:id="154" w:name="_Toc64"/>
      <w:bookmarkEnd w:id="153"/>
      <w:r>
        <w:rPr>
          <w:rtl w:val="true"/>
        </w:rPr>
        <w:t xml:space="preserve">د </w:t>
      </w:r>
      <w:r>
        <w:rPr>
          <w:rtl w:val="true"/>
        </w:rPr>
        <w:t xml:space="preserve">- </w:t>
      </w:r>
      <w:r>
        <w:rPr>
          <w:rtl w:val="true"/>
        </w:rPr>
        <w:t>الشعر والأدب الحسینی</w:t>
      </w:r>
      <w:bookmarkEnd w:id="154"/>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زمنه وظروفه السیاسیة والاجتماعیة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المشخصات العامة للشعر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وزنه ونظمه ولغته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المضامین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Heading6"/>
        <w:numPr>
          <w:ilvl w:val="5"/>
          <w:numId w:val="1"/>
        </w:numPr>
        <w:rPr/>
      </w:pPr>
      <w:bookmarkStart w:id="155" w:name="__RefHeading___Toc1323675_774463916"/>
      <w:bookmarkStart w:id="156" w:name="_Toc65"/>
      <w:bookmarkEnd w:id="155"/>
      <w:r>
        <w:rPr>
          <w:rtl w:val="true"/>
        </w:rPr>
        <w:t>ه</w:t>
      </w:r>
      <w:r>
        <w:rPr>
          <w:rtl w:val="true"/>
        </w:rPr>
        <w:t xml:space="preserve">- - </w:t>
      </w:r>
      <w:r>
        <w:rPr>
          <w:rtl w:val="true"/>
        </w:rPr>
        <w:t>النتاجات الفنیة</w:t>
      </w:r>
      <w:bookmarkEnd w:id="156"/>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الفنان</w:t>
      </w:r>
      <w:r>
        <w:rPr>
          <w:rFonts w:eastAsia="IRNazanin" w:cs="IRNazanin"/>
          <w:color w:val="111111"/>
          <w:sz w:val="28"/>
          <w:szCs w:val="28"/>
          <w:rtl w:val="true"/>
          <w:lang w:bidi="fa-IR"/>
        </w:rPr>
        <w:t xml:space="preserve">. </w:t>
      </w:r>
      <w:bookmarkStart w:id="157" w:name="pg5104_36279"/>
    </w:p>
    <w:p>
      <w:pPr>
        <w:pStyle w:val="BookText"/>
        <w:rPr/>
      </w:pPr>
      <w:bookmarkEnd w:id="15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العمل الفنی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جذوره ومنشؤه وسوابقه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بینه وبین أعمال أُخری</w:t>
      </w:r>
      <w:r>
        <w:rPr>
          <w:rFonts w:eastAsia="IRNazanin" w:cs="IRNazanin"/>
          <w:color w:val="111111"/>
          <w:sz w:val="28"/>
          <w:szCs w:val="28"/>
          <w:rtl w:val="true"/>
          <w:lang w:bidi="fa-IR"/>
        </w:rPr>
        <w:t>.</w:t>
      </w:r>
    </w:p>
    <w:p>
      <w:pPr>
        <w:pStyle w:val="Heading5"/>
        <w:numPr>
          <w:ilvl w:val="4"/>
          <w:numId w:val="1"/>
        </w:numPr>
        <w:rPr/>
      </w:pPr>
      <w:bookmarkStart w:id="158" w:name="__RefHeading___Toc1323677_774463916"/>
      <w:bookmarkStart w:id="159" w:name="_Toc66"/>
      <w:bookmarkEnd w:id="158"/>
      <w:r>
        <w:rPr>
          <w:rtl w:val="true"/>
        </w:rPr>
        <w:t>ثالثاً</w:t>
      </w:r>
      <w:r>
        <w:rPr>
          <w:rtl w:val="true"/>
        </w:rPr>
        <w:t xml:space="preserve">: </w:t>
      </w:r>
      <w:r>
        <w:rPr>
          <w:rtl w:val="true"/>
        </w:rPr>
        <w:t>المداخل التاریخیة</w:t>
      </w:r>
      <w:bookmarkEnd w:id="159"/>
    </w:p>
    <w:p>
      <w:pPr>
        <w:pStyle w:val="Heading6"/>
        <w:numPr>
          <w:ilvl w:val="5"/>
          <w:numId w:val="1"/>
        </w:numPr>
        <w:rPr/>
      </w:pPr>
      <w:bookmarkStart w:id="160" w:name="__RefHeading___Toc1323679_774463916"/>
      <w:bookmarkStart w:id="161" w:name="_Toc67"/>
      <w:bookmarkEnd w:id="160"/>
      <w:r>
        <w:rPr>
          <w:rtl w:val="true"/>
        </w:rPr>
        <w:t xml:space="preserve">ألف </w:t>
      </w:r>
      <w:r>
        <w:rPr>
          <w:rtl w:val="true"/>
        </w:rPr>
        <w:t xml:space="preserve">- </w:t>
      </w:r>
      <w:r>
        <w:rPr>
          <w:rtl w:val="true"/>
        </w:rPr>
        <w:t>الحوادث المرتبطة بالنهضة الحسینیة</w:t>
      </w:r>
      <w:bookmarkEnd w:id="161"/>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الواقعة ومکانها وجزئیاتها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المؤثرون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خلفیات وأسباب حدوثها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الأرضیة والسوابق التاریخیة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آثارها ونتائجها</w:t>
      </w:r>
      <w:r>
        <w:rPr>
          <w:rFonts w:eastAsia="IRNazanin" w:cs="IRNazanin"/>
          <w:color w:val="111111"/>
          <w:sz w:val="28"/>
          <w:szCs w:val="28"/>
          <w:rtl w:val="true"/>
          <w:lang w:bidi="fa-IR"/>
        </w:rPr>
        <w:t>.</w:t>
      </w:r>
    </w:p>
    <w:p>
      <w:pPr>
        <w:pStyle w:val="Heading6"/>
        <w:numPr>
          <w:ilvl w:val="5"/>
          <w:numId w:val="1"/>
        </w:numPr>
        <w:rPr/>
      </w:pPr>
      <w:bookmarkStart w:id="162" w:name="__RefHeading___Toc1323681_774463916"/>
      <w:bookmarkStart w:id="163" w:name="_Toc68"/>
      <w:bookmarkEnd w:id="162"/>
      <w:r>
        <w:rPr>
          <w:rtl w:val="true"/>
        </w:rPr>
        <w:t xml:space="preserve">ب </w:t>
      </w:r>
      <w:r>
        <w:rPr>
          <w:rtl w:val="true"/>
        </w:rPr>
        <w:t xml:space="preserve">- </w:t>
      </w:r>
      <w:r>
        <w:rPr>
          <w:rtl w:val="true"/>
        </w:rPr>
        <w:t xml:space="preserve">خلفیات النهضة الحسینیة ومنطلقاتها </w:t>
      </w:r>
      <w:r>
        <w:rPr>
          <w:rtl w:val="true"/>
        </w:rPr>
        <w:t>(</w:t>
      </w:r>
      <w:r>
        <w:rPr>
          <w:rtl w:val="true"/>
        </w:rPr>
        <w:t>التنبؤات والرؤی</w:t>
      </w:r>
      <w:r>
        <w:rPr>
          <w:rtl w:val="true"/>
        </w:rPr>
        <w:t>)</w:t>
      </w:r>
      <w:bookmarkEnd w:id="163"/>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الخبر، زمانه ومکانه ومحتواه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وأدلّة وقوعه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 ونتائجه</w:t>
      </w:r>
      <w:r>
        <w:rPr>
          <w:rFonts w:eastAsia="IRNazanin" w:cs="IRNazanin"/>
          <w:color w:val="111111"/>
          <w:sz w:val="28"/>
          <w:szCs w:val="28"/>
          <w:rtl w:val="true"/>
          <w:lang w:bidi="fa-IR"/>
        </w:rPr>
        <w:t>.</w:t>
      </w:r>
    </w:p>
    <w:p>
      <w:pPr>
        <w:pStyle w:val="Heading6"/>
        <w:numPr>
          <w:ilvl w:val="5"/>
          <w:numId w:val="1"/>
        </w:numPr>
        <w:rPr/>
      </w:pPr>
      <w:bookmarkStart w:id="164" w:name="__RefHeading___Toc1323683_774463916"/>
      <w:bookmarkStart w:id="165" w:name="_Toc69"/>
      <w:bookmarkEnd w:id="164"/>
      <w:r>
        <w:rPr>
          <w:rtl w:val="true"/>
        </w:rPr>
        <w:t xml:space="preserve">ج </w:t>
      </w:r>
      <w:r>
        <w:rPr>
          <w:rtl w:val="true"/>
        </w:rPr>
        <w:t xml:space="preserve">- </w:t>
      </w:r>
      <w:r>
        <w:rPr>
          <w:rtl w:val="true"/>
        </w:rPr>
        <w:t>الحکومات والقبائل والعشائر والأُسر</w:t>
      </w:r>
      <w:bookmarkEnd w:id="165"/>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المعلومات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والقومیة، والمذهب، والنسب</w:t>
      </w:r>
      <w:r>
        <w:rPr>
          <w:rFonts w:eastAsia="IRNazanin" w:cs="IRNazanin"/>
          <w:color w:val="111111"/>
          <w:sz w:val="28"/>
          <w:szCs w:val="28"/>
          <w:rtl w:val="true"/>
          <w:lang w:bidi="fa-IR"/>
        </w:rPr>
        <w:t xml:space="preserve">). </w:t>
      </w:r>
      <w:bookmarkStart w:id="166" w:name="pg5104_36282"/>
    </w:p>
    <w:p>
      <w:pPr>
        <w:pStyle w:val="BookText"/>
        <w:rPr/>
      </w:pPr>
      <w:bookmarkEnd w:id="16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السکنی أو السلطة والنفوذ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الذین لهم ارتباط بالقضیة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والعلاقة بالمسألة الحسینیة</w:t>
      </w:r>
      <w:r>
        <w:rPr>
          <w:rFonts w:eastAsia="IRNazanin" w:cs="IRNazanin"/>
          <w:color w:val="111111"/>
          <w:sz w:val="28"/>
          <w:szCs w:val="28"/>
          <w:rtl w:val="true"/>
          <w:lang w:bidi="fa-IR"/>
        </w:rPr>
        <w:t>.</w:t>
      </w:r>
    </w:p>
    <w:p>
      <w:pPr>
        <w:pStyle w:val="Heading6"/>
        <w:numPr>
          <w:ilvl w:val="5"/>
          <w:numId w:val="1"/>
        </w:numPr>
        <w:rPr/>
      </w:pPr>
      <w:bookmarkStart w:id="167" w:name="__RefHeading___Toc1323685_774463916"/>
      <w:bookmarkStart w:id="168" w:name="_Toc70"/>
      <w:bookmarkEnd w:id="167"/>
      <w:r>
        <w:rPr>
          <w:rtl w:val="true"/>
        </w:rPr>
        <w:t xml:space="preserve">د </w:t>
      </w:r>
      <w:r>
        <w:rPr>
          <w:rtl w:val="true"/>
        </w:rPr>
        <w:t xml:space="preserve">- </w:t>
      </w:r>
      <w:r>
        <w:rPr>
          <w:rtl w:val="true"/>
        </w:rPr>
        <w:t>الثورات والانتفاضات المرتبطة بالنهضة الحسینیة</w:t>
      </w:r>
      <w:bookmarkEnd w:id="168"/>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الجزئیات أو الحوادث المهمة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والأشخاص المؤثرون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الدوافع والأسباب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والعلاقة بالقضیة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والنتائج</w:t>
      </w:r>
      <w:r>
        <w:rPr>
          <w:rFonts w:eastAsia="IRNazanin" w:cs="IRNazanin"/>
          <w:color w:val="111111"/>
          <w:sz w:val="28"/>
          <w:szCs w:val="28"/>
          <w:rtl w:val="true"/>
          <w:lang w:bidi="fa-IR"/>
        </w:rPr>
        <w:t>.</w:t>
      </w:r>
    </w:p>
    <w:p>
      <w:pPr>
        <w:pStyle w:val="Heading6"/>
        <w:numPr>
          <w:ilvl w:val="5"/>
          <w:numId w:val="1"/>
        </w:numPr>
        <w:rPr/>
      </w:pPr>
      <w:bookmarkStart w:id="169" w:name="__RefHeading___Toc1323687_774463916"/>
      <w:bookmarkStart w:id="170" w:name="_Toc71"/>
      <w:bookmarkEnd w:id="169"/>
      <w:r>
        <w:rPr>
          <w:rtl w:val="true"/>
        </w:rPr>
        <w:t>ه</w:t>
      </w:r>
      <w:r>
        <w:rPr>
          <w:rtl w:val="true"/>
        </w:rPr>
        <w:t xml:space="preserve">- - </w:t>
      </w:r>
      <w:r>
        <w:rPr>
          <w:rtl w:val="true"/>
        </w:rPr>
        <w:t>الأزمنة والأوقات</w:t>
      </w:r>
      <w:bookmarkEnd w:id="170"/>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الخلفیة والسابقة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التی وقعت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المکانة والدور التاریخی</w:t>
      </w:r>
      <w:r>
        <w:rPr>
          <w:rFonts w:eastAsia="IRNazanin" w:cs="IRNazanin"/>
          <w:color w:val="111111"/>
          <w:sz w:val="28"/>
          <w:szCs w:val="28"/>
          <w:rtl w:val="true"/>
          <w:lang w:bidi="fa-IR"/>
        </w:rPr>
        <w:t>.</w:t>
      </w:r>
    </w:p>
    <w:p>
      <w:pPr>
        <w:pStyle w:val="Heading6"/>
        <w:numPr>
          <w:ilvl w:val="5"/>
          <w:numId w:val="1"/>
        </w:numPr>
        <w:rPr/>
      </w:pPr>
      <w:bookmarkStart w:id="171" w:name="__RefHeading___Toc1323689_774463916"/>
      <w:bookmarkStart w:id="172" w:name="_Toc72"/>
      <w:bookmarkEnd w:id="171"/>
      <w:r>
        <w:rPr>
          <w:rtl w:val="true"/>
        </w:rPr>
        <w:t xml:space="preserve">و </w:t>
      </w:r>
      <w:r>
        <w:rPr>
          <w:rtl w:val="true"/>
        </w:rPr>
        <w:t xml:space="preserve">- </w:t>
      </w:r>
      <w:r>
        <w:rPr>
          <w:rtl w:val="true"/>
        </w:rPr>
        <w:t>الاصطلاحات العسکریة وآلات المعرکة ووسائلها</w:t>
      </w:r>
      <w:bookmarkEnd w:id="172"/>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التاریخیة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والعلاقة بالقضیة الحسینیة</w:t>
      </w:r>
      <w:r>
        <w:rPr>
          <w:rFonts w:eastAsia="IRNazanin" w:cs="IRNazanin"/>
          <w:color w:val="111111"/>
          <w:sz w:val="28"/>
          <w:szCs w:val="28"/>
          <w:rtl w:val="true"/>
          <w:lang w:bidi="fa-IR"/>
        </w:rPr>
        <w:t xml:space="preserve">. </w:t>
      </w:r>
      <w:bookmarkStart w:id="173" w:name="pg5104_36284"/>
    </w:p>
    <w:p>
      <w:pPr>
        <w:pStyle w:val="Heading5"/>
        <w:numPr>
          <w:ilvl w:val="4"/>
          <w:numId w:val="1"/>
        </w:numPr>
        <w:rPr/>
      </w:pPr>
      <w:bookmarkStart w:id="174" w:name="__RefHeading___Toc1323691_774463916"/>
      <w:bookmarkStart w:id="175" w:name="_Toc73"/>
      <w:bookmarkEnd w:id="173"/>
      <w:bookmarkEnd w:id="174"/>
      <w:r>
        <w:rPr>
          <w:rtl w:val="true"/>
        </w:rPr>
        <w:t>رابعاً</w:t>
      </w:r>
      <w:r>
        <w:rPr>
          <w:rtl w:val="true"/>
        </w:rPr>
        <w:t xml:space="preserve">: </w:t>
      </w:r>
      <w:r>
        <w:rPr>
          <w:rtl w:val="true"/>
        </w:rPr>
        <w:t>الأعلام</w:t>
      </w:r>
      <w:bookmarkEnd w:id="175"/>
    </w:p>
    <w:p>
      <w:pPr>
        <w:pStyle w:val="Heading6"/>
        <w:numPr>
          <w:ilvl w:val="5"/>
          <w:numId w:val="1"/>
        </w:numPr>
        <w:rPr/>
      </w:pPr>
      <w:bookmarkStart w:id="176" w:name="__RefHeading___Toc1323693_774463916"/>
      <w:bookmarkStart w:id="177" w:name="_Toc74"/>
      <w:bookmarkEnd w:id="176"/>
      <w:r>
        <w:rPr>
          <w:rtl w:val="true"/>
        </w:rPr>
        <w:t xml:space="preserve">ألف </w:t>
      </w:r>
      <w:r>
        <w:rPr>
          <w:rtl w:val="true"/>
        </w:rPr>
        <w:t xml:space="preserve">- </w:t>
      </w:r>
      <w:r>
        <w:rPr>
          <w:rtl w:val="true"/>
        </w:rPr>
        <w:t>أهل البیت والشهداء والسجناء والأصحاب</w:t>
      </w:r>
      <w:bookmarkEnd w:id="177"/>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الهویة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ونسبه، ولقبه، وکنیته، وقبیلته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ووفاته زماناً ومکاناً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ألقابه وعناوینه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الصحابة أو التابعین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ممیزاته وسماته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الأخلاقیة والسیاسیة والعلمیة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العلاقة والارتباط بالقضیة الحسینیة</w:t>
      </w:r>
      <w:r>
        <w:rPr>
          <w:rFonts w:eastAsia="IRNazanin" w:cs="IRNazanin"/>
          <w:color w:val="111111"/>
          <w:sz w:val="28"/>
          <w:szCs w:val="28"/>
          <w:rtl w:val="true"/>
          <w:lang w:bidi="fa-IR"/>
        </w:rPr>
        <w:t>.</w:t>
      </w:r>
    </w:p>
    <w:p>
      <w:pPr>
        <w:pStyle w:val="Heading6"/>
        <w:numPr>
          <w:ilvl w:val="5"/>
          <w:numId w:val="1"/>
        </w:numPr>
        <w:rPr/>
      </w:pPr>
      <w:bookmarkStart w:id="178" w:name="__RefHeading___Toc1323695_774463916"/>
      <w:bookmarkStart w:id="179" w:name="_Toc75"/>
      <w:bookmarkEnd w:id="178"/>
      <w:r>
        <w:rPr>
          <w:rtl w:val="true"/>
        </w:rPr>
        <w:t xml:space="preserve">ب </w:t>
      </w:r>
      <w:r>
        <w:rPr>
          <w:rtl w:val="true"/>
        </w:rPr>
        <w:t xml:space="preserve">- </w:t>
      </w:r>
      <w:r>
        <w:rPr>
          <w:rtl w:val="true"/>
        </w:rPr>
        <w:t>الرواة المحدثون</w:t>
      </w:r>
      <w:bookmarkEnd w:id="179"/>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الهویة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ونسبه، ولقبه، وکنیته، وقبیلته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ووفاته زماناً ومکاناً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ألقابه وعناوینه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طبقته وثاقته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روایاته وعددها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والارتباط بالقضیة الحسینیة</w:t>
      </w:r>
      <w:r>
        <w:rPr>
          <w:rFonts w:eastAsia="IRNazanin" w:cs="IRNazanin"/>
          <w:color w:val="111111"/>
          <w:sz w:val="28"/>
          <w:szCs w:val="28"/>
          <w:rtl w:val="true"/>
          <w:lang w:bidi="fa-IR"/>
        </w:rPr>
        <w:t>.</w:t>
      </w:r>
    </w:p>
    <w:p>
      <w:pPr>
        <w:pStyle w:val="Heading6"/>
        <w:numPr>
          <w:ilvl w:val="5"/>
          <w:numId w:val="1"/>
        </w:numPr>
        <w:rPr/>
      </w:pPr>
      <w:bookmarkStart w:id="180" w:name="__RefHeading___Toc1323697_774463916"/>
      <w:bookmarkStart w:id="181" w:name="_Toc76"/>
      <w:bookmarkEnd w:id="180"/>
      <w:r>
        <w:rPr>
          <w:rtl w:val="true"/>
        </w:rPr>
        <w:t xml:space="preserve">ج </w:t>
      </w:r>
      <w:r>
        <w:rPr>
          <w:rtl w:val="true"/>
        </w:rPr>
        <w:t xml:space="preserve">- </w:t>
      </w:r>
      <w:r>
        <w:rPr>
          <w:rtl w:val="true"/>
        </w:rPr>
        <w:t>الأشخاص الذین لهم دور وأثر إیجابی أو سلبی فی القضیة الحسینیة</w:t>
      </w:r>
      <w:bookmarkEnd w:id="181"/>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الهویة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ونسبه، ولقبه، وکنیته، وقبیلته، 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ووفاته زماناً ومکاناً</w:t>
      </w:r>
      <w:r>
        <w:rPr>
          <w:rFonts w:eastAsia="IRNazanin" w:cs="IRNazanin"/>
          <w:color w:val="111111"/>
          <w:sz w:val="28"/>
          <w:szCs w:val="28"/>
          <w:rtl w:val="true"/>
          <w:lang w:bidi="fa-IR"/>
        </w:rPr>
        <w:t xml:space="preserve">. </w:t>
      </w:r>
      <w:bookmarkStart w:id="182" w:name="pg5104_36286"/>
    </w:p>
    <w:p>
      <w:pPr>
        <w:pStyle w:val="BookText"/>
        <w:rPr/>
      </w:pPr>
      <w:bookmarkEnd w:id="1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ألقابه وعناوینه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p>
    <w:p>
      <w:pPr>
        <w:pStyle w:val="Heading6"/>
        <w:numPr>
          <w:ilvl w:val="5"/>
          <w:numId w:val="1"/>
        </w:numPr>
        <w:rPr/>
      </w:pPr>
      <w:bookmarkStart w:id="183" w:name="__RefHeading___Toc1323699_774463916"/>
      <w:bookmarkStart w:id="184" w:name="_Toc77"/>
      <w:bookmarkEnd w:id="183"/>
      <w:r>
        <w:rPr>
          <w:rtl w:val="true"/>
        </w:rPr>
        <w:t xml:space="preserve">د </w:t>
      </w:r>
      <w:r>
        <w:rPr>
          <w:rtl w:val="true"/>
        </w:rPr>
        <w:t xml:space="preserve">- </w:t>
      </w:r>
      <w:r>
        <w:rPr>
          <w:rtl w:val="true"/>
        </w:rPr>
        <w:t>الفنانون البارزون الذین لدیهم أعمال بارزة ترتبط بالنهضة الحسینیة</w:t>
      </w:r>
      <w:bookmarkEnd w:id="184"/>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الهویة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ونسبه، ولقبه، وکنیته، وقبیلته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ووفاته زماناً ومکاناً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بعض ألقابه وعناوینه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 الفنیة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والارتباط بالقضیة الحسینیة</w:t>
      </w:r>
      <w:r>
        <w:rPr>
          <w:rFonts w:eastAsia="IRNazanin" w:cs="IRNazanin"/>
          <w:color w:val="111111"/>
          <w:sz w:val="28"/>
          <w:szCs w:val="28"/>
          <w:rtl w:val="true"/>
          <w:lang w:bidi="fa-IR"/>
        </w:rPr>
        <w:t>.</w:t>
      </w:r>
    </w:p>
    <w:p>
      <w:pPr>
        <w:pStyle w:val="Heading5"/>
        <w:numPr>
          <w:ilvl w:val="4"/>
          <w:numId w:val="1"/>
        </w:numPr>
        <w:rPr/>
      </w:pPr>
      <w:bookmarkStart w:id="185" w:name="__RefHeading___Toc1323701_774463916"/>
      <w:bookmarkStart w:id="186" w:name="_Toc78"/>
      <w:bookmarkEnd w:id="185"/>
      <w:r>
        <w:rPr>
          <w:rtl w:val="true"/>
        </w:rPr>
        <w:t>خامساً</w:t>
      </w:r>
      <w:r>
        <w:rPr>
          <w:rtl w:val="true"/>
        </w:rPr>
        <w:t xml:space="preserve">: </w:t>
      </w:r>
      <w:r>
        <w:rPr>
          <w:rtl w:val="true"/>
        </w:rPr>
        <w:t>المداخل الجغرافیة</w:t>
      </w:r>
      <w:bookmarkEnd w:id="186"/>
    </w:p>
    <w:p>
      <w:pPr>
        <w:pStyle w:val="Heading6"/>
        <w:numPr>
          <w:ilvl w:val="5"/>
          <w:numId w:val="1"/>
        </w:numPr>
        <w:rPr/>
      </w:pPr>
      <w:bookmarkStart w:id="187" w:name="__RefHeading___Toc1323703_774463916"/>
      <w:bookmarkStart w:id="188" w:name="_Toc79"/>
      <w:bookmarkEnd w:id="187"/>
      <w:r>
        <w:rPr>
          <w:rtl w:val="true"/>
        </w:rPr>
        <w:t xml:space="preserve">ألف </w:t>
      </w:r>
      <w:r>
        <w:rPr>
          <w:rtl w:val="true"/>
        </w:rPr>
        <w:t xml:space="preserve">- </w:t>
      </w:r>
      <w:r>
        <w:rPr>
          <w:rtl w:val="true"/>
        </w:rPr>
        <w:t>الدول والمدن والأماکن التی جرت علیها الحوادث الحسینیة</w:t>
      </w:r>
      <w:bookmarkEnd w:id="188"/>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التسمیة والأسماء الأُخری إن وُجدت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المعالم الطبیعیة والجغرافیة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 الجغرافی، الطول والعرض، الارتفاع عن سطح البحر، المناخ، عدد السکان، البناء والعمران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 التاریخیة والحوادث المهمة التی وقعت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القبائل والأقوام والأدیان والمذاهب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الاقتصادی، التعلیمی، الصحی، المواصلات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الأهمیة السیاسیة والثقافیة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بالمسألة الحسینیة</w:t>
      </w:r>
      <w:r>
        <w:rPr>
          <w:rFonts w:eastAsia="IRNazanin" w:cs="IRNazanin"/>
          <w:color w:val="111111"/>
          <w:sz w:val="28"/>
          <w:szCs w:val="28"/>
          <w:rtl w:val="true"/>
          <w:lang w:bidi="fa-IR"/>
        </w:rPr>
        <w:t xml:space="preserve">. </w:t>
      </w:r>
      <w:bookmarkStart w:id="189" w:name="pg5104_36288"/>
    </w:p>
    <w:p>
      <w:pPr>
        <w:pStyle w:val="Heading6"/>
        <w:numPr>
          <w:ilvl w:val="5"/>
          <w:numId w:val="1"/>
        </w:numPr>
        <w:rPr/>
      </w:pPr>
      <w:bookmarkStart w:id="190" w:name="__RefHeading___Toc1323705_774463916"/>
      <w:bookmarkStart w:id="191" w:name="_Toc80"/>
      <w:bookmarkEnd w:id="189"/>
      <w:bookmarkEnd w:id="190"/>
      <w:r>
        <w:rPr>
          <w:rtl w:val="true"/>
        </w:rPr>
        <w:t xml:space="preserve">ب </w:t>
      </w:r>
      <w:r>
        <w:rPr>
          <w:rtl w:val="true"/>
        </w:rPr>
        <w:t xml:space="preserve">- </w:t>
      </w:r>
      <w:r>
        <w:rPr>
          <w:rtl w:val="true"/>
        </w:rPr>
        <w:t>الأماکن والنواحی والنقاط الجغرافیة التی مرّ بها الإمام الحسین</w:t>
      </w:r>
      <w:r>
        <w:rPr>
          <w:rtl w:val="true"/>
        </w:rPr>
        <w:t>(</w:t>
      </w:r>
      <w:r>
        <w:rPr>
          <w:rtl w:val="true"/>
        </w:rPr>
        <w:t>علیه السّلام</w:t>
      </w:r>
      <w:r>
        <w:rPr>
          <w:rtl w:val="true"/>
        </w:rPr>
        <w:t>).</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التسمیة والأسماء الأُخری إن وجدت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 الطبیعیة والجغرافیة سابقاً وحالیاً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التاریخیة والحوادث المهمة التی وقعت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الأهمیة السیاسیة والثقافیة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بالقضیة الحسینیة</w:t>
      </w:r>
      <w:r>
        <w:rPr>
          <w:rFonts w:eastAsia="IRNazanin" w:cs="IRNazanin"/>
          <w:color w:val="111111"/>
          <w:sz w:val="28"/>
          <w:szCs w:val="28"/>
          <w:rtl w:val="true"/>
          <w:lang w:bidi="fa-IR"/>
        </w:rPr>
        <w:t>.</w:t>
      </w:r>
    </w:p>
    <w:p>
      <w:pPr>
        <w:pStyle w:val="Heading6"/>
        <w:numPr>
          <w:ilvl w:val="5"/>
          <w:numId w:val="1"/>
        </w:numPr>
        <w:rPr/>
      </w:pPr>
      <w:bookmarkStart w:id="192" w:name="__RefHeading___Toc1323707_774463916"/>
      <w:bookmarkStart w:id="193" w:name="_Toc81"/>
      <w:bookmarkEnd w:id="192"/>
      <w:r>
        <w:rPr>
          <w:rtl w:val="true"/>
        </w:rPr>
        <w:t xml:space="preserve">ج </w:t>
      </w:r>
      <w:r>
        <w:rPr>
          <w:rtl w:val="true"/>
        </w:rPr>
        <w:t xml:space="preserve">- </w:t>
      </w:r>
      <w:r>
        <w:rPr>
          <w:rtl w:val="true"/>
        </w:rPr>
        <w:t>المقامات والمزارات والمراقد المهمّة</w:t>
      </w:r>
      <w:bookmarkEnd w:id="193"/>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التسمیة والأسماء الأُخری إن وجدت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البناء والتحولات التی جرت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السیاسی والاجتماعی والثقافی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الإداری والنشاطات العامة</w:t>
      </w:r>
      <w:r>
        <w:rPr>
          <w:rFonts w:eastAsia="IRNazanin" w:cs="IRNazanin"/>
          <w:color w:val="111111"/>
          <w:sz w:val="28"/>
          <w:szCs w:val="28"/>
          <w:rtl w:val="true"/>
          <w:lang w:bidi="fa-IR"/>
        </w:rPr>
        <w:t>.</w:t>
      </w:r>
    </w:p>
    <w:p>
      <w:pPr>
        <w:pStyle w:val="Heading6"/>
        <w:numPr>
          <w:ilvl w:val="5"/>
          <w:numId w:val="1"/>
        </w:numPr>
        <w:rPr/>
      </w:pPr>
      <w:bookmarkStart w:id="194" w:name="__RefHeading___Toc1323709_774463916"/>
      <w:bookmarkStart w:id="195" w:name="_Toc82"/>
      <w:bookmarkEnd w:id="194"/>
      <w:r>
        <w:rPr>
          <w:rtl w:val="true"/>
        </w:rPr>
        <w:t xml:space="preserve">د </w:t>
      </w:r>
      <w:r>
        <w:rPr>
          <w:rtl w:val="true"/>
        </w:rPr>
        <w:t xml:space="preserve">- </w:t>
      </w:r>
      <w:r>
        <w:rPr>
          <w:rtl w:val="true"/>
        </w:rPr>
        <w:t>المساجد والحسینیات والأوقاف المهمّة</w:t>
      </w:r>
      <w:bookmarkEnd w:id="195"/>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التسمیة والأسماء الأُخری إن وجدت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المکانة والأهمیة السیاسیة والثقافیة والاجتماعیة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النشاطات الوعظیة والتبلیغیة وغیرها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بالمسألة الحسینیة</w:t>
      </w:r>
      <w:r>
        <w:rPr>
          <w:rFonts w:eastAsia="IRNazanin" w:cs="IRNazanin"/>
          <w:color w:val="111111"/>
          <w:sz w:val="28"/>
          <w:szCs w:val="28"/>
          <w:rtl w:val="true"/>
          <w:lang w:bidi="fa-IR"/>
        </w:rPr>
        <w:t xml:space="preserve">. </w:t>
      </w:r>
      <w:bookmarkStart w:id="196" w:name="pg5104_36290"/>
    </w:p>
    <w:p>
      <w:pPr>
        <w:pStyle w:val="Heading5"/>
        <w:numPr>
          <w:ilvl w:val="4"/>
          <w:numId w:val="1"/>
        </w:numPr>
        <w:rPr/>
      </w:pPr>
      <w:bookmarkStart w:id="197" w:name="__RefHeading___Toc1323711_774463916"/>
      <w:bookmarkStart w:id="198" w:name="_Toc83"/>
      <w:bookmarkEnd w:id="196"/>
      <w:bookmarkEnd w:id="197"/>
      <w:r>
        <w:rPr>
          <w:rtl w:val="true"/>
        </w:rPr>
        <w:t>سادساً</w:t>
      </w:r>
      <w:r>
        <w:rPr>
          <w:rtl w:val="true"/>
        </w:rPr>
        <w:t xml:space="preserve">: </w:t>
      </w:r>
      <w:r>
        <w:rPr>
          <w:rtl w:val="true"/>
        </w:rPr>
        <w:t>الکتاب الحسینی</w:t>
      </w:r>
      <w:bookmarkEnd w:id="198"/>
    </w:p>
    <w:p>
      <w:pPr>
        <w:pStyle w:val="BookText"/>
        <w:rPr/>
      </w:pPr>
      <w:r>
        <w:rPr>
          <w:rFonts w:ascii="Amiri" w:hAnsi="Amiri" w:eastAsia="Amiri" w:cs="Amiri"/>
          <w:color w:val="111111"/>
          <w:sz w:val="28"/>
          <w:sz w:val="28"/>
          <w:szCs w:val="28"/>
          <w:rtl w:val="true"/>
          <w:lang w:bidi="ar-SA"/>
        </w:rPr>
        <w:t>الخطة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خلفیته الفکریة والثقافیة والسیاسیة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التألیف وظروفه وزمنه ومکانه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المضامین العامة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العلمیة والفنیة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 وتأثیره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العلماء والنُقّاد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شروحه ونسخه وطبعاته</w:t>
      </w:r>
      <w:r>
        <w:rPr>
          <w:rFonts w:eastAsia="IRNazanin" w:cs="IRNazanin"/>
          <w:color w:val="111111"/>
          <w:sz w:val="28"/>
          <w:szCs w:val="28"/>
          <w:rtl w:val="true"/>
          <w:lang w:bidi="fa-IR"/>
        </w:rPr>
        <w:t>.</w:t>
      </w:r>
    </w:p>
    <w:p>
      <w:pPr>
        <w:pStyle w:val="Heading4"/>
        <w:numPr>
          <w:ilvl w:val="3"/>
          <w:numId w:val="1"/>
        </w:numPr>
        <w:rPr/>
      </w:pPr>
      <w:bookmarkStart w:id="199" w:name="__RefHeading___Toc1323713_774463916"/>
      <w:bookmarkStart w:id="200" w:name="_Toc84"/>
      <w:bookmarkEnd w:id="199"/>
      <w:r>
        <w:rPr>
          <w:rtl w:val="true"/>
        </w:rPr>
        <w:t xml:space="preserve">ج </w:t>
      </w:r>
      <w:r>
        <w:rPr>
          <w:rtl w:val="true"/>
        </w:rPr>
        <w:t xml:space="preserve">- </w:t>
      </w:r>
      <w:r>
        <w:rPr>
          <w:rtl w:val="true"/>
        </w:rPr>
        <w:t>حجم المقالات وکیفیتها</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کل مقال یتناسب مع الموضوع المبحوث عنه، علی أن یُراعی فی ذلک الاختصار قدر الإمکان، شریطة أن لا یکون مُخلّا، ویتجنّب التوسّع والاستطراد والتکرار والتوضیحات غیر الضروریة والاستدلالات الضعیفة والآراء الشاذة، ونحو ذلک مما لا ینفع القارئ والباحث، ولا یغنی الفکرة، ولا یناسب مقالات دائرة المعارف والأهداف المتوخّاة منها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یتجنب الإفراط والتفریط فی مقدار المقالة ولغتها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 أمثلة 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الاصطلاحات الصعبة وغیر الرائجة والعبارات المضغوطة التی لا یتمکن القارئ من فهمها إلاّ من خلال الاستعانة بالمتخصص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الأشکال البارزة للتفریط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بلغةٍ عامیّة وأُسلوب فضفاض لا یحافظ علی لغة العلم، ولا یستسیغه الذوق السلیم، فإن الأُسلوبین مرفوضان فی الکتابة بشکل عام، وفی مقالات دائرة المعارف بصورة خاصة</w:t>
      </w:r>
      <w:r>
        <w:rPr>
          <w:rFonts w:eastAsia="IRNazanin" w:cs="IRNazanin"/>
          <w:color w:val="111111"/>
          <w:sz w:val="28"/>
          <w:szCs w:val="28"/>
          <w:rtl w:val="true"/>
          <w:lang w:bidi="fa-IR"/>
        </w:rPr>
        <w:t xml:space="preserve">. </w:t>
      </w:r>
      <w:bookmarkStart w:id="201" w:name="pg5104_36292"/>
    </w:p>
    <w:p>
      <w:pPr>
        <w:pStyle w:val="BookText"/>
        <w:rPr/>
      </w:pPr>
      <w:bookmarkEnd w:id="20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المقالة بلغة الحکایة ونقل الآراء والأدلة والمناقشات بعیداً عن القناعات الشخصیة والذوقیة للکاتب، والتعصّب لرأی علی حساب آخر والانتصار له، أو نحو ذلک، بل علی الکاتب إبراز الآراء مع أدلتها وما تستند إلیه، ونقاط القوة والضعف فیها بکل حیادیة وموضوعیة، وترک الحکم للقرّاء والمحققین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یراعی فی هیکلیة المقالة وعناوینها الأصلیة والفرعیة التبویب والترتیب الفنی والمنطقی والذوقی، والانسجام بینها وبین المعنونات ویتجنّب الحشو والتکرار والتداخل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 علی موضع الشاهد من الآیات والروایات والنصوص الأدبیة والشعر ونحو ذلک، بشرط أن لا یکون مخلاً، أو تکون هناک ضرورة لنقل النص بالکامل أو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تراعی فی الحوادث والوقائع ونحوها ذکر التواریخ، ویکتفی بالتاریخ الهجری القمری والمیلادی، ویقدم الهجری علی المیلادی، ولا داعی لذکر الیوم والشهر إلاّ مع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الأسماء والمصطلحات الأجنبیة بلغتها الأصلیة بعد کتابتها باللغة العربیة، ویوضع الاسم المکتوب باللغة الأصلیة بین قوسین، علی أن یکتب الحرف الأول منه بالحرف الکبیر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Capital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حاجة المقالة إلی أُمور تکمیلیة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کالخرائط والجداول والمشجرات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علی الکاتب القیام بذلک، إلاّ فی صورة عدم تمکّنه من ذلک لأیّ سببٍ کان؛ فحینئذٍ یوکل ذلک إلی الجهات المختصة فی دائرة المعارف، بعد التوصیة وتهیئة المواد من قبل الکاتب قدر الإمکان</w:t>
      </w:r>
      <w:r>
        <w:rPr>
          <w:rFonts w:eastAsia="IRNazanin" w:cs="IRNazanin"/>
          <w:color w:val="111111"/>
          <w:sz w:val="28"/>
          <w:szCs w:val="28"/>
          <w:rtl w:val="true"/>
          <w:lang w:bidi="fa-IR"/>
        </w:rPr>
        <w:t>.</w:t>
      </w:r>
    </w:p>
    <w:p>
      <w:pPr>
        <w:pStyle w:val="Heading4"/>
        <w:numPr>
          <w:ilvl w:val="3"/>
          <w:numId w:val="1"/>
        </w:numPr>
        <w:rPr/>
      </w:pPr>
      <w:bookmarkStart w:id="202" w:name="__RefHeading___Toc1323715_774463916"/>
      <w:bookmarkStart w:id="203" w:name="_Toc85"/>
      <w:bookmarkEnd w:id="202"/>
      <w:r>
        <w:rPr>
          <w:rtl w:val="true"/>
        </w:rPr>
        <w:t xml:space="preserve">د </w:t>
      </w:r>
      <w:r>
        <w:rPr>
          <w:rtl w:val="true"/>
        </w:rPr>
        <w:t xml:space="preserve">- </w:t>
      </w:r>
      <w:r>
        <w:rPr>
          <w:rtl w:val="true"/>
        </w:rPr>
        <w:t>أُسلوب الکتابة</w:t>
      </w:r>
      <w:bookmarkEnd w:id="2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أُسلوب الکتابة موسوعی یتناسب مع طبیعة الکتابة فی دائرة المعارف، یتجنّب فیه السّرد والاستطراد والتکرار، وتُراعی فیه طبیعة المُخاطب، ویحافظ فیه علی کامل الدّقة العلمیة، والأمانة فی النقل والتوثیق، والموضوعیّة فی عرض الأفکار، واحترام کافة الآراء، </w:t>
      </w:r>
      <w:bookmarkStart w:id="204" w:name="pg5104_36294"/>
    </w:p>
    <w:p>
      <w:pPr>
        <w:pStyle w:val="BookText"/>
        <w:rPr/>
      </w:pPr>
      <w:bookmarkEnd w:id="204"/>
      <w:r>
        <w:rPr>
          <w:rFonts w:ascii="IRNazanin" w:hAnsi="IRNazanin" w:eastAsia="IRNazanin"/>
          <w:color w:val="111111"/>
          <w:sz w:val="28"/>
          <w:sz w:val="28"/>
          <w:szCs w:val="28"/>
          <w:rtl w:val="true"/>
          <w:lang w:bidi="fa-IR"/>
        </w:rPr>
        <w:t>والابتعاد عن الاستفزاز، ومحاولة الإبداع فی العرض والبیان بما یتناسب مع لغة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ویُراعی فیه أیضاً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الهیکلیة العامّة والمفاصل الکلیة والرئیسة التی تشترک فیها جمیع المقالات الموسوعیة، وعدم الخروج عنها إلی نمط وأُسلوب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اللغة الخطابیّة والأدبیّة الفضفاضة، فیجب أن تکون لغة الکتابة رصینة جامعة بین الدقّة العلمیة ووضوح التعبیر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لغة الاختصاص واصطلاحاته وسهولة التعابیر، فإنّ کلا الأمرین مطلوب؛ إذ لا بد من الحفاظ علی لغة العلم مع السعی إلی العرض بأسلوب یتناسب مع لغة العصر ومتطلباته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الدقة فی ترجمة المقالات المکتوبة بلغة أُخری غیر العربیة، کاللغة الفارسیة أو الإنجلیزیة أو غیرهما، وصیاغتها بالشکل الذی یتناسب مع طریقة الموسوعة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تجنّب عبارات المدح والثناء، إلاّ من استثنی من الأنبیاء والأئمة وبعض الأصحاب، کما یُتجنب الذم، فعند ذکر بعض الشخصیات الظالمة، یقتصر علی ذکر أفعالهم القبیحة دون توصیفهم بکلماتٍ نابیة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العبارات العاطفیة، إلاّ مع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دائرة المعارف الحسینیة علی علوم متعددة واختصاصات متنوّعة، فینبغی الاستفادة من اصطلاحات تلک العلوم رغم التّداخل بین بعض العلوم کعلمی الرجال والدرایة والتاریخ، فلا بدَّ من الالتفات إلی ذلک تجنّباً للبس والإبهام</w:t>
      </w:r>
      <w:r>
        <w:rPr>
          <w:rFonts w:eastAsia="IRNazanin" w:cs="IRNazanin"/>
          <w:color w:val="111111"/>
          <w:sz w:val="28"/>
          <w:szCs w:val="28"/>
          <w:rtl w:val="true"/>
          <w:lang w:bidi="fa-IR"/>
        </w:rPr>
        <w:t>.</w:t>
      </w:r>
    </w:p>
    <w:p>
      <w:pPr>
        <w:pStyle w:val="Heading3"/>
        <w:numPr>
          <w:ilvl w:val="2"/>
          <w:numId w:val="1"/>
        </w:numPr>
        <w:rPr/>
      </w:pPr>
      <w:bookmarkStart w:id="205" w:name="__RefHeading___Toc1323717_774463916"/>
      <w:bookmarkStart w:id="206" w:name="_Toc86"/>
      <w:bookmarkEnd w:id="205"/>
      <w:r>
        <w:rPr>
          <w:rtl w:val="true"/>
        </w:rPr>
        <w:t>رابعاً</w:t>
      </w:r>
      <w:r>
        <w:rPr>
          <w:rtl w:val="true"/>
        </w:rPr>
        <w:t xml:space="preserve">: </w:t>
      </w:r>
      <w:r>
        <w:rPr>
          <w:rtl w:val="true"/>
        </w:rPr>
        <w:t>التوثیق</w:t>
      </w:r>
      <w:bookmarkEnd w:id="206"/>
    </w:p>
    <w:p>
      <w:pPr>
        <w:pStyle w:val="BookText"/>
        <w:rPr/>
      </w:pPr>
      <w:r>
        <w:rPr>
          <w:rFonts w:ascii="IRNazanin" w:hAnsi="IRNazanin" w:eastAsia="IRNazanin"/>
          <w:color w:val="111111"/>
          <w:sz w:val="28"/>
          <w:sz w:val="28"/>
          <w:szCs w:val="28"/>
          <w:rtl w:val="true"/>
          <w:lang w:bidi="fa-IR"/>
        </w:rPr>
        <w:t>یُراعی فی التوثیق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توثّق کل معلومة أو دلیل أو مناقشة، أو ما شابه ذلک من خلال ذکر المصدر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المصدر فی الحاشیة وعلی 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الکتاب، الجزء، الصفحة، 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تذکر التفاصیل فی فهرست المصادر فی آخر المقال وعلی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الکتاب بشکل کامل، اسم المؤلف ولقبه،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 مکان النشر، رقم الطبعةوتاریخها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تعدد اسم المصدر یعتمد فی الحاشیة الاسم المشهور فی حین یذکر فی فهرست المصادر الاسم الأصلی للکتاب، ویوضع الاسم المشهور بین قوسین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یُتجنب ذکر اسم المصدر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ذکره فی الحاشیة إلا فی بعض الحالات التی یناسب فنیاً ذکر اسم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تعتمد المصادر الأصلیة للمعلومات، دون الثانویة، إلاّ فی حالات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المصدر بشکل مباشر دون النقل عن الواسطة، إلاّ فی حالات الضرورة، فإنّه ینقل عن الواسطة مع التنبیه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تعتمد جمیع المصادر، ویتعامل معها بموضوعیة تامّة، ولا یعنی ذلک الاعتماد علی المصادر من دون ملاحظة الغایات التی من أجلها کُتب الکتاب، وأهداف الکاتب وخلفیته الفکریة والسیاسیة، ککتب بعض المستشرقین، والإسلامیین المتطرفین، فإنها قد تحتوی علی معلومات غیر دقیقة، أو تحلیلات تبتنی علی الخلفیة الفکریة لإصحابها، أو تکون ناشئة عن التعصب الأعمی، فإنه لا بدّ من التعامل مع هکذا مصادر وکتابات بحیطة وحذر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ویهمل المصدر الذی لم یعتمد منها علی الموضوعیة والتحقیق، ولم یتوخَّ الدقة والأمانة، إلاّ إذا أُرید 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الترکیز علی الأفکار والآراء والابتعاد عن الشخصنة والمهاترات، وتجنّب العبارات النابیة والرکیکة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التنوّع فی المصادر، والاستفادة فی أخذ المعلومات من جمیع الآثار المکتوبة وغیر المکتوبة، کالکتب والمقالات، والرسائل العلمیة، والبحوث الجامعیة، ومواقع الإنترنیت، والآراء المطروحة فی المراکز العلمیة، والمحاضرات المرئیة وغیر المرئیة، والبحوث المیدانیة التوثیقیة، فیما إذا اشتملت علی معلومات مهمة، أو إثارات جدیدة لم </w:t>
      </w:r>
      <w:bookmarkStart w:id="207" w:name="pg5104_36298"/>
    </w:p>
    <w:p>
      <w:pPr>
        <w:pStyle w:val="BookText"/>
        <w:rPr/>
      </w:pPr>
      <w:bookmarkEnd w:id="207"/>
      <w:r>
        <w:rPr>
          <w:rFonts w:ascii="IRNazanin" w:hAnsi="IRNazanin" w:eastAsia="IRNazanin"/>
          <w:color w:val="111111"/>
          <w:sz w:val="28"/>
          <w:sz w:val="28"/>
          <w:szCs w:val="28"/>
          <w:rtl w:val="true"/>
          <w:lang w:bidi="fa-IR"/>
        </w:rPr>
        <w:t>تکن مطروحة فی المصادر الأصلیة أو الثانویة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کل مصدر له علاقة بالموضوع بغضّ النظر عن لغته، بشرط توفر الشرائط الموضوعیة والعلمیة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تعدد النسخ تعتمد النسخة المحققة والمدققة والمشتملة علی توضیحات علمیة، من هنا؛ لا یکون القِدَم الزمانی وحده ملاکاً لتقدیم النسخة، بل ینبغی أن تلاحظ المزایا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مراعاة التسلسل التاریخی، أو الأهمیة من الناحیة العلمیة فی أخذ المعلومات وتوثیقها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تعدد المصادر وتنوعها، یقتصر علی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الاقتباس من المصادر هو النقل بالمضمون مع مراعاة الدقة والأمانة، وعدم النقل بالنص إلاّ فی حالات معینة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بنصّه، أو شرحه، أو التعلیق علیه، أو نحو ذلک مما یستوجب نقله؛ لأنّ نقل المتون بالنص یؤدّی إلی الإطالة المنافیة لطریقة کتابة الموسوعات والأغراض المتوخّاة منها</w:t>
      </w:r>
      <w:r>
        <w:rPr>
          <w:rFonts w:eastAsia="IRNazanin" w:cs="IRNazanin"/>
          <w:color w:val="111111"/>
          <w:sz w:val="28"/>
          <w:szCs w:val="28"/>
          <w:rtl w:val="true"/>
          <w:lang w:bidi="fa-IR"/>
        </w:rPr>
        <w:t>.</w:t>
      </w:r>
    </w:p>
    <w:p>
      <w:pPr>
        <w:pStyle w:val="Heading3"/>
        <w:numPr>
          <w:ilvl w:val="2"/>
          <w:numId w:val="1"/>
        </w:numPr>
        <w:rPr/>
      </w:pPr>
      <w:bookmarkStart w:id="208" w:name="__RefHeading___Toc1323719_774463916"/>
      <w:bookmarkStart w:id="209" w:name="_Toc87"/>
      <w:bookmarkEnd w:id="208"/>
      <w:r>
        <w:rPr>
          <w:rtl w:val="true"/>
        </w:rPr>
        <w:t>خامساً</w:t>
      </w:r>
      <w:r>
        <w:rPr>
          <w:rtl w:val="true"/>
        </w:rPr>
        <w:t xml:space="preserve">: </w:t>
      </w:r>
      <w:r>
        <w:rPr>
          <w:rtl w:val="true"/>
        </w:rPr>
        <w:t>المسائل الشکلیة والفنیة</w:t>
      </w:r>
      <w:bookmarkEnd w:id="209"/>
    </w:p>
    <w:p>
      <w:pPr>
        <w:pStyle w:val="BookText"/>
        <w:rPr/>
      </w:pPr>
      <w:r>
        <w:rPr>
          <w:rFonts w:ascii="IRNazanin" w:hAnsi="IRNazanin" w:eastAsia="IRNazanin"/>
          <w:color w:val="111111"/>
          <w:sz w:val="28"/>
          <w:sz w:val="28"/>
          <w:szCs w:val="28"/>
          <w:rtl w:val="true"/>
          <w:lang w:bidi="fa-IR"/>
        </w:rPr>
        <w:t>للمسائل الشکلیة والفنیة أهمیة کبیرة فی الکتابة، خصوصاً فی الموسوعات ودوائر المعارف؛ لما لها من دور فی ضبط النص وترتیبه، من هنا لا بدّ من مراعاة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بنظام دائرة المعارف والطریقة المقررة؛ لأن عدم مراعاة ذلک یؤدی إلی إرباک فی العمل وخلل فی الطریقة؛ مما یستوجب بذل جهود مضاعفة تکون علی حساب الوقت والدقّة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بالقواعد المنهجیة المعروفة فی البحوث من مراعاة التنصیص فی الاقتباس، وغیرها من الأُمور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للإبهام لا بدّ من مراعاة الحرکات الإعرابیة فی بعض الجُمل والکلمات التی لا </w:t>
      </w:r>
      <w:bookmarkStart w:id="210" w:name="pg5104_36300"/>
    </w:p>
    <w:p>
      <w:pPr>
        <w:pStyle w:val="BookText"/>
        <w:rPr/>
      </w:pPr>
      <w:bookmarkEnd w:id="210"/>
      <w:r>
        <w:rPr>
          <w:rFonts w:ascii="IRNazanin" w:hAnsi="IRNazanin" w:eastAsia="IRNazanin"/>
          <w:color w:val="111111"/>
          <w:sz w:val="28"/>
          <w:sz w:val="28"/>
          <w:szCs w:val="28"/>
          <w:rtl w:val="true"/>
          <w:lang w:bidi="fa-IR"/>
        </w:rPr>
        <w:t>یتّضح معناها إلاّ من خلال تحریکها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تُستخدم المختصرات المتعارفة،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تسخدم الطریقة المتبعة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بعض العبارات،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من المختصرات المُتّبعة فی الکتابة</w:t>
      </w:r>
      <w:r>
        <w:rPr>
          <w:rFonts w:eastAsia="IRNazanin" w:cs="IRNazanin"/>
          <w:color w:val="111111"/>
          <w:sz w:val="28"/>
          <w:szCs w:val="28"/>
          <w:rtl w:val="true"/>
          <w:lang w:bidi="fa-IR"/>
        </w:rPr>
        <w:t>.</w:t>
      </w:r>
    </w:p>
    <w:p>
      <w:pPr>
        <w:pStyle w:val="Heading2"/>
        <w:numPr>
          <w:ilvl w:val="1"/>
          <w:numId w:val="1"/>
        </w:numPr>
        <w:rPr/>
      </w:pPr>
      <w:bookmarkStart w:id="211" w:name="__RefHeading___Toc1323721_774463916"/>
      <w:bookmarkStart w:id="212" w:name="_Toc88"/>
      <w:bookmarkEnd w:id="211"/>
      <w:r>
        <w:rPr>
          <w:rtl w:val="true"/>
        </w:rPr>
        <w:t>الطریقة العامة فی تقویم النص</w:t>
      </w:r>
      <w:bookmarkEnd w:id="212"/>
    </w:p>
    <w:p>
      <w:pPr>
        <w:pStyle w:val="BookText"/>
        <w:rPr/>
      </w:pPr>
      <w:r>
        <w:rPr>
          <w:rFonts w:ascii="IRNazanin" w:hAnsi="IRNazanin" w:eastAsia="IRNazanin"/>
          <w:color w:val="111111"/>
          <w:sz w:val="28"/>
          <w:sz w:val="28"/>
          <w:szCs w:val="28"/>
          <w:rtl w:val="true"/>
          <w:lang w:bidi="fa-IR"/>
        </w:rPr>
        <w:t>تعدّ هذه المرحلة من المراحل المهمّة فی التألیف والتحقیق وإحیاء التراث، وهی تتضمّن تقطیع النصّ وتوزیعه وضبطه وتنقیحه، ورفع الأخطاء الإملائیة والإعرابیة عنه، اعتماداً علی قواعد الکتابة العربیة الحدیثة، والخط المرسوم الحالی والمتداول، وینبغی تمییز الأحادیث والآیات الواردة بعلائم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لما لضبط النص بالشکل من أهمیة کبیرة فی الموارد الخاصة؛ فینبغی الإتیان بالنص مضبوطاً بالشکل فی الموارد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آداب الکتابة والکتب وما یتعلّق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صحح الکتاب بالمقابلة، فینبغی أن یضبط مواضع الحاجة، فیعجم المعجم، ویُشکّل المشکّل، ویضبط المشتبه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أهمّ أعمال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علامات الترقیم فی محلّها لتقسیم أجزاء الجملة، وفصلها وتمییزها عن بعضها، ولتعیین مواضع الوقف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هذه العلامات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الترقیم، وضوابط القراءة، وعلامات الإملاء، وعلامات الوقف</w:t>
      </w:r>
      <w:r>
        <w:rPr>
          <w:rFonts w:eastAsia="IRNazanin" w:cs="IRNazanin"/>
          <w:color w:val="111111"/>
          <w:sz w:val="28"/>
          <w:szCs w:val="28"/>
          <w:rtl w:val="true"/>
          <w:lang w:bidi="fa-IR"/>
        </w:rPr>
        <w:t>).</w:t>
      </w:r>
    </w:p>
    <w:p>
      <w:pPr>
        <w:pStyle w:val="Heading2"/>
        <w:numPr>
          <w:ilvl w:val="1"/>
          <w:numId w:val="1"/>
        </w:numPr>
        <w:rPr/>
      </w:pPr>
      <w:bookmarkStart w:id="213" w:name="__RefHeading___Toc1323723_774463916"/>
      <w:bookmarkStart w:id="214" w:name="_Toc89"/>
      <w:bookmarkEnd w:id="213"/>
      <w:r>
        <w:rPr>
          <w:rtl w:val="true"/>
        </w:rPr>
        <w:t>علامات الترقیم</w:t>
      </w:r>
      <w:bookmarkEnd w:id="214"/>
    </w:p>
    <w:p>
      <w:pPr>
        <w:pStyle w:val="BookText"/>
        <w:rPr/>
      </w:pPr>
      <w:r>
        <w:rPr>
          <w:rFonts w:ascii="IRNazanin" w:hAnsi="IRNazanin" w:eastAsia="IRNazanin"/>
          <w:color w:val="111111"/>
          <w:sz w:val="28"/>
          <w:sz w:val="28"/>
          <w:szCs w:val="28"/>
          <w:rtl w:val="true"/>
          <w:lang w:bidi="fa-IR"/>
        </w:rPr>
        <w:t>أهم علامات الترقیم عشرة، وهی إجمالاً ما یلی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الفارزة، وتسمّی أیضاً الفاصلة، الشولة، ورسمها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علامة وقف قصیر </w:t>
      </w:r>
    </w:p>
    <w:p>
      <w:pPr>
        <w:pStyle w:val="BookText"/>
        <w:rPr/>
      </w:pPr>
      <w:r>
        <w:rPr>
          <w:rFonts w:ascii="IRNazanin" w:hAnsi="IRNazanin" w:eastAsia="IRNazanin"/>
          <w:color w:val="111111"/>
          <w:sz w:val="28"/>
          <w:sz w:val="28"/>
          <w:szCs w:val="28"/>
          <w:rtl w:val="true"/>
          <w:lang w:bidi="fa-IR"/>
        </w:rPr>
        <w:t>یسکت عندها القارئ قلیلاً، وتوضع فی المواد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الجمل التّامة المتعاطفة،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آت، وکل آت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الجمل المتصلة المعنی،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لقد وصلتم برّ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المفردات المعطوفة إذا أفادت تقسیماً أو تنویعاً،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مجهولتان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المنادی وما یلیه من القول،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الطالب، اجتهد فی دروسک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الشرط وجوابه،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درست بجدّ، نجحت بتفوّق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بین القسم وجوابه، وبین کلّ جملة وشبه جملة، وبعد حروف الجواب، 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من الموارد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الفارزة المنقوطة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وتسمّی الشولة المنقوطة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یسکت عندها القارئ سکوتاً متوسّطاً، ویکون أطول من سکوت الفارزة غیر المنقوطة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وتوضع فی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 عبارتین أو أکثر، بینهما ارتباط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الذبابة حشرة ضارّة؛ تنقل إلینا الکثیر من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 جملتین تکون الثانیة منهما سبباً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مدح المدیر علیّاً؛ لأنّه نجح بتفوّق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 جملتین تکون الأُولی سبباً فی الثانیة،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المعلم طلّابه؛ فکانوا عوناً لأستاذهم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تدلّ علی وقف تامّ، وتوضع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الجملة التامّة المعنی المستقلة عمّا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واضحة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أقوال لا تتصل ولا ترتبط ببعضها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واضحة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وتوضع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الجملة الاستفهامیة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کتبت درسک؟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فقهاً تدرس أم أُصولاً؟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لبثت فی زیارتک؟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عقب کلّ ما یُشکّ فی صوابه، وتوضع بین قوسین مستدیرین،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الخطیب الوائلی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صیغتی التعجّب،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أجمل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أخبث بالحیاة من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النداء إذا کان للتعجّب أو الاستغاثة،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للأطباء المرضی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لإنشاء المدح والذم، ولإفادة التعجّب،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قَبُحَ مفتری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بعد نهایة کل جملة تدلّ علی الإغراء،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التحذیر،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الدعاء،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للظالم من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الفرح،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فرحتاه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الحزن،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وتوضع بعد صیغة التعجّب السّماعیة،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بطل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جعلتُ فداک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النقطتان الرأسیتان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وهی علامة شرح وتوضیح وتفصیل، وتوضع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القول ومشتقاته، 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الکلام الذی یوضح معنی ما قبله،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أبنی داری فی صیف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مرفوع،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الولد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التعریف،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الإمساک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وتسمّی نقط الحذف والإضمار، وهی نقط أُفقیة متتابعة توضع مکان المحذوف من الکلام، وتوضع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اقتصار الکلام،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فعقابه عند الله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عدم ذکر المستقبح من الکلام،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أهان فلاناً بالقول، حیث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مکان الکلام الناقص فی نصّ لم یعثر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فی أسئلة الامتحانات التی یطلب فیها ملء الفراغات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التنصیص أو التضبیب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وتوضع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الجمل والعبارات المنقولة بنصّها وبالحرف،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یراد لفت النظر إلیه،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للشهید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القوسان المستدیران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ویوضعان فی المواضع التی یراد فیها إبراز العبارات للالتفات إلیها،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تعذّبنی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القوسان المربعان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ویوضعان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کل ما سقط مما کتب، والسیاق یقتضیه، ولا تستقیم العبارات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ما زاد علی النّص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الکلمة غیر الفصیحة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القوسان المزهّران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ویوضعان لحصر الآیات القرآنیة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الشرطة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وتسمّی علامة البدل، وتوضع أوّل الجملة الاعتراضیة وآخرها، وتوضع أیضاً بین العدد والمعدود، وبین العددین المتسلسلین، وبین المبتدأ والخبر إذا وجد کلام طویل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جمیع ما تقدّم أنّ علی مقوّم النص أن یلاحظ الهوامش ویوحّد طریقة العمل فیها، وأن یضبط إملاء الکلمات طبقاً لأحدث قواعد الإملاء فی عصرنا الحاضر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تبارک وتعالی أن یعیننا علی إنجاز هذا العمل الکبیر خدمةً لدینه القویم والتراث الحسینی العظیم، إنّه خیر ناصرٍ ومعین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یحشرنا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وأنصار الحسین الذین بذلوا مهجهم دون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 xml:space="preserve">. </w:t>
      </w:r>
      <w:bookmarkStart w:id="215" w:name="pg5104_36310"/>
    </w:p>
    <w:p>
      <w:pPr>
        <w:pStyle w:val="Heading2"/>
        <w:numPr>
          <w:ilvl w:val="1"/>
          <w:numId w:val="1"/>
        </w:numPr>
        <w:rPr/>
      </w:pPr>
      <w:bookmarkStart w:id="216" w:name="__RefHeading___Toc1323725_774463916"/>
      <w:bookmarkStart w:id="217" w:name="_Toc90"/>
      <w:bookmarkEnd w:id="215"/>
      <w:bookmarkEnd w:id="216"/>
      <w:r>
        <w:rPr>
          <w:rtl w:val="true"/>
        </w:rPr>
        <w:t xml:space="preserve">ملحق رقم </w:t>
      </w:r>
      <w:r>
        <w:rPr/>
        <w:t>1</w:t>
      </w:r>
      <w:bookmarkEnd w:id="217"/>
    </w:p>
    <w:p>
      <w:pPr>
        <w:pStyle w:val="Heading3"/>
        <w:numPr>
          <w:ilvl w:val="2"/>
          <w:numId w:val="1"/>
        </w:numPr>
        <w:rPr/>
      </w:pPr>
      <w:bookmarkStart w:id="218" w:name="__RefHeading___Toc1323727_774463916"/>
      <w:bookmarkStart w:id="219" w:name="_Toc91"/>
      <w:bookmarkEnd w:id="218"/>
      <w:r>
        <w:rPr>
          <w:rtl w:val="true"/>
        </w:rPr>
        <w:t>نماذج من کل حرف لمداخل دائرة المعارف الحسینیة الألفبائیة</w:t>
      </w:r>
      <w:bookmarkEnd w:id="219"/>
    </w:p>
    <w:p>
      <w:pPr>
        <w:pStyle w:val="Heading4"/>
        <w:numPr>
          <w:ilvl w:val="3"/>
          <w:numId w:val="1"/>
        </w:numPr>
        <w:rPr/>
      </w:pPr>
      <w:bookmarkStart w:id="220" w:name="__RefHeading___Toc1323729_774463916"/>
      <w:bookmarkStart w:id="221" w:name="_Toc92"/>
      <w:bookmarkEnd w:id="220"/>
      <w:r>
        <w:rPr>
          <w:rtl w:val="true"/>
        </w:rPr>
        <w:t>المد</w:t>
      </w:r>
      <w:r>
        <w:rPr>
          <w:rtl w:val="true"/>
        </w:rPr>
        <w:t xml:space="preserve">: </w:t>
      </w:r>
      <w:r>
        <w:rPr>
          <w:rtl w:val="true"/>
        </w:rPr>
        <w:t>آ</w:t>
      </w:r>
      <w:bookmarkEnd w:id="221"/>
    </w:p>
    <w:p>
      <w:pPr>
        <w:pStyle w:val="BookText"/>
        <w:rPr/>
      </w:pPr>
      <w:r>
        <w:rPr>
          <w:rFonts w:ascii="IRNazanin" w:hAnsi="IRNazanin" w:eastAsia="IRNazanin"/>
          <w:color w:val="111111"/>
          <w:sz w:val="28"/>
          <w:sz w:val="28"/>
          <w:szCs w:val="28"/>
          <w:rtl w:val="true"/>
          <w:lang w:bidi="fa-IR"/>
        </w:rPr>
        <w:t>آداب الزیارة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أبی سفیان</w:t>
      </w:r>
    </w:p>
    <w:p>
      <w:pPr>
        <w:pStyle w:val="BookText"/>
        <w:rPr/>
      </w:pPr>
      <w:r>
        <w:rPr>
          <w:rFonts w:ascii="IRNazanin" w:hAnsi="IRNazanin" w:eastAsia="IRNazanin"/>
          <w:color w:val="111111"/>
          <w:sz w:val="28"/>
          <w:sz w:val="28"/>
          <w:szCs w:val="28"/>
          <w:rtl w:val="true"/>
          <w:lang w:bidi="fa-IR"/>
        </w:rPr>
        <w:t>آل أبی طالب</w:t>
      </w:r>
    </w:p>
    <w:p>
      <w:pPr>
        <w:pStyle w:val="BookText"/>
        <w:rPr/>
      </w:pPr>
      <w:r>
        <w:rPr>
          <w:rFonts w:ascii="Amiri" w:hAnsi="Amiri" w:eastAsia="Amiri" w:cs="Amiri"/>
          <w:color w:val="111111"/>
          <w:sz w:val="28"/>
          <w:sz w:val="28"/>
          <w:szCs w:val="28"/>
          <w:rtl w:val="true"/>
          <w:lang w:bidi="ar-SA"/>
        </w:rPr>
        <w:t>آل أُمیّة ، بنو أُمیّة</w:t>
      </w:r>
    </w:p>
    <w:p>
      <w:pPr>
        <w:pStyle w:val="BookText"/>
        <w:rPr/>
      </w:pPr>
      <w:r>
        <w:rPr>
          <w:rFonts w:ascii="IRNazanin" w:hAnsi="IRNazanin" w:eastAsia="IRNazanin"/>
          <w:color w:val="111111"/>
          <w:sz w:val="28"/>
          <w:sz w:val="28"/>
          <w:szCs w:val="28"/>
          <w:rtl w:val="true"/>
          <w:lang w:bidi="fa-IR"/>
        </w:rPr>
        <w:t>آل زیاد</w:t>
      </w:r>
    </w:p>
    <w:p>
      <w:pPr>
        <w:pStyle w:val="BookText"/>
        <w:rPr/>
      </w:pPr>
      <w:r>
        <w:rPr>
          <w:rFonts w:ascii="IRNazanin" w:hAnsi="IRNazanin" w:eastAsia="IRNazanin"/>
          <w:color w:val="111111"/>
          <w:sz w:val="28"/>
          <w:sz w:val="28"/>
          <w:szCs w:val="28"/>
          <w:rtl w:val="true"/>
          <w:lang w:bidi="fa-IR"/>
        </w:rPr>
        <w:t>آل عقیل</w:t>
      </w:r>
    </w:p>
    <w:p>
      <w:pPr>
        <w:pStyle w:val="BookText"/>
        <w:rPr/>
      </w:pPr>
      <w:r>
        <w:rPr>
          <w:rFonts w:ascii="IRNazanin" w:hAnsi="IRNazanin" w:eastAsia="IRNazanin"/>
          <w:color w:val="111111"/>
          <w:sz w:val="28"/>
          <w:sz w:val="28"/>
          <w:szCs w:val="28"/>
          <w:rtl w:val="true"/>
          <w:lang w:bidi="fa-IR"/>
        </w:rPr>
        <w:t>آل مُراد →مذحج</w:t>
      </w:r>
    </w:p>
    <w:p>
      <w:pPr>
        <w:pStyle w:val="BookText"/>
        <w:rPr/>
      </w:pPr>
      <w:r>
        <w:rPr>
          <w:rFonts w:ascii="IRNazanin" w:hAnsi="IRNazanin" w:eastAsia="IRNazanin"/>
          <w:color w:val="111111"/>
          <w:sz w:val="28"/>
          <w:sz w:val="28"/>
          <w:szCs w:val="28"/>
          <w:rtl w:val="true"/>
          <w:lang w:bidi="fa-IR"/>
        </w:rPr>
        <w:t>آل مروان</w:t>
      </w:r>
    </w:p>
    <w:p>
      <w:pPr>
        <w:pStyle w:val="BookText"/>
        <w:rPr/>
      </w:pPr>
      <w:r>
        <w:rPr>
          <w:rFonts w:ascii="IRNazanin" w:hAnsi="IRNazanin" w:eastAsia="IRNazanin"/>
          <w:color w:val="111111"/>
          <w:sz w:val="28"/>
          <w:sz w:val="28"/>
          <w:szCs w:val="28"/>
          <w:rtl w:val="true"/>
          <w:lang w:bidi="fa-IR"/>
        </w:rPr>
        <w:t>آل هاشم →بنو هاشم</w:t>
      </w:r>
    </w:p>
    <w:p>
      <w:pPr>
        <w:pStyle w:val="BookText"/>
        <w:rPr/>
      </w:pPr>
      <w:r>
        <w:rPr>
          <w:rFonts w:ascii="IRNazanin" w:hAnsi="IRNazanin" w:eastAsia="IRNazanin"/>
          <w:color w:val="111111"/>
          <w:sz w:val="28"/>
          <w:sz w:val="28"/>
          <w:szCs w:val="28"/>
          <w:rtl w:val="true"/>
          <w:lang w:bidi="fa-IR"/>
        </w:rPr>
        <w:t>آلات الحرب</w:t>
      </w:r>
    </w:p>
    <w:p>
      <w:pPr>
        <w:pStyle w:val="BookText"/>
        <w:rPr/>
      </w:pPr>
      <w:r>
        <w:rPr>
          <w:rFonts w:ascii="IRNazanin" w:hAnsi="IRNazanin" w:eastAsia="IRNazanin"/>
          <w:color w:val="111111"/>
          <w:sz w:val="28"/>
          <w:sz w:val="28"/>
          <w:szCs w:val="28"/>
          <w:rtl w:val="true"/>
          <w:lang w:bidi="fa-IR"/>
        </w:rPr>
        <w:t>آمنة بنت الحسین→سکینة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22" w:name="__RefHeading___Toc1323731_774463916"/>
      <w:bookmarkStart w:id="223" w:name="_Toc93"/>
      <w:bookmarkEnd w:id="222"/>
      <w:r>
        <w:rPr>
          <w:rtl w:val="true"/>
        </w:rPr>
        <w:t>حرف الألف</w:t>
      </w:r>
      <w:bookmarkEnd w:id="223"/>
    </w:p>
    <w:p>
      <w:pPr>
        <w:pStyle w:val="BookText"/>
        <w:rPr/>
      </w:pPr>
      <w:r>
        <w:rPr>
          <w:rFonts w:ascii="IRNazanin" w:hAnsi="IRNazanin" w:eastAsia="IRNazanin"/>
          <w:color w:val="111111"/>
          <w:sz w:val="28"/>
          <w:sz w:val="28"/>
          <w:szCs w:val="28"/>
          <w:rtl w:val="true"/>
          <w:lang w:bidi="fa-IR"/>
        </w:rPr>
        <w:t>إبراهیم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 عمر بن سعد</w:t>
      </w:r>
    </w:p>
    <w:p>
      <w:pPr>
        <w:pStyle w:val="BookText"/>
        <w:rPr/>
      </w:pPr>
      <w:r>
        <w:rPr>
          <w:rFonts w:ascii="IRNazanin" w:hAnsi="IRNazanin" w:eastAsia="IRNazanin"/>
          <w:color w:val="111111"/>
          <w:sz w:val="28"/>
          <w:sz w:val="28"/>
          <w:szCs w:val="28"/>
          <w:rtl w:val="true"/>
          <w:lang w:bidi="fa-IR"/>
        </w:rPr>
        <w:t>أبو ثمامة الصائدی</w:t>
      </w:r>
    </w:p>
    <w:p>
      <w:pPr>
        <w:pStyle w:val="BookText"/>
        <w:rPr/>
      </w:pPr>
      <w:r>
        <w:rPr>
          <w:rFonts w:ascii="IRNazanin" w:hAnsi="IRNazanin" w:eastAsia="IRNazanin"/>
          <w:color w:val="111111"/>
          <w:sz w:val="28"/>
          <w:sz w:val="28"/>
          <w:szCs w:val="28"/>
          <w:rtl w:val="true"/>
          <w:lang w:bidi="fa-IR"/>
        </w:rPr>
        <w:t>أبو مخنف</w:t>
      </w:r>
    </w:p>
    <w:p>
      <w:pPr>
        <w:pStyle w:val="BookText"/>
        <w:rPr/>
      </w:pPr>
      <w:r>
        <w:rPr>
          <w:rFonts w:ascii="IRNazanin" w:hAnsi="IRNazanin" w:eastAsia="IRNazanin"/>
          <w:color w:val="111111"/>
          <w:sz w:val="28"/>
          <w:sz w:val="28"/>
          <w:szCs w:val="28"/>
          <w:rtl w:val="true"/>
          <w:lang w:bidi="fa-IR"/>
        </w:rPr>
        <w:t>إحصائیات النهضة الحسینیة</w:t>
      </w:r>
    </w:p>
    <w:p>
      <w:pPr>
        <w:pStyle w:val="BookText"/>
        <w:rPr/>
      </w:pPr>
      <w:r>
        <w:rPr>
          <w:rFonts w:ascii="IRNazanin" w:hAnsi="IRNazanin" w:eastAsia="IRNazanin"/>
          <w:color w:val="111111"/>
          <w:sz w:val="28"/>
          <w:sz w:val="28"/>
          <w:szCs w:val="28"/>
          <w:rtl w:val="true"/>
          <w:lang w:bidi="fa-IR"/>
        </w:rPr>
        <w:t>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البنین</w:t>
      </w:r>
    </w:p>
    <w:p>
      <w:pPr>
        <w:pStyle w:val="BookText"/>
        <w:rPr/>
      </w:pPr>
      <w:r>
        <w:rPr>
          <w:rFonts w:ascii="IRNazanin" w:hAnsi="IRNazanin" w:eastAsia="IRNazanin"/>
          <w:color w:val="111111"/>
          <w:sz w:val="28"/>
          <w:sz w:val="28"/>
          <w:szCs w:val="28"/>
          <w:rtl w:val="true"/>
          <w:lang w:bidi="fa-IR"/>
        </w:rPr>
        <w:t>أنس بن الحارث</w:t>
      </w:r>
    </w:p>
    <w:p>
      <w:pPr>
        <w:pStyle w:val="BookText"/>
        <w:rPr/>
      </w:pPr>
      <w:r>
        <w:rPr>
          <w:rFonts w:ascii="IRNazanin" w:hAnsi="IRNazanin" w:eastAsia="IRNazanin"/>
          <w:color w:val="111111"/>
          <w:sz w:val="28"/>
          <w:sz w:val="28"/>
          <w:szCs w:val="28"/>
          <w:rtl w:val="true"/>
          <w:lang w:bidi="fa-IR"/>
        </w:rPr>
        <w:t>أنصارالحسین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أهداف النهضة الحسینیة</w:t>
      </w:r>
    </w:p>
    <w:p>
      <w:pPr>
        <w:pStyle w:val="BookText"/>
        <w:rPr/>
      </w:pPr>
      <w:r>
        <w:rPr>
          <w:rFonts w:ascii="IRNazanin" w:hAnsi="IRNazanin" w:eastAsia="IRNazanin"/>
          <w:color w:val="111111"/>
          <w:sz w:val="28"/>
          <w:sz w:val="28"/>
          <w:szCs w:val="28"/>
          <w:rtl w:val="true"/>
          <w:lang w:bidi="fa-IR"/>
        </w:rPr>
        <w:t>أهل الکوفة</w:t>
      </w:r>
    </w:p>
    <w:p>
      <w:pPr>
        <w:pStyle w:val="Heading4"/>
        <w:numPr>
          <w:ilvl w:val="3"/>
          <w:numId w:val="1"/>
        </w:numPr>
        <w:rPr/>
      </w:pPr>
      <w:bookmarkStart w:id="224" w:name="__RefHeading___Toc1323733_774463916"/>
      <w:bookmarkStart w:id="225" w:name="_Toc94"/>
      <w:bookmarkEnd w:id="224"/>
      <w:r>
        <w:rPr>
          <w:rtl w:val="true"/>
        </w:rPr>
        <w:t>حرف الباء</w:t>
      </w:r>
      <w:bookmarkEnd w:id="225"/>
    </w:p>
    <w:p>
      <w:pPr>
        <w:pStyle w:val="BookText"/>
        <w:rPr/>
      </w:pPr>
      <w:r>
        <w:rPr>
          <w:rFonts w:ascii="IRNazanin" w:hAnsi="IRNazanin" w:eastAsia="IRNazanin"/>
          <w:color w:val="111111"/>
          <w:sz w:val="28"/>
          <w:sz w:val="28"/>
          <w:szCs w:val="28"/>
          <w:rtl w:val="true"/>
          <w:lang w:bidi="fa-IR"/>
        </w:rPr>
        <w:t>باب الحوائج→العباس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الساعات</w:t>
      </w:r>
    </w:p>
    <w:p>
      <w:pPr>
        <w:pStyle w:val="BookText"/>
        <w:rPr/>
      </w:pPr>
      <w:r>
        <w:rPr>
          <w:rFonts w:ascii="IRNazanin" w:hAnsi="IRNazanin" w:eastAsia="IRNazanin"/>
          <w:color w:val="111111"/>
          <w:sz w:val="28"/>
          <w:sz w:val="28"/>
          <w:szCs w:val="28"/>
          <w:rtl w:val="true"/>
          <w:lang w:bidi="fa-IR"/>
        </w:rPr>
        <w:t>بجدل بن سلیم</w:t>
      </w:r>
    </w:p>
    <w:p>
      <w:pPr>
        <w:pStyle w:val="BookText"/>
        <w:rPr/>
      </w:pPr>
      <w:r>
        <w:rPr>
          <w:rFonts w:ascii="IRNazanin" w:hAnsi="IRNazanin" w:eastAsia="IRNazanin"/>
          <w:color w:val="111111"/>
          <w:sz w:val="28"/>
          <w:sz w:val="28"/>
          <w:szCs w:val="28"/>
          <w:rtl w:val="true"/>
          <w:lang w:bidi="fa-IR"/>
        </w:rPr>
        <w:t>بریر بن خضیر</w:t>
      </w:r>
    </w:p>
    <w:p>
      <w:pPr>
        <w:pStyle w:val="BookText"/>
        <w:rPr/>
      </w:pPr>
      <w:r>
        <w:rPr>
          <w:rFonts w:ascii="IRNazanin" w:hAnsi="IRNazanin" w:eastAsia="IRNazanin"/>
          <w:color w:val="111111"/>
          <w:sz w:val="28"/>
          <w:sz w:val="28"/>
          <w:szCs w:val="28"/>
          <w:rtl w:val="true"/>
          <w:lang w:bidi="fa-IR"/>
        </w:rPr>
        <w:t>بستان بن عامر</w:t>
      </w:r>
    </w:p>
    <w:p>
      <w:pPr>
        <w:pStyle w:val="BookText"/>
        <w:rPr/>
      </w:pPr>
      <w:r>
        <w:rPr>
          <w:rFonts w:ascii="IRNazanin" w:hAnsi="IRNazanin" w:eastAsia="IRNazanin"/>
          <w:color w:val="111111"/>
          <w:sz w:val="28"/>
          <w:sz w:val="28"/>
          <w:szCs w:val="28"/>
          <w:rtl w:val="true"/>
          <w:lang w:bidi="fa-IR"/>
        </w:rPr>
        <w:t>بشر بن حذلم</w:t>
      </w:r>
    </w:p>
    <w:p>
      <w:pPr>
        <w:pStyle w:val="BookText"/>
        <w:rPr/>
      </w:pPr>
      <w:r>
        <w:rPr>
          <w:rFonts w:ascii="IRNazanin" w:hAnsi="IRNazanin" w:eastAsia="IRNazanin"/>
          <w:color w:val="111111"/>
          <w:sz w:val="28"/>
          <w:sz w:val="28"/>
          <w:szCs w:val="28"/>
          <w:rtl w:val="true"/>
          <w:lang w:bidi="fa-IR"/>
        </w:rPr>
        <w:t>بطلة کربلاء→زینب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26" w:name="__RefHeading___Toc1323735_774463916"/>
      <w:bookmarkStart w:id="227" w:name="_Toc95"/>
      <w:bookmarkEnd w:id="226"/>
      <w:r>
        <w:rPr>
          <w:rtl w:val="true"/>
        </w:rPr>
        <w:t>حرف التاء</w:t>
      </w:r>
      <w:bookmarkEnd w:id="227"/>
    </w:p>
    <w:p>
      <w:pPr>
        <w:pStyle w:val="BookText"/>
        <w:rPr/>
      </w:pPr>
      <w:r>
        <w:rPr>
          <w:rFonts w:ascii="IRNazanin" w:hAnsi="IRNazanin" w:eastAsia="IRNazanin"/>
          <w:color w:val="111111"/>
          <w:sz w:val="28"/>
          <w:sz w:val="28"/>
          <w:szCs w:val="28"/>
          <w:rtl w:val="true"/>
          <w:lang w:bidi="fa-IR"/>
        </w:rPr>
        <w:t>تاسوعاء</w:t>
      </w:r>
    </w:p>
    <w:p>
      <w:pPr>
        <w:pStyle w:val="BookText"/>
        <w:rPr/>
      </w:pPr>
      <w:r>
        <w:rPr>
          <w:rFonts w:ascii="IRNazanin" w:hAnsi="IRNazanin" w:eastAsia="IRNazanin"/>
          <w:color w:val="111111"/>
          <w:sz w:val="28"/>
          <w:sz w:val="28"/>
          <w:szCs w:val="28"/>
          <w:rtl w:val="true"/>
          <w:lang w:bidi="fa-IR"/>
        </w:rPr>
        <w:t>تائیة دعبل الخزاعی</w:t>
      </w:r>
    </w:p>
    <w:p>
      <w:pPr>
        <w:pStyle w:val="BookText"/>
        <w:rPr/>
      </w:pPr>
      <w:r>
        <w:rPr>
          <w:rFonts w:ascii="IRNazanin" w:hAnsi="IRNazanin" w:eastAsia="IRNazanin"/>
          <w:color w:val="111111"/>
          <w:sz w:val="28"/>
          <w:sz w:val="28"/>
          <w:szCs w:val="28"/>
          <w:rtl w:val="true"/>
          <w:lang w:bidi="fa-IR"/>
        </w:rPr>
        <w:t>التباکی→البکاء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التخمیس</w:t>
      </w:r>
    </w:p>
    <w:p>
      <w:pPr>
        <w:pStyle w:val="BookText"/>
        <w:rPr/>
      </w:pPr>
      <w:r>
        <w:rPr>
          <w:rFonts w:ascii="IRNazanin" w:hAnsi="IRNazanin" w:eastAsia="IRNazanin"/>
          <w:color w:val="111111"/>
          <w:sz w:val="28"/>
          <w:sz w:val="28"/>
          <w:szCs w:val="28"/>
          <w:rtl w:val="true"/>
          <w:lang w:bidi="fa-IR"/>
        </w:rPr>
        <w:t>تربة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التطبیر</w:t>
      </w:r>
    </w:p>
    <w:p>
      <w:pPr>
        <w:pStyle w:val="BookText"/>
        <w:rPr/>
      </w:pPr>
      <w:r>
        <w:rPr>
          <w:rFonts w:ascii="IRNazanin" w:hAnsi="IRNazanin" w:eastAsia="IRNazanin"/>
          <w:color w:val="111111"/>
          <w:sz w:val="28"/>
          <w:sz w:val="28"/>
          <w:szCs w:val="28"/>
          <w:rtl w:val="true"/>
          <w:lang w:bidi="fa-IR"/>
        </w:rPr>
        <w:t>التعزیة</w:t>
      </w:r>
    </w:p>
    <w:p>
      <w:pPr>
        <w:pStyle w:val="BookText"/>
        <w:rPr/>
      </w:pPr>
      <w:r>
        <w:rPr>
          <w:rFonts w:ascii="IRNazanin" w:hAnsi="IRNazanin" w:eastAsia="IRNazanin"/>
          <w:color w:val="111111"/>
          <w:sz w:val="28"/>
          <w:sz w:val="28"/>
          <w:szCs w:val="28"/>
          <w:rtl w:val="true"/>
          <w:lang w:bidi="fa-IR"/>
        </w:rPr>
        <w:t>التل الزینبی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التوابون</w:t>
      </w:r>
      <w:r>
        <w:rPr>
          <w:rFonts w:eastAsia="IRNazanin" w:cs="IRNazanin"/>
          <w:color w:val="111111"/>
          <w:sz w:val="28"/>
          <w:szCs w:val="28"/>
          <w:rtl w:val="true"/>
          <w:lang w:bidi="fa-IR"/>
        </w:rPr>
        <w:t>.</w:t>
      </w:r>
    </w:p>
    <w:p>
      <w:pPr>
        <w:pStyle w:val="Heading4"/>
        <w:numPr>
          <w:ilvl w:val="3"/>
          <w:numId w:val="1"/>
        </w:numPr>
        <w:rPr/>
      </w:pPr>
      <w:bookmarkStart w:id="228" w:name="__RefHeading___Toc1323737_774463916"/>
      <w:bookmarkStart w:id="229" w:name="_Toc96"/>
      <w:bookmarkEnd w:id="228"/>
      <w:r>
        <w:rPr>
          <w:rtl w:val="true"/>
        </w:rPr>
        <w:t>حرف الثاء</w:t>
      </w:r>
      <w:bookmarkEnd w:id="229"/>
    </w:p>
    <w:p>
      <w:pPr>
        <w:pStyle w:val="BookText"/>
        <w:rPr/>
      </w:pPr>
      <w:r>
        <w:rPr>
          <w:rFonts w:ascii="IRNazanin" w:hAnsi="IRNazanin" w:eastAsia="IRNazanin"/>
          <w:color w:val="111111"/>
          <w:sz w:val="28"/>
          <w:sz w:val="28"/>
          <w:szCs w:val="28"/>
          <w:rtl w:val="true"/>
          <w:lang w:bidi="fa-IR"/>
        </w:rPr>
        <w:t>ثار الله</w:t>
      </w:r>
    </w:p>
    <w:p>
      <w:pPr>
        <w:pStyle w:val="BookText"/>
        <w:rPr/>
      </w:pPr>
      <w:r>
        <w:rPr>
          <w:rFonts w:ascii="IRNazanin" w:hAnsi="IRNazanin" w:eastAsia="IRNazanin"/>
          <w:color w:val="111111"/>
          <w:sz w:val="28"/>
          <w:sz w:val="28"/>
          <w:szCs w:val="28"/>
          <w:rtl w:val="true"/>
          <w:lang w:bidi="fa-IR"/>
        </w:rPr>
        <w:t>الثعلبیة</w:t>
      </w:r>
    </w:p>
    <w:p>
      <w:pPr>
        <w:pStyle w:val="BookText"/>
        <w:rPr/>
      </w:pPr>
      <w:r>
        <w:rPr>
          <w:rFonts w:ascii="IRNazanin" w:hAnsi="IRNazanin" w:eastAsia="IRNazanin"/>
          <w:color w:val="111111"/>
          <w:sz w:val="28"/>
          <w:sz w:val="28"/>
          <w:szCs w:val="28"/>
          <w:rtl w:val="true"/>
          <w:lang w:bidi="fa-IR"/>
        </w:rPr>
        <w:t>ثواب 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هبیرة </w:t>
      </w:r>
      <w:bookmarkStart w:id="230" w:name="pg5104_36312"/>
    </w:p>
    <w:p>
      <w:pPr>
        <w:pStyle w:val="Heading4"/>
        <w:numPr>
          <w:ilvl w:val="3"/>
          <w:numId w:val="1"/>
        </w:numPr>
        <w:rPr/>
      </w:pPr>
      <w:bookmarkStart w:id="231" w:name="__RefHeading___Toc1323739_774463916"/>
      <w:bookmarkStart w:id="232" w:name="_Toc97"/>
      <w:bookmarkEnd w:id="230"/>
      <w:bookmarkEnd w:id="231"/>
      <w:r>
        <w:rPr>
          <w:rtl w:val="true"/>
        </w:rPr>
        <w:t>حرف الجیم</w:t>
      </w:r>
      <w:bookmarkEnd w:id="232"/>
    </w:p>
    <w:p>
      <w:pPr>
        <w:pStyle w:val="BookText"/>
        <w:rPr/>
      </w:pPr>
      <w:r>
        <w:rPr>
          <w:rFonts w:ascii="IRNazanin" w:hAnsi="IRNazanin" w:eastAsia="IRNazanin"/>
          <w:color w:val="111111"/>
          <w:sz w:val="28"/>
          <w:sz w:val="28"/>
          <w:szCs w:val="28"/>
          <w:rtl w:val="true"/>
          <w:lang w:bidi="fa-IR"/>
        </w:rPr>
        <w:t>جابر بن الحارث السلمانی</w:t>
      </w:r>
    </w:p>
    <w:p>
      <w:pPr>
        <w:pStyle w:val="BookText"/>
        <w:rPr/>
      </w:pPr>
      <w:r>
        <w:rPr>
          <w:rFonts w:ascii="IRNazanin" w:hAnsi="IRNazanin" w:eastAsia="IRNazanin"/>
          <w:color w:val="111111"/>
          <w:sz w:val="28"/>
          <w:sz w:val="28"/>
          <w:szCs w:val="28"/>
          <w:rtl w:val="true"/>
          <w:lang w:bidi="fa-IR"/>
        </w:rPr>
        <w:t>جابر بن الحجّاج التیمی</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ascii="IRNazanin" w:hAnsi="IRNazanin" w:eastAsia="IRNazanin"/>
          <w:color w:val="111111"/>
          <w:sz w:val="28"/>
          <w:sz w:val="28"/>
          <w:szCs w:val="28"/>
          <w:rtl w:val="true"/>
          <w:lang w:bidi="fa-IR"/>
        </w:rPr>
        <w:t>الجامع الأُموی</w:t>
      </w:r>
    </w:p>
    <w:p>
      <w:pPr>
        <w:pStyle w:val="BookText"/>
        <w:rPr/>
      </w:pPr>
      <w:r>
        <w:rPr>
          <w:rFonts w:ascii="Amiri" w:hAnsi="Amiri" w:eastAsia="Amiri" w:cs="Amiri"/>
          <w:color w:val="111111"/>
          <w:sz w:val="28"/>
          <w:sz w:val="28"/>
          <w:szCs w:val="28"/>
          <w:rtl w:val="true"/>
          <w:lang w:bidi="ar-SA"/>
        </w:rPr>
        <w:t>الجامعة</w:t>
      </w:r>
    </w:p>
    <w:p>
      <w:pPr>
        <w:pStyle w:val="BookText"/>
        <w:rPr/>
      </w:pPr>
      <w:r>
        <w:rPr>
          <w:rFonts w:ascii="IRNazanin" w:hAnsi="IRNazanin" w:eastAsia="IRNazanin"/>
          <w:color w:val="111111"/>
          <w:sz w:val="28"/>
          <w:sz w:val="28"/>
          <w:szCs w:val="28"/>
          <w:rtl w:val="true"/>
          <w:lang w:bidi="fa-IR"/>
        </w:rPr>
        <w:t>جعفر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عقیل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مولی أبی ذر</w:t>
      </w:r>
    </w:p>
    <w:p>
      <w:pPr>
        <w:pStyle w:val="Heading4"/>
        <w:numPr>
          <w:ilvl w:val="3"/>
          <w:numId w:val="1"/>
        </w:numPr>
        <w:rPr/>
      </w:pPr>
      <w:bookmarkStart w:id="233" w:name="__RefHeading___Toc1323741_774463916"/>
      <w:bookmarkStart w:id="234" w:name="_Toc98"/>
      <w:bookmarkEnd w:id="233"/>
      <w:r>
        <w:rPr>
          <w:rtl w:val="true"/>
        </w:rPr>
        <w:t>حرف الحاء</w:t>
      </w:r>
      <w:bookmarkEnd w:id="234"/>
    </w:p>
    <w:p>
      <w:pPr>
        <w:pStyle w:val="BookText"/>
        <w:rPr/>
      </w:pPr>
      <w:r>
        <w:rPr>
          <w:rFonts w:ascii="IRNazanin" w:hAnsi="IRNazanin" w:eastAsia="IRNazanin"/>
          <w:color w:val="111111"/>
          <w:sz w:val="28"/>
          <w:sz w:val="28"/>
          <w:szCs w:val="28"/>
          <w:rtl w:val="true"/>
          <w:lang w:bidi="fa-IR"/>
        </w:rPr>
        <w:t>حاتم بن نعمان الباهلی</w:t>
      </w:r>
    </w:p>
    <w:p>
      <w:pPr>
        <w:pStyle w:val="BookText"/>
        <w:rPr/>
      </w:pPr>
      <w:r>
        <w:rPr>
          <w:rFonts w:ascii="IRNazanin" w:hAnsi="IRNazanin" w:eastAsia="IRNazanin"/>
          <w:color w:val="111111"/>
          <w:sz w:val="28"/>
          <w:sz w:val="28"/>
          <w:szCs w:val="28"/>
          <w:rtl w:val="true"/>
          <w:lang w:bidi="fa-IR"/>
        </w:rPr>
        <w:t>الحاجز</w:t>
      </w:r>
    </w:p>
    <w:p>
      <w:pPr>
        <w:pStyle w:val="BookText"/>
        <w:rPr/>
      </w:pPr>
      <w:r>
        <w:rPr>
          <w:rFonts w:ascii="IRNazanin" w:hAnsi="IRNazanin" w:eastAsia="IRNazanin"/>
          <w:color w:val="111111"/>
          <w:sz w:val="28"/>
          <w:sz w:val="28"/>
          <w:szCs w:val="28"/>
          <w:rtl w:val="true"/>
          <w:lang w:bidi="fa-IR"/>
        </w:rPr>
        <w:t>حامل</w:t>
      </w:r>
    </w:p>
    <w:p>
      <w:pPr>
        <w:pStyle w:val="BookText"/>
        <w:rPr/>
      </w:pPr>
      <w:r>
        <w:rPr>
          <w:rFonts w:ascii="IRNazanin" w:hAnsi="IRNazanin" w:eastAsia="IRNazanin"/>
          <w:color w:val="111111"/>
          <w:sz w:val="28"/>
          <w:sz w:val="28"/>
          <w:szCs w:val="28"/>
          <w:rtl w:val="true"/>
          <w:lang w:bidi="fa-IR"/>
        </w:rPr>
        <w:t>لواء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الحائر الحسینی</w:t>
      </w:r>
    </w:p>
    <w:p>
      <w:pPr>
        <w:pStyle w:val="BookText"/>
        <w:rPr/>
      </w:pPr>
      <w:r>
        <w:rPr>
          <w:rFonts w:ascii="IRNazanin" w:hAnsi="IRNazanin" w:eastAsia="IRNazanin"/>
          <w:color w:val="111111"/>
          <w:sz w:val="28"/>
          <w:sz w:val="28"/>
          <w:szCs w:val="28"/>
          <w:rtl w:val="true"/>
          <w:lang w:bidi="fa-IR"/>
        </w:rPr>
        <w:t>حباب بن الحارث السلمانی</w:t>
      </w:r>
    </w:p>
    <w:p>
      <w:pPr>
        <w:pStyle w:val="BookText"/>
        <w:rPr/>
      </w:pPr>
      <w:r>
        <w:rPr>
          <w:rFonts w:ascii="IRNazanin" w:hAnsi="IRNazanin" w:eastAsia="IRNazanin"/>
          <w:color w:val="111111"/>
          <w:sz w:val="28"/>
          <w:sz w:val="28"/>
          <w:szCs w:val="28"/>
          <w:rtl w:val="true"/>
          <w:lang w:bidi="fa-IR"/>
        </w:rPr>
        <w:t>حبیب بن مظاهر الأسدی</w:t>
      </w:r>
    </w:p>
    <w:p>
      <w:pPr>
        <w:pStyle w:val="BookText"/>
        <w:rPr/>
      </w:pPr>
      <w:r>
        <w:rPr>
          <w:rFonts w:ascii="IRNazanin" w:hAnsi="IRNazanin" w:eastAsia="IRNazanin"/>
          <w:color w:val="111111"/>
          <w:sz w:val="28"/>
          <w:sz w:val="28"/>
          <w:szCs w:val="28"/>
          <w:rtl w:val="true"/>
          <w:lang w:bidi="fa-IR"/>
        </w:rPr>
        <w:t>الحرّ بن یزید الریاحی</w:t>
      </w:r>
    </w:p>
    <w:p>
      <w:pPr>
        <w:pStyle w:val="BookText"/>
        <w:rPr/>
      </w:pPr>
      <w:r>
        <w:rPr>
          <w:rFonts w:ascii="IRNazanin" w:hAnsi="IRNazanin" w:eastAsia="IRNazanin"/>
          <w:color w:val="111111"/>
          <w:sz w:val="28"/>
          <w:sz w:val="28"/>
          <w:szCs w:val="28"/>
          <w:rtl w:val="true"/>
          <w:lang w:bidi="fa-IR"/>
        </w:rPr>
        <w:t>الحرم الحسینی</w:t>
      </w:r>
    </w:p>
    <w:p>
      <w:pPr>
        <w:pStyle w:val="BookText"/>
        <w:rPr/>
      </w:pPr>
      <w:r>
        <w:rPr>
          <w:rFonts w:ascii="IRNazanin" w:hAnsi="IRNazanin" w:eastAsia="IRNazanin"/>
          <w:color w:val="111111"/>
          <w:sz w:val="28"/>
          <w:sz w:val="28"/>
          <w:szCs w:val="28"/>
          <w:rtl w:val="true"/>
          <w:lang w:bidi="fa-IR"/>
        </w:rPr>
        <w:t>حدیث القارورة</w:t>
      </w:r>
    </w:p>
    <w:p>
      <w:pPr>
        <w:pStyle w:val="BookText"/>
        <w:rPr/>
      </w:pPr>
      <w:r>
        <w:rPr>
          <w:rFonts w:ascii="IRNazanin" w:hAnsi="IRNazanin" w:eastAsia="IRNazanin"/>
          <w:color w:val="111111"/>
          <w:sz w:val="28"/>
          <w:sz w:val="28"/>
          <w:szCs w:val="28"/>
          <w:rtl w:val="true"/>
          <w:lang w:bidi="fa-IR"/>
        </w:rPr>
        <w:t>حمیدة بنت مسلم</w:t>
      </w:r>
    </w:p>
    <w:p>
      <w:pPr>
        <w:pStyle w:val="Heading4"/>
        <w:numPr>
          <w:ilvl w:val="3"/>
          <w:numId w:val="1"/>
        </w:numPr>
        <w:rPr/>
      </w:pPr>
      <w:bookmarkStart w:id="235" w:name="__RefHeading___Toc1323743_774463916"/>
      <w:bookmarkStart w:id="236" w:name="_Toc99"/>
      <w:bookmarkEnd w:id="235"/>
      <w:r>
        <w:rPr>
          <w:rtl w:val="true"/>
        </w:rPr>
        <w:t>حرف الخاء</w:t>
      </w:r>
      <w:bookmarkEnd w:id="236"/>
    </w:p>
    <w:p>
      <w:pPr>
        <w:pStyle w:val="BookText"/>
        <w:rPr/>
      </w:pPr>
      <w:r>
        <w:rPr>
          <w:rFonts w:ascii="IRNazanin" w:hAnsi="IRNazanin" w:eastAsia="IRNazanin"/>
          <w:color w:val="111111"/>
          <w:sz w:val="28"/>
          <w:sz w:val="28"/>
          <w:szCs w:val="28"/>
          <w:rtl w:val="true"/>
          <w:lang w:bidi="fa-IR"/>
        </w:rPr>
        <w:t>خالد بن عبید الله بن زیاد</w:t>
      </w:r>
    </w:p>
    <w:p>
      <w:pPr>
        <w:pStyle w:val="BookText"/>
        <w:rPr/>
      </w:pPr>
      <w:r>
        <w:rPr>
          <w:rFonts w:ascii="IRNazanin" w:hAnsi="IRNazanin" w:eastAsia="IRNazanin"/>
          <w:color w:val="111111"/>
          <w:sz w:val="28"/>
          <w:sz w:val="28"/>
          <w:szCs w:val="28"/>
          <w:rtl w:val="true"/>
          <w:lang w:bidi="fa-IR"/>
        </w:rPr>
        <w:t>خامس</w:t>
      </w:r>
    </w:p>
    <w:p>
      <w:pPr>
        <w:pStyle w:val="BookText"/>
        <w:rPr/>
      </w:pPr>
      <w:r>
        <w:rPr>
          <w:rFonts w:ascii="IRNazanin" w:hAnsi="IRNazanin" w:eastAsia="IRNazanin"/>
          <w:color w:val="111111"/>
          <w:sz w:val="28"/>
          <w:sz w:val="28"/>
          <w:szCs w:val="28"/>
          <w:rtl w:val="true"/>
          <w:lang w:bidi="fa-IR"/>
        </w:rPr>
        <w:t>أصحاب الکساء→الإمام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خربة الشام</w:t>
      </w:r>
    </w:p>
    <w:p>
      <w:pPr>
        <w:pStyle w:val="BookText"/>
        <w:rPr/>
      </w:pPr>
      <w:r>
        <w:rPr>
          <w:rFonts w:ascii="IRNazanin" w:hAnsi="IRNazanin" w:eastAsia="IRNazanin"/>
          <w:color w:val="111111"/>
          <w:sz w:val="28"/>
          <w:sz w:val="28"/>
          <w:szCs w:val="28"/>
          <w:rtl w:val="true"/>
          <w:lang w:bidi="fa-IR"/>
        </w:rPr>
        <w:t>خزیمة بن نصر</w:t>
      </w:r>
    </w:p>
    <w:p>
      <w:pPr>
        <w:pStyle w:val="BookText"/>
        <w:rPr/>
      </w:pPr>
      <w:r>
        <w:rPr>
          <w:rFonts w:ascii="IRNazanin" w:hAnsi="IRNazanin" w:eastAsia="IRNazanin"/>
          <w:color w:val="111111"/>
          <w:sz w:val="28"/>
          <w:sz w:val="28"/>
          <w:szCs w:val="28"/>
          <w:rtl w:val="true"/>
          <w:lang w:bidi="fa-IR"/>
        </w:rPr>
        <w:t>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w:t>
      </w:r>
    </w:p>
    <w:p>
      <w:pPr>
        <w:pStyle w:val="BookText"/>
        <w:rPr/>
      </w:pPr>
      <w:r>
        <w:rPr>
          <w:rFonts w:ascii="IRNazanin" w:hAnsi="IRNazanin" w:eastAsia="IRNazanin"/>
          <w:color w:val="111111"/>
          <w:sz w:val="28"/>
          <w:sz w:val="28"/>
          <w:szCs w:val="28"/>
          <w:rtl w:val="true"/>
          <w:lang w:bidi="fa-IR"/>
        </w:rPr>
        <w:t>خلف بن مسلم بن عوسجه</w:t>
      </w:r>
    </w:p>
    <w:p>
      <w:pPr>
        <w:pStyle w:val="BookText"/>
        <w:rPr/>
      </w:pPr>
      <w:r>
        <w:rPr>
          <w:rFonts w:ascii="IRNazanin" w:hAnsi="IRNazanin" w:eastAsia="IRNazanin"/>
          <w:color w:val="111111"/>
          <w:sz w:val="28"/>
          <w:sz w:val="28"/>
          <w:szCs w:val="28"/>
          <w:rtl w:val="true"/>
          <w:lang w:bidi="fa-IR"/>
        </w:rPr>
        <w:t>خولی</w:t>
      </w:r>
    </w:p>
    <w:p>
      <w:pPr>
        <w:pStyle w:val="BookText"/>
        <w:rPr/>
      </w:pPr>
      <w:r>
        <w:rPr>
          <w:rFonts w:ascii="IRNazanin" w:hAnsi="IRNazanin" w:eastAsia="IRNazanin"/>
          <w:color w:val="111111"/>
          <w:sz w:val="28"/>
          <w:sz w:val="28"/>
          <w:szCs w:val="28"/>
          <w:rtl w:val="true"/>
          <w:lang w:bidi="fa-IR"/>
        </w:rPr>
        <w:t>الخیزران</w:t>
      </w:r>
    </w:p>
    <w:p>
      <w:pPr>
        <w:pStyle w:val="Heading4"/>
        <w:numPr>
          <w:ilvl w:val="3"/>
          <w:numId w:val="1"/>
        </w:numPr>
        <w:rPr/>
      </w:pPr>
      <w:bookmarkStart w:id="237" w:name="__RefHeading___Toc1323745_774463916"/>
      <w:bookmarkStart w:id="238" w:name="_Toc100"/>
      <w:bookmarkEnd w:id="237"/>
      <w:r>
        <w:rPr>
          <w:rtl w:val="true"/>
        </w:rPr>
        <w:t>حرف الدال</w:t>
      </w:r>
      <w:bookmarkEnd w:id="238"/>
    </w:p>
    <w:p>
      <w:pPr>
        <w:pStyle w:val="BookText"/>
        <w:rPr/>
      </w:pPr>
      <w:r>
        <w:rPr>
          <w:rFonts w:ascii="Amiri" w:hAnsi="Amiri" w:eastAsia="Amiri" w:cs="Amiri"/>
          <w:color w:val="111111"/>
          <w:sz w:val="28"/>
          <w:sz w:val="28"/>
          <w:szCs w:val="28"/>
          <w:rtl w:val="true"/>
          <w:lang w:bidi="ar-SA"/>
        </w:rPr>
        <w:t>دار الإمارة</w:t>
      </w:r>
    </w:p>
    <w:p>
      <w:pPr>
        <w:pStyle w:val="BookText"/>
        <w:rPr/>
      </w:pPr>
      <w:r>
        <w:rPr>
          <w:rFonts w:ascii="IRNazanin" w:hAnsi="IRNazanin" w:eastAsia="IRNazanin"/>
          <w:color w:val="111111"/>
          <w:sz w:val="28"/>
          <w:sz w:val="28"/>
          <w:szCs w:val="28"/>
          <w:rtl w:val="true"/>
          <w:lang w:bidi="fa-IR"/>
        </w:rPr>
        <w:t>دعبل الخزاعی</w:t>
      </w:r>
    </w:p>
    <w:p>
      <w:pPr>
        <w:pStyle w:val="BookText"/>
        <w:rPr/>
      </w:pPr>
      <w:r>
        <w:rPr>
          <w:rFonts w:ascii="Amiri" w:hAnsi="Amiri" w:eastAsia="Amiri" w:cs="Amiri"/>
          <w:color w:val="111111"/>
          <w:sz w:val="28"/>
          <w:sz w:val="28"/>
          <w:szCs w:val="28"/>
          <w:rtl w:val="true"/>
          <w:lang w:bidi="ar-SA"/>
        </w:rPr>
        <w:t>دعاء عرفة</w:t>
      </w:r>
    </w:p>
    <w:p>
      <w:pPr>
        <w:pStyle w:val="BookText"/>
        <w:rPr/>
      </w:pPr>
      <w:r>
        <w:rPr>
          <w:rFonts w:ascii="IRNazanin" w:hAnsi="IRNazanin" w:eastAsia="IRNazanin"/>
          <w:color w:val="111111"/>
          <w:sz w:val="28"/>
          <w:sz w:val="28"/>
          <w:szCs w:val="28"/>
          <w:rtl w:val="true"/>
          <w:lang w:bidi="fa-IR"/>
        </w:rPr>
        <w:t>دفن شهداء کربلاء</w:t>
      </w:r>
    </w:p>
    <w:p>
      <w:pPr>
        <w:pStyle w:val="BookText"/>
        <w:rPr/>
      </w:pPr>
      <w:r>
        <w:rPr>
          <w:rFonts w:ascii="IRNazanin" w:hAnsi="IRNazanin" w:eastAsia="IRNazanin"/>
          <w:color w:val="111111"/>
          <w:sz w:val="28"/>
          <w:sz w:val="28"/>
          <w:szCs w:val="28"/>
          <w:rtl w:val="true"/>
          <w:lang w:bidi="fa-IR"/>
        </w:rPr>
        <w:t>دلهم بنت عمرو</w:t>
      </w:r>
    </w:p>
    <w:p>
      <w:pPr>
        <w:pStyle w:val="BookText"/>
        <w:rPr/>
      </w:pPr>
      <w:r>
        <w:rPr>
          <w:rFonts w:ascii="Amiri" w:hAnsi="Amiri" w:eastAsia="Amiri" w:cs="Amiri"/>
          <w:color w:val="111111"/>
          <w:sz w:val="28"/>
          <w:sz w:val="28"/>
          <w:szCs w:val="28"/>
          <w:rtl w:val="true"/>
          <w:lang w:bidi="ar-SA"/>
        </w:rPr>
        <w:t>دومة الحسناء</w:t>
      </w:r>
    </w:p>
    <w:p>
      <w:pPr>
        <w:pStyle w:val="BookText"/>
        <w:rPr/>
      </w:pPr>
      <w:r>
        <w:rPr>
          <w:rFonts w:ascii="IRNazanin" w:hAnsi="IRNazanin" w:eastAsia="IRNazanin"/>
          <w:color w:val="111111"/>
          <w:sz w:val="28"/>
          <w:sz w:val="28"/>
          <w:szCs w:val="28"/>
          <w:rtl w:val="true"/>
          <w:lang w:bidi="fa-IR"/>
        </w:rPr>
        <w:t>دیوان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Heading4"/>
        <w:numPr>
          <w:ilvl w:val="3"/>
          <w:numId w:val="1"/>
        </w:numPr>
        <w:rPr/>
      </w:pPr>
      <w:bookmarkStart w:id="239" w:name="__RefHeading___Toc1323747_774463916"/>
      <w:bookmarkStart w:id="240" w:name="_Toc101"/>
      <w:bookmarkEnd w:id="239"/>
      <w:r>
        <w:rPr>
          <w:rtl w:val="true"/>
        </w:rPr>
        <w:t>حرف الذال</w:t>
      </w:r>
      <w:bookmarkEnd w:id="240"/>
    </w:p>
    <w:p>
      <w:pPr>
        <w:pStyle w:val="BookText"/>
        <w:rPr/>
      </w:pPr>
      <w:r>
        <w:rPr>
          <w:rFonts w:ascii="IRNazanin" w:hAnsi="IRNazanin" w:eastAsia="IRNazanin"/>
          <w:color w:val="111111"/>
          <w:sz w:val="28"/>
          <w:sz w:val="28"/>
          <w:szCs w:val="28"/>
          <w:rtl w:val="true"/>
          <w:lang w:bidi="fa-IR"/>
        </w:rPr>
        <w:t>ذات عرق</w:t>
      </w:r>
    </w:p>
    <w:p>
      <w:pPr>
        <w:pStyle w:val="BookText"/>
        <w:rPr/>
      </w:pPr>
      <w:r>
        <w:rPr>
          <w:rFonts w:ascii="IRNazanin" w:hAnsi="IRNazanin" w:eastAsia="IRNazanin"/>
          <w:color w:val="111111"/>
          <w:sz w:val="28"/>
          <w:sz w:val="28"/>
          <w:szCs w:val="28"/>
          <w:rtl w:val="true"/>
          <w:lang w:bidi="fa-IR"/>
        </w:rPr>
        <w:t>الذبح العظیم</w:t>
      </w:r>
    </w:p>
    <w:p>
      <w:pPr>
        <w:pStyle w:val="BookText"/>
        <w:rPr/>
      </w:pPr>
      <w:r>
        <w:rPr>
          <w:rFonts w:ascii="IRNazanin" w:hAnsi="IRNazanin" w:eastAsia="IRNazanin"/>
          <w:color w:val="111111"/>
          <w:sz w:val="28"/>
          <w:sz w:val="28"/>
          <w:szCs w:val="28"/>
          <w:rtl w:val="true"/>
          <w:lang w:bidi="fa-IR"/>
        </w:rPr>
        <w:t>ذکر الحسین عند شرب الماء</w:t>
      </w:r>
    </w:p>
    <w:p>
      <w:pPr>
        <w:pStyle w:val="BookText"/>
        <w:rPr/>
      </w:pPr>
      <w:r>
        <w:rPr>
          <w:rFonts w:ascii="IRNazanin" w:hAnsi="IRNazanin" w:eastAsia="IRNazanin"/>
          <w:color w:val="111111"/>
          <w:sz w:val="28"/>
          <w:sz w:val="28"/>
          <w:szCs w:val="28"/>
          <w:rtl w:val="true"/>
          <w:lang w:bidi="fa-IR"/>
        </w:rPr>
        <w:t>ذو حسم</w:t>
      </w:r>
    </w:p>
    <w:p>
      <w:pPr>
        <w:pStyle w:val="Heading4"/>
        <w:numPr>
          <w:ilvl w:val="3"/>
          <w:numId w:val="1"/>
        </w:numPr>
        <w:rPr/>
      </w:pPr>
      <w:bookmarkStart w:id="241" w:name="__RefHeading___Toc1323749_774463916"/>
      <w:bookmarkStart w:id="242" w:name="_Toc102"/>
      <w:bookmarkEnd w:id="241"/>
      <w:r>
        <w:rPr>
          <w:rtl w:val="true"/>
        </w:rPr>
        <w:t>حرف الراء</w:t>
      </w:r>
      <w:bookmarkEnd w:id="242"/>
    </w:p>
    <w:p>
      <w:pPr>
        <w:pStyle w:val="BookText"/>
        <w:rPr/>
      </w:pPr>
      <w:r>
        <w:rPr>
          <w:rFonts w:ascii="IRNazanin" w:hAnsi="IRNazanin" w:eastAsia="IRNazanin"/>
          <w:color w:val="111111"/>
          <w:sz w:val="28"/>
          <w:sz w:val="28"/>
          <w:szCs w:val="28"/>
          <w:rtl w:val="true"/>
          <w:lang w:bidi="fa-IR"/>
        </w:rPr>
        <w:t>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عبدالله</w:t>
      </w:r>
    </w:p>
    <w:p>
      <w:pPr>
        <w:pStyle w:val="BookText"/>
        <w:rPr/>
      </w:pPr>
      <w:r>
        <w:rPr>
          <w:rFonts w:ascii="IRNazanin" w:hAnsi="IRNazanin" w:eastAsia="IRNazanin"/>
          <w:color w:val="111111"/>
          <w:sz w:val="28"/>
          <w:sz w:val="28"/>
          <w:szCs w:val="28"/>
          <w:rtl w:val="true"/>
          <w:lang w:bidi="fa-IR"/>
        </w:rPr>
        <w:t>راهب قریش</w:t>
      </w:r>
    </w:p>
    <w:p>
      <w:pPr>
        <w:pStyle w:val="BookText"/>
        <w:rPr/>
      </w:pPr>
      <w:r>
        <w:rPr>
          <w:rFonts w:ascii="IRNazanin" w:hAnsi="IRNazanin" w:eastAsia="IRNazanin"/>
          <w:color w:val="111111"/>
          <w:sz w:val="28"/>
          <w:sz w:val="28"/>
          <w:szCs w:val="28"/>
          <w:rtl w:val="true"/>
          <w:lang w:bidi="fa-IR"/>
        </w:rPr>
        <w:t>الراهب المسیحی</w:t>
      </w:r>
    </w:p>
    <w:p>
      <w:pPr>
        <w:pStyle w:val="BookText"/>
        <w:rPr/>
      </w:pPr>
      <w:r>
        <w:rPr>
          <w:rFonts w:ascii="IRNazanin" w:hAnsi="IRNazanin" w:eastAsia="IRNazanin"/>
          <w:color w:val="111111"/>
          <w:sz w:val="28"/>
          <w:sz w:val="28"/>
          <w:szCs w:val="28"/>
          <w:rtl w:val="true"/>
          <w:lang w:bidi="fa-IR"/>
        </w:rPr>
        <w:t>رائیة أبی تمام الطائی</w:t>
      </w:r>
    </w:p>
    <w:p>
      <w:pPr>
        <w:pStyle w:val="BookText"/>
        <w:rPr/>
      </w:pPr>
      <w:r>
        <w:rPr>
          <w:rFonts w:ascii="IRNazanin" w:hAnsi="IRNazanin" w:eastAsia="IRNazanin"/>
          <w:color w:val="111111"/>
          <w:sz w:val="28"/>
          <w:sz w:val="28"/>
          <w:szCs w:val="28"/>
          <w:rtl w:val="true"/>
          <w:lang w:bidi="fa-IR"/>
        </w:rPr>
        <w:t>الرباب بنت امرؤ القیس بن عدی</w:t>
      </w:r>
    </w:p>
    <w:p>
      <w:pPr>
        <w:pStyle w:val="BookText"/>
        <w:rPr/>
      </w:pPr>
      <w:r>
        <w:rPr>
          <w:rFonts w:ascii="IRNazanin" w:hAnsi="IRNazanin" w:eastAsia="IRNazanin"/>
          <w:color w:val="111111"/>
          <w:sz w:val="28"/>
          <w:sz w:val="28"/>
          <w:szCs w:val="28"/>
          <w:rtl w:val="true"/>
          <w:lang w:bidi="fa-IR"/>
        </w:rPr>
        <w:t>ربیعة بن خوط بن رئاب</w:t>
      </w:r>
    </w:p>
    <w:p>
      <w:pPr>
        <w:pStyle w:val="BookText"/>
        <w:rPr/>
      </w:pPr>
      <w:r>
        <w:rPr>
          <w:rFonts w:ascii="IRNazanin" w:hAnsi="IRNazanin" w:eastAsia="IRNazanin"/>
          <w:color w:val="111111"/>
          <w:sz w:val="28"/>
          <w:sz w:val="28"/>
          <w:szCs w:val="28"/>
          <w:rtl w:val="true"/>
          <w:lang w:bidi="fa-IR"/>
        </w:rPr>
        <w:t>رجعة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w:t>
      </w:r>
    </w:p>
    <w:p>
      <w:pPr>
        <w:pStyle w:val="Heading4"/>
        <w:numPr>
          <w:ilvl w:val="3"/>
          <w:numId w:val="1"/>
        </w:numPr>
        <w:rPr/>
      </w:pPr>
      <w:bookmarkStart w:id="243" w:name="__RefHeading___Toc1323751_774463916"/>
      <w:bookmarkStart w:id="244" w:name="_Toc103"/>
      <w:bookmarkEnd w:id="243"/>
      <w:r>
        <w:rPr>
          <w:rtl w:val="true"/>
        </w:rPr>
        <w:t>حرف الزای</w:t>
      </w:r>
      <w:bookmarkEnd w:id="244"/>
    </w:p>
    <w:p>
      <w:pPr>
        <w:pStyle w:val="BookText"/>
        <w:rPr/>
      </w:pPr>
      <w:r>
        <w:rPr>
          <w:rFonts w:ascii="IRNazanin" w:hAnsi="IRNazanin" w:eastAsia="IRNazanin"/>
          <w:color w:val="111111"/>
          <w:sz w:val="28"/>
          <w:sz w:val="28"/>
          <w:szCs w:val="28"/>
          <w:rtl w:val="true"/>
          <w:lang w:bidi="fa-IR"/>
        </w:rPr>
        <w:t>زاهر بن عمرو الکندی</w:t>
      </w:r>
    </w:p>
    <w:p>
      <w:pPr>
        <w:pStyle w:val="BookText"/>
        <w:rPr/>
      </w:pPr>
      <w:r>
        <w:rPr>
          <w:rFonts w:ascii="Amiri" w:hAnsi="Amiri" w:eastAsia="Amiri" w:cs="Amiri"/>
          <w:color w:val="111111"/>
          <w:sz w:val="28"/>
          <w:sz w:val="28"/>
          <w:szCs w:val="28"/>
          <w:rtl w:val="true"/>
          <w:lang w:bidi="ar-SA"/>
        </w:rPr>
        <w:t>زائدة بن مهاجر</w:t>
      </w:r>
    </w:p>
    <w:p>
      <w:pPr>
        <w:pStyle w:val="BookText"/>
        <w:rPr/>
      </w:pPr>
      <w:r>
        <w:rPr>
          <w:rFonts w:ascii="Amiri" w:hAnsi="Amiri" w:eastAsia="Amiri" w:cs="Amiri"/>
          <w:color w:val="111111"/>
          <w:sz w:val="28"/>
          <w:sz w:val="28"/>
          <w:szCs w:val="28"/>
          <w:rtl w:val="true"/>
          <w:lang w:bidi="ar-SA"/>
        </w:rPr>
        <w:t>زبالة</w:t>
      </w:r>
    </w:p>
    <w:p>
      <w:pPr>
        <w:pStyle w:val="BookText"/>
        <w:rPr/>
      </w:pPr>
      <w:r>
        <w:rPr>
          <w:rFonts w:ascii="Amiri" w:hAnsi="Amiri" w:eastAsia="Amiri" w:cs="Amiri"/>
          <w:color w:val="111111"/>
          <w:sz w:val="28"/>
          <w:sz w:val="28"/>
          <w:szCs w:val="28"/>
          <w:rtl w:val="true"/>
          <w:lang w:bidi="ar-SA"/>
        </w:rPr>
        <w:t>زبدة الأسرار</w:t>
      </w:r>
    </w:p>
    <w:p>
      <w:pPr>
        <w:pStyle w:val="BookText"/>
        <w:rPr/>
      </w:pPr>
      <w:r>
        <w:rPr>
          <w:rFonts w:ascii="IRNazanin" w:hAnsi="IRNazanin" w:eastAsia="IRNazanin"/>
          <w:color w:val="111111"/>
          <w:sz w:val="28"/>
          <w:sz w:val="28"/>
          <w:szCs w:val="28"/>
          <w:rtl w:val="true"/>
          <w:lang w:bidi="fa-IR"/>
        </w:rPr>
        <w:t>زبیدة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 بن بدر</w:t>
      </w:r>
    </w:p>
    <w:p>
      <w:pPr>
        <w:pStyle w:val="BookText"/>
        <w:rPr/>
      </w:pPr>
      <w:r>
        <w:rPr>
          <w:rFonts w:ascii="IRNazanin" w:hAnsi="IRNazanin" w:eastAsia="IRNazanin"/>
          <w:color w:val="111111"/>
          <w:sz w:val="28"/>
          <w:sz w:val="28"/>
          <w:szCs w:val="28"/>
          <w:rtl w:val="true"/>
          <w:lang w:bidi="fa-IR"/>
        </w:rPr>
        <w:t>زحر بن قیس الجعفی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زرود </w:t>
      </w:r>
      <w:bookmarkStart w:id="245" w:name="pg5104_36314"/>
    </w:p>
    <w:p>
      <w:pPr>
        <w:pStyle w:val="BookText"/>
        <w:rPr/>
      </w:pPr>
      <w:bookmarkEnd w:id="245"/>
      <w:r>
        <w:rPr>
          <w:rFonts w:ascii="IRNazanin" w:hAnsi="IRNazanin" w:eastAsia="IRNazanin"/>
          <w:color w:val="111111"/>
          <w:sz w:val="28"/>
          <w:sz w:val="28"/>
          <w:szCs w:val="28"/>
          <w:rtl w:val="true"/>
          <w:lang w:bidi="fa-IR"/>
        </w:rPr>
        <w:t>زهیر بن القین البجلی</w:t>
      </w:r>
    </w:p>
    <w:p>
      <w:pPr>
        <w:pStyle w:val="BookText"/>
        <w:rPr/>
      </w:pPr>
      <w:r>
        <w:rPr>
          <w:rFonts w:ascii="IRNazanin" w:hAnsi="IRNazanin" w:eastAsia="IRNazanin"/>
          <w:color w:val="111111"/>
          <w:sz w:val="28"/>
          <w:sz w:val="28"/>
          <w:szCs w:val="28"/>
          <w:rtl w:val="true"/>
          <w:lang w:bidi="fa-IR"/>
        </w:rPr>
        <w:t>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Heading4"/>
        <w:numPr>
          <w:ilvl w:val="3"/>
          <w:numId w:val="1"/>
        </w:numPr>
        <w:rPr/>
      </w:pPr>
      <w:bookmarkStart w:id="246" w:name="__RefHeading___Toc1323753_774463916"/>
      <w:bookmarkStart w:id="247" w:name="_Toc104"/>
      <w:bookmarkEnd w:id="246"/>
      <w:r>
        <w:rPr>
          <w:rtl w:val="true"/>
        </w:rPr>
        <w:t>حرف السین</w:t>
      </w:r>
      <w:bookmarkEnd w:id="247"/>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عامر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خثیمة الجعفی</w:t>
      </w:r>
    </w:p>
    <w:p>
      <w:pPr>
        <w:pStyle w:val="BookText"/>
        <w:rPr/>
      </w:pPr>
      <w:r>
        <w:rPr>
          <w:rFonts w:ascii="IRNazanin" w:hAnsi="IRNazanin" w:eastAsia="IRNazanin"/>
          <w:color w:val="111111"/>
          <w:sz w:val="28"/>
          <w:sz w:val="28"/>
          <w:szCs w:val="28"/>
          <w:rtl w:val="true"/>
          <w:lang w:bidi="fa-IR"/>
        </w:rPr>
        <w:t>السبا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w:t>
      </w:r>
    </w:p>
    <w:p>
      <w:pPr>
        <w:pStyle w:val="BookText"/>
        <w:rPr/>
      </w:pP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w:t>
      </w:r>
    </w:p>
    <w:p>
      <w:pPr>
        <w:pStyle w:val="BookText"/>
        <w:rPr/>
      </w:pPr>
      <w:r>
        <w:rPr>
          <w:rFonts w:ascii="IRNazanin" w:hAnsi="IRNazanin" w:eastAsia="IRNazanin"/>
          <w:color w:val="111111"/>
          <w:sz w:val="28"/>
          <w:sz w:val="28"/>
          <w:szCs w:val="28"/>
          <w:rtl w:val="true"/>
          <w:lang w:bidi="fa-IR"/>
        </w:rPr>
        <w:t>سعد بن الحارث الأنصاری</w:t>
      </w:r>
    </w:p>
    <w:p>
      <w:pPr>
        <w:pStyle w:val="BookText"/>
        <w:rPr/>
      </w:pPr>
      <w:r>
        <w:rPr>
          <w:rFonts w:ascii="IRNazanin" w:hAnsi="IRNazanin" w:eastAsia="IRNazanin"/>
          <w:color w:val="111111"/>
          <w:sz w:val="28"/>
          <w:sz w:val="28"/>
          <w:szCs w:val="28"/>
          <w:rtl w:val="true"/>
          <w:lang w:bidi="fa-IR"/>
        </w:rPr>
        <w:t>سفیر</w:t>
      </w:r>
    </w:p>
    <w:p>
      <w:pPr>
        <w:pStyle w:val="BookText"/>
        <w:rPr/>
      </w:pP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السلب</w:t>
      </w:r>
    </w:p>
    <w:p>
      <w:pPr>
        <w:pStyle w:val="BookText"/>
        <w:rPr/>
      </w:pPr>
      <w:r>
        <w:rPr>
          <w:rFonts w:ascii="Amiri" w:hAnsi="Amiri" w:eastAsia="Amiri" w:cs="Amiri"/>
          <w:color w:val="111111"/>
          <w:sz w:val="28"/>
          <w:sz w:val="28"/>
          <w:szCs w:val="28"/>
          <w:rtl w:val="true"/>
          <w:lang w:bidi="ar-SA"/>
        </w:rPr>
        <w:t>السبّ</w:t>
      </w:r>
    </w:p>
    <w:p>
      <w:pPr>
        <w:pStyle w:val="BookText"/>
        <w:rPr/>
      </w:pPr>
      <w:r>
        <w:rPr>
          <w:rFonts w:ascii="IRNazanin" w:hAnsi="IRNazanin" w:eastAsia="IRNazanin"/>
          <w:color w:val="111111"/>
          <w:sz w:val="28"/>
          <w:sz w:val="28"/>
          <w:szCs w:val="28"/>
          <w:rtl w:val="true"/>
          <w:lang w:bidi="fa-IR"/>
        </w:rPr>
        <w:t>سلمان بن مضارب البجلی</w:t>
      </w:r>
    </w:p>
    <w:p>
      <w:pPr>
        <w:pStyle w:val="BookText"/>
        <w:rPr/>
      </w:pPr>
      <w:r>
        <w:rPr>
          <w:rFonts w:ascii="IRNazanin" w:hAnsi="IRNazanin" w:eastAsia="IRNazanin"/>
          <w:color w:val="111111"/>
          <w:sz w:val="28"/>
          <w:sz w:val="28"/>
          <w:szCs w:val="28"/>
          <w:rtl w:val="true"/>
          <w:lang w:bidi="fa-IR"/>
        </w:rPr>
        <w:t>سهل بن سعد</w:t>
      </w:r>
    </w:p>
    <w:p>
      <w:pPr>
        <w:pStyle w:val="Heading4"/>
        <w:numPr>
          <w:ilvl w:val="3"/>
          <w:numId w:val="1"/>
        </w:numPr>
        <w:rPr/>
      </w:pPr>
      <w:bookmarkStart w:id="248" w:name="__RefHeading___Toc1323755_774463916"/>
      <w:bookmarkStart w:id="249" w:name="_Toc105"/>
      <w:bookmarkEnd w:id="248"/>
      <w:r>
        <w:rPr>
          <w:rtl w:val="true"/>
        </w:rPr>
        <w:t>حرف الشین</w:t>
      </w:r>
      <w:bookmarkEnd w:id="249"/>
    </w:p>
    <w:p>
      <w:pPr>
        <w:pStyle w:val="BookText"/>
        <w:rPr/>
      </w:pPr>
      <w:r>
        <w:rPr>
          <w:rFonts w:ascii="IRNazanin" w:hAnsi="IRNazanin" w:eastAsia="IRNazanin"/>
          <w:color w:val="111111"/>
          <w:sz w:val="28"/>
          <w:sz w:val="28"/>
          <w:szCs w:val="28"/>
          <w:rtl w:val="true"/>
          <w:lang w:bidi="fa-IR"/>
        </w:rPr>
        <w:t>الشام</w:t>
      </w:r>
    </w:p>
    <w:p>
      <w:pPr>
        <w:pStyle w:val="BookText"/>
        <w:rPr/>
      </w:pPr>
      <w:r>
        <w:rPr>
          <w:rFonts w:ascii="IRNazanin" w:hAnsi="IRNazanin" w:eastAsia="IRNazanin"/>
          <w:color w:val="111111"/>
          <w:sz w:val="28"/>
          <w:sz w:val="28"/>
          <w:szCs w:val="28"/>
          <w:rtl w:val="true"/>
          <w:lang w:bidi="fa-IR"/>
        </w:rPr>
        <w:t>شاه إسماعیل الصفوی→إسماعیل الصفوی</w:t>
      </w:r>
    </w:p>
    <w:p>
      <w:pPr>
        <w:pStyle w:val="BookText"/>
        <w:rPr/>
      </w:pPr>
      <w:r>
        <w:rPr>
          <w:rFonts w:ascii="IRNazanin" w:hAnsi="IRNazanin" w:eastAsia="IRNazanin"/>
          <w:color w:val="111111"/>
          <w:sz w:val="28"/>
          <w:sz w:val="28"/>
          <w:szCs w:val="28"/>
          <w:rtl w:val="true"/>
          <w:lang w:bidi="fa-IR"/>
        </w:rPr>
        <w:t>شاه زنان</w:t>
      </w:r>
    </w:p>
    <w:p>
      <w:pPr>
        <w:pStyle w:val="BookText"/>
        <w:rPr/>
      </w:pPr>
      <w:r>
        <w:rPr>
          <w:rFonts w:ascii="IRNazanin" w:hAnsi="IRNazanin" w:eastAsia="IRNazanin"/>
          <w:color w:val="111111"/>
          <w:sz w:val="28"/>
          <w:sz w:val="28"/>
          <w:szCs w:val="28"/>
          <w:rtl w:val="true"/>
          <w:lang w:bidi="fa-IR"/>
        </w:rPr>
        <w:t>شبث بن ربعی</w:t>
      </w:r>
    </w:p>
    <w:p>
      <w:pPr>
        <w:pStyle w:val="BookText"/>
        <w:rPr/>
      </w:pPr>
      <w:r>
        <w:rPr>
          <w:rFonts w:ascii="IRNazanin" w:hAnsi="IRNazanin" w:eastAsia="IRNazanin"/>
          <w:color w:val="111111"/>
          <w:sz w:val="28"/>
          <w:sz w:val="28"/>
          <w:szCs w:val="28"/>
          <w:rtl w:val="true"/>
          <w:lang w:bidi="fa-IR"/>
        </w:rPr>
        <w:t>شبیه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الشبیه</w:t>
      </w:r>
    </w:p>
    <w:p>
      <w:pPr>
        <w:pStyle w:val="BookText"/>
        <w:rPr/>
      </w:pPr>
      <w:r>
        <w:rPr>
          <w:rFonts w:ascii="Amiri" w:hAnsi="Amiri" w:eastAsia="Amiri" w:cs="Amiri"/>
          <w:color w:val="111111"/>
          <w:sz w:val="28"/>
          <w:sz w:val="28"/>
          <w:szCs w:val="28"/>
          <w:rtl w:val="true"/>
          <w:lang w:bidi="ar-SA"/>
        </w:rPr>
        <w:t>الشجرة الملعونة</w:t>
      </w:r>
    </w:p>
    <w:p>
      <w:pPr>
        <w:pStyle w:val="BookText"/>
        <w:rPr/>
      </w:pPr>
      <w:r>
        <w:rPr>
          <w:rFonts w:ascii="IRNazanin" w:hAnsi="IRNazanin" w:eastAsia="IRNazanin"/>
          <w:color w:val="111111"/>
          <w:sz w:val="28"/>
          <w:sz w:val="28"/>
          <w:szCs w:val="28"/>
          <w:rtl w:val="true"/>
          <w:lang w:bidi="fa-IR"/>
        </w:rPr>
        <w:t>الشعر الحسینی</w:t>
      </w:r>
    </w:p>
    <w:p>
      <w:pPr>
        <w:pStyle w:val="BookText"/>
        <w:rPr/>
      </w:pPr>
      <w:r>
        <w:rPr>
          <w:rFonts w:ascii="IRNazanin" w:hAnsi="IRNazanin" w:eastAsia="IRNazanin"/>
          <w:color w:val="111111"/>
          <w:sz w:val="28"/>
          <w:sz w:val="28"/>
          <w:szCs w:val="28"/>
          <w:rtl w:val="true"/>
          <w:lang w:bidi="fa-IR"/>
        </w:rPr>
        <w:t>شعراء حسینیون</w:t>
      </w:r>
    </w:p>
    <w:p>
      <w:pPr>
        <w:pStyle w:val="BookText"/>
        <w:rPr/>
      </w:pPr>
      <w:r>
        <w:rPr>
          <w:rFonts w:ascii="IRNazanin" w:hAnsi="IRNazanin" w:eastAsia="IRNazanin"/>
          <w:color w:val="111111"/>
          <w:sz w:val="28"/>
          <w:sz w:val="28"/>
          <w:szCs w:val="28"/>
          <w:rtl w:val="true"/>
          <w:lang w:bidi="fa-IR"/>
        </w:rPr>
        <w:t>شعارات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w:t>
      </w:r>
    </w:p>
    <w:p>
      <w:pPr>
        <w:pStyle w:val="Heading4"/>
        <w:numPr>
          <w:ilvl w:val="3"/>
          <w:numId w:val="1"/>
        </w:numPr>
        <w:rPr/>
      </w:pPr>
      <w:bookmarkStart w:id="250" w:name="__RefHeading___Toc1323757_774463916"/>
      <w:bookmarkStart w:id="251" w:name="_Toc106"/>
      <w:bookmarkEnd w:id="250"/>
      <w:r>
        <w:rPr>
          <w:rtl w:val="true"/>
        </w:rPr>
        <w:t>حرف الصاد</w:t>
      </w:r>
      <w:bookmarkEnd w:id="251"/>
    </w:p>
    <w:p>
      <w:pPr>
        <w:pStyle w:val="BookText"/>
        <w:rPr/>
      </w:pPr>
      <w:r>
        <w:rPr>
          <w:rFonts w:ascii="IRNazanin" w:hAnsi="IRNazanin" w:eastAsia="IRNazanin"/>
          <w:color w:val="111111"/>
          <w:sz w:val="28"/>
          <w:sz w:val="28"/>
          <w:szCs w:val="28"/>
          <w:rtl w:val="true"/>
          <w:lang w:bidi="fa-IR"/>
        </w:rPr>
        <w:t>صبر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w:t>
      </w:r>
    </w:p>
    <w:p>
      <w:pPr>
        <w:pStyle w:val="BookText"/>
        <w:rPr/>
      </w:pPr>
      <w:r>
        <w:rPr>
          <w:rFonts w:ascii="Amiri" w:hAnsi="Amiri" w:eastAsia="Amiri" w:cs="Amiri"/>
          <w:color w:val="111111"/>
          <w:sz w:val="28"/>
          <w:sz w:val="28"/>
          <w:szCs w:val="28"/>
          <w:rtl w:val="true"/>
          <w:lang w:bidi="ar-SA"/>
        </w:rPr>
        <w:t>صفوان بن حنظلة</w:t>
      </w:r>
    </w:p>
    <w:p>
      <w:pPr>
        <w:pStyle w:val="BookText"/>
        <w:rPr/>
      </w:pPr>
      <w:r>
        <w:rPr>
          <w:rFonts w:ascii="IRNazanin" w:hAnsi="IRNazanin" w:eastAsia="IRNazanin"/>
          <w:color w:val="111111"/>
          <w:sz w:val="28"/>
          <w:sz w:val="28"/>
          <w:szCs w:val="28"/>
          <w:rtl w:val="true"/>
          <w:lang w:bidi="fa-IR"/>
        </w:rPr>
        <w:t>صالح بن وهب</w:t>
      </w:r>
    </w:p>
    <w:p>
      <w:pPr>
        <w:pStyle w:val="BookText"/>
        <w:rPr/>
      </w:pPr>
      <w:r>
        <w:rPr>
          <w:rFonts w:ascii="IRNazanin" w:hAnsi="IRNazanin" w:eastAsia="IRNazanin"/>
          <w:color w:val="111111"/>
          <w:sz w:val="28"/>
          <w:sz w:val="28"/>
          <w:szCs w:val="28"/>
          <w:rtl w:val="true"/>
          <w:lang w:bidi="fa-IR"/>
        </w:rPr>
        <w:t>صقعب بن زهیر الأزدی</w:t>
      </w:r>
    </w:p>
    <w:p>
      <w:pPr>
        <w:pStyle w:val="BookText"/>
        <w:rPr/>
      </w:pPr>
      <w:r>
        <w:rPr>
          <w:rFonts w:ascii="IRNazanin" w:hAnsi="IRNazanin" w:eastAsia="IRNazanin"/>
          <w:color w:val="111111"/>
          <w:sz w:val="28"/>
          <w:sz w:val="28"/>
          <w:szCs w:val="28"/>
          <w:rtl w:val="true"/>
          <w:lang w:bidi="fa-IR"/>
        </w:rPr>
        <w:t>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52" w:name="__RefHeading___Toc1323759_774463916"/>
      <w:bookmarkStart w:id="253" w:name="_Toc107"/>
      <w:bookmarkEnd w:id="252"/>
      <w:r>
        <w:rPr>
          <w:rtl w:val="true"/>
        </w:rPr>
        <w:t>حرف الضاد</w:t>
      </w:r>
      <w:bookmarkEnd w:id="253"/>
    </w:p>
    <w:p>
      <w:pPr>
        <w:pStyle w:val="BookText"/>
        <w:rPr/>
      </w:pPr>
      <w:r>
        <w:rPr>
          <w:rFonts w:ascii="IRNazanin" w:hAnsi="IRNazanin" w:eastAsia="IRNazanin"/>
          <w:color w:val="111111"/>
          <w:sz w:val="28"/>
          <w:sz w:val="28"/>
          <w:szCs w:val="28"/>
          <w:rtl w:val="true"/>
          <w:lang w:bidi="fa-IR"/>
        </w:rPr>
        <w:t>ضباب بن عامر</w:t>
      </w:r>
    </w:p>
    <w:p>
      <w:pPr>
        <w:pStyle w:val="BookText"/>
        <w:rPr/>
      </w:pPr>
      <w:r>
        <w:rPr>
          <w:rFonts w:ascii="IRNazanin" w:hAnsi="IRNazanin" w:eastAsia="IRNazanin"/>
          <w:color w:val="111111"/>
          <w:sz w:val="28"/>
          <w:sz w:val="28"/>
          <w:szCs w:val="28"/>
          <w:rtl w:val="true"/>
          <w:lang w:bidi="fa-IR"/>
        </w:rPr>
        <w:t>ضبة بن محمد الأسدی</w:t>
      </w:r>
    </w:p>
    <w:p>
      <w:pPr>
        <w:pStyle w:val="BookText"/>
        <w:rPr/>
      </w:pPr>
      <w:r>
        <w:rPr>
          <w:rFonts w:ascii="IRNazanin" w:hAnsi="IRNazanin" w:eastAsia="IRNazanin"/>
          <w:color w:val="111111"/>
          <w:sz w:val="28"/>
          <w:sz w:val="28"/>
          <w:szCs w:val="28"/>
          <w:rtl w:val="true"/>
          <w:lang w:bidi="fa-IR"/>
        </w:rPr>
        <w:t>ضبیان بن عمارة</w:t>
      </w:r>
    </w:p>
    <w:p>
      <w:pPr>
        <w:pStyle w:val="BookText"/>
        <w:rPr/>
      </w:pPr>
      <w:r>
        <w:rPr>
          <w:rFonts w:ascii="IRNazanin" w:hAnsi="IRNazanin" w:eastAsia="IRNazanin"/>
          <w:color w:val="111111"/>
          <w:sz w:val="28"/>
          <w:sz w:val="28"/>
          <w:szCs w:val="28"/>
          <w:rtl w:val="true"/>
          <w:lang w:bidi="fa-IR"/>
        </w:rPr>
        <w:t>ضبیعة بن عمرو التیمی</w:t>
      </w:r>
    </w:p>
    <w:p>
      <w:pPr>
        <w:pStyle w:val="BookText"/>
        <w:rPr/>
      </w:pPr>
      <w:r>
        <w:rPr>
          <w:rFonts w:ascii="IRNazanin" w:hAnsi="IRNazanin" w:eastAsia="IRNazanin"/>
          <w:color w:val="111111"/>
          <w:sz w:val="28"/>
          <w:sz w:val="28"/>
          <w:szCs w:val="28"/>
          <w:rtl w:val="true"/>
          <w:lang w:bidi="fa-IR"/>
        </w:rPr>
        <w:t>الضحّاک بن عبدالله المشرفی</w:t>
      </w:r>
    </w:p>
    <w:p>
      <w:pPr>
        <w:pStyle w:val="BookText"/>
        <w:rPr/>
      </w:pPr>
      <w:r>
        <w:rPr>
          <w:rFonts w:ascii="IRNazanin" w:hAnsi="IRNazanin" w:eastAsia="IRNazanin"/>
          <w:color w:val="111111"/>
          <w:sz w:val="28"/>
          <w:sz w:val="28"/>
          <w:szCs w:val="28"/>
          <w:rtl w:val="true"/>
          <w:lang w:bidi="fa-IR"/>
        </w:rPr>
        <w:t>ضریح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54" w:name="__RefHeading___Toc1323761_774463916"/>
      <w:bookmarkStart w:id="255" w:name="_Toc108"/>
      <w:bookmarkEnd w:id="254"/>
      <w:r>
        <w:rPr>
          <w:rtl w:val="true"/>
        </w:rPr>
        <w:t>حرف الطاء</w:t>
      </w:r>
      <w:bookmarkEnd w:id="255"/>
    </w:p>
    <w:p>
      <w:pPr>
        <w:pStyle w:val="BookText"/>
        <w:rPr/>
      </w:pPr>
      <w:r>
        <w:rPr>
          <w:rFonts w:ascii="IRNazanin" w:hAnsi="IRNazanin" w:eastAsia="IRNazanin"/>
          <w:color w:val="111111"/>
          <w:sz w:val="28"/>
          <w:sz w:val="28"/>
          <w:szCs w:val="28"/>
          <w:rtl w:val="true"/>
          <w:lang w:bidi="fa-IR"/>
        </w:rPr>
        <w:t>طارق بن المبارک</w:t>
      </w:r>
    </w:p>
    <w:p>
      <w:pPr>
        <w:pStyle w:val="BookText"/>
        <w:rPr/>
      </w:pPr>
      <w:r>
        <w:rPr>
          <w:rFonts w:ascii="IRNazanin" w:hAnsi="IRNazanin" w:eastAsia="IRNazanin"/>
          <w:color w:val="111111"/>
          <w:sz w:val="28"/>
          <w:sz w:val="28"/>
          <w:szCs w:val="28"/>
          <w:rtl w:val="true"/>
          <w:lang w:bidi="fa-IR"/>
        </w:rPr>
        <w:t>الطرماح</w:t>
      </w:r>
    </w:p>
    <w:p>
      <w:pPr>
        <w:pStyle w:val="BookText"/>
        <w:rPr/>
      </w:pPr>
      <w:r>
        <w:rPr>
          <w:rFonts w:ascii="IRNazanin" w:hAnsi="IRNazanin" w:eastAsia="IRNazanin"/>
          <w:color w:val="111111"/>
          <w:sz w:val="28"/>
          <w:sz w:val="28"/>
          <w:szCs w:val="28"/>
          <w:rtl w:val="true"/>
          <w:lang w:bidi="fa-IR"/>
        </w:rPr>
        <w:t>طریق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السبایا</w:t>
      </w:r>
    </w:p>
    <w:p>
      <w:pPr>
        <w:pStyle w:val="BookText"/>
        <w:rPr/>
      </w:pPr>
      <w:r>
        <w:rPr>
          <w:rFonts w:ascii="IRNazanin" w:hAnsi="IRNazanin" w:eastAsia="IRNazanin"/>
          <w:color w:val="111111"/>
          <w:sz w:val="28"/>
          <w:sz w:val="28"/>
          <w:szCs w:val="28"/>
          <w:rtl w:val="true"/>
          <w:lang w:bidi="fa-IR"/>
        </w:rPr>
        <w:t>الطف</w:t>
      </w:r>
    </w:p>
    <w:p>
      <w:pPr>
        <w:pStyle w:val="BookText"/>
        <w:rPr/>
      </w:pPr>
      <w:r>
        <w:rPr>
          <w:rFonts w:ascii="IRNazanin" w:hAnsi="IRNazanin" w:eastAsia="IRNazanin"/>
          <w:color w:val="111111"/>
          <w:sz w:val="28"/>
          <w:sz w:val="28"/>
          <w:szCs w:val="28"/>
          <w:rtl w:val="true"/>
          <w:lang w:bidi="fa-IR"/>
        </w:rPr>
        <w:t>الطفل الرضیع</w:t>
      </w:r>
    </w:p>
    <w:p>
      <w:pPr>
        <w:pStyle w:val="BookText"/>
        <w:rPr/>
      </w:pPr>
      <w:r>
        <w:rPr>
          <w:rFonts w:ascii="IRNazanin" w:hAnsi="IRNazanin" w:eastAsia="IRNazanin"/>
          <w:color w:val="111111"/>
          <w:sz w:val="28"/>
          <w:sz w:val="28"/>
          <w:szCs w:val="28"/>
          <w:rtl w:val="true"/>
          <w:lang w:bidi="fa-IR"/>
        </w:rPr>
        <w:t>الطفیل بن عامر</w:t>
      </w:r>
    </w:p>
    <w:p>
      <w:pPr>
        <w:pStyle w:val="BookText"/>
        <w:rPr/>
      </w:pPr>
      <w:r>
        <w:rPr>
          <w:rFonts w:ascii="Amiri" w:hAnsi="Amiri" w:eastAsia="Amiri" w:cs="Amiri"/>
          <w:color w:val="111111"/>
          <w:sz w:val="28"/>
          <w:sz w:val="28"/>
          <w:szCs w:val="28"/>
          <w:rtl w:val="true"/>
          <w:lang w:bidi="ar-SA"/>
        </w:rPr>
        <w:t>طلب الإصلاح→الإصلاح طوعة</w:t>
      </w:r>
    </w:p>
    <w:p>
      <w:pPr>
        <w:pStyle w:val="Heading4"/>
        <w:numPr>
          <w:ilvl w:val="3"/>
          <w:numId w:val="1"/>
        </w:numPr>
        <w:rPr/>
      </w:pPr>
      <w:bookmarkStart w:id="256" w:name="__RefHeading___Toc1323763_774463916"/>
      <w:bookmarkStart w:id="257" w:name="_Toc109"/>
      <w:bookmarkEnd w:id="256"/>
      <w:r>
        <w:rPr>
          <w:rtl w:val="true"/>
        </w:rPr>
        <w:t>حرف الظاء</w:t>
      </w:r>
      <w:bookmarkEnd w:id="257"/>
    </w:p>
    <w:p>
      <w:pPr>
        <w:pStyle w:val="BookText"/>
        <w:rPr/>
      </w:pPr>
      <w:r>
        <w:rPr>
          <w:rFonts w:ascii="IRNazanin" w:hAnsi="IRNazanin" w:eastAsia="IRNazanin"/>
          <w:color w:val="111111"/>
          <w:sz w:val="28"/>
          <w:sz w:val="28"/>
          <w:szCs w:val="28"/>
          <w:rtl w:val="true"/>
          <w:lang w:bidi="fa-IR"/>
        </w:rPr>
        <w:t>ظبیان بن عثمان التمیمی</w:t>
      </w:r>
    </w:p>
    <w:p>
      <w:pPr>
        <w:pStyle w:val="BookText"/>
        <w:rPr/>
      </w:pPr>
      <w:r>
        <w:rPr>
          <w:rFonts w:ascii="IRNazanin" w:hAnsi="IRNazanin" w:eastAsia="IRNazanin"/>
          <w:color w:val="111111"/>
          <w:sz w:val="28"/>
          <w:sz w:val="28"/>
          <w:szCs w:val="28"/>
          <w:rtl w:val="true"/>
          <w:lang w:bidi="fa-IR"/>
        </w:rPr>
        <w:t>ظهیر بن حسان الأسدی</w:t>
      </w:r>
    </w:p>
    <w:p>
      <w:pPr>
        <w:pStyle w:val="Heading4"/>
        <w:numPr>
          <w:ilvl w:val="3"/>
          <w:numId w:val="1"/>
        </w:numPr>
        <w:rPr/>
      </w:pPr>
      <w:bookmarkStart w:id="258" w:name="__RefHeading___Toc1323765_774463916"/>
      <w:bookmarkStart w:id="259" w:name="_Toc110"/>
      <w:bookmarkEnd w:id="258"/>
      <w:r>
        <w:rPr>
          <w:rtl w:val="true"/>
        </w:rPr>
        <w:t>حرف العین</w:t>
      </w:r>
      <w:bookmarkEnd w:id="259"/>
    </w:p>
    <w:p>
      <w:pPr>
        <w:pStyle w:val="BookText"/>
        <w:rPr/>
      </w:pPr>
      <w:r>
        <w:rPr>
          <w:rFonts w:ascii="IRNazanin" w:hAnsi="IRNazanin" w:eastAsia="IRNazanin"/>
          <w:color w:val="111111"/>
          <w:sz w:val="28"/>
          <w:sz w:val="28"/>
          <w:szCs w:val="28"/>
          <w:rtl w:val="true"/>
          <w:lang w:bidi="fa-IR"/>
        </w:rPr>
        <w:t>عابس بن أبی شبیب الشاکری</w:t>
      </w:r>
    </w:p>
    <w:p>
      <w:pPr>
        <w:pStyle w:val="BookText"/>
        <w:rPr/>
      </w:pPr>
      <w:r>
        <w:rPr>
          <w:rFonts w:ascii="IRNazanin" w:hAnsi="IRNazanin" w:eastAsia="IRNazanin"/>
          <w:color w:val="111111"/>
          <w:sz w:val="28"/>
          <w:sz w:val="28"/>
          <w:szCs w:val="28"/>
          <w:rtl w:val="true"/>
          <w:lang w:bidi="fa-IR"/>
        </w:rPr>
        <w:t>عاتکه بنت مسلم بن عقیل</w:t>
      </w:r>
    </w:p>
    <w:p>
      <w:pPr>
        <w:pStyle w:val="BookText"/>
        <w:rPr/>
      </w:pPr>
      <w:r>
        <w:rPr>
          <w:rFonts w:ascii="IRNazanin" w:hAnsi="IRNazanin" w:eastAsia="IRNazanin"/>
          <w:color w:val="111111"/>
          <w:sz w:val="28"/>
          <w:sz w:val="28"/>
          <w:szCs w:val="28"/>
          <w:rtl w:val="true"/>
          <w:lang w:bidi="fa-IR"/>
        </w:rPr>
        <w:t>عاشورا ء</w:t>
      </w:r>
    </w:p>
    <w:p>
      <w:pPr>
        <w:pStyle w:val="BookText"/>
        <w:rPr/>
      </w:pPr>
      <w:r>
        <w:rPr>
          <w:rFonts w:ascii="IRNazanin" w:hAnsi="IRNazanin" w:eastAsia="IRNazanin"/>
          <w:color w:val="111111"/>
          <w:sz w:val="28"/>
          <w:sz w:val="28"/>
          <w:szCs w:val="28"/>
          <w:rtl w:val="true"/>
          <w:lang w:bidi="fa-IR"/>
        </w:rPr>
        <w:t>عاصم بن عبد الله الأزدی</w:t>
      </w:r>
    </w:p>
    <w:p>
      <w:pPr>
        <w:pStyle w:val="BookText"/>
        <w:rPr/>
      </w:pPr>
      <w:r>
        <w:rPr>
          <w:rFonts w:ascii="IRNazanin" w:hAnsi="IRNazanin" w:eastAsia="IRNazanin"/>
          <w:color w:val="111111"/>
          <w:sz w:val="28"/>
          <w:sz w:val="28"/>
          <w:szCs w:val="28"/>
          <w:rtl w:val="true"/>
          <w:lang w:bidi="fa-IR"/>
        </w:rPr>
        <w:t xml:space="preserve">عامر بن جلیدة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حسّان بن شریح الطائی</w:t>
      </w:r>
    </w:p>
    <w:p>
      <w:pPr>
        <w:pStyle w:val="BookText"/>
        <w:rPr/>
      </w:pPr>
      <w:r>
        <w:rPr>
          <w:rFonts w:ascii="IRNazanin" w:hAnsi="IRNazanin" w:eastAsia="IRNazanin"/>
          <w:color w:val="111111"/>
          <w:sz w:val="28"/>
          <w:sz w:val="28"/>
          <w:szCs w:val="28"/>
          <w:rtl w:val="true"/>
          <w:lang w:bidi="fa-IR"/>
        </w:rPr>
        <w:t>عامر بن مسلم العبدی</w:t>
      </w:r>
    </w:p>
    <w:p>
      <w:pPr>
        <w:pStyle w:val="BookText"/>
        <w:rPr/>
      </w:pP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الله الأرحبی</w:t>
      </w:r>
    </w:p>
    <w:p>
      <w:pPr>
        <w:pStyle w:val="BookText"/>
        <w:rPr/>
      </w:pPr>
      <w:r>
        <w:rPr>
          <w:rFonts w:ascii="IRNazanin" w:hAnsi="IRNazanin" w:eastAsia="IRNazanin"/>
          <w:color w:val="111111"/>
          <w:sz w:val="28"/>
          <w:sz w:val="28"/>
          <w:szCs w:val="28"/>
          <w:rtl w:val="true"/>
          <w:lang w:bidi="fa-IR"/>
        </w:rPr>
        <w:t>عبد الله بن زهیر الأزدی</w:t>
      </w:r>
    </w:p>
    <w:p>
      <w:pPr>
        <w:pStyle w:val="BookText"/>
        <w:rPr/>
      </w:pP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بقطر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 xml:space="preserve">) </w:t>
      </w:r>
      <w:bookmarkStart w:id="260" w:name="pg5104_36316"/>
    </w:p>
    <w:p>
      <w:pPr>
        <w:pStyle w:val="BookText"/>
        <w:rPr/>
      </w:pPr>
      <w:bookmarkEnd w:id="260"/>
      <w:r>
        <w:rPr>
          <w:rFonts w:ascii="IRNazanin" w:hAnsi="IRNazanin" w:eastAsia="IRNazanin"/>
          <w:color w:val="111111"/>
          <w:sz w:val="28"/>
          <w:sz w:val="28"/>
          <w:szCs w:val="28"/>
          <w:rtl w:val="true"/>
          <w:lang w:bidi="fa-IR"/>
        </w:rPr>
        <w:t>عبد الله بن عقیل بن أبی طالب</w:t>
      </w:r>
    </w:p>
    <w:p>
      <w:pPr>
        <w:pStyle w:val="BookText"/>
        <w:rPr/>
      </w:pPr>
      <w:r>
        <w:rPr>
          <w:rFonts w:ascii="IRNazanin" w:hAnsi="IRNazanin" w:eastAsia="IRNazanin"/>
          <w:color w:val="111111"/>
          <w:sz w:val="28"/>
          <w:sz w:val="28"/>
          <w:szCs w:val="28"/>
          <w:rtl w:val="true"/>
          <w:lang w:bidi="fa-IR"/>
        </w:rPr>
        <w:t>عثمان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عذیب الهجانات</w:t>
      </w:r>
    </w:p>
    <w:p>
      <w:pPr>
        <w:pStyle w:val="BookText"/>
        <w:rPr/>
      </w:pPr>
      <w:r>
        <w:rPr>
          <w:rFonts w:ascii="IRNazanin" w:hAnsi="IRNazanin" w:eastAsia="IRNazanin"/>
          <w:color w:val="111111"/>
          <w:sz w:val="28"/>
          <w:sz w:val="28"/>
          <w:szCs w:val="28"/>
          <w:rtl w:val="true"/>
          <w:lang w:bidi="fa-IR"/>
        </w:rPr>
        <w:t>عمر بن أبی تمام الصائدی</w:t>
      </w:r>
    </w:p>
    <w:p>
      <w:pPr>
        <w:pStyle w:val="BookText"/>
        <w:rPr/>
      </w:pPr>
      <w:r>
        <w:rPr>
          <w:rFonts w:ascii="IRNazanin" w:hAnsi="IRNazanin" w:eastAsia="IRNazanin"/>
          <w:color w:val="111111"/>
          <w:sz w:val="28"/>
          <w:sz w:val="28"/>
          <w:szCs w:val="28"/>
          <w:rtl w:val="true"/>
          <w:lang w:bidi="fa-IR"/>
        </w:rPr>
        <w:t>عین الوردة</w:t>
      </w:r>
    </w:p>
    <w:p>
      <w:pPr>
        <w:pStyle w:val="Heading4"/>
        <w:numPr>
          <w:ilvl w:val="3"/>
          <w:numId w:val="1"/>
        </w:numPr>
        <w:rPr/>
      </w:pPr>
      <w:bookmarkStart w:id="261" w:name="__RefHeading___Toc1323767_774463916"/>
      <w:bookmarkStart w:id="262" w:name="_Toc111"/>
      <w:bookmarkEnd w:id="261"/>
      <w:r>
        <w:rPr>
          <w:rtl w:val="true"/>
        </w:rPr>
        <w:t>حرف الغین</w:t>
      </w:r>
      <w:bookmarkEnd w:id="262"/>
    </w:p>
    <w:p>
      <w:pPr>
        <w:pStyle w:val="BookText"/>
        <w:rPr/>
      </w:pPr>
      <w:r>
        <w:rPr>
          <w:rFonts w:ascii="IRNazanin" w:hAnsi="IRNazanin" w:eastAsia="IRNazanin"/>
          <w:color w:val="111111"/>
          <w:sz w:val="28"/>
          <w:sz w:val="28"/>
          <w:szCs w:val="28"/>
          <w:rtl w:val="true"/>
          <w:lang w:bidi="fa-IR"/>
        </w:rPr>
        <w:t>الغاضریة</w:t>
      </w:r>
    </w:p>
    <w:p>
      <w:pPr>
        <w:pStyle w:val="BookText"/>
        <w:rPr/>
      </w:pPr>
      <w:r>
        <w:rPr>
          <w:rFonts w:ascii="IRNazanin" w:hAnsi="IRNazanin" w:eastAsia="IRNazanin"/>
          <w:color w:val="111111"/>
          <w:sz w:val="28"/>
          <w:sz w:val="28"/>
          <w:szCs w:val="28"/>
          <w:rtl w:val="true"/>
          <w:lang w:bidi="fa-IR"/>
        </w:rPr>
        <w:t>غالب الباهلی</w:t>
      </w:r>
    </w:p>
    <w:p>
      <w:pPr>
        <w:pStyle w:val="BookText"/>
        <w:rPr/>
      </w:pPr>
      <w:r>
        <w:rPr>
          <w:rFonts w:ascii="IRNazanin" w:hAnsi="IRNazanin" w:eastAsia="IRNazanin"/>
          <w:color w:val="111111"/>
          <w:sz w:val="28"/>
          <w:sz w:val="28"/>
          <w:szCs w:val="28"/>
          <w:rtl w:val="true"/>
          <w:lang w:bidi="fa-IR"/>
        </w:rPr>
        <w:t>غربة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الغلام الترکی</w:t>
      </w:r>
    </w:p>
    <w:p>
      <w:pPr>
        <w:pStyle w:val="Heading4"/>
        <w:numPr>
          <w:ilvl w:val="3"/>
          <w:numId w:val="1"/>
        </w:numPr>
        <w:rPr/>
      </w:pPr>
      <w:bookmarkStart w:id="263" w:name="__RefHeading___Toc1323769_774463916"/>
      <w:bookmarkStart w:id="264" w:name="_Toc112"/>
      <w:bookmarkEnd w:id="263"/>
      <w:r>
        <w:rPr>
          <w:rtl w:val="true"/>
        </w:rPr>
        <w:t>حرف الفاء</w:t>
      </w:r>
      <w:bookmarkEnd w:id="264"/>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الکلابیة→أُمّ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ascii="IRNazanin" w:hAnsi="IRNazanin" w:eastAsia="IRNazanin"/>
          <w:color w:val="111111"/>
          <w:sz w:val="28"/>
          <w:sz w:val="28"/>
          <w:szCs w:val="28"/>
          <w:rtl w:val="true"/>
          <w:lang w:bidi="fa-IR"/>
        </w:rPr>
        <w:t>فرس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فضة النوبیة</w:t>
      </w:r>
    </w:p>
    <w:p>
      <w:pPr>
        <w:pStyle w:val="BookText"/>
        <w:rPr/>
      </w:pPr>
      <w:r>
        <w:rPr>
          <w:rFonts w:ascii="IRNazanin" w:hAnsi="IRNazanin" w:eastAsia="IRNazanin"/>
          <w:color w:val="111111"/>
          <w:sz w:val="28"/>
          <w:sz w:val="28"/>
          <w:szCs w:val="28"/>
          <w:rtl w:val="true"/>
          <w:lang w:bidi="fa-IR"/>
        </w:rPr>
        <w:t>فطرس</w:t>
      </w:r>
    </w:p>
    <w:p>
      <w:pPr>
        <w:pStyle w:val="Heading4"/>
        <w:numPr>
          <w:ilvl w:val="3"/>
          <w:numId w:val="1"/>
        </w:numPr>
        <w:rPr/>
      </w:pPr>
      <w:bookmarkStart w:id="265" w:name="__RefHeading___Toc1323771_774463916"/>
      <w:bookmarkStart w:id="266" w:name="_Toc113"/>
      <w:bookmarkEnd w:id="265"/>
      <w:r>
        <w:rPr>
          <w:rtl w:val="true"/>
        </w:rPr>
        <w:t>حرف القاف</w:t>
      </w:r>
      <w:bookmarkEnd w:id="266"/>
    </w:p>
    <w:p>
      <w:pPr>
        <w:pStyle w:val="BookText"/>
        <w:rPr/>
      </w:pPr>
      <w:r>
        <w:rPr>
          <w:rFonts w:ascii="IRNazanin" w:hAnsi="IRNazanin" w:eastAsia="IRNazanin"/>
          <w:color w:val="111111"/>
          <w:sz w:val="28"/>
          <w:sz w:val="28"/>
          <w:szCs w:val="28"/>
          <w:rtl w:val="true"/>
          <w:lang w:bidi="fa-IR"/>
        </w:rPr>
        <w:t>قادة جیش الکوفة</w:t>
      </w:r>
    </w:p>
    <w:p>
      <w:pPr>
        <w:pStyle w:val="BookText"/>
        <w:rPr/>
      </w:pPr>
      <w:r>
        <w:rPr>
          <w:rFonts w:ascii="IRNazanin" w:hAnsi="IRNazanin" w:eastAsia="IRNazanin"/>
          <w:color w:val="111111"/>
          <w:sz w:val="28"/>
          <w:sz w:val="28"/>
          <w:szCs w:val="28"/>
          <w:rtl w:val="true"/>
          <w:lang w:bidi="fa-IR"/>
        </w:rPr>
        <w:t>القادسیة</w:t>
      </w:r>
    </w:p>
    <w:p>
      <w:pPr>
        <w:pStyle w:val="BookText"/>
        <w:rPr/>
      </w:pPr>
      <w:r>
        <w:rPr>
          <w:rFonts w:ascii="IRNazanin" w:hAnsi="IRNazanin" w:eastAsia="IRNazanin"/>
          <w:color w:val="111111"/>
          <w:sz w:val="28"/>
          <w:sz w:val="28"/>
          <w:szCs w:val="28"/>
          <w:rtl w:val="true"/>
          <w:lang w:bidi="fa-IR"/>
        </w:rPr>
        <w:t>قاسط بن زهیر التغلبی</w:t>
      </w:r>
    </w:p>
    <w:p>
      <w:pPr>
        <w:pStyle w:val="BookText"/>
        <w:rPr/>
      </w:pPr>
      <w:r>
        <w:rPr>
          <w:rFonts w:ascii="IRNazanin" w:hAnsi="IRNazanin" w:eastAsia="IRNazanin"/>
          <w:color w:val="111111"/>
          <w:sz w:val="28"/>
          <w:sz w:val="28"/>
          <w:szCs w:val="28"/>
          <w:rtl w:val="true"/>
          <w:lang w:bidi="fa-IR"/>
        </w:rPr>
        <w:t>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حبیب الأزدی</w:t>
      </w:r>
    </w:p>
    <w:p>
      <w:pPr>
        <w:pStyle w:val="BookText"/>
        <w:rPr/>
      </w:pPr>
      <w:r>
        <w:rPr>
          <w:rFonts w:ascii="IRNazanin" w:hAnsi="IRNazanin" w:eastAsia="IRNazanin"/>
          <w:color w:val="111111"/>
          <w:sz w:val="28"/>
          <w:sz w:val="28"/>
          <w:szCs w:val="28"/>
          <w:rtl w:val="true"/>
          <w:lang w:bidi="fa-IR"/>
        </w:rPr>
        <w:t>قافلة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قبّة الدیلم</w:t>
      </w:r>
    </w:p>
    <w:p>
      <w:pPr>
        <w:pStyle w:val="BookText"/>
        <w:rPr/>
      </w:pPr>
      <w:r>
        <w:rPr>
          <w:rFonts w:ascii="IRNazanin" w:hAnsi="IRNazanin" w:eastAsia="IRNazanin"/>
          <w:color w:val="111111"/>
          <w:sz w:val="28"/>
          <w:sz w:val="28"/>
          <w:szCs w:val="28"/>
          <w:rtl w:val="true"/>
          <w:lang w:bidi="fa-IR"/>
        </w:rPr>
        <w:t>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الإمارة</w:t>
      </w:r>
    </w:p>
    <w:p>
      <w:pPr>
        <w:pStyle w:val="BookText"/>
        <w:rPr/>
      </w:pPr>
      <w:r>
        <w:rPr>
          <w:rFonts w:ascii="IRNazanin" w:hAnsi="IRNazanin" w:eastAsia="IRNazanin"/>
          <w:color w:val="111111"/>
          <w:sz w:val="28"/>
          <w:sz w:val="28"/>
          <w:szCs w:val="28"/>
          <w:rtl w:val="true"/>
          <w:lang w:bidi="fa-IR"/>
        </w:rPr>
        <w:t>القطقطانیّة</w:t>
      </w:r>
    </w:p>
    <w:p>
      <w:pPr>
        <w:pStyle w:val="Heading4"/>
        <w:numPr>
          <w:ilvl w:val="3"/>
          <w:numId w:val="1"/>
        </w:numPr>
        <w:rPr/>
      </w:pPr>
      <w:bookmarkStart w:id="267" w:name="__RefHeading___Toc1323773_774463916"/>
      <w:bookmarkStart w:id="268" w:name="_Toc114"/>
      <w:bookmarkEnd w:id="267"/>
      <w:r>
        <w:rPr>
          <w:rtl w:val="true"/>
        </w:rPr>
        <w:t>حرف الکاف</w:t>
      </w:r>
      <w:bookmarkEnd w:id="268"/>
    </w:p>
    <w:p>
      <w:pPr>
        <w:pStyle w:val="BookText"/>
        <w:rPr/>
      </w:pPr>
      <w:r>
        <w:rPr>
          <w:rFonts w:ascii="IRNazanin" w:hAnsi="IRNazanin" w:eastAsia="IRNazanin"/>
          <w:color w:val="111111"/>
          <w:sz w:val="28"/>
          <w:sz w:val="28"/>
          <w:szCs w:val="28"/>
          <w:rtl w:val="true"/>
          <w:lang w:bidi="fa-IR"/>
        </w:rPr>
        <w:t>کامل بن حمیر</w:t>
      </w:r>
    </w:p>
    <w:p>
      <w:pPr>
        <w:pStyle w:val="BookText"/>
        <w:rPr/>
      </w:pPr>
      <w:r>
        <w:rPr>
          <w:rFonts w:ascii="IRNazanin" w:hAnsi="IRNazanin" w:eastAsia="IRNazanin"/>
          <w:color w:val="111111"/>
          <w:sz w:val="28"/>
          <w:sz w:val="28"/>
          <w:szCs w:val="28"/>
          <w:rtl w:val="true"/>
          <w:lang w:bidi="fa-IR"/>
        </w:rPr>
        <w:t>کربلاء</w:t>
      </w:r>
    </w:p>
    <w:p>
      <w:pPr>
        <w:pStyle w:val="BookText"/>
        <w:rPr/>
      </w:pPr>
      <w:r>
        <w:rPr>
          <w:rFonts w:ascii="IRNazanin" w:hAnsi="IRNazanin" w:eastAsia="IRNazanin"/>
          <w:color w:val="111111"/>
          <w:sz w:val="28"/>
          <w:sz w:val="28"/>
          <w:szCs w:val="28"/>
          <w:rtl w:val="true"/>
          <w:lang w:bidi="fa-IR"/>
        </w:rPr>
        <w:t>کردوس بن زهیر التغلبی</w:t>
      </w:r>
    </w:p>
    <w:p>
      <w:pPr>
        <w:pStyle w:val="BookText"/>
        <w:rPr/>
      </w:pPr>
      <w:r>
        <w:rPr>
          <w:rFonts w:ascii="IRNazanin" w:hAnsi="IRNazanin" w:eastAsia="IRNazanin"/>
          <w:color w:val="111111"/>
          <w:sz w:val="28"/>
          <w:sz w:val="28"/>
          <w:szCs w:val="28"/>
          <w:rtl w:val="true"/>
          <w:lang w:bidi="fa-IR"/>
        </w:rPr>
        <w:t>کلّ یوم عاشوراء</w:t>
      </w:r>
    </w:p>
    <w:p>
      <w:pPr>
        <w:pStyle w:val="BookText"/>
        <w:rPr/>
      </w:pPr>
      <w:r>
        <w:rPr>
          <w:rFonts w:ascii="IRNazanin" w:hAnsi="IRNazanin" w:eastAsia="IRNazanin"/>
          <w:color w:val="111111"/>
          <w:sz w:val="28"/>
          <w:sz w:val="28"/>
          <w:szCs w:val="28"/>
          <w:rtl w:val="true"/>
          <w:lang w:bidi="fa-IR"/>
        </w:rPr>
        <w:t>الکوفة</w:t>
      </w:r>
    </w:p>
    <w:p>
      <w:pPr>
        <w:pStyle w:val="BookText"/>
        <w:rPr/>
      </w:pPr>
      <w:r>
        <w:rPr>
          <w:rFonts w:ascii="IRNazanin" w:hAnsi="IRNazanin" w:eastAsia="IRNazanin"/>
          <w:color w:val="111111"/>
          <w:sz w:val="28"/>
          <w:sz w:val="28"/>
          <w:szCs w:val="28"/>
          <w:rtl w:val="true"/>
          <w:lang w:bidi="fa-IR"/>
        </w:rPr>
        <w:t>الکناسة</w:t>
      </w:r>
    </w:p>
    <w:p>
      <w:pPr>
        <w:pStyle w:val="BookText"/>
        <w:rPr/>
      </w:pPr>
      <w:r>
        <w:rPr>
          <w:rFonts w:ascii="IRNazanin" w:hAnsi="IRNazanin" w:eastAsia="IRNazanin"/>
          <w:color w:val="111111"/>
          <w:sz w:val="28"/>
          <w:sz w:val="28"/>
          <w:szCs w:val="28"/>
          <w:rtl w:val="true"/>
          <w:lang w:bidi="fa-IR"/>
        </w:rPr>
        <w:t>کنانة بن عتیق التغلبی</w:t>
      </w:r>
    </w:p>
    <w:p>
      <w:pPr>
        <w:pStyle w:val="Heading4"/>
        <w:numPr>
          <w:ilvl w:val="3"/>
          <w:numId w:val="1"/>
        </w:numPr>
        <w:rPr/>
      </w:pPr>
      <w:bookmarkStart w:id="269" w:name="__RefHeading___Toc1323775_774463916"/>
      <w:bookmarkStart w:id="270" w:name="_Toc115"/>
      <w:bookmarkEnd w:id="269"/>
      <w:r>
        <w:rPr>
          <w:rtl w:val="true"/>
        </w:rPr>
        <w:t>حرف اللام</w:t>
      </w:r>
      <w:bookmarkEnd w:id="270"/>
    </w:p>
    <w:p>
      <w:pPr>
        <w:pStyle w:val="BookText"/>
        <w:rPr/>
      </w:pPr>
      <w:r>
        <w:rPr>
          <w:rFonts w:ascii="IRNazanin" w:hAnsi="IRNazanin" w:eastAsia="IRNazanin"/>
          <w:color w:val="111111"/>
          <w:sz w:val="28"/>
          <w:sz w:val="28"/>
          <w:szCs w:val="28"/>
          <w:rtl w:val="true"/>
          <w:lang w:bidi="fa-IR"/>
        </w:rPr>
        <w:t>لا یوم کیومک یا أبا عبد الله</w:t>
      </w:r>
    </w:p>
    <w:p>
      <w:pPr>
        <w:pStyle w:val="BookText"/>
        <w:rPr/>
      </w:pPr>
      <w:r>
        <w:rPr>
          <w:rFonts w:ascii="IRNazanin" w:hAnsi="IRNazanin" w:eastAsia="IRNazanin"/>
          <w:color w:val="111111"/>
          <w:sz w:val="28"/>
          <w:sz w:val="28"/>
          <w:szCs w:val="28"/>
          <w:rtl w:val="true"/>
          <w:lang w:bidi="fa-IR"/>
        </w:rPr>
        <w:t>لامیه سید رضی</w:t>
      </w:r>
    </w:p>
    <w:p>
      <w:pPr>
        <w:pStyle w:val="BookText"/>
        <w:rPr/>
      </w:pPr>
      <w:r>
        <w:rPr>
          <w:rFonts w:ascii="IRNazanin" w:hAnsi="IRNazanin" w:eastAsia="IRNazanin"/>
          <w:color w:val="111111"/>
          <w:sz w:val="28"/>
          <w:sz w:val="28"/>
          <w:szCs w:val="28"/>
          <w:rtl w:val="true"/>
          <w:lang w:bidi="fa-IR"/>
        </w:rPr>
        <w:t>لبس السواد</w:t>
      </w:r>
    </w:p>
    <w:p>
      <w:pPr>
        <w:pStyle w:val="BookText"/>
        <w:rPr/>
      </w:pPr>
      <w:r>
        <w:rPr>
          <w:rFonts w:ascii="IRNazanin" w:hAnsi="IRNazanin" w:eastAsia="IRNazanin"/>
          <w:color w:val="111111"/>
          <w:sz w:val="28"/>
          <w:sz w:val="28"/>
          <w:szCs w:val="28"/>
          <w:rtl w:val="true"/>
          <w:lang w:bidi="fa-IR"/>
        </w:rPr>
        <w:t>لسان الحال</w:t>
      </w:r>
    </w:p>
    <w:p>
      <w:pPr>
        <w:pStyle w:val="BookText"/>
        <w:rPr/>
      </w:pPr>
      <w:r>
        <w:rPr>
          <w:rFonts w:ascii="IRNazanin" w:hAnsi="IRNazanin" w:eastAsia="IRNazanin"/>
          <w:color w:val="111111"/>
          <w:sz w:val="28"/>
          <w:sz w:val="28"/>
          <w:szCs w:val="28"/>
          <w:rtl w:val="true"/>
          <w:lang w:bidi="fa-IR"/>
        </w:rPr>
        <w:t>اللطم</w:t>
      </w:r>
    </w:p>
    <w:p>
      <w:pPr>
        <w:pStyle w:val="BookText"/>
        <w:rPr/>
      </w:pPr>
      <w:r>
        <w:rPr>
          <w:rFonts w:ascii="Amiri" w:hAnsi="Amiri" w:eastAsia="Amiri" w:cs="Amiri"/>
          <w:color w:val="111111"/>
          <w:sz w:val="28"/>
          <w:sz w:val="28"/>
          <w:szCs w:val="28"/>
          <w:rtl w:val="true"/>
          <w:lang w:bidi="ar-SA"/>
        </w:rPr>
        <w:t>اللعن والبراءة</w:t>
      </w:r>
    </w:p>
    <w:p>
      <w:pPr>
        <w:pStyle w:val="BookText"/>
        <w:rPr/>
      </w:pPr>
      <w:r>
        <w:rPr>
          <w:rFonts w:ascii="IRNazanin" w:hAnsi="IRNazanin" w:eastAsia="IRNazanin"/>
          <w:color w:val="111111"/>
          <w:sz w:val="28"/>
          <w:sz w:val="28"/>
          <w:szCs w:val="28"/>
          <w:rtl w:val="true"/>
          <w:lang w:bidi="fa-IR"/>
        </w:rPr>
        <w:t>لیلة عاشوراء</w:t>
      </w:r>
    </w:p>
    <w:p>
      <w:pPr>
        <w:pStyle w:val="BookText"/>
        <w:rPr/>
      </w:pPr>
      <w:r>
        <w:rPr>
          <w:rFonts w:ascii="IRNazanin" w:hAnsi="IRNazanin" w:eastAsia="IRNazanin"/>
          <w:color w:val="111111"/>
          <w:sz w:val="28"/>
          <w:sz w:val="28"/>
          <w:szCs w:val="28"/>
          <w:rtl w:val="true"/>
          <w:lang w:bidi="fa-IR"/>
        </w:rPr>
        <w:t>لیلی بنت أبی مرّة</w:t>
      </w:r>
    </w:p>
    <w:p>
      <w:pPr>
        <w:pStyle w:val="Heading4"/>
        <w:numPr>
          <w:ilvl w:val="3"/>
          <w:numId w:val="1"/>
        </w:numPr>
        <w:rPr/>
      </w:pPr>
      <w:bookmarkStart w:id="271" w:name="__RefHeading___Toc1323777_774463916"/>
      <w:bookmarkStart w:id="272" w:name="_Toc116"/>
      <w:bookmarkEnd w:id="271"/>
      <w:r>
        <w:rPr>
          <w:rtl w:val="true"/>
        </w:rPr>
        <w:t>حرف المیم</w:t>
      </w:r>
      <w:bookmarkEnd w:id="272"/>
    </w:p>
    <w:p>
      <w:pPr>
        <w:pStyle w:val="BookText"/>
        <w:rPr/>
      </w:pPr>
      <w:r>
        <w:rPr>
          <w:rFonts w:ascii="IRNazanin" w:hAnsi="IRNazanin" w:eastAsia="IRNazanin"/>
          <w:color w:val="111111"/>
          <w:sz w:val="28"/>
          <w:sz w:val="28"/>
          <w:szCs w:val="28"/>
          <w:rtl w:val="true"/>
          <w:lang w:bidi="fa-IR"/>
        </w:rPr>
        <w:t>المأتم الحسینی</w:t>
      </w:r>
    </w:p>
    <w:p>
      <w:pPr>
        <w:pStyle w:val="BookText"/>
        <w:rPr/>
      </w:pPr>
      <w:r>
        <w:rPr>
          <w:rFonts w:ascii="IRNazanin" w:hAnsi="IRNazanin" w:eastAsia="IRNazanin"/>
          <w:color w:val="111111"/>
          <w:sz w:val="28"/>
          <w:sz w:val="28"/>
          <w:szCs w:val="28"/>
          <w:rtl w:val="true"/>
          <w:lang w:bidi="fa-IR"/>
        </w:rPr>
        <w:t>ماربین الألمانی</w:t>
      </w:r>
    </w:p>
    <w:p>
      <w:pPr>
        <w:pStyle w:val="BookText"/>
        <w:rPr/>
      </w:pPr>
      <w:r>
        <w:rPr>
          <w:rFonts w:ascii="IRNazanin" w:hAnsi="IRNazanin" w:eastAsia="IRNazanin"/>
          <w:color w:val="111111"/>
          <w:sz w:val="28"/>
          <w:sz w:val="28"/>
          <w:szCs w:val="28"/>
          <w:rtl w:val="true"/>
          <w:lang w:bidi="fa-IR"/>
        </w:rPr>
        <w:t>ماریه بنت سعد</w:t>
      </w:r>
    </w:p>
    <w:p>
      <w:pPr>
        <w:pStyle w:val="BookText"/>
        <w:rPr/>
      </w:pPr>
      <w:r>
        <w:rPr>
          <w:rFonts w:ascii="IRNazanin" w:hAnsi="IRNazanin" w:eastAsia="IRNazanin"/>
          <w:color w:val="111111"/>
          <w:sz w:val="28"/>
          <w:sz w:val="28"/>
          <w:szCs w:val="28"/>
          <w:rtl w:val="true"/>
          <w:lang w:bidi="fa-IR"/>
        </w:rPr>
        <w:t>المجالس الحسینیة</w:t>
      </w:r>
    </w:p>
    <w:p>
      <w:pPr>
        <w:pStyle w:val="BookText"/>
        <w:rPr/>
      </w:pPr>
      <w:r>
        <w:rPr>
          <w:rFonts w:ascii="Amiri" w:hAnsi="Amiri" w:eastAsia="Amiri" w:cs="Amiri"/>
          <w:color w:val="111111"/>
          <w:sz w:val="28"/>
          <w:sz w:val="28"/>
          <w:szCs w:val="28"/>
          <w:rtl w:val="true"/>
          <w:lang w:bidi="ar-SA"/>
        </w:rPr>
        <w:t>محرّم</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أبی طالب</w:t>
      </w:r>
    </w:p>
    <w:p>
      <w:pPr>
        <w:pStyle w:val="BookText"/>
        <w:rPr/>
      </w:pPr>
      <w:r>
        <w:rPr>
          <w:rFonts w:ascii="IRNazanin" w:hAnsi="IRNazanin" w:eastAsia="IRNazanin"/>
          <w:color w:val="111111"/>
          <w:sz w:val="28"/>
          <w:sz w:val="28"/>
          <w:szCs w:val="28"/>
          <w:rtl w:val="true"/>
          <w:lang w:bidi="fa-IR"/>
        </w:rPr>
        <w:t>محمد بن الحنفیة</w:t>
      </w:r>
    </w:p>
    <w:p>
      <w:pPr>
        <w:pStyle w:val="BookText"/>
        <w:rPr/>
      </w:pPr>
      <w:r>
        <w:rPr>
          <w:rFonts w:ascii="Amiri" w:hAnsi="Amiri" w:eastAsia="Amiri" w:cs="Amiri"/>
          <w:color w:val="111111"/>
          <w:sz w:val="28"/>
          <w:sz w:val="28"/>
          <w:szCs w:val="28"/>
          <w:rtl w:val="true"/>
          <w:lang w:bidi="ar-SA"/>
        </w:rPr>
        <w:t>المخیّم</w:t>
      </w:r>
    </w:p>
    <w:p>
      <w:pPr>
        <w:pStyle w:val="BookText"/>
        <w:rPr/>
      </w:pPr>
      <w:r>
        <w:rPr>
          <w:rFonts w:ascii="Amiri" w:hAnsi="Amiri" w:eastAsia="Amiri" w:cs="Amiri"/>
          <w:color w:val="111111"/>
          <w:sz w:val="28"/>
          <w:sz w:val="28"/>
          <w:szCs w:val="28"/>
          <w:rtl w:val="true"/>
          <w:lang w:bidi="ar-SA"/>
        </w:rPr>
        <w:t>مراحل نهضة عاشوراء</w:t>
      </w:r>
    </w:p>
    <w:p>
      <w:pPr>
        <w:pStyle w:val="BookText"/>
        <w:rPr/>
      </w:pPr>
      <w:r>
        <w:rPr>
          <w:rFonts w:ascii="IRNazanin" w:hAnsi="IRNazanin" w:eastAsia="IRNazanin"/>
          <w:color w:val="111111"/>
          <w:sz w:val="28"/>
          <w:sz w:val="28"/>
          <w:szCs w:val="28"/>
          <w:rtl w:val="true"/>
          <w:lang w:bidi="fa-IR"/>
        </w:rPr>
        <w:t>مرقد 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الحر بن یزید الریاحی</w:t>
      </w:r>
    </w:p>
    <w:p>
      <w:pPr>
        <w:pStyle w:val="BookText"/>
        <w:rPr/>
      </w:pPr>
      <w:r>
        <w:rPr>
          <w:rFonts w:ascii="IRNazanin" w:hAnsi="IRNazanin" w:eastAsia="IRNazanin"/>
          <w:color w:val="111111"/>
          <w:sz w:val="28"/>
          <w:sz w:val="28"/>
          <w:szCs w:val="28"/>
          <w:rtl w:val="true"/>
          <w:lang w:bidi="fa-IR"/>
        </w:rPr>
        <w:t>مرقد السیدة زینب الکبری</w:t>
      </w:r>
    </w:p>
    <w:p>
      <w:pPr>
        <w:pStyle w:val="BookText"/>
        <w:rPr/>
      </w:pPr>
      <w:r>
        <w:rPr>
          <w:rFonts w:ascii="IRNazanin" w:hAnsi="IRNazanin" w:eastAsia="IRNazanin"/>
          <w:color w:val="111111"/>
          <w:sz w:val="28"/>
          <w:sz w:val="28"/>
          <w:szCs w:val="28"/>
          <w:rtl w:val="true"/>
          <w:lang w:bidi="fa-IR"/>
        </w:rPr>
        <w:t>المسالح</w:t>
      </w:r>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w:t>
      </w:r>
    </w:p>
    <w:p>
      <w:pPr>
        <w:pStyle w:val="BookText"/>
        <w:rPr/>
      </w:pPr>
      <w:r>
        <w:rPr>
          <w:rFonts w:ascii="IRNazanin" w:hAnsi="IRNazanin" w:eastAsia="IRNazanin"/>
          <w:color w:val="111111"/>
          <w:sz w:val="28"/>
          <w:sz w:val="28"/>
          <w:szCs w:val="28"/>
          <w:rtl w:val="true"/>
          <w:lang w:bidi="fa-IR"/>
        </w:rPr>
        <w:t>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w:t>
      </w:r>
    </w:p>
    <w:p>
      <w:pPr>
        <w:pStyle w:val="BookText"/>
        <w:rPr/>
      </w:pPr>
      <w:r>
        <w:rPr>
          <w:rFonts w:ascii="IRNazanin" w:hAnsi="IRNazanin" w:eastAsia="IRNazanin"/>
          <w:color w:val="111111"/>
          <w:sz w:val="28"/>
          <w:sz w:val="28"/>
          <w:szCs w:val="28"/>
          <w:rtl w:val="true"/>
          <w:lang w:bidi="fa-IR"/>
        </w:rPr>
        <w:t>منبر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المواکب الحسینیة </w:t>
      </w:r>
      <w:bookmarkStart w:id="273" w:name="pg5104_36318"/>
    </w:p>
    <w:p>
      <w:pPr>
        <w:pStyle w:val="Heading4"/>
        <w:numPr>
          <w:ilvl w:val="3"/>
          <w:numId w:val="1"/>
        </w:numPr>
        <w:rPr/>
      </w:pPr>
      <w:bookmarkStart w:id="274" w:name="__RefHeading___Toc1323779_774463916"/>
      <w:bookmarkStart w:id="275" w:name="_Toc117"/>
      <w:bookmarkEnd w:id="273"/>
      <w:bookmarkEnd w:id="274"/>
      <w:r>
        <w:rPr>
          <w:rtl w:val="true"/>
        </w:rPr>
        <w:t>حرف النون</w:t>
      </w:r>
      <w:bookmarkEnd w:id="275"/>
    </w:p>
    <w:p>
      <w:pPr>
        <w:pStyle w:val="BookText"/>
        <w:rPr/>
      </w:pPr>
      <w:r>
        <w:rPr>
          <w:rFonts w:ascii="IRNazanin" w:hAnsi="IRNazanin" w:eastAsia="IRNazanin"/>
          <w:color w:val="111111"/>
          <w:sz w:val="28"/>
          <w:sz w:val="28"/>
          <w:szCs w:val="28"/>
          <w:rtl w:val="true"/>
          <w:lang w:bidi="fa-IR"/>
        </w:rPr>
        <w:t>نافع بن هلال</w:t>
      </w:r>
    </w:p>
    <w:p>
      <w:pPr>
        <w:pStyle w:val="BookText"/>
        <w:rPr/>
      </w:pPr>
      <w:r>
        <w:rPr>
          <w:rFonts w:ascii="IRNazanin" w:hAnsi="IRNazanin" w:eastAsia="IRNazanin"/>
          <w:color w:val="111111"/>
          <w:sz w:val="28"/>
          <w:sz w:val="28"/>
          <w:szCs w:val="28"/>
          <w:rtl w:val="true"/>
          <w:lang w:bidi="fa-IR"/>
        </w:rPr>
        <w:t>النخیلة</w:t>
      </w:r>
    </w:p>
    <w:p>
      <w:pPr>
        <w:pStyle w:val="BookText"/>
        <w:rPr/>
      </w:pPr>
      <w:r>
        <w:rPr>
          <w:rFonts w:ascii="IRNazanin" w:hAnsi="IRNazanin" w:eastAsia="IRNazanin"/>
          <w:color w:val="111111"/>
          <w:sz w:val="28"/>
          <w:sz w:val="28"/>
          <w:szCs w:val="28"/>
          <w:rtl w:val="true"/>
          <w:lang w:bidi="fa-IR"/>
        </w:rPr>
        <w:t>النساء فی ثورة عاشوراء</w:t>
      </w:r>
    </w:p>
    <w:p>
      <w:pPr>
        <w:pStyle w:val="BookText"/>
        <w:rPr/>
      </w:pPr>
      <w:r>
        <w:rPr>
          <w:rFonts w:ascii="IRNazanin" w:hAnsi="IRNazanin" w:eastAsia="IRNazanin"/>
          <w:color w:val="111111"/>
          <w:sz w:val="28"/>
          <w:sz w:val="28"/>
          <w:szCs w:val="28"/>
          <w:rtl w:val="true"/>
          <w:lang w:bidi="fa-IR"/>
        </w:rPr>
        <w:t>النعمان بن بشیر</w:t>
      </w:r>
    </w:p>
    <w:p>
      <w:pPr>
        <w:pStyle w:val="BookText"/>
        <w:rPr/>
      </w:pPr>
      <w:r>
        <w:rPr>
          <w:rFonts w:ascii="IRNazanin" w:hAnsi="IRNazanin" w:eastAsia="IRNazanin"/>
          <w:color w:val="111111"/>
          <w:sz w:val="28"/>
          <w:sz w:val="28"/>
          <w:szCs w:val="28"/>
          <w:rtl w:val="true"/>
          <w:lang w:bidi="fa-IR"/>
        </w:rPr>
        <w:t>نهر العلقمی</w:t>
      </w:r>
    </w:p>
    <w:p>
      <w:pPr>
        <w:pStyle w:val="BookText"/>
        <w:rPr/>
      </w:pPr>
      <w:r>
        <w:rPr>
          <w:rFonts w:ascii="IRNazanin" w:hAnsi="IRNazanin" w:eastAsia="IRNazanin"/>
          <w:color w:val="111111"/>
          <w:sz w:val="28"/>
          <w:sz w:val="28"/>
          <w:szCs w:val="28"/>
          <w:rtl w:val="true"/>
          <w:lang w:bidi="fa-IR"/>
        </w:rPr>
        <w:t>النواویس</w:t>
      </w:r>
    </w:p>
    <w:p>
      <w:pPr>
        <w:pStyle w:val="BookText"/>
        <w:rPr/>
      </w:pPr>
      <w:r>
        <w:rPr>
          <w:rFonts w:ascii="IRNazanin" w:hAnsi="IRNazanin" w:eastAsia="IRNazanin"/>
          <w:color w:val="111111"/>
          <w:sz w:val="28"/>
          <w:sz w:val="28"/>
          <w:szCs w:val="28"/>
          <w:rtl w:val="true"/>
          <w:lang w:bidi="fa-IR"/>
        </w:rPr>
        <w:t>نوح الجن</w:t>
      </w:r>
    </w:p>
    <w:p>
      <w:pPr>
        <w:pStyle w:val="BookText"/>
        <w:rPr/>
      </w:pPr>
      <w:r>
        <w:rPr>
          <w:rFonts w:ascii="IRNazanin" w:hAnsi="IRNazanin" w:eastAsia="IRNazanin"/>
          <w:color w:val="111111"/>
          <w:sz w:val="28"/>
          <w:sz w:val="28"/>
          <w:szCs w:val="28"/>
          <w:rtl w:val="true"/>
          <w:lang w:bidi="fa-IR"/>
        </w:rPr>
        <w:t>نینوی</w:t>
      </w:r>
    </w:p>
    <w:p>
      <w:pPr>
        <w:pStyle w:val="Heading4"/>
        <w:numPr>
          <w:ilvl w:val="3"/>
          <w:numId w:val="1"/>
        </w:numPr>
        <w:rPr/>
      </w:pPr>
      <w:bookmarkStart w:id="276" w:name="__RefHeading___Toc1323781_774463916"/>
      <w:bookmarkStart w:id="277" w:name="_Toc118"/>
      <w:bookmarkEnd w:id="276"/>
      <w:r>
        <w:rPr>
          <w:rtl w:val="true"/>
        </w:rPr>
        <w:t>حرف الهاء</w:t>
      </w:r>
      <w:bookmarkEnd w:id="277"/>
    </w:p>
    <w:p>
      <w:pPr>
        <w:pStyle w:val="BookText"/>
        <w:rPr/>
      </w:pPr>
      <w:r>
        <w:rPr>
          <w:rFonts w:ascii="IRNazanin" w:hAnsi="IRNazanin" w:eastAsia="IRNazanin"/>
          <w:color w:val="111111"/>
          <w:sz w:val="28"/>
          <w:sz w:val="28"/>
          <w:szCs w:val="28"/>
          <w:rtl w:val="true"/>
          <w:lang w:bidi="fa-IR"/>
        </w:rPr>
        <w:t>هانی بن ثبیت الحضرمی</w:t>
      </w:r>
    </w:p>
    <w:p>
      <w:pPr>
        <w:pStyle w:val="BookText"/>
        <w:rPr/>
      </w:pPr>
      <w:r>
        <w:rPr>
          <w:rFonts w:ascii="IRNazanin" w:hAnsi="IRNazanin" w:eastAsia="IRNazanin"/>
          <w:color w:val="111111"/>
          <w:sz w:val="28"/>
          <w:sz w:val="28"/>
          <w:szCs w:val="28"/>
          <w:rtl w:val="true"/>
          <w:lang w:bidi="fa-IR"/>
        </w:rPr>
        <w:t>هانی بن عروة المرادی</w:t>
      </w:r>
    </w:p>
    <w:p>
      <w:pPr>
        <w:pStyle w:val="BookText"/>
        <w:rPr/>
      </w:pPr>
      <w:r>
        <w:rPr>
          <w:rFonts w:ascii="IRNazanin" w:hAnsi="IRNazanin" w:eastAsia="IRNazanin"/>
          <w:color w:val="111111"/>
          <w:sz w:val="28"/>
          <w:sz w:val="28"/>
          <w:szCs w:val="28"/>
          <w:rtl w:val="true"/>
          <w:lang w:bidi="fa-IR"/>
        </w:rPr>
        <w:t>هدم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هفهاف بن مهنّد الراسبی</w:t>
      </w:r>
    </w:p>
    <w:p>
      <w:pPr>
        <w:pStyle w:val="BookText"/>
        <w:rPr/>
      </w:pPr>
      <w:r>
        <w:rPr>
          <w:rFonts w:ascii="IRNazanin" w:hAnsi="IRNazanin" w:eastAsia="IRNazanin"/>
          <w:color w:val="111111"/>
          <w:sz w:val="28"/>
          <w:sz w:val="28"/>
          <w:szCs w:val="28"/>
          <w:rtl w:val="true"/>
          <w:lang w:bidi="fa-IR"/>
        </w:rPr>
        <w:t>هلال بن نافع</w:t>
      </w:r>
    </w:p>
    <w:p>
      <w:pPr>
        <w:pStyle w:val="BookText"/>
        <w:rPr/>
      </w:pPr>
      <w:r>
        <w:rPr>
          <w:rFonts w:ascii="IRNazanin" w:hAnsi="IRNazanin" w:eastAsia="IRNazanin"/>
          <w:color w:val="111111"/>
          <w:sz w:val="28"/>
          <w:sz w:val="28"/>
          <w:szCs w:val="28"/>
          <w:rtl w:val="true"/>
          <w:lang w:bidi="fa-IR"/>
        </w:rPr>
        <w:t>الهودج</w:t>
      </w:r>
    </w:p>
    <w:p>
      <w:pPr>
        <w:pStyle w:val="BookText"/>
        <w:rPr/>
      </w:pPr>
      <w:r>
        <w:rPr>
          <w:rFonts w:ascii="IRNazanin" w:hAnsi="IRNazanin" w:eastAsia="IRNazanin"/>
          <w:color w:val="111111"/>
          <w:sz w:val="28"/>
          <w:sz w:val="28"/>
          <w:szCs w:val="28"/>
          <w:rtl w:val="true"/>
          <w:lang w:bidi="fa-IR"/>
        </w:rPr>
        <w:t>هیثم بن الأسود الکندی</w:t>
      </w:r>
    </w:p>
    <w:p>
      <w:pPr>
        <w:pStyle w:val="BookText"/>
        <w:rPr/>
      </w:pPr>
      <w:r>
        <w:rPr>
          <w:rFonts w:ascii="IRNazanin" w:hAnsi="IRNazanin" w:eastAsia="IRNazanin"/>
          <w:color w:val="111111"/>
          <w:sz w:val="28"/>
          <w:sz w:val="28"/>
          <w:szCs w:val="28"/>
          <w:rtl w:val="true"/>
          <w:lang w:bidi="fa-IR"/>
        </w:rPr>
        <w:t>هیهات منّا الذلة</w:t>
      </w:r>
    </w:p>
    <w:p>
      <w:pPr>
        <w:pStyle w:val="Heading4"/>
        <w:numPr>
          <w:ilvl w:val="3"/>
          <w:numId w:val="1"/>
        </w:numPr>
        <w:rPr/>
      </w:pPr>
      <w:bookmarkStart w:id="278" w:name="__RefHeading___Toc1323783_774463916"/>
      <w:bookmarkStart w:id="279" w:name="_Toc119"/>
      <w:bookmarkEnd w:id="278"/>
      <w:r>
        <w:rPr>
          <w:rtl w:val="true"/>
        </w:rPr>
        <w:t>حرف الواو</w:t>
      </w:r>
      <w:bookmarkEnd w:id="279"/>
    </w:p>
    <w:p>
      <w:pPr>
        <w:pStyle w:val="BookText"/>
        <w:rPr/>
      </w:pPr>
      <w:r>
        <w:rPr>
          <w:rFonts w:ascii="IRNazanin" w:hAnsi="IRNazanin" w:eastAsia="IRNazanin"/>
          <w:color w:val="111111"/>
          <w:sz w:val="28"/>
          <w:sz w:val="28"/>
          <w:szCs w:val="28"/>
          <w:rtl w:val="true"/>
          <w:lang w:bidi="fa-IR"/>
        </w:rPr>
        <w:t>وادی العقیق</w:t>
      </w:r>
    </w:p>
    <w:p>
      <w:pPr>
        <w:pStyle w:val="BookText"/>
        <w:rPr/>
      </w:pPr>
      <w:r>
        <w:rPr>
          <w:rFonts w:ascii="IRNazanin" w:hAnsi="IRNazanin" w:eastAsia="IRNazanin"/>
          <w:color w:val="111111"/>
          <w:sz w:val="28"/>
          <w:sz w:val="28"/>
          <w:szCs w:val="28"/>
          <w:rtl w:val="true"/>
          <w:lang w:bidi="fa-IR"/>
        </w:rPr>
        <w:t>الوارث</w:t>
      </w:r>
    </w:p>
    <w:p>
      <w:pPr>
        <w:pStyle w:val="BookText"/>
        <w:rPr/>
      </w:pPr>
      <w:r>
        <w:rPr>
          <w:rFonts w:ascii="IRNazanin" w:hAnsi="IRNazanin" w:eastAsia="IRNazanin"/>
          <w:color w:val="111111"/>
          <w:sz w:val="28"/>
          <w:sz w:val="28"/>
          <w:szCs w:val="28"/>
          <w:rtl w:val="true"/>
          <w:lang w:bidi="fa-IR"/>
        </w:rPr>
        <w:t>واضح الترکی</w:t>
      </w:r>
    </w:p>
    <w:p>
      <w:pPr>
        <w:pStyle w:val="BookText"/>
        <w:rPr/>
      </w:pPr>
      <w:r>
        <w:rPr>
          <w:rFonts w:ascii="Amiri" w:hAnsi="Amiri" w:eastAsia="Amiri" w:cs="Amiri"/>
          <w:color w:val="111111"/>
          <w:sz w:val="28"/>
          <w:sz w:val="28"/>
          <w:szCs w:val="28"/>
          <w:rtl w:val="true"/>
          <w:lang w:bidi="ar-SA"/>
        </w:rPr>
        <w:t>واقعة الحرّة</w:t>
      </w:r>
    </w:p>
    <w:p>
      <w:pPr>
        <w:pStyle w:val="BookText"/>
        <w:rPr/>
      </w:pPr>
      <w:r>
        <w:rPr>
          <w:rFonts w:ascii="IRNazanin" w:hAnsi="IRNazanin" w:eastAsia="IRNazanin"/>
          <w:color w:val="111111"/>
          <w:sz w:val="28"/>
          <w:sz w:val="28"/>
          <w:szCs w:val="28"/>
          <w:rtl w:val="true"/>
          <w:lang w:bidi="fa-IR"/>
        </w:rPr>
        <w:t>وداع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ورقاء بن عازب</w:t>
      </w:r>
    </w:p>
    <w:p>
      <w:pPr>
        <w:pStyle w:val="BookText"/>
        <w:rPr/>
      </w:pPr>
      <w:r>
        <w:rPr>
          <w:rFonts w:ascii="IRNazanin" w:hAnsi="IRNazanin" w:eastAsia="IRNazanin"/>
          <w:color w:val="111111"/>
          <w:sz w:val="28"/>
          <w:sz w:val="28"/>
          <w:szCs w:val="28"/>
          <w:rtl w:val="true"/>
          <w:lang w:bidi="fa-IR"/>
        </w:rPr>
        <w:t>وصیة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عبد الله الکلبی</w:t>
      </w:r>
    </w:p>
    <w:p>
      <w:pPr>
        <w:pStyle w:val="Heading4"/>
        <w:numPr>
          <w:ilvl w:val="3"/>
          <w:numId w:val="1"/>
        </w:numPr>
        <w:rPr/>
      </w:pPr>
      <w:bookmarkStart w:id="280" w:name="__RefHeading___Toc1323785_774463916"/>
      <w:bookmarkStart w:id="281" w:name="_Toc120"/>
      <w:bookmarkEnd w:id="280"/>
      <w:r>
        <w:rPr>
          <w:rtl w:val="true"/>
        </w:rPr>
        <w:t>حرف الیاء</w:t>
      </w:r>
      <w:bookmarkEnd w:id="281"/>
    </w:p>
    <w:p>
      <w:pPr>
        <w:pStyle w:val="BookText"/>
        <w:rPr/>
      </w:pP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هانی</w:t>
      </w:r>
    </w:p>
    <w:p>
      <w:pPr>
        <w:pStyle w:val="BookText"/>
        <w:rPr/>
      </w:pPr>
      <w:r>
        <w:rPr>
          <w:rFonts w:ascii="IRNazanin" w:hAnsi="IRNazanin" w:eastAsia="IRNazanin"/>
          <w:color w:val="111111"/>
          <w:sz w:val="28"/>
          <w:sz w:val="28"/>
          <w:szCs w:val="28"/>
          <w:rtl w:val="true"/>
          <w:lang w:bidi="fa-IR"/>
        </w:rPr>
        <w:t>یزید بن ثبیت القیسی</w:t>
      </w:r>
    </w:p>
    <w:p>
      <w:pPr>
        <w:pStyle w:val="BookText"/>
        <w:rPr/>
      </w:pPr>
      <w:r>
        <w:rPr>
          <w:rFonts w:ascii="IRNazanin" w:hAnsi="IRNazanin" w:eastAsia="IRNazanin"/>
          <w:color w:val="111111"/>
          <w:sz w:val="28"/>
          <w:sz w:val="28"/>
          <w:szCs w:val="28"/>
          <w:rtl w:val="true"/>
          <w:lang w:bidi="fa-IR"/>
        </w:rPr>
        <w:t>یزید بن الحصین الهمدانی</w:t>
      </w:r>
    </w:p>
    <w:p>
      <w:pPr>
        <w:pStyle w:val="BookText"/>
        <w:rPr/>
      </w:pPr>
      <w:r>
        <w:rPr>
          <w:rFonts w:ascii="IRNazanin" w:hAnsi="IRNazanin" w:eastAsia="IRNazanin"/>
          <w:color w:val="111111"/>
          <w:sz w:val="28"/>
          <w:sz w:val="28"/>
          <w:szCs w:val="28"/>
          <w:rtl w:val="true"/>
          <w:lang w:bidi="fa-IR"/>
        </w:rPr>
        <w:t>یزید بن معاویة</w:t>
      </w:r>
    </w:p>
    <w:p>
      <w:pPr>
        <w:pStyle w:val="BookText"/>
        <w:rPr/>
      </w:pPr>
      <w:r>
        <w:rPr>
          <w:rFonts w:ascii="IRNazanin" w:hAnsi="IRNazanin" w:eastAsia="IRNazanin"/>
          <w:color w:val="111111"/>
          <w:sz w:val="28"/>
          <w:sz w:val="28"/>
          <w:szCs w:val="28"/>
          <w:rtl w:val="true"/>
          <w:lang w:bidi="fa-IR"/>
        </w:rPr>
        <w:t>یزید بن مغفل</w:t>
      </w:r>
    </w:p>
    <w:p>
      <w:pPr>
        <w:pStyle w:val="BookText"/>
        <w:rPr/>
      </w:pPr>
      <w:r>
        <w:rPr>
          <w:rFonts w:ascii="IRNazanin" w:hAnsi="IRNazanin" w:eastAsia="IRNazanin"/>
          <w:color w:val="111111"/>
          <w:sz w:val="28"/>
          <w:sz w:val="28"/>
          <w:szCs w:val="28"/>
          <w:rtl w:val="true"/>
          <w:lang w:bidi="fa-IR"/>
        </w:rPr>
        <w:t>یسار بن صرد الخزاعی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الأربعین </w:t>
      </w:r>
      <w:bookmarkStart w:id="282" w:name="pg5104_36320"/>
    </w:p>
    <w:p>
      <w:pPr>
        <w:pStyle w:val="Heading3"/>
        <w:numPr>
          <w:ilvl w:val="2"/>
          <w:numId w:val="1"/>
        </w:numPr>
        <w:rPr/>
      </w:pPr>
      <w:bookmarkStart w:id="283" w:name="__RefHeading___Toc1323787_774463916"/>
      <w:bookmarkStart w:id="284" w:name="_Toc121"/>
      <w:bookmarkEnd w:id="282"/>
      <w:bookmarkEnd w:id="283"/>
      <w:r>
        <w:rPr>
          <w:rtl w:val="true"/>
        </w:rPr>
        <w:t>نماذج من مقالات دائرة المعارف الحسینیة</w:t>
      </w:r>
      <w:bookmarkEnd w:id="284"/>
    </w:p>
    <w:p>
      <w:pPr>
        <w:pStyle w:val="Heading4"/>
        <w:numPr>
          <w:ilvl w:val="3"/>
          <w:numId w:val="1"/>
        </w:numPr>
        <w:rPr/>
      </w:pPr>
      <w:bookmarkStart w:id="285" w:name="__RefHeading___Toc1323789_774463916"/>
      <w:bookmarkStart w:id="286" w:name="_Toc122"/>
      <w:bookmarkEnd w:id="285"/>
      <w:r>
        <w:rPr>
          <w:rtl w:val="true"/>
        </w:rPr>
        <w:t>أنس بن الحارث</w:t>
      </w:r>
      <w:bookmarkEnd w:id="286"/>
    </w:p>
    <w:p>
      <w:pPr>
        <w:pStyle w:val="BookText"/>
        <w:rPr/>
      </w:pP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المَلحُوظ شُحّة المعلومات وقلّتها فی المصادر عن أَصحابِ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لبعضهم مکانةً عالیةً فی قَومهم ومُحیطهم الاجتماعی، فلم یَنل کثیرٌ منهم حقّه من الذّکر والتّرجمة فی کُتب السّیر والتّاریخ، ومن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 الکاهلی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من 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رووا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اسم هذا الصّحابی الجلیل باسمین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اختلف فی اسم الأب واللّقب مع کلٍّ من هذین الاسمین، والتّوضیح فیما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وَورد بِعدّة 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الحارث الکاهلی</w:t>
      </w:r>
      <w:r>
        <w:rPr>
          <w:rStyle w:val="FootnoteAnchor"/>
          <w:rtl w:val="true"/>
        </w:rPr>
        <w:footnoteReference w:id="5"/>
      </w:r>
      <w:r>
        <w:rPr>
          <w:rFonts w:ascii="IRNazanin" w:hAnsi="IRNazanin" w:eastAsia="IRNazanin"/>
          <w:color w:val="111111"/>
          <w:sz w:val="28"/>
          <w:sz w:val="28"/>
          <w:szCs w:val="28"/>
          <w:rtl w:val="true"/>
          <w:lang w:bidi="fa-IR"/>
        </w:rPr>
        <w:t>، وهو الأکثر شهرةً وتداولاً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الحرث الکاهلی أو الأسدی، ذکره السّماوی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کاهل الأسدی، ورد بهذا الاسم فی زیارتی النّاحیة والرّجبیة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أبی سحیم، ذکره العلامة المجلسی</w:t>
      </w:r>
      <w:r>
        <w:rPr>
          <w:rStyle w:val="FootnoteAnchor"/>
          <w:rtl w:val="true"/>
        </w:rPr>
        <w:footnoteReference w:id="8"/>
      </w:r>
      <w:r>
        <w:rPr>
          <w:rFonts w:ascii="IRNazanin" w:hAnsi="IRNazanin" w:eastAsia="IRNazanin"/>
          <w:color w:val="111111"/>
          <w:sz w:val="28"/>
          <w:sz w:val="28"/>
          <w:szCs w:val="28"/>
          <w:rtl w:val="true"/>
          <w:lang w:bidi="fa-IR"/>
        </w:rPr>
        <w:t>، وابن نما الحلّی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 تحتَ هذا العُنوان عدّة 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الباهلی 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المالکی، ذکره بهذا الاسم العلّامة المجلسی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الکاهلی، ذُکِر فی الأمالی ومناقب آل أبی طالب والبحار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الاسم من حیث التَّعدد والاتحاد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یظهر من بعض القرائن رجوعُ هذه الأسماء إلی اسمین، إذْ یُمکن إرجاع ما ذُکِر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واحد؛ وذلک لعدّة قرائن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وقع التّصحیف؛ لأنَّ بعض النُّسخ والمصنّفات القدیمة لا تکتب الألف بل ترمز إلیها رمزاً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تقاطع بین الکاهلی والأسدی؛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القبیلة الأم،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بطونها، فَتارةً یُنسَب إلی القبیلة وأُخری </w:t>
      </w:r>
    </w:p>
    <w:p>
      <w:pPr>
        <w:pStyle w:val="BookText"/>
        <w:rPr/>
      </w:pPr>
      <w:r>
        <w:rPr>
          <w:rFonts w:ascii="IRNazanin" w:hAnsi="IRNazanin" w:eastAsia="IRNazanin"/>
          <w:color w:val="111111"/>
          <w:sz w:val="28"/>
          <w:sz w:val="28"/>
          <w:szCs w:val="28"/>
          <w:rtl w:val="true"/>
          <w:lang w:bidi="fa-IR"/>
        </w:rPr>
        <w:t>إلی أَحد بُطونها، وعلیه یکون الاسم الأوّل والثانی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کاهل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وإنْ کانَ ظاهرُ بعض الأعلام أنّه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عَدّهما عُنوانیین مُستقلَّین، فذکرَ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کاهل</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إلّا أنَّ بَعضَهُم ذهب إلی أَنّهما واحد؛ فإنَّ الکاهلی أسدی وابن کاهل نسبةً إلی العشیرة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ویُحتَمل کونه کُنیةً لأحد أَجدادهِ، وقد جاء بها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یرتبطُ بأنس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فیُمکن إرجاع جمَیعُ الألقاب التی لُقِّبَ بها إلی واحد أیضاً؛ وذلک لما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العلّامة المجلسی، قد احتمل بعضهم تَراجعهُ عنه وتصحیحه، فإنّه بعد ذکره بهذا الاسم واللّقب عقّبه بما ذکره ابن نما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ابن حارث الکاهلی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باهل وإنْ کانت تختلف عن کاهل؛ إذ هی مُضریة</w:t>
      </w:r>
      <w:r>
        <w:rPr>
          <w:rStyle w:val="FootnoteAnchor"/>
          <w:rtl w:val="true"/>
        </w:rPr>
        <w:footnoteReference w:id="16"/>
      </w:r>
      <w:r>
        <w:rPr>
          <w:rFonts w:ascii="Amiri" w:hAnsi="Amiri" w:eastAsia="Amiri" w:cs="Amiri"/>
          <w:color w:val="111111"/>
          <w:sz w:val="28"/>
          <w:sz w:val="28"/>
          <w:szCs w:val="28"/>
          <w:rtl w:val="true"/>
          <w:lang w:bidi="ar-SA"/>
        </w:rPr>
        <w:t>، وکاهل أَسدیة قحطانیة، ولا یصحُّ الانتساب إلیهما معاً، إلّا أنّه یحتمل وقوع التَّصحیف بینهما، وأنَّ الأقرب هو کاهل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یُمکنُ إرجاعُ الجمیع إلی واحدٍ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أنس 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البین عُنوانیین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الحارث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ابن أنس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والمشتَرک بینهما الانتساب إلی کاهل، فالاختلاف یَنحصرُ فی الاسمین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أیضاً یُمکن إرجاعهما إلی شَخصیةٍ واحدة، وإنْ استقرب البعض أنّهما متغایران، وأنّه قد حصل الخلط للرَجز الصّادر منهما، مع أنّه من المُحتَمل أنْ یکون ما نُسِبَ لأحدهما نُسِبَ إلی الآخر، إلّا أنَّ بعض القرائن تؤیّد اتحادهما، وأَنهما اسمان لشخصیةٍ واحدة، وتلک القرائن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أغلب المصادر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أَغلب المصادر علی أنّه ممن استشهد فی کربلاء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جمیع هذه الأسماء حدیث واحد</w:t>
      </w:r>
      <w:r>
        <w:rPr>
          <w:rStyle w:val="FootnoteAnchor"/>
          <w:rtl w:val="true"/>
        </w:rPr>
        <w:footnoteReference w:id="17"/>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به عن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ووجوب نُصرَته، فینسب تارةً إلی أنس بن مالک، وأخری إلی مالک بن 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لهما أرجوزةٌ واحدة لا تختلف إلّا فی بعض الکلمات یبعد صُدورها من أشخاصٍ متعددین مع کُلِّ هذا التّطابق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فالّذی یتّضح من خلال هذه القرائن أنَّ المصادر وإنْ اختلفت 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عَنت شخصاً واحداً، حضرَ واقعة الطّف مع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معه فیمن استشهد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وموطنه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المصادر تأریخُ ولادته أو شیءٌ عن عمره، ولکن ذکر بعض أنّه شارک فی بدرٍ وحنین</w:t>
      </w:r>
      <w:r>
        <w:rPr>
          <w:rStyle w:val="FootnoteAnchor"/>
          <w:rtl w:val="true"/>
        </w:rPr>
        <w:footnoteReference w:id="18"/>
      </w:r>
      <w:r>
        <w:rPr>
          <w:rFonts w:ascii="IRNazanin" w:hAnsi="IRNazanin" w:eastAsia="IRNazanin"/>
          <w:color w:val="111111"/>
          <w:sz w:val="28"/>
          <w:sz w:val="28"/>
          <w:szCs w:val="28"/>
          <w:rtl w:val="true"/>
          <w:lang w:bidi="fa-IR"/>
        </w:rPr>
        <w:t>، فلا بد أن یکون حینئذ فی العقد الثانی أو مطلع العقد الثالث؛ إذ ذلک هو العمر المناسب للمشارکة فی الحروب علی أقل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یکونُ فی یوم عاشوراء فی السبعین أو الثمانین من عُمره، وهو الذی یظهر من </w:t>
      </w:r>
    </w:p>
    <w:p>
      <w:pPr>
        <w:pStyle w:val="BookText"/>
        <w:rPr/>
      </w:pPr>
      <w:r>
        <w:rPr>
          <w:rFonts w:ascii="Amiri" w:hAnsi="Amiri" w:eastAsia="Amiri" w:cs="Amiri"/>
          <w:color w:val="111111"/>
          <w:sz w:val="28"/>
          <w:sz w:val="28"/>
          <w:szCs w:val="28"/>
          <w:rtl w:val="true"/>
          <w:lang w:bidi="ar-SA"/>
        </w:rPr>
        <w:t>البعض؛ إذ ذکر أنّه شَیخٌ کبیرُ السّن، وذو منزلةٍ اجتماعیةٍ عالیةٍ؛ لکونه صحابیاً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مَسکَنهُ فقد عُدَّ من أهل الکوفة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صحبته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وَروایته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المشهور إلی أنّهُ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ذکرهُ فی الصحابة البغوی، وابن السّکن، وابن شاهین، والدّغولی، وابن برز، والبارودی، وابن مندة</w:t>
      </w:r>
      <w:r>
        <w:rPr>
          <w:rStyle w:val="FootnoteAnchor"/>
          <w:rtl w:val="true"/>
        </w:rPr>
        <w:footnoteReference w:id="21"/>
      </w:r>
      <w:r>
        <w:rPr>
          <w:rFonts w:ascii="Amiri" w:hAnsi="Amiri" w:eastAsia="Amiri" w:cs="Amiri"/>
          <w:color w:val="111111"/>
          <w:sz w:val="28"/>
          <w:sz w:val="28"/>
          <w:szCs w:val="28"/>
          <w:rtl w:val="true"/>
          <w:lang w:bidi="ar-SA"/>
        </w:rPr>
        <w:t>، والشّیخ الطُّوسی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یخالف فی ذلک إلّا الذّهبی فی التّجرید، إذْ ذکر أنّه لا صحبةَ له، وحدیثهُ مُرسل، وأجابه ابن حجر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حدیثهُ مُرسلاً وقَدْ قالَ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مشهوراً یُخبِر فیه عن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ابنی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بأرضٍ یُقالُ لها کربلاء، فمن شَهِد ذلک منکُم فلیَنصُره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روایةٌ متوافقةٌ مع کثیرٍ من الرّوایات المُتضَمّنةِ لإخبار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 أحمد فی مُسنَدهِ، عن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ملک المطر استأذن ربه أنْ یأتی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فأذِن له، فقال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املکی علینا الباب، لا یدخل علینا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الحسین لیدخل فمنعته، فوثب فدخل، فجعل یقعده علی ظهر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وعلی منکبه وعلی عاتقه،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للنبی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أمّتک ستقتله، وإنْ شئتَ أریتک المکان الذی یُقتل فیه؛ فضربَ بیده؛ فجاء بطینةٍ حمراء، فأخذتها أمُ سَلَمة، فصرّتها فی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بلغتها أنها کربلاء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التحاقه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البلاذری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نَزلَ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بنی مقاتل، ودعا عبید الله بن الحر الجعفی لنصرته فلم یجبه، خرج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وکان الکاهلی قد سمع حدیثهما، فأقبل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أخرجنی من الکوفة إلّا ما أخرج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کراهة قتالک والقتال معک، ولکن الله قَذفَ فی قلبی بنصرتک وشَجّعنی علی المسیر معک، 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معنا راشداً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ذکر بعضٌ أنّه جاء إلی الحسین عند نزوله کربلاء، والتقی معه لیلاً، فیمن أدرکته السّعادة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فصحب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کربلاء، وذُکِر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أنساً إلی عمر بن سعد لینصحه ویعظه، و یتمَّ الحجّة علیه، رغم علمه أنَّ القوم لا یرتدعون، فسار الکاهلی الی ابن سعد، و لم یسلّم علیه، فأنکر ابن سعد علیه ذلک، وأنّه لم یخرج من الإسلام ولم ینکر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عرفت الله وأدّیت حق رسوله، وأنت عاقد العزم علی سفک دم أولاد النبی وأصحابهم، فأطرق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أنَّ قاتلهم فی نار جهنم ولکن لا مناص من أمر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أنس إلی الحسین، وأبلغه ما سمعه من ابن سعد</w:t>
      </w:r>
      <w:r>
        <w:rPr>
          <w:rFonts w:eastAsia="IRNazanin" w:cs="IRNazanin"/>
          <w:color w:val="111111"/>
          <w:sz w:val="28"/>
          <w:szCs w:val="28"/>
          <w:rtl w:val="true"/>
          <w:lang w:bidi="fa-IR"/>
        </w:rPr>
        <w:t>»</w:t>
      </w:r>
      <w:r>
        <w:rPr>
          <w:rStyle w:val="FootnoteAnchor"/>
          <w:rtl w:val="true"/>
        </w:rPr>
        <w:footnoteReference w:id="2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شهادته ورثاؤه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أهل السّیر أنّ أنساً </w:t>
      </w:r>
    </w:p>
    <w:p>
      <w:pPr>
        <w:pStyle w:val="BookText"/>
        <w:rPr/>
      </w:pPr>
      <w:r>
        <w:rPr>
          <w:rFonts w:ascii="IRNazanin" w:hAnsi="IRNazanin" w:eastAsia="IRNazanin"/>
          <w:color w:val="111111"/>
          <w:sz w:val="28"/>
          <w:sz w:val="28"/>
          <w:szCs w:val="28"/>
          <w:rtl w:val="true"/>
          <w:lang w:bidi="fa-IR"/>
        </w:rPr>
        <w:t>استأذنَ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أذن له خرج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کاهلنا وذودان</w:t>
      </w:r>
    </w:p>
    <w:p>
      <w:pPr>
        <w:pStyle w:val="BookText"/>
        <w:rPr/>
      </w:pPr>
      <w:r>
        <w:rPr>
          <w:rFonts w:ascii="IRNazanin" w:hAnsi="IRNazanin" w:eastAsia="IRNazanin"/>
          <w:color w:val="111111"/>
          <w:sz w:val="28"/>
          <w:sz w:val="28"/>
          <w:szCs w:val="28"/>
          <w:rtl w:val="true"/>
          <w:lang w:bidi="fa-IR"/>
        </w:rPr>
        <w:t>والخندقیون وقیسُ  غیلان</w:t>
      </w:r>
    </w:p>
    <w:p>
      <w:pPr>
        <w:pStyle w:val="BookText"/>
        <w:rPr/>
      </w:pPr>
      <w:r>
        <w:rPr>
          <w:rFonts w:ascii="Amiri" w:hAnsi="Amiri" w:eastAsia="Amiri" w:cs="Amiri"/>
          <w:color w:val="111111"/>
          <w:sz w:val="28"/>
          <w:sz w:val="28"/>
          <w:szCs w:val="28"/>
          <w:rtl w:val="true"/>
          <w:lang w:bidi="ar-SA"/>
        </w:rPr>
        <w:t>بأنّ َ قومی آفة  للأقران</w:t>
      </w:r>
    </w:p>
    <w:p>
      <w:pPr>
        <w:pStyle w:val="BookText"/>
        <w:rPr/>
      </w:pPr>
      <w:r>
        <w:rPr>
          <w:rFonts w:ascii="IRNazanin" w:hAnsi="IRNazanin" w:eastAsia="IRNazanin"/>
          <w:color w:val="111111"/>
          <w:sz w:val="28"/>
          <w:sz w:val="28"/>
          <w:szCs w:val="28"/>
          <w:rtl w:val="true"/>
          <w:lang w:bidi="fa-IR"/>
        </w:rPr>
        <w:t>یا قوم کونوا کأسودِ خفّان</w:t>
      </w:r>
    </w:p>
    <w:p>
      <w:pPr>
        <w:pStyle w:val="BookText"/>
        <w:rPr/>
      </w:pPr>
      <w:r>
        <w:rPr>
          <w:rFonts w:ascii="IRNazanin" w:hAnsi="IRNazanin" w:eastAsia="IRNazanin"/>
          <w:color w:val="111111"/>
          <w:sz w:val="28"/>
          <w:sz w:val="28"/>
          <w:szCs w:val="28"/>
          <w:rtl w:val="true"/>
          <w:lang w:bidi="fa-IR"/>
        </w:rPr>
        <w:t>واستقبلوا القوم  بضربٍ الآن</w:t>
      </w:r>
    </w:p>
    <w:p>
      <w:pPr>
        <w:pStyle w:val="BookText"/>
        <w:rPr/>
      </w:pPr>
      <w:r>
        <w:rPr>
          <w:rFonts w:ascii="Amiri" w:hAnsi="Amiri" w:eastAsia="Amiri" w:cs="Amiri"/>
          <w:color w:val="111111"/>
          <w:sz w:val="28"/>
          <w:sz w:val="28"/>
          <w:szCs w:val="28"/>
          <w:rtl w:val="true"/>
          <w:lang w:bidi="ar-SA"/>
        </w:rPr>
        <w:t>آلُ علی شیعة الرّحمان</w:t>
      </w:r>
    </w:p>
    <w:p>
      <w:pPr>
        <w:pStyle w:val="BookText"/>
        <w:rPr/>
      </w:pPr>
      <w:r>
        <w:rPr>
          <w:rFonts w:ascii="IRNazanin" w:hAnsi="IRNazanin" w:eastAsia="IRNazanin"/>
          <w:color w:val="111111"/>
          <w:sz w:val="28"/>
          <w:sz w:val="28"/>
          <w:szCs w:val="28"/>
          <w:rtl w:val="true"/>
          <w:lang w:bidi="fa-IR"/>
        </w:rPr>
        <w:t xml:space="preserve">وآل حرب شیعة الشّیطان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وذکر بعضٌ عن أبی مخنف أنَّ أنساً بعد أنْ أذن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شدَّ وسطه بالعمامة، ورفع حاجبیه بالعصّابة، فلمّا نظر إلیه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الهیئة، بکی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لک یا شیخ</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 قتالاً شدیداً بالرّغم من کبر سنّه، إلی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رَثاهُ الکُمیت بن زیدٍ الأسدی إذْ قالَ فیه وفی حبیب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سوی عصبةٍ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w:t>
      </w:r>
    </w:p>
    <w:p>
      <w:pPr>
        <w:pStyle w:val="BookText"/>
        <w:rPr/>
      </w:pPr>
      <w:r>
        <w:rPr>
          <w:rFonts w:ascii="Amiri" w:hAnsi="Amiri" w:eastAsia="Amiri" w:cs="Amiri"/>
          <w:color w:val="111111"/>
          <w:sz w:val="28"/>
          <w:sz w:val="28"/>
          <w:szCs w:val="28"/>
          <w:rtl w:val="true"/>
          <w:lang w:bidi="ar-SA"/>
        </w:rPr>
        <w:t>قضی نَحْبَه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فهنیئاً له إذ کان من بین تلک الکوکبة الخالدة فی سماء الشّهادة، والذین مدحهم غیر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وأعلنها المولی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مثیل لتلک الثلّة المجاهدة التی ضحّت بالغالی والنّفیس فی کربلاء، وورد اسمه فی الزّیارة الناحیة، وسلام الإمام صاحب العصر علیه شاهدٌ علی فضله ومکانته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وهنیئاً له، إذْ بدأ حیاته بصحبة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وختمها بالشّهادة مع سبطه؛ دفاعاً عن شریعة الله وابن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تُقعده الشّیخوخة عن المُشارکة، وبذا جمعَ کلَّ الشّرف والمکانة فی الدُّنیا، والآخرة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 العین فی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طاهر السماوی،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الطبسی، مرکز الدراسات الإسلامیة،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الأصحاب، یوسف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البجاوی، دار الجیل،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فی معرفة الصحابة،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اسماعیلیان،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تمیز الصحابة، أحمد بن علی 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علی محمد معوض،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 مکتب الإعلام الإسلامی،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للدراسات، طهران،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دار المعارف، مصر،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مهدی شمس الدین، الدار الإسلامیة،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 لدرر أخبار الأئمة الأطهار، محمد باقر المجلسی، مؤسسة الوفاء،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87" w:name="pg5104_36328"/>
    </w:p>
    <w:p>
      <w:pPr>
        <w:pStyle w:val="BookText"/>
        <w:rPr/>
      </w:pPr>
      <w:bookmarkEnd w:id="287"/>
      <w:r>
        <w:rPr>
          <w:rFonts w:ascii="IRNazanin" w:hAnsi="IRNazanin" w:eastAsia="IRNazanin"/>
          <w:color w:val="111111"/>
          <w:sz w:val="28"/>
          <w:sz w:val="28"/>
          <w:szCs w:val="28"/>
          <w:rtl w:val="true"/>
          <w:lang w:bidi="fa-IR"/>
        </w:rPr>
        <w:t>التّاریخ الکبیر، محمد بن إسماعیل البخاری، المکتبة الإسلامیة، ترکیا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علی بن الحسن ابن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فی علم الرجال، عبد الله المامقانی،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المامقانی،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فی معرفة الرّجال، الحسن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مؤسسة نشر الفقاهة،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الدّارین فیما یتعلّق بمصائب الحسین وأصحابه، عبد المجید بن محمد رضا الشیرازی،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دریاب النجفی، مرکز الدراسات الإسلامیة لممثلیة ولایة الفقیه،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مؤسسة النّشر الإسلامی التابعة لجماعة المدرسین،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بن حبّان بترتیب ابن بلبان، محمد بن حبان التمیمی البستی،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مؤسسة الرسالة،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العبری فی مقتل سید الشهداء، ابراهیم المیانحی، المکتبة الرضویة،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محمد أحمد بن أعثم،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 الأضواء،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فی تهذیب الأنساب،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 محمد بن جعفر بن أبی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 أحمد بن علی الموصلی التّمیمی،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دار المأمون للتراث،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أحمد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عادل المرشد، وآخرون، مؤسسة الرّسالة،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أبو القاسم الخوئی،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العرب القدیمة والحدیثة، عمر رضا کحالة، دار العلم للملایین، بیروت، ط</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تقی بحر العلوم، دار الزهراء،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ومصرع أهل بیته وأصحابه فی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المتداولة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لوط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الحیدریة،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الرزاق المقرّم، مکتبة بصیرتی، قم،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محمد بن علی بن شهر آشوب،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المطبعة الحیدریة، النجف،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الدارین فی أنصار الحسین، إبراهیم الموسوی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الهاشمی</w:t>
      </w:r>
    </w:p>
    <w:p>
      <w:pPr>
        <w:pStyle w:val="Heading4"/>
        <w:numPr>
          <w:ilvl w:val="3"/>
          <w:numId w:val="1"/>
        </w:numPr>
        <w:rPr/>
      </w:pPr>
      <w:bookmarkStart w:id="288" w:name="__RefHeading___Toc1323791_774463916"/>
      <w:bookmarkStart w:id="289" w:name="_Toc123"/>
      <w:bookmarkEnd w:id="288"/>
      <w:r>
        <w:rPr>
          <w:rtl w:val="true"/>
        </w:rPr>
        <w:t>الثّعلبیة</w:t>
      </w:r>
      <w:bookmarkEnd w:id="289"/>
    </w:p>
    <w:p>
      <w:pPr>
        <w:pStyle w:val="BookText"/>
        <w:rPr/>
      </w:pPr>
      <w:r>
        <w:rPr>
          <w:rFonts w:ascii="IRNazanin" w:hAnsi="IRNazanin" w:eastAsia="IRNazanin"/>
          <w:color w:val="111111"/>
          <w:sz w:val="28"/>
          <w:sz w:val="28"/>
          <w:szCs w:val="28"/>
          <w:rtl w:val="true"/>
          <w:lang w:bidi="fa-IR"/>
        </w:rPr>
        <w:t>هی قریة</w:t>
      </w:r>
      <w:r>
        <w:rPr>
          <w:rStyle w:val="FootnoteAnchor"/>
          <w:rtl w:val="true"/>
        </w:rPr>
        <w:footnoteReference w:id="32"/>
      </w:r>
      <w:r>
        <w:rPr>
          <w:rFonts w:ascii="Amiri" w:hAnsi="Amiri" w:eastAsia="Amiri" w:cs="Amiri"/>
          <w:color w:val="111111"/>
          <w:sz w:val="28"/>
          <w:sz w:val="28"/>
          <w:szCs w:val="28"/>
          <w:rtl w:val="true"/>
          <w:lang w:bidi="ar-SA"/>
        </w:rPr>
        <w:t>، أو مدینةٌ</w:t>
      </w:r>
      <w:r>
        <w:rPr>
          <w:rStyle w:val="FootnoteAnchor"/>
          <w:rtl w:val="true"/>
        </w:rPr>
        <w:footnoteReference w:id="33"/>
      </w:r>
      <w:r>
        <w:rPr>
          <w:rFonts w:ascii="IRNazanin" w:hAnsi="IRNazanin" w:eastAsia="IRNazanin"/>
          <w:color w:val="111111"/>
          <w:sz w:val="28"/>
          <w:sz w:val="28"/>
          <w:szCs w:val="28"/>
          <w:rtl w:val="true"/>
          <w:lang w:bidi="fa-IR"/>
        </w:rPr>
        <w:t>صغیرة فی الجزیرة العربیة، قریبة من الحدود العراقیة</w:t>
      </w:r>
      <w:r>
        <w:rPr>
          <w:rStyle w:val="FootnoteAnchor"/>
          <w:rtl w:val="true"/>
        </w:rPr>
        <w:footnoteReference w:id="34"/>
      </w:r>
      <w:r>
        <w:rPr>
          <w:rFonts w:ascii="IRNazanin" w:hAnsi="IRNazanin" w:eastAsia="IRNazanin"/>
          <w:color w:val="111111"/>
          <w:sz w:val="28"/>
          <w:sz w:val="28"/>
          <w:szCs w:val="28"/>
          <w:rtl w:val="true"/>
          <w:lang w:bidi="fa-IR"/>
        </w:rPr>
        <w:t>، وتسمّی أحیاناً بالثعلبة، وأًخری بالثعیلبی</w:t>
      </w:r>
      <w:r>
        <w:rPr>
          <w:rStyle w:val="FootnoteAnchor"/>
          <w:rtl w:val="true"/>
        </w:rPr>
        <w:footnoteReference w:id="35"/>
      </w:r>
      <w:r>
        <w:rPr>
          <w:rFonts w:ascii="IRNazanin" w:hAnsi="IRNazanin" w:eastAsia="IRNazanin"/>
          <w:color w:val="111111"/>
          <w:sz w:val="28"/>
          <w:sz w:val="28"/>
          <w:szCs w:val="28"/>
          <w:rtl w:val="true"/>
          <w:lang w:bidi="fa-IR"/>
        </w:rPr>
        <w:t>، وتعرف الیوم بالبدع</w:t>
      </w:r>
      <w:r>
        <w:rPr>
          <w:rStyle w:val="FootnoteAnchor"/>
          <w:rtl w:val="true"/>
        </w:rPr>
        <w:footnoteReference w:id="36"/>
      </w:r>
      <w:r>
        <w:rPr>
          <w:rFonts w:ascii="IRNazanin" w:hAnsi="IRNazanin" w:eastAsia="IRNazanin"/>
          <w:color w:val="111111"/>
          <w:sz w:val="28"/>
          <w:sz w:val="28"/>
          <w:szCs w:val="28"/>
          <w:rtl w:val="true"/>
          <w:lang w:bidi="fa-IR"/>
        </w:rPr>
        <w:t>، وهی من الأماکن التی ینزل بها الحجاج قدیماً للاستراحة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الموقع الجغرافی للثعلبیة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الثعلبیة فی الإقلیم الرّابع</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الإقلیم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إقلیم بلاد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الإقلیم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إقلیم الحجاز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الإقلیم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إقلیم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الإقلیم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بابل، وفیه جزیرة العرب،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وبغداد وسط هذا الإقلیم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الإقلیم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بلاد الرّوم والشّام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الإقلیم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الإقلیم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آراء أخری فی تقسیم هذه الأقالیم مذکورة فی محلها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الأقالیم السّبعة من جهة</w:t>
      </w:r>
    </w:p>
    <w:p>
      <w:pPr>
        <w:pStyle w:val="BookText"/>
        <w:rPr/>
      </w:pPr>
      <w:r>
        <w:rPr>
          <w:rFonts w:ascii="IRNazanin" w:hAnsi="IRNazanin" w:eastAsia="IRNazanin"/>
          <w:color w:val="111111"/>
          <w:sz w:val="28"/>
          <w:sz w:val="28"/>
          <w:szCs w:val="28"/>
          <w:rtl w:val="true"/>
          <w:lang w:bidi="fa-IR"/>
        </w:rPr>
        <w:t>الحجاز</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توابع الإقلیم الثالث</w:t>
      </w:r>
      <w:r>
        <w:rPr>
          <w:rStyle w:val="FootnoteAnchor"/>
          <w:rtl w:val="true"/>
        </w:rPr>
        <w:footnoteReference w:id="40"/>
      </w:r>
      <w:r>
        <w:rPr>
          <w:rFonts w:ascii="IRNazanin" w:hAnsi="IRNazanin" w:eastAsia="IRNazanin"/>
          <w:color w:val="111111"/>
          <w:sz w:val="28"/>
          <w:sz w:val="28"/>
          <w:szCs w:val="28"/>
          <w:rtl w:val="true"/>
          <w:lang w:bidi="fa-IR"/>
        </w:rPr>
        <w:t>، کما أنَّ الثعلبیة تقع فی ثلث الطریق من الکوفة إلی مکّة</w:t>
      </w:r>
      <w:r>
        <w:rPr>
          <w:rStyle w:val="FootnoteAnchor"/>
          <w:rtl w:val="true"/>
        </w:rPr>
        <w:footnoteReference w:id="41"/>
      </w:r>
      <w:r>
        <w:rPr>
          <w:rFonts w:ascii="IRNazanin" w:hAnsi="IRNazanin" w:eastAsia="IRNazanin"/>
          <w:color w:val="111111"/>
          <w:sz w:val="28"/>
          <w:sz w:val="28"/>
          <w:szCs w:val="28"/>
          <w:rtl w:val="true"/>
          <w:lang w:bidi="fa-IR"/>
        </w:rPr>
        <w:t xml:space="preserve">، فهی تبعد عن الکوفة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وعن مکّة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بعضهم بأنّها فی ثلثی الطّریق من الکوفة إلی مکّة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هناک من احتمل أنْ یکون ذلک من خطأ النسّاخ أو خطأ قائلها</w:t>
      </w:r>
      <w:r>
        <w:rPr>
          <w:rStyle w:val="FootnoteAnchor"/>
          <w:rtl w:val="true"/>
        </w:rPr>
        <w:footnoteReference w:id="44"/>
      </w:r>
      <w:r>
        <w:rPr>
          <w:rFonts w:ascii="IRNazanin" w:hAnsi="IRNazanin" w:eastAsia="IRNazanin"/>
          <w:color w:val="111111"/>
          <w:sz w:val="28"/>
          <w:sz w:val="28"/>
          <w:szCs w:val="28"/>
          <w:rtl w:val="true"/>
          <w:lang w:bidi="fa-IR"/>
        </w:rPr>
        <w:t>، فکأنه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 الطّریق من مکّة إلی الکوفة، فقال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الثعلبیة بعد خزیمة من جهة مکّة إلی الکوفة بثلاثة وثلاثین میلاً</w:t>
      </w:r>
      <w:r>
        <w:rPr>
          <w:rStyle w:val="FootnoteAnchor"/>
          <w:rtl w:val="true"/>
        </w:rPr>
        <w:footnoteReference w:id="45"/>
      </w:r>
      <w:r>
        <w:rPr>
          <w:rFonts w:ascii="IRNazanin" w:hAnsi="IRNazanin" w:eastAsia="IRNazanin"/>
          <w:color w:val="111111"/>
          <w:sz w:val="28"/>
          <w:sz w:val="28"/>
          <w:szCs w:val="28"/>
          <w:rtl w:val="true"/>
          <w:lang w:bidi="fa-IR"/>
        </w:rPr>
        <w:t>، وبعد زرود بواحد وثلاثین ونصف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بعد الثعلبیة بطان التی تبعد عنها بمسافة تسعة وعشرین میلاً، وتأتی بعدها الشقوق بثمانیة وخمسون میلاً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وتقع الثعلبیة فی أرض فسیحة منخفضة، تصل إلیها میاه الأمطار من الودیان والمنحدرات، کثیرة البُرک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قرب الثعلبیة وبفاصلة میل واحد عین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ضویجعة، مشرفة علی الثعلبیة، وینزل الماء منها إلی الثعلبیة، ویجتمع فی 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وسمّیت بعد ذلک ببرکة الحمد، وینزل الفائض منها فی منطقة رملیّة متصلة بخزیمة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وتوجد فی الثعلبیة آبار عذبة</w:t>
      </w:r>
      <w:r>
        <w:rPr>
          <w:rStyle w:val="FootnoteAnchor"/>
          <w:rtl w:val="true"/>
        </w:rPr>
        <w:footnoteReference w:id="49"/>
      </w:r>
      <w:r>
        <w:rPr>
          <w:rFonts w:ascii="IRNazanin" w:hAnsi="IRNazanin" w:eastAsia="IRNazanin"/>
          <w:color w:val="111111"/>
          <w:sz w:val="28"/>
          <w:sz w:val="28"/>
          <w:szCs w:val="28"/>
          <w:rtl w:val="true"/>
          <w:lang w:bidi="fa-IR"/>
        </w:rPr>
        <w:t>متعددة، کبئر النسبان، والمنصور، وعقبة، والمخالصیة، والمطهریة، وآس، وأبی المحسّر، وبئر محمد بن الرّبیع، وآبار أُخری کثیرة ومتفرقة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لا کلام بین المؤرخین فی أنَّ الثعلبیة کانت عامرةً بأهلها وأرضها إلی أواسط القرن الثّانی الهجری، فقد نُقل أنَّ الشّاعر الحسین بن مطیر الأسدی المتوفّی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فی الثّعلبیة دارٌ یسکنها، وذلک یعنی أنّها کانت عامرةً إلی ذلک الزّمان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الکلام فی ما بعد هذا التّاریخ؛ حیث اختلفت کلمات المؤرخین فی خرابها وعمرانها، فقال جعفر الحداد الکوفی المتوفّی سنة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الثعلبیة وهی خرابٌ</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صرّح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مؤرخی القرن السابع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الثعلبیة کانت عامرة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یؤیّده کلام منقولٌ عن بعض المؤرخین کابن جبیر، وابن بطوطة فی نفس هذا القرن، حیث قال ابن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الثعلبیة جمع کثیر فاتخذوها سوقاً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بطوطة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رحلنا ونزلنا الثعلبیة، ولها حصن خربٌ بإزائه، ویجتمع من العرب فی الموضع جمعٌ عظیم، فیبیعون الجمال، والغنم والسمن واللبن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کلام هذین المؤرخین إنّما یمکن اعتباره مؤیداً لما أفاده المقدسی، إذا اعتبرنا اجتماع الناس وإقامة السوق قرینةً دالّة علی عمرانها، أمّا إذا نفینا قرینیّة ذلک، وقلنا بأنَّ اجتماع النّاس، واتخاذ الثعلبیة سوقاً لیس بالضرورة أنْ یکون ملازماً للإقامة والسّکن فیها؛ إذ قد یکون تواجدهم فیها بمقدار البیع والشّراء لما تمتاز به هذه المنطقة من وفرة الماء والعلف فلا یمکن اعتبار کلام هذین المؤرخین مؤیداً لدعوی المقدسی، إلّا إذا فسّرنا العمران بمجرد توفّر الماء والعلف المناسب لاستراحة الوافدین علیها، فحینئذٍ یکون لعمرانها معنی آخر غیر عمرانها بالسکّان والدیار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المقدسی، صرّح عبد المؤمن القطیعی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القرن الثامن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الثعلبیة خربت بعد أنْ کانت عامرة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أفاد بعض المؤرّخین المعاصرین بانَّ الثعلبیة ما زالت علی حالها من العمران وتسکنها عشیرة شمّر</w:t>
      </w:r>
      <w:r>
        <w:rPr>
          <w:rStyle w:val="FootnoteAnchor"/>
          <w:rtl w:val="true"/>
        </w:rPr>
        <w:footnoteReference w:id="57"/>
      </w:r>
      <w:r>
        <w:rPr>
          <w:rFonts w:ascii="IRNazanin" w:hAnsi="IRNazanin" w:eastAsia="IRNazanin"/>
          <w:color w:val="111111"/>
          <w:sz w:val="28"/>
          <w:sz w:val="28"/>
          <w:szCs w:val="28"/>
          <w:rtl w:val="true"/>
          <w:lang w:bidi="fa-IR"/>
        </w:rPr>
        <w:t>، وهو یتناقض مع ما نقله بعض السیّاح والمسافرین ممّا شاهدوه من خراب فی الثعلبیة موثّقاً بالصور الفوتوغرافیة الکاشفة عن عدم بقاء شیء من العمران فیها، إلّا بئرٌ معطّلة، وسدٌ متداعٍ، وحصنٌ منهار لم یبقَ منه إلّا أساسهُ وحلقه المتّصل بسطح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نشوء الثعلبیة ومنشأ تسمیتها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أکثر المؤرّخین أنَّ الثعلبیة لم تکن جدیدة العهد، بل کانت موجودة منذ زمن الجاهلیة</w:t>
      </w:r>
      <w:r>
        <w:rPr>
          <w:rStyle w:val="FootnoteAnchor"/>
          <w:rtl w:val="true"/>
        </w:rPr>
        <w:footnoteReference w:id="58"/>
      </w:r>
      <w:r>
        <w:rPr>
          <w:rFonts w:ascii="IRNazanin" w:hAnsi="IRNazanin" w:eastAsia="IRNazanin"/>
          <w:color w:val="111111"/>
          <w:sz w:val="28"/>
          <w:sz w:val="28"/>
          <w:szCs w:val="28"/>
          <w:rtl w:val="true"/>
          <w:lang w:bidi="fa-IR"/>
        </w:rPr>
        <w:t>، فی حین ذکر البعض أنَّ عبد الملک بن مروان هو الذی أنشأها فی النّصف الثّانی من القرن الأوّل الهجری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النّظریة لا تنسجم مع ما أکدّهُ المختصّون بأوضاع المدن والبلدان من أنَّ نشوءها کان منذ عهد بعید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هذاما یتعلّق بتاریخ نشوئها، أمّا منشأ تسمیتها فقد اختلفوا فیه علی عدّة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الثعلبیة نسبة إلی ثعلبة بن عمر من الأزد، هاجر معهم ثمّ انفصل عنهم وجاء إلی هذا المکان الذی لم یکن مسکوناً قبله، فحفر بئراً وأحیاها، فعاش بعده نسله وأحفاده، فصارت بذلک مدینة عامرة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نسبة إلی ثعلبة بن مالک بن داودان بن أسد، وهو أوّل من احتفرها</w:t>
      </w:r>
      <w:r>
        <w:rPr>
          <w:rStyle w:val="FootnoteAnchor"/>
          <w:rtl w:val="true"/>
        </w:rPr>
        <w:footnoteReference w:id="62"/>
      </w:r>
      <w:r>
        <w:rPr>
          <w:rFonts w:ascii="IRNazanin" w:hAnsi="IRNazanin" w:eastAsia="IRNazanin"/>
          <w:color w:val="111111"/>
          <w:sz w:val="28"/>
          <w:sz w:val="28"/>
          <w:szCs w:val="28"/>
          <w:rtl w:val="true"/>
          <w:lang w:bidi="fa-IR"/>
        </w:rPr>
        <w:t>، ولذلک نسبت أیضاً لبنی 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نسبة إلی نبیت بن عوص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من أجداد معد بن عدنان، وإلیه تنسب الثعلبیة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شخصیات الثعلبیة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ینسب إلی الثعلبیة من الشخصیات إلّا القلیل، کعبد الأعلی بن عامر الثعیلبی الذی له روایات نقلها عن محمد بن الحنفیة، وسعید بن جبیر وغیرهما، وروی عن عبد الأعلی شریک، وأبو عوانة وغیرهما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العقیلی فی کتاب الضّعفاء</w:t>
      </w:r>
      <w:r>
        <w:rPr>
          <w:rStyle w:val="FootnoteAnchor"/>
          <w:rtl w:val="true"/>
        </w:rPr>
        <w:footnoteReference w:id="65"/>
      </w:r>
      <w:r>
        <w:rPr>
          <w:rFonts w:ascii="IRNazanin" w:hAnsi="IRNazanin" w:eastAsia="IRNazanin"/>
          <w:color w:val="111111"/>
          <w:sz w:val="28"/>
          <w:sz w:val="28"/>
          <w:szCs w:val="28"/>
          <w:rtl w:val="true"/>
          <w:lang w:bidi="fa-IR"/>
        </w:rPr>
        <w:t>، ورغم نسبته إلی الثعلبیة إلّا أنَّ هناک من اعتبره من علماء الکوفة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کلا النسبتین صحیحتان، إذ من الممکن أنْ یکون أقام فی کلّ من الکوفة والثعلبیة إقامة طویلة جعلته منتسباً إلی کلٍّ منهما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الشخصیات المنسوبة إلی الثعلبیة الحسین بن مطیر شاعر بدیع الکلام، أدرک العهدین الأُموی والعباسی، وبقی حتّی زمان المهدی العباسی، الذی مدحه وأثنی علیه فی شعره، وتوفّی فی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الثعلبیة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الثعلبیة بحوادث متعدّدة قبل نزول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وبعد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قادة حرب القادسیة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بها سنة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وأقام فیها ثلاثة أشهر حیث التحق به جمع کثیر، وتحرّک بعدها إلی القادسیة التی فتحت بعد ذلک علی أیدی المسلمین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بها عندما کان فی طریقه إلی البصرة لحرب الجمل، وفی هذا المکان وصله خبر مقتل عثمان بن حنیف الذی قتله طلحة والزّبیر بصورة فجیعة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مهاجمة الضحاک بن قیس الفهری لها فی ثلاثة آلاف رجل بأمر من معاویة ابن أبی سفیان أثناء حربه مع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فنهب الأموال فی طریقه إلی الثعلبیة وقتل من لقی من الأعراب ممَّن عُرف بولائه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مرَّ بالثعلبیة فأغار علی الحجاج ونهب أمتعتهم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قبل ذهابه إلی الکوفة وجاءه جماعة من کبار أهل الکوفة، وأخبروه بأنّهم مع أربعین ألف من أهلها یبایعونه وینصرونه بمجرّد دخوله فیها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للحوادث التی مرّت بها الثعلبیة، وأمّا التی سوف تمرّ بها فقد روی أنَّ الحجّة 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یمرّ بالثعلبیة بعد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من مکّة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إلیه رجلٌ هناک من نسل أبیه وهو من أشدّ الناس ببدنه وأشجعهم بقلبه، معترضاً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ما تصنع؟ فوالله، لتجفل النّاس اجفال النعم، أفبعهدٍ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بماذا؟ فیقول المولی الذی ولّی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لتسکتنّ أو لأضربنّ الذی فیه عیناک،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یافلان، أی والله، إنَّ معیَّ عهداً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العیبة أو الزنفلیجة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فیأتیه بها، فیقرؤه العهد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جدّد لنا بیعة، فیجدّد لهم بیعة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بالثعلبیة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بالثعلبیة مع أهل بیته وأصحابه ظهراً</w:t>
      </w:r>
      <w:r>
        <w:rPr>
          <w:rStyle w:val="FootnoteAnchor"/>
          <w:rtl w:val="true"/>
        </w:rPr>
        <w:footnoteReference w:id="74"/>
      </w:r>
      <w:r>
        <w:rPr>
          <w:rFonts w:ascii="IRNazanin" w:hAnsi="IRNazanin" w:eastAsia="IRNazanin"/>
          <w:color w:val="111111"/>
          <w:sz w:val="28"/>
          <w:sz w:val="28"/>
          <w:szCs w:val="28"/>
          <w:rtl w:val="true"/>
          <w:lang w:bidi="fa-IR"/>
        </w:rPr>
        <w:t>، أو مساءا</w:t>
      </w:r>
      <w:r>
        <w:rPr>
          <w:rStyle w:val="FootnoteAnchor"/>
          <w:rtl w:val="true"/>
        </w:rPr>
        <w:footnoteReference w:id="75"/>
      </w:r>
      <w:r>
        <w:rPr>
          <w:rFonts w:ascii="IRNazanin" w:hAnsi="IRNazanin" w:eastAsia="IRNazanin"/>
          <w:color w:val="111111"/>
          <w:sz w:val="28"/>
          <w:sz w:val="28"/>
          <w:szCs w:val="28"/>
          <w:rtl w:val="true"/>
          <w:lang w:bidi="fa-IR"/>
        </w:rPr>
        <w:t>، وقد نقل المؤرِّخون فی نزول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بالثعلبیة روایات ومواقف متعدّدة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نزوله فیها ترک </w:t>
      </w:r>
    </w:p>
    <w:p>
      <w:pPr>
        <w:pStyle w:val="BookText"/>
        <w:rPr/>
      </w:pPr>
      <w:r>
        <w:rPr>
          <w:rFonts w:ascii="IRNazanin" w:hAnsi="IRNazanin" w:eastAsia="IRNazanin"/>
          <w:color w:val="111111"/>
          <w:sz w:val="28"/>
          <w:sz w:val="28"/>
          <w:szCs w:val="28"/>
          <w:rtl w:val="true"/>
          <w:lang w:bidi="fa-IR"/>
        </w:rPr>
        <w:t>أصحابه ووضع رأسه لینام، فأغفی ثمّ انتبه باکیاً، فقال ابنه 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الله عینیک؟أسه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ساعة لا تکذب فیها الرؤیا، فأُعلمک أنّی خفقت برأسی خفقةً فرأیت فارساً علی فرسٍ وقف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إنّکم تسرعون والمنایا تسرع بکم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 أنفسنا نعیت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علی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والذی إلیه مرجع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نبالی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عنی یا بنی خیر ما جزی ولداً عن والده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مَن روی أنَّ الرؤیا التی رآها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الذی جری بینه وبین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مکانٍ آخر غیر الثعلبیة، وإنْ اختلفوا فی محلّه، فمنهم مَن روی أنّه فی قصر بنی مقاتل</w:t>
      </w:r>
      <w:r>
        <w:rPr>
          <w:rStyle w:val="FootnoteAnchor"/>
          <w:rtl w:val="true"/>
        </w:rPr>
        <w:footnoteReference w:id="77"/>
      </w:r>
      <w:r>
        <w:rPr>
          <w:rFonts w:ascii="IRNazanin" w:hAnsi="IRNazanin" w:eastAsia="IRNazanin"/>
          <w:color w:val="111111"/>
          <w:sz w:val="28"/>
          <w:sz w:val="28"/>
          <w:szCs w:val="28"/>
          <w:rtl w:val="true"/>
          <w:lang w:bidi="fa-IR"/>
        </w:rPr>
        <w:t>، ومنهم مَن روی أنّه بعد 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بنی مقاتل</w:t>
      </w:r>
      <w:r>
        <w:rPr>
          <w:rStyle w:val="FootnoteAnchor"/>
          <w:rtl w:val="true"/>
        </w:rPr>
        <w:footnoteReference w:id="78"/>
      </w:r>
      <w:r>
        <w:rPr>
          <w:rFonts w:ascii="IRNazanin" w:hAnsi="IRNazanin" w:eastAsia="IRNazanin"/>
          <w:color w:val="111111"/>
          <w:sz w:val="28"/>
          <w:sz w:val="28"/>
          <w:szCs w:val="28"/>
          <w:rtl w:val="true"/>
          <w:lang w:bidi="fa-IR"/>
        </w:rPr>
        <w:t>، ومنهم مَن روی أنّه بعد خروجه من بطن العقبة</w:t>
      </w:r>
      <w:r>
        <w:rPr>
          <w:rStyle w:val="FootnoteAnchor"/>
          <w:rtl w:val="true"/>
        </w:rPr>
        <w:footnoteReference w:id="79"/>
      </w:r>
      <w:r>
        <w:rPr>
          <w:rFonts w:ascii="IRNazanin" w:hAnsi="IRNazanin" w:eastAsia="IRNazanin"/>
          <w:color w:val="111111"/>
          <w:sz w:val="28"/>
          <w:sz w:val="28"/>
          <w:szCs w:val="28"/>
          <w:rtl w:val="true"/>
          <w:lang w:bidi="fa-IR"/>
        </w:rPr>
        <w:t>، بعد أنْ أجبره الحرّ علی تغییر مسیره، ومنهم مَن روی أنّه کانت فی عذیب الهجانات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الرّوایات المذکورة فی هذا المجال نقلت هذه الواقعة مع تفاوتٍ یسیر، فلم تتعرّض مثلاً لبکائه بعد أن استیقظ من نومه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یتنافی مع عزمه علی الجهاد وشوقه إلی الشّهادة؛ إذ قد تکون للبکاء أسبابه الأُخری، کقلقه علی ما سیلقاه عیاله وأطفاله وأهل بیته من العناء، وهی خصلة عاطفیة ممدوحة فی الإسلام، فقد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ولده إبراهیم عندما رآه یجود بنفسه قبل موته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نزل بالثعلبیة سأله رجلٌ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رسول الله، إنّی أراک فی قلّة النّاس، فأشار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بسوطٍ فی یده هکذا، فضرب حقیبةً وراءه،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هذه مملوءة کتباً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أصبح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الثانی جاءه رجلٌ من أهل الکوفة یُکنّی بأبی هِرّة الأزدی قد أتاه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الذی أخرجک عن حرم الله وحرم جدّک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أُمیّة أخذوا مالی فصبرت، وشتموا عرضی فصبرت، وطلبوا دمی فهربت، وأیمُ الله لتقتلنی الفئة الباغیة، ولیلبسنّهم الله ذلّاً شاملاً، وسیفاً قاطعاً، ولیسلطنّ علیهم من یذلهم حتّی یکونوا أذلَّ من قوم سبأ، إذْ ملکتهم امرأة منهم، فحکمت فی أموالهم ودمائهم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الثعلبیة رجلٌ نصرانی مع أُمّه جاء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علی یده والتحق برکبه</w:t>
      </w:r>
      <w:r>
        <w:rPr>
          <w:rStyle w:val="FootnoteAnchor"/>
          <w:rtl w:val="true"/>
        </w:rPr>
        <w:footnoteReference w:id="84"/>
      </w:r>
      <w:r>
        <w:rPr>
          <w:rFonts w:ascii="IRNazanin" w:hAnsi="IRNazanin" w:eastAsia="IRNazanin"/>
          <w:color w:val="111111"/>
          <w:sz w:val="28"/>
          <w:sz w:val="28"/>
          <w:szCs w:val="28"/>
          <w:rtl w:val="true"/>
          <w:lang w:bidi="fa-IR"/>
        </w:rPr>
        <w:t>، وکان أحد شهداء کربلاء</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بعضهم أن لا یکون هذا الرّجل وهب الکلبی؛ لأنَّ موطن وهب هو السّماوة، فمَن نقل قصته هناک کان أقرب إلی </w:t>
      </w:r>
    </w:p>
    <w:p>
      <w:pPr>
        <w:pStyle w:val="BookText"/>
        <w:rPr/>
      </w:pPr>
      <w:r>
        <w:rPr>
          <w:rFonts w:ascii="Amiri" w:hAnsi="Amiri" w:eastAsia="Amiri" w:cs="Amiri"/>
          <w:color w:val="111111"/>
          <w:sz w:val="28"/>
          <w:sz w:val="28"/>
          <w:szCs w:val="28"/>
          <w:rtl w:val="true"/>
          <w:lang w:bidi="ar-SA"/>
        </w:rPr>
        <w:t>الصّواب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نزل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الثعلبیة وصله خبر شهادة مسلم بن عقیل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السیّد ابن طاووس یری أنَّ خبر شهادة مسلم بن عقیل وهانیء بن عروة وصل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زُبالة</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خبر نادر لم یأخذ به الکثیر، وکذا ما رُوی من أنَّ خبر شهادته وصل فی زرود</w:t>
      </w:r>
      <w:r>
        <w:rPr>
          <w:rStyle w:val="FootnoteAnchor"/>
          <w:rtl w:val="true"/>
        </w:rPr>
        <w:footnoteReference w:id="89"/>
      </w:r>
      <w:r>
        <w:rPr>
          <w:rFonts w:ascii="Amiri" w:hAnsi="Amiri" w:eastAsia="Amiri" w:cs="Amiri"/>
          <w:color w:val="111111"/>
          <w:sz w:val="28"/>
          <w:sz w:val="28"/>
          <w:szCs w:val="28"/>
          <w:rtl w:val="true"/>
          <w:lang w:bidi="ar-SA"/>
        </w:rPr>
        <w:t>، فإنَّ هذه الروایة قلَّ مَن رواها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أصحابه فی صباح الیوم الثّانی من نزوله بالثعلبیة بالتزوّد بالماء الکثیر، وتحرّک بعدها إلی زُبالة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التقاسیم، محمد بن أحمد المقدسی،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مخزوم، دار 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دار المفید،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جواب الأین فی منازل مسیر الحسین، عباس الربیعی، هیئة تراث الشهید الصدر،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الأعلاق النفیسة، أبی علی بن عمر بن رسته، دار احیاء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 الفضل بن الحسن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خیر الدین بن محمود الزرکلی الدمشقی، دار العلم للملایین، ط</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محسن الأمین، دار التعارف للمطبوعات،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للدراسات، طهران،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 عبد الکریم بن محمد السمعانی،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مرکز الخدمات والأبحاث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 لدرر أخبار الأئمة الأطهار، محمد باقر المجلسی، مؤسسة الوفاء،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العمروی، دار الفکر للطباعة،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دار التراث،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النظار فی غرائب الأمصار وعجائب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ابن بطوطة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أکادیمیة المملکة المغربیة، الرباط،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المشتبه، محمد بن عبد الله القیسی،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القرقسوی، مؤسسة الرسالة، 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ابن جبیر، محمد بن أحمد الأندلسی، دار ومکتبة الهلال،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زبیدة طریق الحج من الکوفة إلی مکّة المکرمة،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عبد العزیز الرّاشد، دار الوطن،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الأخبار عمّا فی بلاد العرب من الآثار، محمد بن عبد الله بن بلهید،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والمتروکین، أحمد بن علی النسائی،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دار المعرفة،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من الآیات والأخبار والأقوال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البحرانی الأصفهانی،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أحمد بن یحیی بن جابر البَلَاذُری، دار ومکتبة الهلال،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محمد أحمد بن أعثم،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 الأضواء، </w:t>
      </w:r>
      <w:bookmarkStart w:id="290" w:name="pg5104_36341"/>
    </w:p>
    <w:p>
      <w:pPr>
        <w:pStyle w:val="BookText"/>
        <w:rPr/>
      </w:pPr>
      <w:bookmarkEnd w:id="290"/>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معرفة الأئمة، علی بن محمد المالکی،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الغریری، دار الحدیث،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الرجالیة، محمد مهدی بحر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حسین بحر العلوم، مکتبة الصادق،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المناسک وأماکن طرق الحج ومعالم الجزیرة، إبراهیم بن اسحاق الحربی،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الجاسر، دار الیمامة، الریاض،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فی قتلی الطفوف،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الهدی،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 علی أسماء الأمکنة والبقاع، عبد المؤمن بن عبد الحق، دار الجیل،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ومستنبط المسائل، میرزا حسین النوری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بیروت،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یاقوت بن عبد الله الحموی، دار صادر،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استعجم من أسماء البلاد والمواضع، عبد الله بن عبد العزیز الأندلسی، عالم الکتب،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الموفّق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السّماوی، انتشارات أنوار الهدی، قم،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المشتاق،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الکتب،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السعدی</w:t>
      </w:r>
    </w:p>
    <w:p>
      <w:pPr>
        <w:pStyle w:val="Heading4"/>
        <w:numPr>
          <w:ilvl w:val="3"/>
          <w:numId w:val="1"/>
        </w:numPr>
        <w:rPr/>
      </w:pPr>
      <w:bookmarkStart w:id="291" w:name="__RefHeading___Toc1323793_774463916"/>
      <w:bookmarkStart w:id="292" w:name="_Toc124"/>
      <w:bookmarkEnd w:id="291"/>
      <w:r>
        <w:rPr>
          <w:rtl w:val="true"/>
        </w:rPr>
        <w:t>حمید بن مسلم</w:t>
      </w:r>
      <w:bookmarkEnd w:id="292"/>
    </w:p>
    <w:p>
      <w:pPr>
        <w:pStyle w:val="BookText"/>
        <w:rPr/>
      </w:pPr>
      <w:r>
        <w:rPr>
          <w:rFonts w:ascii="IRNazanin" w:hAnsi="IRNazanin" w:eastAsia="IRNazanin"/>
          <w:color w:val="111111"/>
          <w:sz w:val="28"/>
          <w:sz w:val="28"/>
          <w:szCs w:val="28"/>
          <w:rtl w:val="true"/>
          <w:lang w:bidi="fa-IR"/>
        </w:rPr>
        <w:t>هو حمید بن مسلم الأزدی أو الأسْدی ویلقّب بالکوفی أحیاناً</w:t>
      </w:r>
      <w:r>
        <w:rPr>
          <w:rStyle w:val="FootnoteAnchor"/>
          <w:rtl w:val="true"/>
        </w:rPr>
        <w:footnoteReference w:id="92"/>
      </w:r>
      <w:r>
        <w:rPr>
          <w:rFonts w:ascii="Amiri" w:hAnsi="Amiri" w:eastAsia="Amiri" w:cs="Amiri"/>
          <w:color w:val="111111"/>
          <w:sz w:val="28"/>
          <w:sz w:val="28"/>
          <w:szCs w:val="28"/>
          <w:rtl w:val="true"/>
          <w:lang w:bidi="ar-SA"/>
        </w:rPr>
        <w:t xml:space="preserve">، وهو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مکبّراً، کما هو المعروف فی العصور المتأخِّرة،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 مصغّراً، کما صرّح به بعضهم</w:t>
      </w:r>
      <w:r>
        <w:rPr>
          <w:rStyle w:val="FootnoteAnchor"/>
          <w:rtl w:val="true"/>
        </w:rPr>
        <w:footnoteReference w:id="93"/>
      </w:r>
      <w:r>
        <w:rPr>
          <w:rFonts w:ascii="IRNazanin" w:hAnsi="IRNazanin" w:eastAsia="IRNazanin"/>
          <w:color w:val="111111"/>
          <w:sz w:val="28"/>
          <w:sz w:val="28"/>
          <w:szCs w:val="28"/>
          <w:rtl w:val="true"/>
          <w:lang w:bidi="fa-IR"/>
        </w:rPr>
        <w:t>، بینما صرّح البعض الآخر بأنّ کلا اللفظین صحیح</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یعرف عن حمید بن مسلم شیءٌ قبل واقعة الطف، وإنّما عُرف فیها حیث شهد المعرکة، وکان أحد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انتمائه إلی معسکر ابن زیاد، إلّا أنّه لم یُنقَل عنه مشارکةً فی قتال، ولا شجٍّ ولا شجار، بل حکی هو عن نفسه مواقف إنسانیة،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 فی وجه الشمر حین هجم علی خیام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إحراقها، فقال له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یصلح لک، أتریدُ أنْ تجمع علی نفسک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فی قتلک الرّجال لما ترضی أمیرک، فقال له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فلم یخبره عن اسمه خشیة السّلطان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 علی رجال الشّمر حین دخلوا علی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مسجّی علی فراش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وهمّوا بقتله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نقتل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أنقتل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یمنعهم حتی انصرف الشّمر عن قتله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استنکاره علی عمرو بن سعد بن نفیل الأزدی حین أراد قتل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لأشدّنَّ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ترید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یکفیک هؤلاء الذین تراهم احتوشوه؟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لأشدّنَّ علیه فما ولّی حتی ضرب رأسه بالسیف، فوقع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مع ذلک کلّه کان صدیقاً لعمر بن سعد یتردّد إلیه، ویخلو به فی جلساته، وقد سأله حمید بعد حادثة الطف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تسألنی عن حالی، فإنّه ما رجع غائبٌ إلی منزله بشرٍّ ممّا رجعت، قطعتُ القرابة القریبة، وارتکبت الأمر العظیم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عمر بن سعد بعثه بعد المعرکة إلی أهله لیبشّرهم بما فتح الله علیه وبعافیته</w:t>
      </w:r>
      <w:r>
        <w:rPr>
          <w:rStyle w:val="FootnoteAnchor"/>
          <w:rtl w:val="true"/>
        </w:rPr>
        <w:footnoteReference w:id="99"/>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أرسله أیضاً مع خولی بن یزید الأصبحی لحمل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عبید الله بن زیاد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التحق بنهضة التوّابین بقیادة سلیمان بن صرد الخزاعی للانتقام من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إلّا أنّهُ ممّا یؤاخذُ علیه انزعاجهُ من اجتماع الناس حول المختار، إذ قال لسلیمان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یثبّط الناس عنک، إنّی کنت عنده أوّل ثلاث، فسمعت نفراً من أصحابه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کمل ألفی رجل</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حمل بعضهم هذا الکلام علی تحریک سلیمان بن صرد علی المختار، وإیقاع الاختلاف بینهما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صدیقاً حمیماً لإبراهیم بن مالک الأشتر إلی حدٍّ کان یتردّد معه إلی المختار ویشارکه جلساته فی کلّ عشیّةٍ حتّی تصوب النجوم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وثاقة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التناقض فی شخصیة حمید بن مسلم ومواقفه المتقلّبة، وعدم التزامه بمبدأ یدافع عنه ویثبت علیه، هو الذی دعا بعضهم للتشکیک بروایته وعدم الأخذ بحکایته</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نقله عن نفسه من مواقف نبیلة لم یستقل غیره بنقلها، وإنّما کان هو الواسطة الوحیدة فی نقلها، ومن المحتمل أن یکون قد اختلقها منقبةً لنفسه لیفلت من عقاب المختار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عدّهُ بعضهم من رواة الشّیعة، ومن أصحاب الإمام السّجاد</w:t>
      </w:r>
      <w:r>
        <w:rPr>
          <w:rStyle w:val="FootnoteAnchor"/>
          <w:rtl w:val="true"/>
        </w:rPr>
        <w:footnoteReference w:id="106"/>
      </w:r>
      <w:r>
        <w:rPr>
          <w:rFonts w:ascii="IRNazanin" w:hAnsi="IRNazanin" w:eastAsia="IRNazanin"/>
          <w:color w:val="111111"/>
          <w:sz w:val="28"/>
          <w:sz w:val="28"/>
          <w:szCs w:val="28"/>
          <w:rtl w:val="true"/>
          <w:lang w:bidi="fa-IR"/>
        </w:rPr>
        <w:t>، بینما احتمل آخرون وجود اشتراک اسمی بینه وبین الراوی الذی یظهر أنّه إمامی</w:t>
      </w:r>
      <w:r>
        <w:rPr>
          <w:rStyle w:val="FootnoteAnchor"/>
          <w:rtl w:val="true"/>
        </w:rPr>
        <w:footnoteReference w:id="107"/>
      </w:r>
      <w:r>
        <w:rPr>
          <w:rFonts w:ascii="IRNazanin" w:hAnsi="IRNazanin" w:eastAsia="IRNazanin"/>
          <w:color w:val="111111"/>
          <w:sz w:val="28"/>
          <w:sz w:val="28"/>
          <w:szCs w:val="28"/>
          <w:rtl w:val="true"/>
          <w:lang w:bidi="fa-IR"/>
        </w:rPr>
        <w:t xml:space="preserve">، فلا یصحّ لذلک الاعتماد علی روایة حمید الناقل لروایة الطف؛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حمید بن مسلم الإمامی الذی ورد اسمه فی رجال الحدیث، بل حتّی هذا الراوی الإمامی عدّه بعضهم من مجاهیل الرواة</w:t>
      </w:r>
      <w:r>
        <w:rPr>
          <w:rStyle w:val="FootnoteAnchor"/>
          <w:rtl w:val="true"/>
        </w:rPr>
        <w:footnoteReference w:id="108"/>
      </w:r>
      <w:r>
        <w:rPr>
          <w:rFonts w:ascii="IRNazanin" w:hAnsi="IRNazanin" w:eastAsia="IRNazanin"/>
          <w:color w:val="111111"/>
          <w:sz w:val="28"/>
          <w:sz w:val="28"/>
          <w:szCs w:val="28"/>
          <w:rtl w:val="true"/>
          <w:lang w:bidi="fa-IR"/>
        </w:rPr>
        <w:t>، ممّا یعنی عدم صحة الاعتماد علی أخباره، سواء أکان الذی هو من رواة الطّف أم هو من أصحاب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هناک مَن ذهب إلی قبول روایاته وإمکان الاعتماد علی أخباره</w:t>
      </w:r>
      <w:r>
        <w:rPr>
          <w:rStyle w:val="FootnoteAnchor"/>
          <w:rtl w:val="true"/>
        </w:rPr>
        <w:footnoteReference w:id="109"/>
      </w:r>
      <w:r>
        <w:rPr>
          <w:rFonts w:ascii="IRNazanin" w:hAnsi="IRNazanin" w:eastAsia="IRNazanin"/>
          <w:color w:val="111111"/>
          <w:sz w:val="28"/>
          <w:sz w:val="28"/>
          <w:szCs w:val="28"/>
          <w:rtl w:val="true"/>
          <w:lang w:bidi="fa-IR"/>
        </w:rPr>
        <w:t>، ویؤیّده بعض مواقفه التی أشرنا إلیها آنفاً، ونوع الأخبار المرویة عنه، التی لم یکن نقلها من مصلحة السّلطة الحاکمة؛ لما تستتبعه من إثارة للمشاعر، وتحریک للعواطف، وما تستلزمه من تداعیات خطیرة تهدّد مستقبل حکومة بنی أُمیّة وتزعزع کیانها، خصوصاً مع تضمّن روایاته خطباً مؤثرة وبلیغة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مبتنیةً علی المنطق والصّواب، فإنَّ عدم تردّد حمید بن مسلم فی نقلها کاشف إلی حدٍّ ما عن وثاقته وعدم انحیازه للسلطة الحاکمة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القیمة الحقیقیة للروایات التاریخیة تکمن فی درجة کاشفیتها بغضِّ النظر عن الانتماء السیاسی أو الاجتماعی للراوی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حتی لو اعتقدنا بعدم وثاقة حمید بن مسلم، فإنَّ ذلک لا ینبغی أن یکون مدعاة للتشکیک بجمیع أخبار النهضة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ربما یراهُ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مجموع الأخبار المنقولة عنه فی تاریخ الطبری لم یتعدَّ العشرة فی المائة من مجموع الروایات المنقولة فی حادثة الطف</w:t>
      </w:r>
      <w:r>
        <w:rPr>
          <w:rStyle w:val="FootnoteAnchor"/>
          <w:rtl w:val="true"/>
        </w:rPr>
        <w:footnoteReference w:id="110"/>
      </w:r>
      <w:r>
        <w:rPr>
          <w:rFonts w:ascii="IRNazanin" w:hAnsi="IRNazanin" w:eastAsia="IRNazanin"/>
          <w:color w:val="111111"/>
          <w:sz w:val="28"/>
          <w:sz w:val="28"/>
          <w:szCs w:val="28"/>
          <w:rtl w:val="true"/>
          <w:lang w:bidi="fa-IR"/>
        </w:rPr>
        <w:t>، بسبب الفترة الزمنیة القصیرة التی تواجد فیها، فهو لم یکن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تحرّک من المدینة إلی مکّة المکرمة، ومن مکّة إلی کربلاء، ولم یصل کربلاء إلّا حین دخلها مع الشمر فی الیوم التّاسع من المحرّم علی ما هو المعروف</w:t>
      </w:r>
      <w:r>
        <w:rPr>
          <w:rStyle w:val="FootnoteAnchor"/>
          <w:rtl w:val="true"/>
        </w:rPr>
        <w:footnoteReference w:id="111"/>
      </w:r>
      <w:r>
        <w:rPr>
          <w:rFonts w:ascii="Amiri" w:hAnsi="Amiri" w:eastAsia="Amiri" w:cs="Amiri"/>
          <w:color w:val="111111"/>
          <w:sz w:val="28"/>
          <w:sz w:val="28"/>
          <w:szCs w:val="28"/>
          <w:rtl w:val="true"/>
          <w:lang w:bidi="ar-SA"/>
        </w:rPr>
        <w:t>، ولم یبقَ فیها إلّا ثلاثة أیّام تقریباً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لم یکن متواجداً فی حرکة السبایا من کربلاء إلی الکوفة، ومنها إلی الشّام، ومن الشّام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وضعه یسمح له بالاطّلاع علی ما کان یجری داخل مخیّم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فی المعسکر المقابل، فإنَّ مجموع هذه العوامل أدّت إلی قلّة الأخبار المنقولة عنه، بالقیاس إلی الأخبار الأُخری التی نقلها رواةٌ آخرون منتمون إلی معسکر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تمکّنوا من الخروج أحیاء من المعرکة، حاملین معهم أخباراً کثیرة عن مآسی الطف وشجونه وأحزانه، کعقبة بن سمعان</w:t>
      </w:r>
      <w:r>
        <w:rPr>
          <w:rStyle w:val="FootnoteAnchor"/>
          <w:rtl w:val="true"/>
        </w:rPr>
        <w:footnoteReference w:id="112"/>
      </w:r>
      <w:r>
        <w:rPr>
          <w:rFonts w:ascii="IRNazanin" w:hAnsi="IRNazanin" w:eastAsia="IRNazanin"/>
          <w:color w:val="111111"/>
          <w:sz w:val="28"/>
          <w:sz w:val="28"/>
          <w:szCs w:val="28"/>
          <w:rtl w:val="true"/>
          <w:lang w:bidi="fa-IR"/>
        </w:rPr>
        <w:t>، والضحّاک بن عبد الله المشرقی</w:t>
      </w:r>
      <w:r>
        <w:rPr>
          <w:rStyle w:val="FootnoteAnchor"/>
          <w:rtl w:val="true"/>
        </w:rPr>
        <w:footnoteReference w:id="113"/>
      </w:r>
      <w:r>
        <w:rPr>
          <w:rFonts w:ascii="IRNazanin" w:hAnsi="IRNazanin" w:eastAsia="IRNazanin"/>
          <w:color w:val="111111"/>
          <w:sz w:val="28"/>
          <w:sz w:val="28"/>
          <w:szCs w:val="28"/>
          <w:rtl w:val="true"/>
          <w:lang w:bidi="fa-IR"/>
        </w:rPr>
        <w:t>، والمقرقع بن ثمامة الأسدی، وغیرهم ممَّن نقل هذه الأخبار، مضافاً إلی أنَّ مصدر الکثیر من أخبار النهضة هو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أکثر الناس حضوراً، وأوسعهم إحاطة بأحداثها، فقد واکبها من حین انطلاقها من المدینة إلی حین رجوع السبایا إلی الشام، ومن ثمّ إلی المدینة</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نقل الصدوق فی أمالیه مقتلاً بأسانید متّصلة بأئمّة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بالإضافة إلی النساء والأطفال الذین حضروا المعرکة، وبقیت خواطر الطف عالقة فی أذهانهم ینقلونها إلی الآخرین، فتنتقل من جیلٍ إلی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مع ذلک التشکیک فی أخبار النهضة، والتردّد فی صحة المنقول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لحمید بن مسلم روایات متعدّدة أشرنا إلی بعضها عند التعرّض لموقفه من النهضة الحسینیة، کروایة اعتراضه علی محاولة الشمر حرق الخیام، وعلی محاولة رجال الشّمر قتل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اعتراضه علی محاولة عمرو بن سعد الأزدی قتل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إلی إرسال عمر بن سعد له إلی أهله لیبشّرهم بالنصر والعافیة، وغیر ذلک من روایات 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هنا أنْ نشیر إلی سائر روایاته الأُخری حول النهضة، وهی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لما کتبه عبید الله بن زیاد إلی عمر بن سعد یأمره بمنع الماء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قبل حادثة الطف بثلاثة أیام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 لمنازلة عبد الله بن أبی حصین الأزدی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ألا تنظر إلی الماء کأنّه کبد السّماء، والله، لا تذوق منه قطرة حتی تموت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علیه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p>
    <w:p>
      <w:pPr>
        <w:pStyle w:val="BookText"/>
        <w:rPr/>
      </w:pPr>
      <w:r>
        <w:rPr>
          <w:rFonts w:ascii="IRNazanin" w:hAnsi="IRNazanin" w:eastAsia="IRNazanin"/>
          <w:color w:val="111111"/>
          <w:sz w:val="28"/>
          <w:sz w:val="28"/>
          <w:szCs w:val="28"/>
          <w:rtl w:val="true"/>
          <w:lang w:bidi="fa-IR"/>
        </w:rPr>
        <w:t>کذلک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لکتاب عمر بن سعد إلی ابن زیاد یخبره بقبول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إلی المکان الذی أتی منه أو أی ثغرٍ من ثغور المسلمین، مقترحاً علیه قبول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وکاد ابن زیاد أن یقبل ذلک لولا ممانعة الشمر وتحریضه علی عدم القبول إلّا بالنزول إلی حکمه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 لزحف عمر بن سعد نحو معسکر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السهم فی کبد قوسه، ورمیه باتجاهه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أنّی أوّل مَن رمی</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قتلوک یا بُنیّ، ما أجرأهم علی الرحمن، وعلی انتهاک حرمة الرّسول، علی الدنیا بعدک العفا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فانکتب علیه، فأخذ بیدها وردّها إلی الفسطاط</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 لبقاء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 فی المعرکة یقاتل راجلاً وکأنّه فارس، ثمّ مکث طویلاً لم یقدم علی قتله أحد، یتقی بعضهم ببعض، حتی صاح بهم الشمر فحملوا علیه من کلّ جانب، فاحتز سنان بن أنس رأسه الشریف وأعطاه إلی خولی بن یزید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لندب عمر بن سعد أصحابه لیدوسوا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بخیولهم فخرج عشرة منهم فداسوه حتّی رضّوا ظهره وصدره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 لما کان یفعله ابن زیاد من نکث شفتی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بقضیبٍ له، فقال له زید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w:t>
      </w:r>
    </w:p>
    <w:p>
      <w:pPr>
        <w:pStyle w:val="BookText"/>
        <w:rPr/>
      </w:pPr>
      <w:r>
        <w:rPr>
          <w:rFonts w:ascii="IRNazanin" w:hAnsi="IRNazanin" w:eastAsia="IRNazanin"/>
          <w:color w:val="111111"/>
          <w:sz w:val="28"/>
          <w:sz w:val="28"/>
          <w:szCs w:val="28"/>
          <w:rtl w:val="true"/>
          <w:lang w:bidi="fa-IR"/>
        </w:rPr>
        <w:t>بهذا القضیب عن هاتین الشفتین فإنّی رأیت شفتی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هاتین الشفتین، ثمّ بکی، فقال 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الله عینک، فوالله، لولا أنّک شیخٌ کبیرٌ قد خرفت وذهب عقلک لضربت عنقک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لخطبة ابن زیاد بعد حادثة الطف الذی تجاسر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بکلامٍ بذیء فما أن فرغ من خطبته حتی انبری إلیه عبد الله بن عفیف الأزدی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الکذّاب ابن الکّذاب أنت وأبوک والذی ولّاک وأبوه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بن زیاد بقتله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 لدخول السبایا علی ابن زیاد وبینهم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فشمت بها، فردّته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أکرمنا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تطهیراً، لا کما تقول أنت، إنّما یفتضح الفاسق، ویکذب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لم ینته ابن زیاد من شماتته حتّی أبکاها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لوقوف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ابن زیاد الذی أمر بقتله بعد کلامٍ دار بینهما، فعلقت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ومنعته من قتله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روایات رواها حمید بن مسلم حول التوابین وثورة المختار، ترکْنا التعرّض لها مراعاةً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من خلال تتبّعنا لروایاته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روایاته فی النّهضة الحسینیة منقولة عنه فی تاریخ الطبری، إذ روی عنه أکثر من عشرین روایة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بعد الطبری فی عدد الرّوایات کتاب مقاتل الطالبیین، ثمّ الفتوح، ثمّ الأخبار الطوال، وغیر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 کثیراً من الکتب التاریخیة لم تتعرّض لروایاته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ما رواه أبو مخنف عن حمید بن مسلم کان بواسطة رواةٍ آخرین کسلیمان بن بی راشد، والصّعب بن زهیر، والوالبی، والمجالد بن سعید، ویحیی بن أبی عیسی، کما روی عن طریق والده أیضاً روایة واحدة حول التوابین ونهضتهم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نعثر علی أیّة روایة ینقلها أبو مخنف عن حمید بن مسلم بصورة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حمید بن مسلم لم یکن الرّوای الوحید الذی روی عنه أبو مخنف أحداث الطف وما بعدها، بل هناک رواة آخرون روی عنهم أخبار النهضة من دون واسطة حمید بن مسلم، کعقبة بن سمعان، والصّعب بن زهیر، والمجالد بن سعید، وهانی بن ثبیت الحضرمی، وحسّان العبسی، وأبی جناب الکلبی، والضّحاک بن عبدالله المشرقی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وجود روایات أُخری مرسلة نقلها أبو مخنف بصورة مباشرة، من دون واسطة راوٍ معیّن، رغم الفاصلة الزّمنیة الطّویلة التی تفصله عن حادثة الطف، والتی تقتضی وجود واسطة أو وسائط فی النّقل، وتفصیل ذلک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أبی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اهتمام حمید بن مسلم بنقل أخبار النّهضة الحسینیة وقیامه بدور الصّحفی فیها، إلّا أنّهُ لم یُؤثَر عنه اهتمام بنقل أخبار أُخری لا علاقة لها بالنهضة الحسینیة، إلّا روایة واحدة نقلها 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 فیها أصحابه علی تهاونهم فی مواجهة العدو، وانخداعهم برفع المصاحف فی حرب صفین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الروایات المرتبطة بثورة التوابین والمختار، کما تقدّمت الإشارةُ إلیها، وهی من آثار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مصیر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شیء عن مصیر حمید بن مسلم وما آل إلیه أمره سوی أنّه کان ملاحقاً من قبل المختار الذی حاول رجاله القبض علیه فلم یظفروا به، إذ تمکّن من الفرار منهم، وبقی إلی الفترة التی سیطر فیها عبد الملک بن مروان علی الأوضاع بعد هزیمة آل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آخر ما نقل عنه رثاؤه لعبد الرحمن بن مخنف الأزدی من قادة الحجاج، الذی قتله الخوارج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128"/>
      </w:r>
      <w:r>
        <w:rPr>
          <w:rFonts w:ascii="IRNazanin" w:hAnsi="IRNazanin" w:eastAsia="IRNazanin"/>
          <w:color w:val="111111"/>
          <w:sz w:val="28"/>
          <w:sz w:val="28"/>
          <w:szCs w:val="28"/>
          <w:rtl w:val="true"/>
          <w:lang w:bidi="fa-IR"/>
        </w:rPr>
        <w:t>، ثمّ انقطع خبره بعد ذلک ولم یُعرف عنه شیء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أحمد بن داود الدینوری،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منشورات الرضی،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دار المفید،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أحمد بن یحیی البلاذری،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وریاض الزرکلی، 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إسماعیل بن عمر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دار التراث،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 أحمد بن محمد بن مسکویه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إمامی، سروش، طهران،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عبد الله المامقانی،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المامقانی،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 الطوسی،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 مؤسسة النّشر الإسلامی التابعة لجماعة المدرسین، قم،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الشهید الثانی،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مرکز النشر التّابع لمکتب الإعلام الإسلامی، </w:t>
      </w:r>
      <w:bookmarkStart w:id="293" w:name="pg5104_36351"/>
    </w:p>
    <w:p>
      <w:pPr>
        <w:pStyle w:val="BookText"/>
        <w:rPr/>
      </w:pPr>
      <w:bookmarkEnd w:id="293"/>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الفاخرة فی مآتم العترة الطاهرة، عبد الحسین شرف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البدری، 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علی النمازی الشاهرودی،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قضایا النهضة الحسینیة، فوزی آل سیف،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السّعدی</w:t>
      </w:r>
    </w:p>
    <w:p>
      <w:pPr>
        <w:pStyle w:val="Heading4"/>
        <w:numPr>
          <w:ilvl w:val="3"/>
          <w:numId w:val="1"/>
        </w:numPr>
        <w:rPr/>
      </w:pPr>
      <w:bookmarkStart w:id="294" w:name="__RefHeading___Toc1323795_774463916"/>
      <w:bookmarkStart w:id="295" w:name="_Toc125"/>
      <w:bookmarkEnd w:id="294"/>
      <w:r>
        <w:rPr>
          <w:rtl w:val="true"/>
        </w:rPr>
        <w:t>زهیر بن القین</w:t>
      </w:r>
      <w:bookmarkEnd w:id="295"/>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زهیر بن القین بن قیس الأنماری البجلی، والبجلی نسبةً إلی قبیلة بجیلة، وفی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 بن الحرث البجلی</w:t>
      </w:r>
      <w:r>
        <w:rPr>
          <w:rStyle w:val="FootnoteAnchor"/>
          <w:rtl w:val="true"/>
        </w:rPr>
        <w:footnoteReference w:id="129"/>
      </w:r>
      <w:r>
        <w:rPr>
          <w:rFonts w:ascii="IRNazanin" w:hAnsi="IRNazanin" w:eastAsia="IRNazanin"/>
          <w:color w:val="111111"/>
          <w:sz w:val="28"/>
          <w:sz w:val="28"/>
          <w:szCs w:val="28"/>
          <w:rtl w:val="true"/>
          <w:lang w:bidi="fa-IR"/>
        </w:rPr>
        <w:t>، ولعلّ الحرث هو أحد أجداده، واختُلف فی بجیلة فذهب أکثر أهل النسب إلی أنّها وخثعم ابنا أنمار بن نزار بن معد بن عدنان،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بجیلة امرأة وهی ابنة صعب بن سعد العشیرة ولدت لأنمار بن إراش بن عمرو بن الغوث، فنسبوا إلیها وعرفوا بها، وقالت طائفة من أهل العلم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خثعم وبجیلة هما ابنا أنمار بن إراش بن عمرو بن الغوث بن النبت بن مالک بن زید بن کهلان بن سبأ</w:t>
      </w:r>
      <w:r>
        <w:rPr>
          <w:rStyle w:val="FootnoteAnchor"/>
          <w:rtl w:val="true"/>
        </w:rPr>
        <w:footnoteReference w:id="130"/>
      </w:r>
      <w:r>
        <w:rPr>
          <w:rFonts w:ascii="IRNazanin" w:hAnsi="IRNazanin" w:eastAsia="IRNazanin"/>
          <w:color w:val="111111"/>
          <w:sz w:val="28"/>
          <w:sz w:val="28"/>
          <w:szCs w:val="28"/>
          <w:rtl w:val="true"/>
          <w:lang w:bidi="fa-IR"/>
        </w:rPr>
        <w:t>، فیکونون من القبائل القحطانیة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بطون عدّة سکنت الیمن والحجاز، ثمّ افترقوا أیام الفتح علی الآفاق، کالعراق والشام ولم یبقَ فی مواطنهم الأصلیة منهم إلّا القلیل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القین قبل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تتوافر معلومات کافیة عن حیاة زهیر بن القین، ونشأته فی المصادر التاریخیة قبل واقعة عاشوراء سوی ما یُذکر من مشارکته فی إحدی الفتوحات الإسلامیة، وهو فتح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مدینة ببلاد الخزر بأرمینیة</w:t>
      </w:r>
      <w:r>
        <w:rPr>
          <w:rStyle w:val="FootnoteAnchor"/>
          <w:rtl w:val="true"/>
        </w:rPr>
        <w:footnoteReference w:id="132"/>
      </w:r>
      <w:r>
        <w:rPr>
          <w:rFonts w:ascii="IRNazanin" w:hAnsi="IRNazanin" w:eastAsia="IRNazanin"/>
          <w:color w:val="111111"/>
          <w:sz w:val="28"/>
          <w:sz w:val="28"/>
          <w:szCs w:val="28"/>
          <w:rtl w:val="true"/>
          <w:lang w:bidi="fa-IR"/>
        </w:rPr>
        <w:t>، فتحها المسلمون فی خلافة عثمان بقیادة سلمان بن ربیعة الباهلی سنة ثمان وعشرین أو تسع وعشرین</w:t>
      </w:r>
      <w:r>
        <w:rPr>
          <w:rStyle w:val="FootnoteAnchor"/>
          <w:rtl w:val="true"/>
        </w:rPr>
        <w:footnoteReference w:id="133"/>
      </w:r>
      <w:r>
        <w:rPr>
          <w:rFonts w:ascii="IRNazanin" w:hAnsi="IRNazanin" w:eastAsia="IRNazanin"/>
          <w:color w:val="111111"/>
          <w:sz w:val="28"/>
          <w:sz w:val="28"/>
          <w:szCs w:val="28"/>
          <w:rtl w:val="true"/>
          <w:lang w:bidi="fa-IR"/>
        </w:rPr>
        <w:t>، وکان فی مقدمة الفاتحین زهیر بن القین، وظلّت هذه الحادثة عالقة فی ذهنه حتی التقی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 إلی نصرته فقرّر الالتحاق به، وعاد إلی أهله وأصحابه لیخبرهم بقراره المصیری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غزونا البحر، ففتح الله علینا وأصبنا غنائم، فقال لنا سلمان الفارسی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فیما ذکر بعضٌ آخر أنّه سلمان الفارسی، کابن الأثیر فی الکامل الذی أشار إلی أنّه کان مع الفاتحین فی تلک 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فی 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والحمیری فی الروض المعطار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 ابن سعد فی الطبقات حضوره فی فتح بلنجر، وأنّه قد أصاب مسکاً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القائل هو سلمان الفارسی؛ لأنّه هو المؤهّل لقول مثل هذا الکلام الذی لا یصدر إلّا من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وتلامذتها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أفَرِحتم بما فتح الله علیکم، وأصبتم من الغنائم؟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أدرکتم شباب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شباب أهل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فکونوا أشدّ فرحاً بقتالکم معهم ممّا أصبتم الیوم من الغنائم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هذه الحادثة أنّ زهیراً کان وهو فی مقتبل عمره یسارع إلی المشارکة فی الجهاد فی سبیل الله ونشر الإسلام فی البلاد البعیدة، ما یتطلّب ذلک أیضاً شجاعة وإقداماً </w:t>
      </w:r>
    </w:p>
    <w:p>
      <w:pPr>
        <w:pStyle w:val="BookText"/>
        <w:rPr/>
      </w:pPr>
      <w:r>
        <w:rPr>
          <w:rFonts w:ascii="IRNazanin" w:hAnsi="IRNazanin" w:eastAsia="IRNazanin"/>
          <w:color w:val="111111"/>
          <w:sz w:val="28"/>
          <w:sz w:val="28"/>
          <w:szCs w:val="28"/>
          <w:rtl w:val="true"/>
          <w:lang w:bidi="fa-IR"/>
        </w:rPr>
        <w:t>وفروسیة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له مستوی من العلم والمعرفة والإدراک أهّله لوعی هذا الحدیث وإدراک مغزاه حتی ظلّ فی ذاکرته منذ تلک المدّة الطویلة، ولعلّ مواقفه وتصرفاته التی سنشیر إلی بعضها تدعم ذلک بصورة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زهیراً کان من سکنة الکوفة قُبیل أحداث عاشوراء، وکان وجهاً من وجوه عشیرته وقومه، وله مکانته المرموقة بین القبائل، وأنّه أدرک عاشوراء وهو کهل إذا التفتنا إلی أنّه قد أدرک خلافة عثمان، وهو رجلٌ قادرٌ علی حمل السلاح والمشارکة فی فتوح البلدان النائیة، فیبدو أنّه کان شاباً فی العقد الثانی من عمره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القین والهوی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العلامات الفارقة فی مسیرة حیاة الشهید زهیر بن القین اتّهامه بأنه عثمانیّ الهوی، وهو مصطلح سیاسی یعنی فی بعض تفسیراته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الشخص إلی عثمان والانحراف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والاعتقاد بأنّه قُتل مظلوماً، وأنّه یفضّله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یحمّل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قتله أو الاشتراک ضدّه فی حروبه التی خاضها</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العثمانی هو الذی یغالی فی حبّ عثمان وینتقص علیاً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تطوّر هذا الوصف فأصبح یطلق علی مَن کان أُمویّ الهوی فی قبال مَن یکون علویاً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تهمة عثمانیة زهیر أو عدم میله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أُمّهات المصادر التاریخیة، فیما رواه عن أبی مخنف فی حدیث طویل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عندما نادی عمر بن سعد بالزحف علی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یوم التاسع من المحرم، فبعث الحسین أخاه العباس لیسألهم عمّا یبغون، فاستقبلهم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 من عشرین فارساً فیهم زهیر بن القین وحبیب بن مظاهر،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لکم؟ وما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الأمیر بأن نعرض علیکم أن تنزلوا علی حکمه أو ننازلکم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منهم العباس أن یمهلوه کی یخبر الحسین بذلک، فقفل مسرعاً لیُعلم الإمام، وبقی أصحابه یخاطبون القوم، فقال حبیب بن مظاهر لزهیر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القوم إن شئت وإن شئت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بدأت بهذا فکن أنت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حبیب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لبئس القوم عند الله غداً قوم یقدمون علیه قد قتلوا ذریة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وعبّاد أهل هذا المصر المجتهدین بالأسحار والذاکرین الله کثیراً، فقال له عزرة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لتزکّی نفسک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عزرة، إنّ الله قد زکّاها وهداها، فاتق الله یا عزرة فإنّی لک من الناصحین، أُنشدک الله یا عزرة أن تکون ممَّن یعین الضلال علی قتل النفوس الزکیة،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ما کنت عندنا من شیعة أهل هذا البیت، إنّما کنت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 تستدلّ بموقفی هذا أنّی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کتبت إلیه کتاباً قط، ولا أرسلت إلیه رسولاً قط ولا وعدته نصرتی قط، ولکن الطریق جمعنی بینی وبینه، فلمّا رأیته ذکرت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ومکانه منه وعرفت ما یقدم علیه من عدوه وحزبکم، فرأیت أن أنصره وأن أکون فی حزبه، وأن أجعل نفسی دون نفسه حفظاً لما ضیّعتم من حقّ الله وحقّ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الطبری أیضاً فی موضع آخر عن أبی مخنف، عن السدی، عن رجلٍ من بنی فزارة،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زهیر بن القین البجلی حین أقبلنا من مکة نسایر الحسین فلم یکن شیء أبغض إلینا من أن نسایره فی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یتابع الفزاری،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سار الحسین تخلف زهیر بن القین، وإذا نزل الحسین تقدّم زهیر حتی نزلنا یومئذٍ فی منزل لم نجد بداً من أن ننازله فیه، فنزل الحسین فی جانب ونزلنا فی جانب فبینا نحن جلوس نتغدی من طعام لنا إذا أقبل رسول الحسین حتی سلّم، ثمّ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بن القین، إنّ أبا عبد الله الحسین بن علی بعثنی إلیک لتأتیه،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کلّ إنسانٍ ما فی یده حتی کأنّنا علی رؤوسنا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تنبری دلهم بنت عمرو زوج زهیر بن القین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وفی ترجمة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زهیر بن القین قد قُتل مع الحسین، فقالت امرأته 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فکفّن مولاک،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فرأیت حسیناً ملقی،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أُکفّن مولای وأدعُ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فکفّنت حسیناً، ثمّ رجعت، فقلت ذلک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وأعطتنی کفناً آخر،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فکفّن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أیبعث إلیک ابن رسول الله ثمّ لا تأتیه؟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أتیته فسمعت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انصرفت، فأتاه زهیر بن القین فما لبث أن جاء مستبشراً قد أسفر وجهه، فأمر بفسطاطه وثقله ومتاعه فقدم وحُمل إلی الحسین، ثمّ قال لامرأته أنت طالق الحقی بأهلک، فإنّی لا أُحبّ أن یُصیبک من سببی إلاّ خیر،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أن یتبعنی وإلّا فإنّه آخر العهد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القصة أیضاً الشیخ المفید فی الإرشاد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یُستفاد من کراهته للقاء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والاجتماع به عثمانیته، وعدم میله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الذین صرحوا بعثمانیة زهیر، البلاذری فی أنساب الأشراف،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زهیر بن القین البجلی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من مکَّة متعجّلاً، فضمّه الطریق وحسیناً، فکان یسایره ولا ینازله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أیضاً قول عزرة بن قیس لزهیر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عندنا عثمانیاً فما لک؟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الدینوری کراهة زهیر الاجتماع بالحسین، فذکر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إلی زرود نظر إل فسطاطٍ مضروب، فسأل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لزهیر 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حاجّاً أقبل من مکة یرید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الحسین، أن القنی أکلّمک، فأبی أن یلقاه، وکانت مع زهیر زوجُه،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إلیک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یمشی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قصّةً شبیهةً بما أوردها الطبری آنفاً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تابعهم علی هذا القول الفتال النیسابوری</w:t>
      </w:r>
      <w:r>
        <w:rPr>
          <w:rStyle w:val="FootnoteAnchor"/>
          <w:rtl w:val="true"/>
        </w:rPr>
        <w:footnoteReference w:id="144"/>
      </w:r>
      <w:r>
        <w:rPr>
          <w:rFonts w:ascii="IRNazanin" w:hAnsi="IRNazanin" w:eastAsia="IRNazanin"/>
          <w:color w:val="111111"/>
          <w:sz w:val="28"/>
          <w:sz w:val="28"/>
          <w:szCs w:val="28"/>
          <w:rtl w:val="true"/>
          <w:lang w:bidi="fa-IR"/>
        </w:rPr>
        <w:t>، وابن الأثیر فی الکامل</w:t>
      </w:r>
      <w:r>
        <w:rPr>
          <w:rStyle w:val="FootnoteAnchor"/>
          <w:rtl w:val="true"/>
        </w:rPr>
        <w:footnoteReference w:id="145"/>
      </w:r>
      <w:r>
        <w:rPr>
          <w:rFonts w:ascii="IRNazanin" w:hAnsi="IRNazanin" w:eastAsia="IRNazanin"/>
          <w:color w:val="111111"/>
          <w:sz w:val="28"/>
          <w:sz w:val="28"/>
          <w:szCs w:val="28"/>
          <w:rtl w:val="true"/>
          <w:lang w:bidi="fa-IR"/>
        </w:rPr>
        <w:t>، وابن نما الحلّی فی مثیر الأحزان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الاتهام بالعثمانیة وتحقیقه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بعض المحقّقین والباحثین أنّ إلصاق هذه التهمة وراءها نیّات مبیتة هدفها الحط من قدر هؤلاء الأعاظم والشهداء الأماثل فی أعین أتباع أهل </w:t>
      </w:r>
    </w:p>
    <w:p>
      <w:pPr>
        <w:pStyle w:val="BookText"/>
        <w:rPr/>
      </w:pPr>
      <w:r>
        <w:rPr>
          <w:rFonts w:ascii="IRNazanin" w:hAnsi="IRNazanin" w:eastAsia="IRNazanin"/>
          <w:color w:val="111111"/>
          <w:sz w:val="28"/>
          <w:sz w:val="28"/>
          <w:szCs w:val="28"/>
          <w:rtl w:val="true"/>
          <w:lang w:bidi="fa-IR"/>
        </w:rPr>
        <w:t>البیت ومحبّیهم، وقد حاول بعضهم أن یعالج هذه الدعوی بالمناقشة فیما ورد من نصوص وأخبار، من جهة السند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الباحثین إلی أنّ هذه الروایات ضعیفة من حیث السند؛ فإنّ إحدی روایتی الطبری وهی روایة منازل الطریق ضعیفة بمجهولیة الفزاری فی سندها، وکذلک عدم الاعتماد علی روایة البلاذری؛ لخلوّها من الإسناد، لأنّها مصدّرة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الإشکال مبتنٍ علی إعمال منهج المحدّثین فی التاریخ القائم علی التصحیح السندی وفق قواعد أهل الحدیث، کما هو دیدن بعض المدارس الإسلامیة، ولکن هذا الأمر لا یوافق علیه کثیر من المحقّقین والعلماء؛ لأنّ المنهج التاریخی له أدواته الخاصّة به للوصول إلی الحقیقة التاریخیة أو الاقتراب منها، کاعتماده علی قدرة المؤرّخ علی اقتناص الأدلة والشواهد ومقارنتها وتحلیلها، واعتماد المادة الأکثر اعتباراً من قبیل نقلها وتداولها فی المصادر المتقدّمة، ومن قبل مؤرّخین معتمدین، وملاءمتها للمعطیات التاریخیة الأُخری، وعدم مخالفتها لمسلّمات العقل والنقل، وغیر ذلک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ذهب بعض المحقّقین إلی أنّ اشتراط الصحة الحدیثیة فی قبول الأخبار التاریخیة فیه تعسّف کثیر، والخطر الناجم عنه کبیر؛ لأنّ الروایات التاریخیة التی دوّنها المؤرِّخون لم تُعامل معاملة الأحادیث، بل تمّ التساهل فیها، فإذا رُفض منهجهم فإنّ الحلقات الفارغة فی التاریخ ستشکّل هوّة سحیقة بیننا وبین ماضینا، ممّا یولّد الحیرة والضیاع والانقطاع</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المستشکِل نفسه لم یلتزم بالمنهج الحدیثی فی کثیر من الأخبار التی بنی علیها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یتّصل بالإشکال فی روایة البلاذری؛ فیجاب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البلاذری تشیر إلی مصطلح حدیثی اسمه الإسناد الجمعی، وهو أن یأخذ الکاتب مجموعة من الروایات التاریخیة التی یرویها مجموعة من الرواة، ثمّ یدمج بعضها فی بعض ویسوقها مساقاً واحداً، فمدخول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أنّه خبرٌ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الکتّاب أنّ تصدیر البلاذری لبعض الأخبار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منها أنّها مقبولة عند عامّة المؤرخین، والبلاذری یأخذ عن المصادر التی سلسلة إسنادها معروفة، وکثیراً ما یستعمل الإسناد الجمعی لیدلّ علی الاتفاق علی المعلومات الأساسیة، ثمّ یورد إضافات بسیطة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ادّعی بعض الباحثین أنّه تتبع روایات البلاذری التی صدّرها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وقارنها بروایات أبی مخنف عند الطبری، فوجدها هی نفسها إلاّ أنّ البلاذری قد یتدخّل بالاختصار أو حذف بعض المقاطع، وأوعز هذا الصنیع من البلاذری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علاقة البلاذری بالمتوکّل العباسی کونه أحد ندمائه، فأخفی ذکر أبی مخنف باعتباره أحد الأخباریین الشیعة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البلاذری سلک منهج المحدّثین فی تألیف کتاب الأنساب الذی </w:t>
      </w:r>
    </w:p>
    <w:p>
      <w:pPr>
        <w:pStyle w:val="BookText"/>
        <w:rPr/>
      </w:pPr>
      <w:r>
        <w:rPr>
          <w:rFonts w:ascii="IRNazanin" w:hAnsi="IRNazanin" w:eastAsia="IRNazanin"/>
          <w:color w:val="111111"/>
          <w:sz w:val="28"/>
          <w:sz w:val="28"/>
          <w:szCs w:val="28"/>
          <w:rtl w:val="true"/>
          <w:lang w:bidi="fa-IR"/>
        </w:rPr>
        <w:t>یعتمد علی توثیق الروایات الذی لا یتمّ إلّا عن طریق التحدیث والسماع من الراوی نفسه، ویبدو أنّ کتب أبی مخنف لم تصل إلیه إجازةً عن طریق السماع، وإنما تحصّل علیها وجادةً؛ لذا تحرّج من ذکر أبی مخنف بدون إسنادٍ موصلٍ 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حال، فروایة البلاذری لیست ضعیفة حتی علی منهج المحدّثین المتشدّد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علی متون النصوص الواردة فی هذه القضیة عدّة ملحوظات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الملحوظة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منازل الطریق التی رواها الطبری عن رجل من بنی فزارة، لا یستقیم مع الحقیقة التاریخیة والجغرافیة؛ لأنّ زهیر بن القین کان عائداً من مکة إلی الکوفة بعد الانتهاء من أداء الحج،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یوم الثامن من ذی الحجة، فلو فرضنا أنّ زهیراً قد خرج من مکة بعد انتهاء مراسم الحج مباشرةً، فإنّه یکون قد خرج منها یوم الثالث عشر من ذی الحجة، وبهذا یکون الفارق الزمنی بین یوم خروجه ویوم خروج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خمسة أیّام علی الأقل، وإذا کان هذا فکیف یصحّ ما فی متن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زهیر بن القین البجلی حین أقبلنا من مکة نسایر الحسین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خبر الأسدیَین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 الأسدی والمذری بن المشمعل الأسدی</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نقله الطبری،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قضینا حجّنا لم تکن لنا همّة إلّا اللحاق بالحسین فی الطریق لننظر ما یکون من أمره وشأنه، فقبلنا ترقل</w:t>
      </w:r>
      <w:r>
        <w:rPr>
          <w:rStyle w:val="FootnoteAnchor"/>
          <w:rtl w:val="true"/>
        </w:rPr>
        <w:footnoteReference w:id="153"/>
      </w:r>
      <w:r>
        <w:rPr>
          <w:rFonts w:ascii="IRNazanin" w:hAnsi="IRNazanin" w:eastAsia="IRNazanin"/>
          <w:color w:val="111111"/>
          <w:sz w:val="28"/>
          <w:sz w:val="28"/>
          <w:szCs w:val="28"/>
          <w:rtl w:val="true"/>
          <w:lang w:bidi="fa-IR"/>
        </w:rPr>
        <w:t>بنا ناقتانا مسرعین حتی لحقناه بزرود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التأیید أن الأسدیَین کذلک أتمّا حجّهما فیکون خروجهما من مکة یوم الثالث عشر من ذی الحجة علی أقلّ تقدیر، ومع أنّهما کانا مسرعین لم یلحقا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زرود، وذلک لوجود الفارق الزّمنی بین خروجهما وخروج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یعنی أنَّ زهیراً لم یکن قد التقی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زرود حتی یأتی الحدیث عن کراهة اللقاء به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الملحوظة مبنیة علی المراد من کلام الراوی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کنا مع زهیر وکنا نسایر الحسین من مکة، وهذا لا یستقیم مع الفارق الزمنی بین خروج الحسین من مکة یوم الثامن، وخروج زهیر وأصحابه یوم الثالث عشر علی أقلّ تقدیر فی حین أنّ الظاهر من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حینما أقبلنا من مکة بعد إتمام الحج کنا نسایر الحسین، ولیس بالضرورة أنه کان یقصد مسایرته من مکة، بل یصحّ کلامه فیما لو قصد أنّهم کانوا یسایرونه ولو فی بعض الطریق، ومن الممکن أن یلحقوا برکب الإمام لوجود النساء والأطفال الذی یقتضی البطء فی السیر، مضافاً إلی أنّ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یتحین الفرص لدعوة الناس ومَن یلتقیهم فی الطریق لنصرته والالتحاق به، فیقتضی منه التأنّی فی المسیر، ویدعم ذلک أنّ زهیراً کان یجدّ فی سیره، وأنّه خرج من مکة متعجّلاً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التأیید بخبر الأسدیین فهو معارضٌ بما ورد عنهما أیضاً بأنّهما لحقا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الصفاح وهو منزل قریب من مکة؛ إذ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أقبلنا حتّی انتهینا إلی الصّفاح، فلقینا الفرزدق بن غالب الشّاعر فواقف حسیناً،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الله سؤلک وأمّلک فیما تحبّ،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نبأ الناس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الخبیر سألت، قلوب الناس معک، وسیوفهم مع بنی أُمیّة</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ینسجم مع کونهما قد أدّیا الحج وفق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تنبّه أحد المحققین المعاصرین لهذا التّنافی بین خبری لقاء الأسدیین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ووجّهه بأن یکون لقاؤهما به فی الصّفاح قبل وصولهما إلی مکّة قادمین من الکوفة، وبعد أن أتمّا حجّهما لحقا به بزرود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التوجیه یواجه بعض الإشکالات،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الطبری قد ذکر خبراً عنهما یفید بأنّهما قد خرجا حاجّین من الکوفة، ودخلا مکة یوم الترویة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فی مکة؛ إذ نقلا محاورة بینه وبین عبد الله بن الزبیر بین الحجر والباب، ثمّ ذکرا بأنّ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طاف بالبیت، وسعی بین الصفا والمروة، وقصّ من شعره وحلّ من عمرته، ثمّ توجه نحو الکوفة، بینما توجها نحو منی مع الناس</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خبر الفرزدق یعنی أنّهما والفرزدق قد جاؤوا من الکوفة وتوافقوا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الصّفاح، وهذا لا ینسجم مع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منه تعاکس وجهتیهما لا أنّهما جاءا من وجهةٍ واحدة، مضافاً إلی أنّ نقلهما کلام الفرزدق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الناس معک، وسیوفهم مع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یظهر أنّهما لیسا علی علم بذلک، والحال أنّهما لو کان مجیئهما مقارباً لمجیء الفرزدق من الکوفة؛ لکان هذا الأمر واضحاً عندهما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سائر المصادر الأُخری التی نقلت خبر زهیر وکراهة اجتماعه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ذلک الالتباس،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زهیر ومَن معه من مکة یسایرون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الملحوظة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الثانی الذی استُدلّ به علی عثمانیة زهیر بن القین هو ما رواه الطبری من المحاورة الحاصلة بین عزرة بن قیس وزهیر فی التاسع من المحرّم، بدعوی أن النصّ یکشف لنا أنّ زهیر بن القین لم یکن عثمانیاً فی یوم من الأیّام؛ لأنّ زهیراً أجاب عزرة الذی اتهمه بالعثمانیة فیما مضی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أفلست</w:t>
      </w:r>
    </w:p>
    <w:p>
      <w:pPr>
        <w:pStyle w:val="BookText"/>
        <w:rPr/>
      </w:pPr>
      <w:r>
        <w:rPr>
          <w:rFonts w:ascii="IRNazanin" w:hAnsi="IRNazanin" w:eastAsia="IRNazanin"/>
          <w:color w:val="111111"/>
          <w:sz w:val="28"/>
          <w:sz w:val="28"/>
          <w:szCs w:val="28"/>
          <w:rtl w:val="true"/>
          <w:lang w:bidi="fa-IR"/>
        </w:rPr>
        <w:t>تستدلّ بموقفی هذا أنّی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أهل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رأیاً ومیلاً وانتماءً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یقل 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کنت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هدانی الله فصرت من أتباع أهل هذا البیت وأنصارهم، أو ما شابه ذلک، بل فی قوله المتقدم نفی ضمنی لعثمانیته مطلقاً فی الماضی والحاضر، ثمّ إنّ سکوت عُزرة بعد ذلک عن الردّ کاشفٌ عن تراجعه عن تهمة العثمانیة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معنی قد تحتمله العبارة، ولکنّه لا یبدو أنّه هو المعنی الأقرب، بل غایة ما یظهر من کلام زهیر أنّ فی وجوده الآن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دلالة واضحة علی أنّه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شیعتهم، وأمّا أنّه قد نفی أنّه لم یکن عثمانیاً فی یوم من الأیّام، وأن عزرة بسکوته قد تراجع عن هذه التهمة، فهو وإن کان محتملاً إلاّ أنّه لا شاهد علیه، ولا </w:t>
      </w:r>
    </w:p>
    <w:p>
      <w:pPr>
        <w:pStyle w:val="BookText"/>
        <w:rPr/>
      </w:pPr>
      <w:r>
        <w:rPr>
          <w:rFonts w:ascii="IRNazanin" w:hAnsi="IRNazanin" w:eastAsia="IRNazanin"/>
          <w:color w:val="111111"/>
          <w:sz w:val="28"/>
          <w:sz w:val="28"/>
          <w:szCs w:val="28"/>
          <w:rtl w:val="true"/>
          <w:lang w:bidi="fa-IR"/>
        </w:rPr>
        <w:t>قرینة واضحة تعضده، مع أنّه قد توجد هناک قرائن حالیة أو مقالیة مفقودة فی البین تدلّ علی خلاف ما فهمه المُلاحِظ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زهیراً نفسه فی ذیل کلامه ینفی أنّ التحاقه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مخططاً له من قبله، وإنّما قد جمعه معه الطریق، فذکر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منه فأراد أن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زهیراً أقسم فی کلامه أیضاً أنّه لم یکتب له کتاباً قط، ولا أرسل إلیه کتاباً قط ولا أوعده بنصرٍ قط، فلو کان حال زهیر سابقاً کحاله حین التحق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أبداه من مواقف فذّة فی عاشوراء، ولم یکن عثمانیاً فی یوم من الأیّام لکان من المبادرین لدعوة الإمام ومن المکاتبین له، خصوصاً وأنّه من أهل الکوفة، ومن أشرافها المعروفین، ولالتحق به وهو فی مکة وجاء معه، علماً أن أحداث الکوفة وثورة أهلها کانت قد بدأت من مدّة طویلة، وعدم بیعة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لیزید وخروجه إلی مکة واتصالات أهل الکوفة ومکاتباتهم أمر معروف ومشهور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الملحوظة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لم یحدثنا فی إطار سیرة زهیر عن أی واقعة أو حدث أو محاورة أو تصریح من زهیر نفسه تتجلّی فیه هذه العثمانیة التی أُلصقت فیه، مع أنَّ الآخرین ممن عُرفوا بعثمانیتهم کانوا قد عُرفوا بها من خلال آرائهم ومواقفهم واشتراکهم فی حرب أو أکثر ضد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أشرنا فیما سبق إلی أنّ التاریخ المکتوب الواصل إلینا قد ظلم الشهید زهیراً ولم یعطِه ما یستحقّ من الذکر، فالتاریخ لم یحدّثنا عن زهیر شیئاً لا خیراً ولا شراً، حتی نستدلّ بعدم ذلک علی أنّه لم یکن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محرّراً وواضحاً، فلیس کلّ عثمانی الهوی لا بدَّ أن تظهر منه مواقف عدوانیة تجاه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یشترک فی حرب ضدّهم؛ فإنّنا نجد بعض الشخصیات وصفت بهذا الوصف ولیس لها تلک المواقف، ومن ذلک ما أخرجه الطبرانی فی الکبیر عن عطاء بن السائب، عن میمون بن مهران، عن شیبان بن مخرم وکان عثمانیاً،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أتی 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هذا الموضع شهداء لیس مثلهم شهداء إلاّ شهداء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کذباته، وثَمّ رِجْل حمار میت، فقلت لغلامی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رجل هذا الحمار فأوتدها فی مقعده وغیّبها، فضرب الدهر ضربة، فلمّا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ومعی أصحاب لی فإذا جثة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رجل ذاک الحمار وإذا أصحابه ربضة حوله</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الشخص وُصف بأنّه عثمانی بینما هو فی جیش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عن أبی بردة بن عوف الأزدی إنّه کان عثمانیاً تخلّف عن أمیر المؤمنین فی حرب الجمل وحضر معه صفین علی ضعف نیّةٍ فی نصرته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الاستیعاب عن أبی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یحبّ زید بن ثابت، وکان زید عثمانیاً، ولم یکن فیمَن شهد شیئاً من مشاهد علیّ مع الأنصار، وکان مع ذلک یفضّل علیاً ویظهر حبّه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الشواهد علی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الأبعاد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الملحوظة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 المُلاحِظ</w:t>
      </w:r>
      <w:r>
        <w:rPr>
          <w:rStyle w:val="FootnoteAnchor"/>
          <w:rtl w:val="true"/>
        </w:rPr>
        <w:footnoteReference w:id="16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فی نفی التهمة عن زهیر بأنّ ابن أعثم المعاصر </w:t>
      </w:r>
    </w:p>
    <w:p>
      <w:pPr>
        <w:pStyle w:val="BookText"/>
        <w:rPr/>
      </w:pPr>
      <w:r>
        <w:rPr>
          <w:rFonts w:ascii="IRNazanin" w:hAnsi="IRNazanin" w:eastAsia="IRNazanin"/>
          <w:color w:val="111111"/>
          <w:sz w:val="28"/>
          <w:sz w:val="28"/>
          <w:szCs w:val="28"/>
          <w:rtl w:val="true"/>
          <w:lang w:bidi="fa-IR"/>
        </w:rPr>
        <w:t>للطبری والدینوری والبلاذری یروی قصة هذا اللقاء من دون أی ذکر للعثمانیة أو امتناع زهیر عن اللحاق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مضی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زهیر بن القین، فدعاه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نصرته فأجابه لذلک، وحمل إلیه فسطاطه، وطلّق امرأته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الاستدلال لا ینهض لإثبات المدّعی؛ فإنَّ المؤرِّخین یعمدون فی بعض الأحیان إلی الإجمال والاختصار فی نقل الخبر، وقد یفصّلون فی أحیان أُخری، حسب طبیعة الخبر الذی یصلهم، واللطیف فی الأمر أنّ البلاذری نفسه الذی ذکر أنّ زهیراً کان عثمانیاً، أورد فی الأنساب فی موضعٍ آخر خبر لقاء زهیر بالحسین من دون الإشارة إلی العثمانیة أو إبائه عن اللقاء،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وذکروا أنّ زهیر بن القین لقی الحسین وکان حاجّاً، فأقبل معه</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أنّ زهیر ابن القین البجلی لقی الحسین وکان حاجّاً فأقبل معه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الملحوظة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علی نفی التهمة کذلک بمواقف زهیر وزوجه وأقوالهم بعد عودته من لقاء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أقوال ومواقف تنمّ عن أنّهما کانا عارفین بحقّ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قلبیهما عامران بمودّتهم، کقوله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عزمت علی صحبة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لأفدیه بنفسی، وأقیه بروحی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وقولها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عوناً ومعیناً خار الله لک، أسالک أن تذکرنی فی القیامة عند جدّ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وقوله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وطنت نفسی علی الموت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وقول زهیر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منکم الشهادة فلیقم</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وإخباره إیّاهم بحدیث سلمان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أدرکتم شباب آل محمد فکونوا أشدّ فرحاً بقتالکم معهم ممّا أصبتم الیوم من الغنائم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بأنّ هذه الأقوال کما تنسجم مع رؤیة مَن یدّعی نفی التهمة عن زهیر وأنّها تکشف عن علویة زهیر وزوجه وموالاتهما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الأمر، کذلک تنسجم تمام الانسجام مع حصول التحوّل والانقلاب الحاصل فی رؤیتهما ومعتقدهما؛ فإنّهما بعد أن زالت عن قلبیهما الغشاوة وأبصرا الحقَّ جلیاً لا یُستغرب أن تبدر منهما هذه الأقوال والمواقف، علی أنّه لا ملازمة بین عثمانیة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عثمانیة زوجته؛ فقد تکون دلهم بنت عمرو امرأة زهیر علویة موالیة وزوجها لم یکن کذلک، وهذا کثیر الحصول فی المجتمع، بل ربما یستدل علی کونها من الموالین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قولها لزوجها حین دعاه رسول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عن إجابته،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أیبعث إلیک ابن رسول الله ثمّ لا تأتیه؟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أتیته فسمعت من کلامه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خرج زهیر بن القین یتلقی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یکتفِ بعض الباحثین بنفی تهمة العثمانیة عن زهیر بل ادّعی وبقوّة أنّه کان علویاً خرج یتلقّی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ویتسقّط أخباره عن درایةٍ وقصد، وألّف فی ذلک کتاباً</w:t>
      </w:r>
      <w:r>
        <w:rPr>
          <w:rStyle w:val="FootnoteAnchor"/>
          <w:rtl w:val="true"/>
        </w:rPr>
        <w:footnoteReference w:id="175"/>
      </w:r>
      <w:r>
        <w:rPr>
          <w:rFonts w:ascii="IRNazanin" w:hAnsi="IRNazanin" w:eastAsia="IRNazanin"/>
          <w:color w:val="111111"/>
          <w:sz w:val="28"/>
          <w:sz w:val="28"/>
          <w:szCs w:val="28"/>
          <w:rtl w:val="true"/>
          <w:lang w:bidi="fa-IR"/>
        </w:rPr>
        <w:t xml:space="preserve">اعتمد </w:t>
      </w:r>
    </w:p>
    <w:p>
      <w:pPr>
        <w:pStyle w:val="BookText"/>
        <w:rPr/>
      </w:pPr>
      <w:r>
        <w:rPr>
          <w:rFonts w:ascii="IRNazanin" w:hAnsi="IRNazanin" w:eastAsia="IRNazanin"/>
          <w:color w:val="111111"/>
          <w:sz w:val="28"/>
          <w:sz w:val="28"/>
          <w:szCs w:val="28"/>
          <w:rtl w:val="true"/>
          <w:lang w:bidi="fa-IR"/>
        </w:rPr>
        <w:t xml:space="preserve">فیه علی ما سجّله صاحب موسوعة الرکب الحسینی من محلوظات وأدلّة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الإضافات والأُمور الأُخری، ولکن الشیء المهم الذی أضافه هو نصّ ذکره البکری الأندلسی یدلّ بصراحة علی ما ذکره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زهیر بن القین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بلنجر، وشهدت فتحها، فسمعت سلمان الفارسی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أفرحتم بفتح الله لکم، فإذا أدرکتم شباب آل محمد، فکونوا أشدّ فرحاً بقتالکم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زهیر بخروج الحسین بن علی تلقّاه، فکان فی جملته، وقتل معه بکربلاء، وکان الحسین یتمثل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بالموت  عارٌ علی الفتی</w:t>
      </w:r>
    </w:p>
    <w:p>
      <w:pPr>
        <w:pStyle w:val="BookText"/>
        <w:rPr/>
      </w:pPr>
      <w:r>
        <w:rPr>
          <w:rFonts w:ascii="IRNazanin" w:hAnsi="IRNazanin" w:eastAsia="IRNazanin"/>
          <w:color w:val="111111"/>
          <w:sz w:val="28"/>
          <w:sz w:val="28"/>
          <w:szCs w:val="28"/>
          <w:rtl w:val="true"/>
          <w:lang w:bidi="fa-IR"/>
        </w:rPr>
        <w:t>إذا ما نوی حقّاً وجاهد مسلما</w:t>
      </w:r>
    </w:p>
    <w:p>
      <w:pPr>
        <w:pStyle w:val="BookText"/>
        <w:rPr/>
      </w:pPr>
      <w:r>
        <w:rPr>
          <w:rFonts w:ascii="IRNazanin" w:hAnsi="IRNazanin" w:eastAsia="IRNazanin"/>
          <w:color w:val="111111"/>
          <w:sz w:val="28"/>
          <w:sz w:val="28"/>
          <w:szCs w:val="28"/>
          <w:rtl w:val="true"/>
          <w:lang w:bidi="fa-IR"/>
        </w:rPr>
        <w:t>فإن عاش لم یندم  وإن مات لم یُلم</w:t>
      </w:r>
    </w:p>
    <w:p>
      <w:pPr>
        <w:pStyle w:val="BookText"/>
        <w:rPr/>
      </w:pPr>
      <w:r>
        <w:rPr>
          <w:rFonts w:ascii="IRNazanin" w:hAnsi="IRNazanin" w:eastAsia="IRNazanin"/>
          <w:color w:val="111111"/>
          <w:sz w:val="28"/>
          <w:sz w:val="28"/>
          <w:szCs w:val="28"/>
          <w:rtl w:val="true"/>
          <w:lang w:bidi="fa-IR"/>
        </w:rPr>
        <w:t>کفی بک موتاً أن  تذلّ وتظلما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صاحب الکتاب علی هذا النّص بأنّه تصریحٌ واضحٌ وصریحٌ، وفیه دلالة واضحة علی أنّ زهیراً لم ینسَ فی یومٍ ما بشری سلمان الفارسی، وأنّه خرج قاصداً عامداً میمّماً وجهه نحو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مترقّباً الساعة التی تجمعه فیه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بالإمکان الإجابة عن هذه الاستدلال بما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البکری قد تفرّد بهذا الکلام ولم نجد مَن یوافقه فی ذلک، وهو بهذا یخالف أُمّهات المصادر التاریخیة المهمّة، کالطبری، والبلاذری، التی تُثبت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البکری لیس من الکتب التاریخیة المتخصّصة فی نقل الأخبار، بل هو لیس من المعاجم العامّة للبلدان، وإنّما هو معجم لغوی خاصّ بتحقیق أسماء المواضع، وقد حدّد البکری غرضه فی مقدمته بأنّه لغوی بحت، یقوم علی الضبط وتصحیح الأسماء أولاً، لا علی جمع الأخبار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مبتلی بالاضطراب والخلط بین أجزائه فیبدو أنّه لا ارتباط بین صدر القصة والأبیات التی تمثّل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ویتّضح ذلک من خلال مراجعة المصادر التاریخیة، فقد ذکرت المصادر التاریخیة صدر الخبر فی سیاق قصة کراهة زهیر اللقاء بالإمام، ثمّ لقاؤه به وتغییر قناعته والتحاقه بالإمام من دون الإشارة إلی الأبیات الشعریة</w:t>
      </w:r>
      <w:r>
        <w:rPr>
          <w:rStyle w:val="FootnoteAnchor"/>
          <w:rtl w:val="true"/>
        </w:rPr>
        <w:footnoteReference w:id="179"/>
      </w:r>
      <w:r>
        <w:rPr>
          <w:rFonts w:ascii="IRNazanin" w:hAnsi="IRNazanin" w:eastAsia="IRNazanin"/>
          <w:color w:val="111111"/>
          <w:sz w:val="28"/>
          <w:sz w:val="28"/>
          <w:szCs w:val="28"/>
          <w:rtl w:val="true"/>
          <w:lang w:bidi="fa-IR"/>
        </w:rPr>
        <w:t>، بینما ذکرت المصادر أنّ الأبیات التی تمثّل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حین التقی الحرّ بن یزید الریاحی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ومنعه من الذهاب إلی الکوفة، ثمّ قال الحرّ للإمام فی جملة ما قال له بأنّک لئن قاتلت لتقتلنّ،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وسأقول کما قال أخو الأوس لابن عمه، وهو یرید 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فخوفه ابن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فإنّک مقتول، فذکر الأبیات</w:t>
      </w:r>
      <w:r>
        <w:rPr>
          <w:rStyle w:val="FootnoteAnchor"/>
          <w:rtl w:val="true"/>
        </w:rPr>
        <w:footnoteReference w:id="180"/>
      </w:r>
      <w:r>
        <w:rPr>
          <w:rFonts w:ascii="IRNazanin" w:hAnsi="IRNazanin" w:eastAsia="IRNazanin"/>
          <w:color w:val="111111"/>
          <w:sz w:val="28"/>
          <w:sz w:val="28"/>
          <w:szCs w:val="28"/>
          <w:rtl w:val="true"/>
          <w:lang w:bidi="fa-IR"/>
        </w:rPr>
        <w:t>، وبهذا یتّضح وجه المناسبة لذکره الأبیات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بعض المصادر التی ذکرت مناسبات أُخری لتمثّله بالأبیات لا علاقة لها بقصّة زهیر</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فلا یعوّل علی خبر </w:t>
      </w:r>
    </w:p>
    <w:p>
      <w:pPr>
        <w:pStyle w:val="BookText"/>
        <w:rPr/>
      </w:pPr>
      <w:r>
        <w:rPr>
          <w:rFonts w:ascii="IRNazanin" w:hAnsi="IRNazanin" w:eastAsia="IRNazanin"/>
          <w:color w:val="111111"/>
          <w:sz w:val="28"/>
          <w:sz w:val="28"/>
          <w:szCs w:val="28"/>
          <w:rtl w:val="true"/>
          <w:lang w:bidi="fa-IR"/>
        </w:rPr>
        <w:t>البکری والبناء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تشکیکات واستبعادات أُخری أعرضنا عن ذکرها خوف الإطالة؛ إذ لیس غرضنا أن نجهد فی إثبات عثمانیة زهیر بقدر ما نرید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کان علیه من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بأی حال التقلیل من شأن زهیر بن القین الذی تسنّم ذُری المجد وفاز فوزاً عظیماً فی مقعد صدقٍ عند ملیکٍ مقتدر مع النبیین الشهداء والصدّیقیین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ندّعی بأنّ هذه الانعطافة التاریخیة نحو المجد والعلی هی إحدی دروس النهضة الحسینیة وعبرها، التی یجدر بالأجیال أن تقف عندها وتتمعّن فیها، وفیها أکبر دلیل علی بصیرة زهیر الثاقبة وسریرته النقیة التی أینعت بالإیمان، فأنتجت مواقف بطولیة أذهلت التاریخ، فخشعت صفحاته إجلالاً لها، ففاق بذلک أقرانه حتی الذین عرفوا بولائهم وحبّهم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 التحوّل الفکری والعقدی لزهیر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تستطع المحاولات السابقة المذکورة وغیرها أن تبنی فی نفوسنا جداراً بیننا وبین الاعتقاد بعثمانیة زهیر، وظلّ ما نقله لنا التاریخ هو المعتمد، فیمکننا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أردنا أن نحلّل هذه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التوجه الفکری والعقدی لزهیر بن القین لا یخرج عن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انحراف زهیر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متجذراً فی وجدانه وولید تراکمات فکریة أو بیئیة أو مجتمعیة، وعلی مدی زمن طویل ولم یکن حالة طارئة، فعلی هذا الفرض للمرء أن یتساءل عن سرّ هذا التحول الکبیر فی المسار الفکری للشهید، هل کان بتأثیر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أطلعه علی أُمور غیّرت مجری تفکیره؟ ولاستجلاء بعض جوانب هذه المسألة نسلّط الضوء علی شاهد قرآنی شبیه إلی حدٍّ بعید بقصة زهیر بن القین فی هذا الفرض، وهی سحرة فرعون الذین حشدهم للانتصار علی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ومعجزته العصا، وعندما تبین لهم الحق وأنّ هذا لیس من صنع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یجدوا بدّاً دون أن یخرّوا علی الأرض سجّداً کأنّهم لا إرادة لهم فی ذلک</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فَأُلْقِیَ السَّحَرَةُ سُجَّدًا قَالُوا آمَنَّا بِرَبِّ هَارُونَ وَمُوسَی </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فأُصیب الناس بالدهشة وخیّم علیها الذهول وهم یرون أمامهم شخصاً واحداً ینتصر علی عظماء السحرة، بل یؤمنوا به وبدینه، فیجنّ فرعون ممّا یری وتثور ثائرته،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وَأَرْجُلَکُمْ مِنْ خِلَافٍ وَلَأُصَلِّبَنَّکُمْ فِی جُذُوعِ النَّخْلِ وَلَتَعْلَمُنَّ أَیُّنَا أَشَدُّ عَذَابًا وَأَبْقَی </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فی هذا التغییر السریع من الکفر إلی الإیمان، وما هو السبب فی هذا التحوّل العمیق؟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عامل العلم والوعی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لَنْ نُؤْثِرَکَ عَلَی مَا جَاءَنَا مِنَ الْبَیِّنَاتِ وَالَّذِی فَطَرَنَا </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إن هؤلاء لمّا کانوا عالمین بفنون السحر وأسراره، وأیقنوا بوضوح تامّ أنّ عمل موسی لم یکن سحراً، بل هو معجزة إلهیة، غیّروا مسیرهم بتلک الشجاعة والحزم</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وردّوا علی تهدید فرعون بالتعذیب والقتل بکلّ ثقةٍ واطمئنان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إِنَّمَا تَقْضِی هَذِهِ الْحَیَاةَ الدُّنْیَا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المؤمنون وقد أدرکهم الحقّ وغشیهم فأصفاهم </w:t>
      </w:r>
    </w:p>
    <w:p>
      <w:pPr>
        <w:pStyle w:val="BookText"/>
        <w:rPr/>
      </w:pPr>
      <w:r>
        <w:rPr>
          <w:rFonts w:ascii="IRNazanin" w:hAnsi="IRNazanin" w:eastAsia="IRNazanin"/>
          <w:color w:val="111111"/>
          <w:sz w:val="28"/>
          <w:sz w:val="28"/>
          <w:szCs w:val="28"/>
          <w:rtl w:val="true"/>
          <w:lang w:bidi="fa-IR"/>
        </w:rPr>
        <w:t>وأخلصهم لنفسه، فهم یرون ما یعده فرعون حقیقة من أمتعة الحیاة الدنیا من مالها ومنزلتها سراباً خیالیاً وزینة غارّة باطلة، وأنّهم إذا خیروا بینه وبین ما آمنوا به فقد خیروا بین الحقّ والباطل، والحقیقة والسراب</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فلأجل تحقیق التغییر وإیجاد تحوّل فی مسیرة الأفراد والمجتمعات المنحرفة لا بدّ أوّلاً وقبل کلّ شیء إیجاد الوعی الصحیح فی وجدان أفراد الأُمّة، ووضع مؤشر تفکیرهم فی الاتجاه الصحیح، وهذا ما حصل لزهیر بن القین حین التقی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أن یکون الإمام قد شخّص له مواطن خطأه واشتباهه، وبیّن له ما ینتظره من النعیم المقیم فیما إذا التحق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ونصرهم، فانقشعت بنور کلمات الإمام الظلمات عن وجدان زهیر بن القین، وأشرقت روحه بحبّ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فحدث فی نفسه هذا التحول الذی طلق معه الدنیا بکلّ ما فیها وآثر الاستشهاد مع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آبهٍ بما یصیبه من أذی فی سبیل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مع الالتفات إلی أنّ مثل هذا الانقلاب والتحوّل والاستقامة لیس ممکناً إلاّ فی ظلّ الإمدادات الإلهیة، ومن المسلم أنّ کلّ مَن اختار سلوک طریق الحقّ، شملته هذه العنایات الربّانیة، والإمدادات الإلهیة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تکون عثمانیة زهیر ناشئة من شبهة عارضة وقناعة مبنیة علی أُمور وهمیّة، ولم تکن اعتقاداً متأصّلاً فی قرارة نفسه، فمن الممکن أن یکون زهیر من الموالین والمحبّین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قد عرض له عارض غیّر فیه بعض القناعات، فاعتقد مثلاً أنّ الخلیفة عثمان قُتل مظلوماً، وکان یفترض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یقتصّ من قتلته وما شابه ذلک، ولکن من دون أن یکون مبغضاً لأهل البیت أو محارباً لهم، وهذه العوارض الفکریة والعقدیة طالما تحصل لبعض الموالین فتتشوّش لدیهم الرؤیة، ومن ذلک ما یُنقل عن أبی ثابت مولی أبی ذر فی 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 نظر إلی المعسکر الآخر، فخامره الشک فی وقوفه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رآی الزبیر وطلحة صاحبی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زوجه، فما کانت إلّا برهة حتی استیقن سلامة موقفه، وأنَّ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القوم إسلاماً وأخو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یُقدم علی شبهة، فثبت وقاتل معه، حتی رجع المدینة فاستأذن للدخول علی أُمّ سلمة، فبارکت موقفه وأثنت علیه وذکّرته بحدیث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مع القرآن والقرآن معه ولا یفترقان حتی یردا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تکون حالة زهیر من هذا النوع، ولکن حین جمعه الطریق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علق فی روحه من شکّ وشبهة، فعادت نقیة صافیة مبصرة للحق، فحدث عنده هذا التغیّر لیعلن ولاءه ونصرته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مکانة زهیر وشجاعته ومواقفه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الشهید زهیر بن القین البجلی کان علوی الهوی ومن أتباع أهل البیت وموالیهم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اعتقدنا أنّه کان عثمانیاً، إلاّ أنّ لقاءه التاریخی بالإمام قلب کیانه رأساً علی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التحاقه برکب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انعطافة تاریخیة فی حیاة الشهید زهیر نحو المجد والخلود والفوز برضوان الله تعالی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بعض الدلائل والنصوص التاریخیة أنّ وجود الشهید زهیر فی الرکب </w:t>
      </w:r>
    </w:p>
    <w:p>
      <w:pPr>
        <w:pStyle w:val="BookText"/>
        <w:rPr/>
      </w:pPr>
      <w:r>
        <w:rPr>
          <w:rFonts w:ascii="IRNazanin" w:hAnsi="IRNazanin" w:eastAsia="IRNazanin"/>
          <w:color w:val="111111"/>
          <w:sz w:val="28"/>
          <w:sz w:val="28"/>
          <w:szCs w:val="28"/>
          <w:rtl w:val="true"/>
          <w:lang w:bidi="fa-IR"/>
        </w:rPr>
        <w:t>الحسینی کان وجوداً ممّیزاً، فرضته شخصیة الشهید المتّزنة وعقله الراجح، وهذا ما نلمسه حین أشار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بمناجزة جیش الحر حین حاصرهم ومنعهم من النزول فی الغاضریة أو نینوی، وقد أیّده الإمام وصوّب رأیه، ولکن الإمام کره أن یبدأهم بقتال حتی یبدؤوا</w:t>
      </w:r>
      <w:r>
        <w:rPr>
          <w:rStyle w:val="FootnoteAnchor"/>
          <w:rtl w:val="true"/>
        </w:rPr>
        <w:footnoteReference w:id="191"/>
      </w:r>
      <w:r>
        <w:rPr>
          <w:rFonts w:ascii="IRNazanin" w:hAnsi="IRNazanin" w:eastAsia="IRNazanin"/>
          <w:color w:val="111111"/>
          <w:sz w:val="28"/>
          <w:sz w:val="28"/>
          <w:szCs w:val="28"/>
          <w:rtl w:val="true"/>
          <w:lang w:bidi="fa-IR"/>
        </w:rPr>
        <w:t>، وهو الأمر الذی تملیه مبادئ النهضة الحسینیة السامیة، وأخلاق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 والقتال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یُروی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زهیراً ووصلوا إلی کربلاء، فقال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زهیر، اعلم أنّ ها هنا مشهدی، ویحمل هذا من جسدی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فیدخل به علی یزید یرجو نواله، فلا یعطیه شیئاً</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بطبیعة الحال عن المکانة التی یتبوؤها زهیر عند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والدرجة العالیة التی وصل إلیها حتی استحقّ أن یخصّه الإمام بهذا الحدیث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أفصحت مواقف زهیر بن القین قبیل عاشوراء وأثنائها عن یقینه الثابت وإیمانه الراسخ، فحینما رأی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تکالب الأعداء وتواتر الجیوش المدجّجة بالسلاح أحلّ أصحابه عن بیعته، وأشار علیهم بأنّ یتخذوا من اللیل جملاً</w:t>
      </w:r>
      <w:r>
        <w:rPr>
          <w:rStyle w:val="FootnoteAnchor"/>
          <w:rtl w:val="true"/>
        </w:rPr>
        <w:footnoteReference w:id="193"/>
      </w:r>
      <w:r>
        <w:rPr>
          <w:rFonts w:ascii="IRNazanin" w:hAnsi="IRNazanin" w:eastAsia="IRNazanin"/>
          <w:color w:val="111111"/>
          <w:sz w:val="28"/>
          <w:sz w:val="28"/>
          <w:szCs w:val="28"/>
          <w:rtl w:val="true"/>
          <w:lang w:bidi="fa-IR"/>
        </w:rPr>
        <w:t>، وأجابه الأصحاب بإجابات متعدّدة رافضین فیها التخلّی عنه، وموطِّنین أنفسهم علی الموت معه والتضحیة دونه، ولکن کانت لکلمات الشهید زهیر وقع مختلف جعل المؤرِّخین یقفون عندها ویتناقلونها،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لوددتُ أنّی قُتلت ثمّ نشرت، ثمّ قُتلت، حتی أُقتل کذا ألف قتلة، وأنّ الله یدفع بذلک القتل عن نفسک وعن أنفس هؤلاء الفتیة من أهل بیتک</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یجد الموت بحدّ السیوف آلاف المرات دفاعاً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أقلّ ما یمکن أن یقدّمه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له قاله نیابة عن أصحابه عقّب فیه علی کلامٍ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من الأمر ما قد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الحقّ لا یُعمل به، وأنّ الباطل لا یُتناهی عنه، لیرغب المؤمن فی لقاء الله محقّاً، فإنّی لا أری الموت إلّا شهادة ولا 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فإجاب زهیر بعد أن استأذن أصحابه،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هداک الله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مقالتک، والله، لو کانت الدنیا لنا باقیة، وکنّا فیها مخلّدین إلّا أنّ فراقها فی نصرک ومواساتک، لآثرنا الخروج معک علی الإقامة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له الحسین، ثمّ قال له خیراً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الإیمان الذی طفحت به نفس زهیر بن القین کان من الطبیعی أن یفیض حباً وشفقةً حتی علی أعدائه ومناوئیه، فبعد أن بان أمامه طریق الحق واضحاً أبلج، راح یقدّم النصح والإرشاد لقومه، ویبالغ فی استمالتهم نحو طریق الهدایة والاستقامة، وحثّ أهل الکوفة علی الوقوف بوجه الظلم، وحذّرهم وقوع السیف بین الأخوة، فحینها لا یبقی رعایة لدمٍ ولا 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یسمعوا نداءه وسبّوه، حتی أمره الإمام بالرجوع وشکره لنصحه قومه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کان مؤمن آل فرعون نصح لقومه وأبلغ فی الدعاء لقد نصحت لهؤلاء وأبلغت لو نفع النصح والإبلاغ</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شجاعته ومواقفه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بدأت نذر الحرب فی کربلاء تلوح فی الأُفق وتلبدت </w:t>
      </w:r>
    </w:p>
    <w:p>
      <w:pPr>
        <w:pStyle w:val="BookText"/>
        <w:rPr/>
      </w:pPr>
      <w:r>
        <w:rPr>
          <w:rFonts w:ascii="IRNazanin" w:hAnsi="IRNazanin" w:eastAsia="IRNazanin"/>
          <w:color w:val="111111"/>
          <w:sz w:val="28"/>
          <w:sz w:val="28"/>
          <w:szCs w:val="28"/>
          <w:rtl w:val="true"/>
          <w:lang w:bidi="fa-IR"/>
        </w:rPr>
        <w:t>سماؤها بغیوم المواجهة الحتمیة، فلا مکان حینذاک إلّا لمعادن الرجال الأصیلة، والنفوس التی ألفتها الشجاعة؛ فلذا نسمع اسم زهیر بن</w:t>
      </w:r>
    </w:p>
    <w:p>
      <w:pPr>
        <w:pStyle w:val="BookText"/>
        <w:rPr/>
      </w:pPr>
      <w:r>
        <w:rPr>
          <w:rFonts w:ascii="IRNazanin" w:hAnsi="IRNazanin" w:eastAsia="IRNazanin"/>
          <w:color w:val="111111"/>
          <w:sz w:val="28"/>
          <w:sz w:val="28"/>
          <w:szCs w:val="28"/>
          <w:rtl w:val="true"/>
          <w:lang w:bidi="fa-IR"/>
        </w:rPr>
        <w:t>القین کان یتردّد فی أکثر من مناسبة، ونجده فی أکثر من مهمّة، فنراه فی کتیبة العباس التی انتدبها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لاستطلاع أمر الجموع الزاحفة علیهم فی عصر یوم التاسع من المحرم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ویقع علیه اختیار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ظهر یوم عاشوراء، وهو ینظم أصحابه ویعدهم لیکون قائداً بارزاً علی رأس میمنة جیش الإمام</w:t>
      </w:r>
      <w:r>
        <w:rPr>
          <w:rStyle w:val="FootnoteAnchor"/>
          <w:rtl w:val="true"/>
        </w:rPr>
        <w:footnoteReference w:id="197"/>
      </w:r>
      <w:r>
        <w:rPr>
          <w:rFonts w:ascii="IRNazanin" w:hAnsi="IRNazanin" w:eastAsia="IRNazanin"/>
          <w:color w:val="111111"/>
          <w:sz w:val="28"/>
          <w:sz w:val="28"/>
          <w:szCs w:val="28"/>
          <w:rtl w:val="true"/>
          <w:lang w:bidi="fa-IR"/>
        </w:rPr>
        <w:t>لشجاعته ودرایته فی أُمور الحرب والقتال التی خبرها منذ کان شاباً فی الفتوحات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وأبلی الشهید زهیر بن القین بلاءً حسناً وهو یقارع الشجعان ویناجز الفرسان، مدافعاً عن حرائر النبوة وعقائل الرسالة، فلمّا یهجم شمر اللعین بمرتزقته علی خیم النساء والأطفال ویدخل الرعب فی قلوبهم یحمل علیهم زهیر فی عشرة من أصحابه، فیکشفهم عن البیوت، فیقتل بعضاً ویولّی البعض الآخر هارباً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موقف رسالی بطولی یقدمه لنا زهیر فحین تحضر الصلاة یأمره الإمام هو وسعید بن عبد الله الحنفی لیتقدّما أمامه فیقیانه من السهام والنبال حتی یصلّی بمَن تبقّی من أصحابه صلاة الخوف</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المؤرِّخون أنّ زهیراً کان یقاتل قتالاً شدیداً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وأنا ابن  القین</w:t>
      </w:r>
    </w:p>
    <w:p>
      <w:pPr>
        <w:pStyle w:val="BookText"/>
        <w:rPr/>
      </w:pPr>
      <w:r>
        <w:rPr>
          <w:rFonts w:ascii="IRNazanin" w:hAnsi="IRNazanin" w:eastAsia="IRNazanin"/>
          <w:color w:val="111111"/>
          <w:sz w:val="28"/>
          <w:sz w:val="28"/>
          <w:szCs w:val="28"/>
          <w:rtl w:val="true"/>
          <w:lang w:bidi="fa-IR"/>
        </w:rPr>
        <w:t>أذودهم بالسیف  عن حسین</w:t>
      </w:r>
    </w:p>
    <w:p>
      <w:pPr>
        <w:pStyle w:val="BookText"/>
        <w:rPr/>
      </w:pPr>
      <w:r>
        <w:rPr>
          <w:rFonts w:ascii="IRNazanin" w:hAnsi="IRNazanin" w:eastAsia="IRNazanin"/>
          <w:color w:val="111111"/>
          <w:sz w:val="28"/>
          <w:sz w:val="28"/>
          <w:szCs w:val="28"/>
          <w:rtl w:val="true"/>
          <w:lang w:bidi="fa-IR"/>
        </w:rPr>
        <w:t>ویقول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هدیت  هادیاً</w:t>
      </w:r>
    </w:p>
    <w:p>
      <w:pPr>
        <w:pStyle w:val="BookText"/>
        <w:rPr/>
      </w:pPr>
      <w:r>
        <w:rPr>
          <w:rFonts w:ascii="IRNazanin" w:hAnsi="IRNazanin" w:eastAsia="IRNazanin"/>
          <w:color w:val="111111"/>
          <w:sz w:val="28"/>
          <w:sz w:val="28"/>
          <w:szCs w:val="28"/>
          <w:rtl w:val="true"/>
          <w:lang w:bidi="fa-IR"/>
        </w:rPr>
        <w:t>فالیوم تلقی جدّک  النبیا</w:t>
      </w:r>
    </w:p>
    <w:p>
      <w:pPr>
        <w:pStyle w:val="BookText"/>
        <w:rPr/>
      </w:pPr>
      <w:r>
        <w:rPr>
          <w:rFonts w:ascii="IRNazanin" w:hAnsi="IRNazanin" w:eastAsia="IRNazanin"/>
          <w:color w:val="111111"/>
          <w:sz w:val="28"/>
          <w:sz w:val="28"/>
          <w:szCs w:val="28"/>
          <w:rtl w:val="true"/>
          <w:lang w:bidi="fa-IR"/>
        </w:rPr>
        <w:t>وحسناً والمرتضی  علیا</w:t>
      </w:r>
    </w:p>
    <w:p>
      <w:pPr>
        <w:pStyle w:val="BookText"/>
        <w:rPr/>
      </w:pPr>
      <w:r>
        <w:rPr>
          <w:rFonts w:ascii="IRNazanin" w:hAnsi="IRNazanin" w:eastAsia="IRNazanin"/>
          <w:color w:val="111111"/>
          <w:sz w:val="28"/>
          <w:sz w:val="28"/>
          <w:szCs w:val="28"/>
          <w:rtl w:val="true"/>
          <w:lang w:bidi="fa-IR"/>
        </w:rPr>
        <w:t>وذا الجناحین الفتی  الکمیا</w:t>
      </w:r>
    </w:p>
    <w:p>
      <w:pPr>
        <w:pStyle w:val="BookText"/>
        <w:rPr/>
      </w:pPr>
      <w:r>
        <w:rPr>
          <w:rFonts w:ascii="IRNazanin" w:hAnsi="IRNazanin" w:eastAsia="IRNazanin"/>
          <w:color w:val="111111"/>
          <w:sz w:val="28"/>
          <w:sz w:val="28"/>
          <w:szCs w:val="28"/>
          <w:rtl w:val="true"/>
          <w:lang w:bidi="fa-IR"/>
        </w:rPr>
        <w:t>وأسد الله الشهید الحیا</w:t>
      </w:r>
    </w:p>
    <w:p>
      <w:pPr>
        <w:pStyle w:val="BookText"/>
        <w:rPr/>
      </w:pPr>
      <w:r>
        <w:rPr>
          <w:rFonts w:ascii="IRNazanin" w:hAnsi="IRNazanin" w:eastAsia="IRNazanin"/>
          <w:color w:val="111111"/>
          <w:sz w:val="28"/>
          <w:sz w:val="28"/>
          <w:szCs w:val="28"/>
          <w:rtl w:val="true"/>
          <w:lang w:bidi="fa-IR"/>
        </w:rPr>
        <w:t>فشدّ علیه مهاجر بن أوس التمیمی وکثیر بن عبد الله الشعبی فقتلاه</w:t>
      </w:r>
      <w:r>
        <w:rPr>
          <w:rStyle w:val="FootnoteAnchor"/>
          <w:rtl w:val="true"/>
        </w:rPr>
        <w:footnoteReference w:id="200"/>
      </w:r>
      <w:r>
        <w:rPr>
          <w:rFonts w:ascii="IRNazanin" w:hAnsi="IRNazanin" w:eastAsia="IRNazanin"/>
          <w:color w:val="111111"/>
          <w:sz w:val="28"/>
          <w:sz w:val="28"/>
          <w:szCs w:val="28"/>
          <w:rtl w:val="true"/>
          <w:lang w:bidi="fa-IR"/>
        </w:rPr>
        <w:t>، لتلتحق روحه الطاهرة بقافلة الشهداء، وتسکن مع السعداء، فهنیئاً له هذا الوسام الإلهی والشارة الربانیة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أبو حنیفة أحمد بن داود الدینوری،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جمال الدین الشیال، منشورات الشریف الرضی طبعة مصوّرة عن دار إحیاء الکتب العربیة، عیسی البابی الحلبی وشرکاه،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دار المفید،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 یوسف بن عبد الله بن محمد بن عبد البر،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دار الجیل،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فی معرفة الصحابة،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محمد بن علی بن بابویه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فی مؤسسة البعثة، قم، مسوسة البعثة،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bookmarkStart w:id="296" w:name="pg5104_36378"/>
    </w:p>
    <w:p>
      <w:pPr>
        <w:pStyle w:val="BookText"/>
        <w:rPr/>
      </w:pPr>
      <w:bookmarkEnd w:id="296"/>
      <w:r>
        <w:rPr>
          <w:rFonts w:ascii="IRNazanin" w:hAnsi="IRNazanin" w:eastAsia="IRNazanin"/>
          <w:color w:val="111111"/>
          <w:sz w:val="28"/>
          <w:sz w:val="28"/>
          <w:szCs w:val="28"/>
          <w:rtl w:val="true"/>
          <w:lang w:bidi="fa-IR"/>
        </w:rPr>
        <w:t>الحسین أستاد ولی، علی أکبر الغفاری، مؤسسة النشر الإسلامی التابعة لجماعة المدرسین،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فی تفسیر کتاب الله المنزل، ناصر مکارم الشیرازی، خال من البیانات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الإنباه علی قبائل</w:t>
      </w:r>
    </w:p>
    <w:p>
      <w:pPr>
        <w:pStyle w:val="BookText"/>
        <w:rPr/>
      </w:pPr>
      <w:r>
        <w:rPr>
          <w:rFonts w:ascii="IRNazanin" w:hAnsi="IRNazanin" w:eastAsia="IRNazanin"/>
          <w:color w:val="111111"/>
          <w:sz w:val="28"/>
          <w:sz w:val="28"/>
          <w:szCs w:val="28"/>
          <w:rtl w:val="true"/>
          <w:lang w:bidi="fa-IR"/>
        </w:rPr>
        <w:t>الرواة، یوسف بن عبد الله بن محمد بن عبد البر،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الأبیاری، دار الکتاب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الناشر، دار الفکر، 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الطبری، مؤسسة الأعلمی،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وذکر فضلها وتسمیة من حلها من الأماثل أو اجتاز بنواحیها من واردیها وأهلها، علی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الداودی،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تاریخیة مع تعلیقة فی منهج البحث وتحقیق المخطوطات، أکرم ضیاء العمری، الجامعة الإسلامیة بالمدینة المنوّرة، المجلس العلمی إحیاء التراث الإسلامی،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 فی خبر الأقطار، محمد بن عبد المنعم الحمیری،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مکتبة لبنان،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محمد بن الفتال النیسابوری، منشورات الشریف الرضی،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 علوی خرج یتلقّی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جمال أشرف، دار الأنصار،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محمد بن سعد، دار 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شرح صحیح البخاری، أحمد بن علی بن حجر العسقلانی، دار المعرفة، 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أحمد بن أعثم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 الأضواء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جعفر بن محمد بن قولویه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مؤسسة نشر الفقاهة،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فی قتلی الطفوف،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الهدی،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جعفر بن محمد بن جعفر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النجف،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الرکب الحسینی من المدینة 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الطریق من مکة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الطبسی، دار المرتضی،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یاقوت بن عبد الله الحموی، دار إحیاء التراث العربی،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سلیمان بن أحمد الطبرانی،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 القدیمة والحدیثة، عمر رضا کحاله، دار العلم للملایین،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استعجم من أسماء البلاد والمواضع، عبد الله بن عبد العزیز البکری الأندلسی، تحقیق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علم الکتب،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 الموفق بن أحمد المکی أخطب خوارزم، تحقیق، محمد السماوی، أنوار الهدی، قم،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محمد بن علی بن شهرآشوب، المکتبة الحیدریة، النجف،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المعارضة فی عهد یزید بن معاویة، محمد بن علی الشیبانی، دار طیبة، الریاض،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محمد حسین الطباطبائی، مؤسسة النشر الإسلامی التابعة لجماعة المدرسین،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علم التاریخ عند العرب، عبد العزیز الدوری، مرکز زاید للتراث والتاریخ،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والأثر، المبارک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محمد الطناحی، طاهر أحمد الزاوی، مؤسسة إسماعیلیان، قم،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 لأبی مخنف،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الیوسفی الغروی، 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التعارف،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البخاتی</w:t>
      </w:r>
    </w:p>
    <w:p>
      <w:pPr>
        <w:pStyle w:val="Heading4"/>
        <w:numPr>
          <w:ilvl w:val="3"/>
          <w:numId w:val="1"/>
        </w:numPr>
        <w:rPr/>
      </w:pPr>
      <w:bookmarkStart w:id="297" w:name="__RefHeading___Toc1323797_774463916"/>
      <w:bookmarkStart w:id="298" w:name="_Toc126"/>
      <w:bookmarkEnd w:id="297"/>
      <w:r>
        <w:rPr>
          <w:rtl w:val="true"/>
        </w:rPr>
        <w:t>لُبس السّواد</w:t>
      </w:r>
      <w:bookmarkEnd w:id="2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قولک لبست الثوب ألبس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یلبس </w:t>
      </w:r>
    </w:p>
    <w:p>
      <w:pPr>
        <w:pStyle w:val="BookText"/>
        <w:rPr/>
      </w:pPr>
      <w:r>
        <w:rPr>
          <w:rFonts w:ascii="IRNazanin" w:hAnsi="IRNazanin" w:eastAsia="IRNazanin"/>
          <w:color w:val="111111"/>
          <w:sz w:val="28"/>
          <w:sz w:val="28"/>
          <w:szCs w:val="28"/>
          <w:rtl w:val="true"/>
          <w:lang w:bidi="fa-IR"/>
        </w:rPr>
        <w:t>ویواری به الجسد</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اللبس المداخلة والمخالطة، 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 والباء والسین أصلٌ صحیح واحد یدلّ علی مخالطة ومداخلة، ومن ذلک لبست الثوب ألبسه، وهو الأصل ومنه تتفرّع الفروع</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معروف، وهو ضدّ البیاض</w:t>
      </w:r>
      <w:r>
        <w:rPr>
          <w:rStyle w:val="FootnoteAnchor"/>
          <w:rtl w:val="true"/>
        </w:rPr>
        <w:footnoteReference w:id="203"/>
      </w:r>
      <w:r>
        <w:rPr>
          <w:rFonts w:ascii="IRNazanin" w:hAnsi="IRNazanin" w:eastAsia="IRNazanin"/>
          <w:color w:val="111111"/>
          <w:sz w:val="28"/>
          <w:sz w:val="28"/>
          <w:szCs w:val="28"/>
          <w:rtl w:val="true"/>
          <w:lang w:bidi="fa-IR"/>
        </w:rPr>
        <w:t>، وعلیه یکون المراد من لبس السّواد ارتداء الثیاب السّود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اللغة، وأمّا علمیاً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غیاب الضّوء، وعدم وصوله للعین، فهو لیس لوناً بل غیاب الضّوء</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تعریفه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الانطباع الذی یترک فی العین عندما لا تأتی أی أشعة ضوئیة باتجاه العین، أی لا تتحفز أی من المستقبلات اللونیة فی العین بفعل الأشعة الضوئیة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قالوا بأنَّ اللّون الأسود لیس لوناً حقیقیاً فهو غیر موجود فی ألوان الطّیف بل هو یمتصّ جمیع الألوان ولا یعید أیّ لون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ذلک ما ورد فی بعض النصوص الرّوائیة والأدبیة التی یُستفاد منها أنَّ المتوفّی کأنّه کان بمثابة الضّوء والنّور لأقربائه فی الحیاة، وموته انطفاء ذلک الضّوء فتکون الدنیا مظلمةً بفقده، ومن ذلک خطاب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لأبیها بعد وفاته ووقوفها علی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أبتاه، انقطعت بک الدنیا بأنوارها، وزوت زهرتها، وکانت ببهجتک زاهرة، فقد اسودَّ نهارها فصار یحکی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رطبها ویابسها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تری المنبر الذی کنت تعلوه علاه الظلام بعد الضیاء</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رثاء فاطمة عند دفنها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اسودّت علیَّ الغبراء، وبعدت عنی الخضراء</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وقول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أراد مواراة أبیه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وضع خدّه علی منحره الشریف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لأرض تضمن جسدک الطّاهر، فإنَّ الدنیا بعدک مظلمة، والآخرة بنورک مشرقة</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اللون الأسود ودلالاته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علماء النّفس والاجتماع أنَّ للّون تأثیراً سیکولوجیاً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النفس، فتحدث أحاسیس ینتج عنها اهتزازات بعضها یحمل سمات الرّاحة، والآخر یحمل صفات الإرهاق والاضطراب، وتنقسم هذه التأثیرات إلی مباشرة کالفرح والحزن، وغیر مباشرة تتغیر حسب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فاللون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علی السّرور، ولعل 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بَقَرَةٌ صَفْرَاءُ فَاقِعٌ لَوْنُهَا تَسُرُّ النَّاظِرِینَ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ذلک، فی حین أنَّ اصفرار الجسم علامةٌ علی عدم الصّحة، واصفرار الزّرع قبل أوان اصفراره علامةٌ علی فساده، واللّون الأحمر یشیر إلی العاطفة الجیّاشة والاندفاع کما یشار به إلی القتال والحروب والدّم؛ حتّی أنَّ بعض القبائل العربیة تجعل اللّون الأحمر شعاراً لها لتخویف أعدائها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ربّما یتعدّی تأثیر اللّون المجال النّفسی فیکون له تأثیرٌ فیسیولوجی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Physiology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کما فی اللّون الأحمر ؛ حیث إنَّ التعرّض له لفترة طویلة یؤدّی إلی زیادةٍ فی ضغط الدّم</w:t>
      </w:r>
      <w:r>
        <w:rPr>
          <w:rStyle w:val="FootnoteAnchor"/>
          <w:rtl w:val="true"/>
        </w:rPr>
        <w:footnoteReference w:id="208"/>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استعمل هذا اللّون فی علاج فقر الدّم </w:t>
      </w:r>
    </w:p>
    <w:p>
      <w:pPr>
        <w:pStyle w:val="BookText"/>
        <w:rPr/>
      </w:pPr>
      <w:r>
        <w:rPr>
          <w:rFonts w:ascii="IRNazanin" w:hAnsi="IRNazanin" w:eastAsia="IRNazanin"/>
          <w:color w:val="111111"/>
          <w:sz w:val="28"/>
          <w:sz w:val="28"/>
          <w:szCs w:val="28"/>
          <w:rtl w:val="true"/>
          <w:lang w:bidi="fa-IR"/>
        </w:rPr>
        <w:t xml:space="preserve">والأکزیما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Eczema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وقدیماً کانت الأمهات تُلبس الأطفال المصابین بمرض الحصباء ملابسَ حمراء، ولازالت هذه العادة جاریةً إلی هذا الیوم</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http: //alexandrie.yoov.com/forum.htm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خصائص اللّون الأسود أنّه یرمز من جهة للقوّة، ویدل علی احترام النّفس والاعتزاز بها، وفی الوقت نفسه هو لون الاکتئاب والحزن والحداد، فهو اللّون التقلیدی للحداد فی الکثیر من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 الآیات والرّوایات ما یؤید ذلک فقد جاء فی بعضها أنّه سبب لحصول الاختیال وأنّه من لباس الجبّارین، وفی أُخری أنّهُ یورث الهمّ، أو أنّه علامة علی الحزن والاکتئاب، وغیر ذلک من الآثار السلبیة من الناحیتین الصحیة والأخلاقیة، ومن تلک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الْقِیَامَةِ تَرَی الَّذِینَ کَذَبُوا عَلَی اللَّهِ وُجُوهُهُمْ مُسْوَدَّةٌ أَلَیْسَ فِی جَهَنَّمَ مَثْوًی لِلْمُتَکَبِّرِینَ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واسوداد وجوههم حینئذٍ لما أحاط بهم وشاهدوه من غضب الله ونقمته</w:t>
      </w:r>
      <w:r>
        <w:rPr>
          <w:rStyle w:val="FootnoteAnchor"/>
          <w:rtl w:val="true"/>
        </w:rPr>
        <w:footnoteReference w:id="211"/>
      </w:r>
      <w:r>
        <w:rPr>
          <w:rFonts w:ascii="Amiri" w:hAnsi="Amiri" w:eastAsia="Amiri" w:cs="Amiri"/>
          <w:color w:val="111111"/>
          <w:sz w:val="28"/>
          <w:sz w:val="28"/>
          <w:szCs w:val="28"/>
          <w:rtl w:val="true"/>
          <w:lang w:bidi="ar-SA"/>
        </w:rPr>
        <w:t>، ولیس المعنی کنائیاً، بل ظاهر الآیة أنَّ وجوههم تسودُّ حقیقةً</w:t>
      </w:r>
      <w:r>
        <w:rPr>
          <w:rStyle w:val="FootnoteAnchor"/>
          <w:rtl w:val="true"/>
        </w:rPr>
        <w:footnoteReference w:id="212"/>
      </w:r>
      <w:r>
        <w:rPr>
          <w:rFonts w:ascii="IRNazanin" w:hAnsi="IRNazanin" w:eastAsia="IRNazanin"/>
          <w:color w:val="111111"/>
          <w:sz w:val="28"/>
          <w:sz w:val="28"/>
          <w:szCs w:val="28"/>
          <w:rtl w:val="true"/>
          <w:lang w:bidi="fa-IR"/>
        </w:rPr>
        <w:t>، فالاسوداد هنا آیة الذلة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بِمَا ضَرَبَ لِلرَّحْمَنِ مَثَلًا ظَلَّ وَجْهُهُ مُسْوَدًّا وَهُوَ کَظِیمٌ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صار وجهه مسوداً مربداً من الکآبة</w:t>
      </w:r>
      <w:r>
        <w:rPr>
          <w:rStyle w:val="FootnoteAnchor"/>
          <w:rtl w:val="true"/>
        </w:rPr>
        <w:footnoteReference w:id="215"/>
      </w:r>
      <w:r>
        <w:rPr>
          <w:rFonts w:ascii="IRNazanin" w:hAnsi="IRNazanin" w:eastAsia="IRNazanin"/>
          <w:color w:val="111111"/>
          <w:sz w:val="28"/>
          <w:sz w:val="28"/>
          <w:szCs w:val="28"/>
          <w:rtl w:val="true"/>
          <w:lang w:bidi="fa-IR"/>
        </w:rPr>
        <w:t>والغم، وهو کظیم أی مملوءٌ کرباً وغیظاً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فی تفسیر ذلک علمیاً أنَّ الأبحاث الطبیة والنفسیة قد قررت أنَّ الوجه مرآة النفس؛ لأنَّ شکل الوجه یتوقّف علی الحالة التی تکون علیها العضلات التی تتحرّک داخل الدهن تحت الجلد، وتتوقّف حرکتها علی حالة أفکارنا وانفعالاتنا، فالغیض المکظوم یظهر علی الوجه فیحتقن ویظهر محمرّاً أولاً، واذا اشتد کظم الغیض وطال أمد احتقان الوجه یبدو مسودّاً، وهو ما یشاهد فعلاً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تَبْیَضُّ وُجُوهٌ وَتَسْوَدُّ وُجُوهٌ فَأَمَّا الَّذِینَ اسْوَدَّتْ وُجُوهُهُمْ أَکَفَرْتُمْ بَعْدَ إِیمَانِکُمْ 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الَّذِینَ ابْیَضَّتْ وُجُوهُهُمْ فَفِی رَحْمَةِ اللَّهِ هُمْ فِیهَا خَالِدُونَ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ابیضاض الوجه عبارة عن المسرّة واسودادها عبارة عن المساءة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فی هذه الآیات إشارةٌ إلی الحزنِ والکآبة والأذی التی یکون علیها الإنسان فی تلک الحالات، ویضادّه اللّون الأبیض الذی یرمز إلی الطّهارة والاستبشار، ونحو ذلک، سواءً أکان المراد بالاسوداد والابیضاض هو المعنی الکنائی أم الحقیقی أی سواد اللون وبیاضه حقیقةً، ففی الحالین هو یرمز للحزن والغم، وعکسه البیاض</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ما تقدّم من التفسیر العلمی فی الآیة المتقدّمة یؤیّد إرادة المعنی الحقیقی إلّا أنّنا لسنا فی صدد تحقیق ذلک، فإنّ غرضنا هنا یتحقّق فی الحالتین 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الروایات الواردة فی النهی عن النعل السوداء، وتفضیل الصفراء والبیضاء،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إلی بعض أصحابه وعلیه نعل سوداء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وللنعل السوداء أما عملت أنها تضر بالبصر وترخی الذکر وهی بأغلی الثمن من غیرها وما لبسها أحد إلا اختال فیها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رجلی نعل سوداء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مالک وللسوداء؟ أما علمت أنّ فیها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تضعف البصر، وترخی الذکر، وتورث الهم، ومع ذلک من لباس الجبارین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عبیدة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نعل سوداء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یاعبید، مالک وللنعل السوداء؟ أما علمت أنَّ فیها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 الذکر وتضعف البصر، وهی أغلی ثمناً من غیرها وأنَّ الرّجل یلبسها وما یملک إلّا أهله وولده فیبعثه الله جباراً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بن بحر صاحب اللؤلؤ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لبس النعل فوقعت له صفراء إلی البیاض لم یعدم مالاً وولداً، ومَن وقعت له سوداء لم یعدم همّاً وغمّاً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ورد التأکید فی الرّوایات علی النعل البیضاء والصّفراء، وأنّها تزیل الهم وتجلب المال والعمل، وتسرّ الناظر، وغیر ذلک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السّواد لباس آل فرعون کقول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علّم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تلبسوا السواد فإنّه لباس فرعون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ممّا یشیر إلی أنّه لباس تکبّر وتجبر واعتداد بالنفس، کما أنّه لباس حزن وحداد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السّواد لدی الأُمم والشّعوب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لبس السّواد عند المصیبة من التّقالید المعروفة عند الأُمم والشّعوب قبل الإسلام وبعده؛ فکان الإیرانیون والیابانیون والرومانیون والمصریون والیهود القدماء، وغیرهم یلبسون السّواد حداداً وحزناً علی موتاهم، وإنْ کانت بعض الأُمم تلبس ألواناً أُخری، ولم یکن ذلک عن غیر قصد، بل لکلّ تقلید فی اللباس منشأ وقصد؛ فإنَّ کلَّ أُمّة أو شعب یدّعی أنّ اللون الذی یختاره یرمز إلی شیء؛ فالأصفر یرمز إلی سقوط الجسد؛ لأنَّه لون الورقة عند ذبولها، والأزرق یرمز إلی المسکن السّماوی الذی تصیر إلیه نفس الصّدّیق، والرّمادی إشارة عند البعض إلی أدمة التّراب الذی منه المنشأ وإلیه المصیر، والأبیض عند الصینین إشارة إلی الطّهارة والخلود، والأسود عند الرّومان والیونان إشارة إلی المقر المظلم الذی یصیر إلیه کلّ میّت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الأسود عند العرب والمسلمین یرمز إلی ما تقدّمت الإشارة إلیه من انطفاء شعلة الحیاة، فتکون الدّنیا مظلمة ومسودّة فی عیون الأقرباء، وغیر ذلک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المتأخرین من الشّعوب المتمدّنة تکاد أنْ تکون ملابس الحداد عندهم واحدة، ویحسبون اللّون الأسود </w:t>
      </w:r>
    </w:p>
    <w:p>
      <w:pPr>
        <w:pStyle w:val="BookText"/>
        <w:rPr/>
      </w:pPr>
      <w:r>
        <w:rPr>
          <w:rFonts w:ascii="IRNazanin" w:hAnsi="IRNazanin" w:eastAsia="IRNazanin"/>
          <w:color w:val="111111"/>
          <w:sz w:val="28"/>
          <w:sz w:val="28"/>
          <w:szCs w:val="28"/>
          <w:rtl w:val="true"/>
          <w:lang w:bidi="fa-IR"/>
        </w:rPr>
        <w:t>ألیق من سائر الألوان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شواهد کثیرة علی جریان هذه العادة بین مختلف الأقوام، والعرب علی الخصوص،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خالف ذلک ولبس البیاض عند الحزن علی المیت هم ملوک الغرب من بنی أُمیّة قصداً لمخالفة بنی العباس فی لباسهم السّواد </w:t>
      </w:r>
      <w:r>
        <w:rPr>
          <w:rStyle w:val="FootnoteAnchor"/>
          <w:rtl w:val="true"/>
        </w:rPr>
        <w:footnoteReference w:id="228"/>
      </w:r>
      <w:r>
        <w:rPr>
          <w:rFonts w:ascii="IRNazanin" w:hAnsi="IRNazanin" w:eastAsia="IRNazanin"/>
          <w:color w:val="111111"/>
          <w:sz w:val="28"/>
          <w:sz w:val="28"/>
          <w:szCs w:val="28"/>
          <w:rtl w:val="true"/>
          <w:lang w:bidi="fa-IR"/>
        </w:rPr>
        <w:t>، وأنّ أهل الأندلس أخذوا ذلک من الأُمویین</w:t>
      </w:r>
      <w:r>
        <w:rPr>
          <w:rStyle w:val="FootnoteAnchor"/>
          <w:rtl w:val="true"/>
        </w:rPr>
        <w:footnoteReference w:id="229"/>
      </w:r>
      <w:r>
        <w:rPr>
          <w:rFonts w:ascii="IRNazanin" w:hAnsi="IRNazanin" w:eastAsia="IRNazanin"/>
          <w:color w:val="111111"/>
          <w:sz w:val="28"/>
          <w:sz w:val="28"/>
          <w:szCs w:val="28"/>
          <w:rtl w:val="true"/>
          <w:lang w:bidi="fa-IR"/>
        </w:rPr>
        <w:t>، وفی ذلک یقول الحسن بن علی بن عبد الغنی الحصری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البیاض لباس  حزنٍ</w:t>
      </w:r>
    </w:p>
    <w:p>
      <w:pPr>
        <w:pStyle w:val="BookText"/>
        <w:rPr/>
      </w:pPr>
      <w:r>
        <w:rPr>
          <w:rFonts w:ascii="IRNazanin" w:hAnsi="IRNazanin" w:eastAsia="IRNazanin"/>
          <w:color w:val="111111"/>
          <w:sz w:val="28"/>
          <w:sz w:val="28"/>
          <w:szCs w:val="28"/>
          <w:rtl w:val="true"/>
          <w:lang w:bidi="fa-IR"/>
        </w:rPr>
        <w:t>بأندلس فذاک من الصّواب</w:t>
      </w:r>
    </w:p>
    <w:p>
      <w:pPr>
        <w:pStyle w:val="BookText"/>
        <w:rPr/>
      </w:pPr>
      <w:r>
        <w:rPr>
          <w:rFonts w:ascii="IRNazanin" w:hAnsi="IRNazanin" w:eastAsia="IRNazanin"/>
          <w:color w:val="111111"/>
          <w:sz w:val="28"/>
          <w:sz w:val="28"/>
          <w:szCs w:val="28"/>
          <w:rtl w:val="true"/>
          <w:lang w:bidi="fa-IR"/>
        </w:rPr>
        <w:t>ألم ترنی لبست بیاض  شیبی</w:t>
      </w:r>
    </w:p>
    <w:p>
      <w:pPr>
        <w:pStyle w:val="BookText"/>
        <w:rPr/>
      </w:pPr>
      <w:r>
        <w:rPr>
          <w:rFonts w:ascii="IRNazanin" w:hAnsi="IRNazanin" w:eastAsia="IRNazanin"/>
          <w:color w:val="111111"/>
          <w:sz w:val="28"/>
          <w:sz w:val="28"/>
          <w:szCs w:val="28"/>
          <w:rtl w:val="true"/>
          <w:lang w:bidi="fa-IR"/>
        </w:rPr>
        <w:t>لأنّی قد حزنت علی  الشّباب</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وقیل لراهبٍ علیه مدرعة شعر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حملک علی لبس السّواد؟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لباس المحزونین وأنا أکبرهم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راهباً علیه سواد فقلت له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تلبس العرب إذا مات لهم میّت؟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فی حداد الذّنوب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أصابت قریش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یوم أحد سوّد الأنصار الثّیاب کما تصنع العرب فی ثیابها عند المصائب</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الشّواهد الواضحة علی ذلک أیضاً تفسیر اللّغویین للحداد بثیاب المأتم السّود</w:t>
      </w:r>
      <w:r>
        <w:rPr>
          <w:rStyle w:val="FootnoteAnchor"/>
          <w:rtl w:val="true"/>
        </w:rPr>
        <w:footnoteReference w:id="234"/>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لأسماء بنت عمیس بعد مقتل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تسلّبی ثلاثاً ثمّ اصنعی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البسی ثوب الحداد وهو السّلاب، والجمع سلب، وتسلّبت المرأة إذا لبسته،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ثوبٌ أسود تغطی به المُحدُّ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بنت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بکت علی حمزة ثلاثة أیّام وتسلّبت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الحدیث 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لمّا أُصیب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تسلّبی ثلاثاً ثمّ اصنعی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تسلبّی أی البسی ثیاب الحداد السّود، وهی السّلاب وتسلّبت المرأة إذا لبسته، وهو ثوب ٌ أسود تغطّی به المحدُّ رأسها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کلّها شواهد علی أنَّ الأسود لباس الحزن والحداد عند العرب قبل الإسلام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لبس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عدّة روایات تنهی عن لبس السّواد سواءً فی النعل أم الثیاب، وقد تقدّمت الرّوایات النّاهیة عن النّعل السّوداء والحاثّة علی البیضاء والصفراء مع التّنبیه علی علّة ذلک، والإرشاد إلی الآثار المترتبة علی کلٍّ منها، وأمّا الرّوایات النّاهیة عن الثّیاب السّود فهی مستفیضةٌ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أنّه لباس فرعون، کالذی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علم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تلبسوا السّواد فإنّه لباس فرعون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أنّه لباس أهل النّار، فقد روی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حذیفة بن منصور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بالحیرة، فأتاه رسول أبی العباس الخلیفة یدعوه، فدعا بممطرةٍ أحد وجهیه أسود والآخر أبیض فلبسه،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ألبسه وأنا أعلم أنّه لباس أهل النّار</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الکلینی عن محمد بن سنان</w:t>
      </w:r>
      <w:r>
        <w:rPr>
          <w:rStyle w:val="FootnoteAnchor"/>
          <w:rtl w:val="true"/>
        </w:rPr>
        <w:footnoteReference w:id="239"/>
      </w:r>
      <w:r>
        <w:rPr>
          <w:rFonts w:ascii="IRNazanin" w:hAnsi="IRNazanin" w:eastAsia="IRNazanin"/>
          <w:color w:val="111111"/>
          <w:sz w:val="28"/>
          <w:sz w:val="28"/>
          <w:szCs w:val="28"/>
          <w:rtl w:val="true"/>
          <w:lang w:bidi="fa-IR"/>
        </w:rPr>
        <w:t>، وقد ذکر الصّدوق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 للتقیة، وأنّه إنّما أخبر حذیفة بن منصور بأنّه لباس أهل النّار؛ لأنّه ائتمنه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إلیه قومٌ من الشّیعة یسألونه عن السّواد ولم یثِق إلیهم فی کتمان السّر فاتقاهم فیه، فقد روی داوود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الشّیعة تسأل أبا عبد الله عن لبس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 قاعداً علیه جبّة سوداء، وقلنسوة سوداء، وخُفّ أسود، مبطّن بسواد،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ناحیةً منه،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قطنه أسود وأخرج منه قطناً أسود،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قلبک والبس ما شئت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أنّه لباس بنی العبّاس فقد رُوی 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قباء أسود ومنطقة فیها خنجر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فقال زیّ ولد عمّک العباس یا محمد، ویل لولدک من ولد عمّک العباس</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السّواد أصبح شعاراً لبنی العباس فقد کان شعارهم فی حرکتهم الرّایات السّود ولبس السّواد وربّما علّلوا ذلک بأنّه حزن علی شهداء کربلاء، وغیرهم من شهداء أهل البیت، وبعد ذلک ألزموا أعضاء دولتهم وعامّة النّاس بذلک حتّی عُرفوا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الفراعنة وبنی العبّاس أعداء الله ورسوله وأهل بیته، فلا ینبغی التشبّه والاقتداء بهم؛ فقد نهینا عن ذلک، وقد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أوحی الله إلی نبیٍ من أنبیائه قل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تلبسوا لباس أعدائی، ولا تطعموا مطاعم أعدائی، ولا تسلکوا مسالک أعدائی فتکونون أعدائی کما هم أعدائی</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الأعداء السّواد، ومطاعم الأعداء النّبیذ المسکر والفقاع، و</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أنّه یکره إلّا فی العمامة والخف والکساء، کالذی رواه الکلینی عن عدّةٍ من أصحابنا، عن أحمد بن محمد رفعه،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السّواد إلّا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والعمامة، والکساء</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وعنهم، عن أحمد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بعض أصحابه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السّواد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والعمامة، والکساء</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الروایات دلالة علی کراهة لبس السواد مطلقاً وفی جمیع الحالات، نعم روی محسن بن أحمد،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القلنسوة السّوداء؟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فیها فإنّه لباس أهل النّار</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العلل بسندٍ آخر</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وروی الکلینی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فی ثوبٍ أسود، وأمّا الخف والعمامة والکساء فلا بأس</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وظاهرهما الاختصاص بالصلاة، لکن سوف تعرف لاحقاً تصریح الفقهاء بعموم الکراهة وحمل الروایتین المذکورتین علی تأکّدها فی الصلاة أو علی عدم المنافاة بینهما، وبین روایات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ورود الحث علی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الإشارة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روی الجمهور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من ثیابکم البیاض؛ فإنّها من خیر ثیابکم، وکفّنوا فیها موتاکم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البیاض فإنّهُ أطیبُ وأطهر، وکفّنوا فیه موتاکم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تعلیق الحکم بالوصف یشعر بنفیه عن غیره، وأیضاً فإنَّ اختصاص البیاض بذلک لمصلحة راجحة موجودة فیه، فیکون ما یضادّهُ غیر مشارکٍ له فی المصلحة، وأشدُّ الألوان مضادةً له السّواد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فمجمل هذه الروایات تدلّ علی کراهة لبس السواد، واستناداً الیها ولغیرها أفتی الفقهاء بکراهة الصّلاة فی الثیاب السّود عدا العمامة والخفّ والرّداء، بل ظاهر بعضهم وصریح آخرین دعوی الإجماع علیه</w:t>
      </w:r>
      <w:r>
        <w:rPr>
          <w:rStyle w:val="FootnoteAnchor"/>
          <w:rtl w:val="true"/>
        </w:rPr>
        <w:footnoteReference w:id="253"/>
      </w:r>
      <w:r>
        <w:rPr>
          <w:rFonts w:ascii="IRNazanin" w:hAnsi="IRNazanin" w:eastAsia="IRNazanin"/>
          <w:color w:val="111111"/>
          <w:sz w:val="28"/>
          <w:sz w:val="28"/>
          <w:szCs w:val="28"/>
          <w:rtl w:val="true"/>
          <w:lang w:bidi="fa-IR"/>
        </w:rPr>
        <w:t>، وصرّح بعضهم بأفضلیة البیاض مطلقاً حتّی فی المستثنی أی العمامة والکساء والخف، إذ لیس المراد باستثناء الثلاثة من الکراهة کون أسودها مستحبّاً، بل المراد مجرد انتفاء الکراهة فیها</w:t>
      </w:r>
      <w:r>
        <w:rPr>
          <w:rStyle w:val="FootnoteAnchor"/>
          <w:rtl w:val="true"/>
        </w:rPr>
        <w:footnoteReference w:id="254"/>
      </w:r>
      <w:r>
        <w:rPr>
          <w:rFonts w:ascii="IRNazanin" w:hAnsi="IRNazanin" w:eastAsia="IRNazanin"/>
          <w:color w:val="111111"/>
          <w:sz w:val="28"/>
          <w:sz w:val="28"/>
          <w:szCs w:val="28"/>
          <w:rtl w:val="true"/>
          <w:lang w:bidi="fa-IR"/>
        </w:rPr>
        <w:t>، ونفی الکراهة عنها فی النّصوص وعبارات الفقهاء لا یدلُّ علی أزید من ذلک؛ لأنَّ نفی الکراهة أعمّ من الاستحباب والإباحة</w:t>
      </w:r>
      <w:r>
        <w:rPr>
          <w:rStyle w:val="FootnoteAnchor"/>
          <w:rtl w:val="true"/>
        </w:rPr>
        <w:footnoteReference w:id="255"/>
      </w:r>
      <w:r>
        <w:rPr>
          <w:rFonts w:ascii="IRNazanin" w:hAnsi="IRNazanin" w:eastAsia="IRNazanin"/>
          <w:color w:val="111111"/>
          <w:sz w:val="28"/>
          <w:sz w:val="28"/>
          <w:szCs w:val="28"/>
          <w:rtl w:val="true"/>
          <w:lang w:bidi="fa-IR"/>
        </w:rPr>
        <w:t>، وقد ورد التأکید علی البیاض فی عدّة روایات أوردها الکلینی فی کتاب الزینة</w:t>
      </w:r>
      <w:r>
        <w:rPr>
          <w:rStyle w:val="FootnoteAnchor"/>
          <w:rtl w:val="true"/>
        </w:rPr>
        <w:footnoteReference w:id="256"/>
      </w:r>
      <w:r>
        <w:rPr>
          <w:rFonts w:ascii="IRNazanin" w:hAnsi="IRNazanin" w:eastAsia="IRNazanin"/>
          <w:color w:val="111111"/>
          <w:sz w:val="28"/>
          <w:sz w:val="28"/>
          <w:szCs w:val="28"/>
          <w:rtl w:val="true"/>
          <w:lang w:bidi="fa-IR"/>
        </w:rPr>
        <w:t>، بل ذهب بعض الفقهاء إلی تضافر الأخبار بالأمر بلبسها، وکونها خیر الثّیاب وأطهرها وأطیبها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ظاهر أغلب الرّوایات المتقدّمة عموم الکراهة لحال الصّلاة وغیرها، کما نبّه علی ذلک بعض الفقهاء</w:t>
      </w:r>
      <w:r>
        <w:rPr>
          <w:rStyle w:val="FootnoteAnchor"/>
          <w:rtl w:val="true"/>
        </w:rPr>
        <w:footnoteReference w:id="258"/>
      </w:r>
      <w:r>
        <w:rPr>
          <w:rFonts w:ascii="IRNazanin" w:hAnsi="IRNazanin" w:eastAsia="IRNazanin"/>
          <w:color w:val="111111"/>
          <w:sz w:val="28"/>
          <w:sz w:val="28"/>
          <w:szCs w:val="28"/>
          <w:rtl w:val="true"/>
          <w:lang w:bidi="fa-IR"/>
        </w:rPr>
        <w:t>عدا الرّوایتین الأخیرتین الظاهرتین فی الکراهة فی خصوص الصّلاة، فإنَّ مفهومهما عدم کراهة لبسه فی غیرها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مقتضی العمل بالمفهوم والجمع بینهما بحمل المطلق علی المقیّد تکون النتیجة تقیید الروایات المطلقة بهاتین الروایتین، وبالتالی الحکم بالکراهة فی خصوص الصلاة، إلّا أن بعض الفقهاء جمع بین الروایات بتأکید الکراهة حال الصّلاة لضعف العمل بالمفهوم</w:t>
      </w:r>
      <w:r>
        <w:rPr>
          <w:rStyle w:val="FootnoteAnchor"/>
          <w:rtl w:val="true"/>
        </w:rPr>
        <w:footnoteReference w:id="259"/>
      </w:r>
      <w:r>
        <w:rPr>
          <w:rFonts w:ascii="IRNazanin" w:hAnsi="IRNazanin" w:eastAsia="IRNazanin"/>
          <w:color w:val="111111"/>
          <w:sz w:val="28"/>
          <w:sz w:val="28"/>
          <w:szCs w:val="28"/>
          <w:rtl w:val="true"/>
          <w:lang w:bidi="fa-IR"/>
        </w:rPr>
        <w:t xml:space="preserve">، فی حین ذهب بعضهم إلی عدم الحاجة إلی التأویل والحمل علی شدّة الکراهة ولا لحمل المطلق علی المقید، بل الأولی الاجتناب عن السّواد مطلقاً فی الصّلاة وغیرها؛ نظراً لدلالة الرّوایات علی العموم، نافیاً وجود روایات تدلّ علی کراهة السّواد فی الصّلاة فقط، حاملاً روایة محسن بن أحمد التی ورد فیها السّؤال عن الصّلاة فی القلنسوة علی </w:t>
      </w:r>
    </w:p>
    <w:p>
      <w:pPr>
        <w:pStyle w:val="BookText"/>
        <w:rPr/>
      </w:pPr>
      <w:r>
        <w:rPr>
          <w:rFonts w:ascii="IRNazanin" w:hAnsi="IRNazanin" w:eastAsia="IRNazanin"/>
          <w:color w:val="111111"/>
          <w:sz w:val="28"/>
          <w:sz w:val="28"/>
          <w:szCs w:val="28"/>
          <w:rtl w:val="true"/>
          <w:lang w:bidi="fa-IR"/>
        </w:rPr>
        <w:t>کراهة السّواد فی القلنسوة، ولیس فیها دلالة علی الاختصاص بالصّلاة</w:t>
      </w:r>
      <w:r>
        <w:rPr>
          <w:rStyle w:val="FootnoteAnchor"/>
          <w:rtl w:val="true"/>
        </w:rPr>
        <w:footnoteReference w:id="260"/>
      </w:r>
      <w:r>
        <w:rPr>
          <w:rFonts w:ascii="IRNazanin" w:hAnsi="IRNazanin" w:eastAsia="IRNazanin"/>
          <w:color w:val="111111"/>
          <w:sz w:val="28"/>
          <w:sz w:val="28"/>
          <w:szCs w:val="28"/>
          <w:rtl w:val="true"/>
          <w:lang w:bidi="fa-IR"/>
        </w:rPr>
        <w:t xml:space="preserve">، وهذا ما صرّح به غیره من الفقهاء مستفیدین ذلک من مقتضی التّعلیل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کراهة القلنسوة فی غیر الصّلاة أیضاً</w:t>
      </w:r>
      <w:r>
        <w:rPr>
          <w:rStyle w:val="FootnoteAnchor"/>
          <w:rtl w:val="true"/>
        </w:rPr>
        <w:footnoteReference w:id="261"/>
      </w:r>
      <w:r>
        <w:rPr>
          <w:rFonts w:ascii="IRNazanin" w:hAnsi="IRNazanin" w:eastAsia="IRNazanin"/>
          <w:color w:val="111111"/>
          <w:sz w:val="28"/>
          <w:sz w:val="28"/>
          <w:szCs w:val="28"/>
          <w:rtl w:val="true"/>
          <w:lang w:bidi="fa-IR"/>
        </w:rPr>
        <w:t>، بل ذهب ثالث إلی رفض القول بشدّة الکراهة وتأکیدها فی القلنسوة السّوداء لهذا الخبر،ضرورة أنّه بعد تعلیل الکراهة فیه بالعلّة المشترکة بین الجمیع لم یبق حینئذٍ خصوصیة لمورد التّعلیل، سیّما کونه من کلام السّائل، ولعلّه لذا أطلق باقی الفقهاء الحکم بالکراهة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المحقّق النجفی أن تکون استفادة الفقهاء من هذه الأخبار الکراهة فی الصّلاة؛ إمّا لدعوی اتحاد الکونین کما فی المغصوب</w:t>
      </w:r>
      <w:r>
        <w:rPr>
          <w:rStyle w:val="FootnoteAnchor"/>
          <w:rtl w:val="true"/>
        </w:rPr>
        <w:footnoteReference w:id="263"/>
      </w:r>
      <w:r>
        <w:rPr>
          <w:rFonts w:ascii="IRNazanin" w:hAnsi="IRNazanin" w:eastAsia="IRNazanin"/>
          <w:color w:val="111111"/>
          <w:sz w:val="28"/>
          <w:sz w:val="28"/>
          <w:szCs w:val="28"/>
          <w:rtl w:val="true"/>
          <w:lang w:bidi="fa-IR"/>
        </w:rPr>
        <w:t xml:space="preserve">، أو لأنَّ إطلاق الکراهة یقتضی شمول خصوص الصّلاة ولا ینافیه شمول غیرها، إذ لیس المراد اختصاص الصّلاة بذلک من بین الأفراد، بل المراد الکراهة فیها بالخصوص، وإنْ کان غیرها من الأفراد کذلک، مع اعتضاد الکراهة فی الصّلاة بالإجماع المحکی ومرسل الکلینی والمرسل فی القلنسوة، ولا ریب فی ظهور التّعلیل فیه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بکراهة الصّلاة فی کلّ ما کان کذلک، وقد ورد فی السّواد أنّه لباس فرعون وأنّه زی بنی العبّاس، وأنّه لباس أهل النّار کما سمعت؛ فتتجه کراهة الصّلاة فیه للتعلیل المذکور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یُستدلّ بالروایات الدّالة علی کراهة لبس السّواد مطلقاً بدعوی أنَّ کراهة لبسه مطلقاً یستلزم کراهته حال الصّلاة، إلّا أنَّ هذا فیه أنَّ المدّعی کراهة الصّلاة فیه من حیث هی لا من حیث کونه لابساً حال الصّلاة لما هو مکروه من حیث هو، فالأصحّ الاستدلال بمفهوم التّعلیل المتقدّم وبالتقریب المتقدّم، ویؤیّده بل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أُرید بلباس أهل النّار ما یلبسونه ولو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أنّه لباس بنی العبّاس، فلا إشکال فی الحکم بکراهته فی الصّلاة، خصوصاً مع ما حُکیَ من دعوی الإجماع علیه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حکمهم بالکراهة إمّا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الصّلاة خاصّة مع ظهور النّهی فی الروایات بالتحریم، لمخالفة القول بالحرمة للشهرة بل الإجماع علی عدم الحرمة؛ فتثبت بهذه الأخبار الکراهة، هذا مضافاً إلی ما تقدّم وما یأتی من الروایات ممّا یدلّ علی الرّخصة والإباحة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الدالّة علی لبس الإمام للسّواد، کالروایة المتقدّمة عن داود الرّقی، فإنّه محمول علی التّقیة أو بیان الرّخصة</w:t>
      </w:r>
      <w:r>
        <w:rPr>
          <w:rStyle w:val="FootnoteAnchor"/>
          <w:rtl w:val="true"/>
        </w:rPr>
        <w:footnoteReference w:id="266"/>
      </w:r>
      <w:r>
        <w:rPr>
          <w:rFonts w:ascii="IRNazanin" w:hAnsi="IRNazanin" w:eastAsia="IRNazanin"/>
          <w:color w:val="111111"/>
          <w:sz w:val="28"/>
          <w:sz w:val="28"/>
          <w:szCs w:val="28"/>
          <w:rtl w:val="true"/>
          <w:lang w:bidi="fa-IR"/>
        </w:rPr>
        <w:t>، فلا ینافی ثبوت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أنکر بعض الفقهاء المتأخّرین الحکم بکراهة السّواد مطلقاً؛ لضعف جمیع تلک الرّوایات من حیث السّند، فلا تصلح للاستدلال، عدا روایة السّکونی عن إسماعیل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لا تلبسوا لباس أعدائی ولا تطعموا مطاعم أعدائی ولا تسلکوا مسالک أعدائی، فتکونوا أعدائی کما هم أعدائی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فهی معتبرة من حیث السّند ودالّة علی النهی عن التشبّه بالأعداء فی اللباس والطعام، وعلیه لا بدَّ من الأخذ</w:t>
      </w:r>
    </w:p>
    <w:p>
      <w:pPr>
        <w:pStyle w:val="BookText"/>
        <w:rPr/>
      </w:pPr>
      <w:r>
        <w:rPr>
          <w:rFonts w:ascii="IRNazanin" w:hAnsi="IRNazanin" w:eastAsia="IRNazanin"/>
          <w:color w:val="111111"/>
          <w:sz w:val="28"/>
          <w:sz w:val="28"/>
          <w:szCs w:val="28"/>
          <w:rtl w:val="true"/>
          <w:lang w:bidi="fa-IR"/>
        </w:rPr>
        <w:t>بمضمونها، فلا یجوز لبس ما اختصّ به أعداء الدین، کالقبعة التی یختص بها الیهود، إلّا أنّهُ لم یثبت اختصاص لبس السّواد بأعداء الدین، نعم یمکن ثبوت الاختصاص بخصوص اللبادة السّوداء، فإنَّ لبسها من مختصّات علماء الیهود والنّصاری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فالفتوی بالکراهة مبنیّة علی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والمعبّر عنها بقاعدة التّسامح فی أدلّة السنن، وبأحد فهمین وتفسیرین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أنَّ الخبر فی غیر الأحکام الإلزامیة مثل الاستحباب والکراهة معتبر وإن کان ضعیف السّند ما لم یحصل العلم بکذبه؛ لعدم اشتراط شیءٍ فی مجیئها ممّا یُعتبر فی حجّیة الأخبار الدّالة علی حکم إلزامی، کالوجوب والحرمة، أو المستلزمة لحکم إلزامی، کالنّجاسة والملکیة والزّوجیة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قیام الخبر المحتمل أنَّه قول المعصوم هو بنفسه من العناوین المرجّحة، فإذا کان ذلک الخبر یتضمّن ثواباً علی عمل فذلک العمل یکون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فالفتوی بالکراهة مع ضعف الخبر متوقّفة علی الالتزام بأحد هذین التّفسیرین، فی حین أنَّ الصّحیح هو أنّ المستفاد من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المکلّف عندما وصلته مطلوبیة عمل ما عن طریق خبرٍ ضعیف، فأتی به انقیاداً ورجاءً، استحقّ الثّواب والتقرّب إلی الله، ومقدار ذلک الثّواب هو نفس ما بلغه فی ذلک الخبر، وعلیه فمَن لم یتیقّن بالحکم لضعف الخبر یأتی بالعمل رجاءً وانقیاداً؛ لعدم علمه بصدوره من الرّسول والإمام وله ذلک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التنزّل والأخذ بأحد التفسیرین الأوّلین فمع ذلک لا یمکن تطبیقها هنا؛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الکراهة فی موارد النّهی التکلیفی، ولیس النّهی عن لبس السّواد نهیاً تکلیفیاً، بل هو إرشاد إلی کون الفرد المنهی عنه أقلّ الأفراد ثواباً، فمَن أراد العمل علی طبق الخبر یمتنع من الصّلاة فی الأسود، ولیس ترک الصّلاة فی الثّوب الأسود موجباً لإعطائه الثّواب، وإنْ کانت الصّلاة فی غیره أکثر ثواباً، فترک العمل فیما نحن فیه ولو کان عملاً، إلّا أنّه لم یرد فیه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یُقال بأنَّ عمل المشهور جابر لضعف هذا الخبر، وإنْ کان ضعیف السّند غیر صحیح؛ لاحتمال استنادهم إلی أخبار مَن بلغ، کما یُستفاد ذلک من السیّد العاملی، فإنّه بعد أنْ صرّح بضعف الرّوایات کلّها أثبت الحکم باعتبار أنَّ المقام مقام کراهة وتنزّه؛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w:t>
      </w:r>
    </w:p>
    <w:p>
      <w:pPr>
        <w:pStyle w:val="BookText"/>
        <w:rPr/>
      </w:pPr>
      <w:r>
        <w:rPr>
          <w:rFonts w:ascii="Amiri" w:hAnsi="Amiri" w:eastAsia="Amiri" w:cs="Amiri"/>
          <w:color w:val="111111"/>
          <w:sz w:val="28"/>
          <w:sz w:val="28"/>
          <w:szCs w:val="28"/>
          <w:rtl w:val="true"/>
          <w:lang w:bidi="ar-SA"/>
        </w:rPr>
        <w:t>الرّوایات کلّها قاصرة من حیث السّند، إلّا أنَّ المقام مقام کراهة وتنزّه، فلا یضرّ فیه ضعف السّند</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الحال فی الإحرام، فقد أفتوا بکراهته بالأسود</w:t>
      </w:r>
      <w:r>
        <w:rPr>
          <w:rStyle w:val="FootnoteAnchor"/>
          <w:rtl w:val="true"/>
        </w:rPr>
        <w:footnoteReference w:id="269"/>
      </w:r>
      <w:r>
        <w:rPr>
          <w:rFonts w:ascii="IRNazanin" w:hAnsi="IRNazanin" w:eastAsia="IRNazanin"/>
          <w:color w:val="111111"/>
          <w:sz w:val="28"/>
          <w:sz w:val="28"/>
          <w:szCs w:val="28"/>
          <w:rtl w:val="true"/>
          <w:lang w:bidi="fa-IR"/>
        </w:rPr>
        <w:t>لهذه الأخبار أیضاً ولخبر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الرجل فی الثوب الأسود؟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بالثوب الأسود ولا یُکفّن به المیت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حملاً له علی الکراهة؛ لأصالة الإباحة، ولأنّه ثوب یُصلّی فیه بالإجماع، وکلّ ثوب یُصلّی فیه یجوز فیه الإحرام؛ لما رواه حریز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 یُصلّی فیه فلا بأس أن یُحرِم فیه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والمستخلص من کلّ ما تقدّم سواء ما ذکره علماء النفس وما ذُکر من الناحیة العلمیة، أو ما ورد فی الروایات وکلمات الفقهاء أنّ لبس الثوب الأسود مرجوح؛ إذ غایة ما فی الأمر </w:t>
      </w:r>
    </w:p>
    <w:p>
      <w:pPr>
        <w:pStyle w:val="BookText"/>
        <w:rPr/>
      </w:pPr>
      <w:r>
        <w:rPr>
          <w:rFonts w:ascii="IRNazanin" w:hAnsi="IRNazanin" w:eastAsia="IRNazanin"/>
          <w:color w:val="111111"/>
          <w:sz w:val="28"/>
          <w:sz w:val="28"/>
          <w:szCs w:val="28"/>
          <w:rtl w:val="true"/>
          <w:lang w:bidi="fa-IR"/>
        </w:rPr>
        <w:t>أنّنا نحمل الروایات علی الإرشاد إلی آثاره النفسیة أو الاجتماعیة أو العلمیة، خصوصاً مع التأکید علی اللون الأبیض، فمقتضی الاحتیاط اجتناب لبسه فی الحالات الطبیعیة والحیاة العادیة، خصوصاً فی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لبس السّواد فی عزاء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اعتاد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لبس الثّیاب السّوداء فی وفیات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أیّام محرّم وصَفَر حُزناً علی سیّد شباب أهل الجنّة وأهل بیته وأصحابه؛ إظهاراً لحبّهم ومودّتهم المأمور به فی الرّوایات، حیثُ 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أحیوا أمرنا فرحم الله مَن أحیا أمرنا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فإنَّ ارتداء الثّیاب السّود حزناً علیهم إحیاءٌ لأمرهم، وتجدیدٌ لذکرهم، وبیانٌ لمظلومیتهم، وإبقاءٌ لما جری علیهم ماثلاً أمام الأجیال، من هنا أصبح لبس السّواد فی عزاء الأئمّة الأطهار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من الشّعائر المهمّة لدی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التی استُدلَّ بها علی مشروعیة بل واستحباب وراجحیة لبسه حُزناً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قولویه القمّی، بسنده عن هشام بن مسعد،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المشیخة أنَّ الملک الذی 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 البحار، ذلک أنَّ ملکاً من ملائکة الفردوس نزل علی البحر فنشر أجنحته علیها، ثم صاح صیحة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البحار البسوا أثواب الحزن فإنَّ فرخ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البرقی بسنده عن عمر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لبسن نساء بنی هاشم السّواد والمسوح وکنَّ لا یشتکین من حرّ ولا برد، وکان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لهن الطّعام للمآتم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بعض الرّوایات من أنّه لما أصبح یزید بن معاویة استدعی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أحبُّ إلیکنّ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عندی أو الرّجوع إلی المدینة ولکم الجائزة السَّنیة؟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أوّلاً أنْ ننوح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ما بدا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أُخلیت لهنّ الحُجر والبیوت فی دمشق، ولم تبقَ هاشمیة ولا قرشیة إلّا ولبست السّواد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وندبوه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دلالة هذه الروایات علی المشروعیة وعدم الکراهة، بل الاستحباب هو أنّ ذلک کان بحضور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فهو تقریر منه لذلک</w:t>
      </w:r>
      <w:r>
        <w:rPr>
          <w:rStyle w:val="FootnoteAnchor"/>
          <w:rtl w:val="true"/>
        </w:rPr>
        <w:footnoteReference w:id="276"/>
      </w:r>
      <w:r>
        <w:rPr>
          <w:rFonts w:ascii="IRNazanin" w:hAnsi="IRNazanin" w:eastAsia="IRNazanin"/>
          <w:color w:val="111111"/>
          <w:sz w:val="28"/>
          <w:sz w:val="28"/>
          <w:szCs w:val="28"/>
          <w:rtl w:val="true"/>
          <w:lang w:bidi="fa-IR"/>
        </w:rPr>
        <w:t>خصوصاً أنّ الظاهر أنّهنّ کنّ قد لبسنه بعنوان العزاء، فلو لم یکن ذلک من شعائر العزاء المطلوب وآدابه المندرجة فی عموم تعظیم الشعائر لوجب علیه منعهنّ من ذلک حذراً من الإغراء بالجهل، هذا مضافاً إلی أنّ فیهنّ مثل الحوراء زینب التی لا یقصر فعلها عن فعل المعصوم</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دلالتها علی مشروعیة لبس السواد، بل استحبابه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تدلّ علی استحباب إقامة المأتم والإطعام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وکذا یُستفاد منها أنَّ لبس السواد من شعائر الحزن والعزاء علی المفقود من قدیم الزّمان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 کلام ولا شبهة فی أصل مشروعیته بل راجحیته حزناً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مستوی الفتوی، إنّما وقع البحث من جهة التّوفیق بینه وبین ما تقدّم من النّهی عن لبس </w:t>
      </w:r>
    </w:p>
    <w:p>
      <w:pPr>
        <w:pStyle w:val="BookText"/>
        <w:rPr/>
      </w:pPr>
      <w:r>
        <w:rPr>
          <w:rFonts w:ascii="Amiri" w:hAnsi="Amiri" w:eastAsia="Amiri" w:cs="Amiri"/>
          <w:color w:val="111111"/>
          <w:sz w:val="28"/>
          <w:sz w:val="28"/>
          <w:szCs w:val="28"/>
          <w:rtl w:val="true"/>
          <w:lang w:bidi="ar-SA"/>
        </w:rPr>
        <w:t>السّواد والحث علی البیاض؛ إذ قد یُتصور لأوّل وهلة وجود التّنافی بینهما، مضافاً إلی ما قد یُقال من أنَّ لبس السّواد نوعٌ من الجزع وقد نهینا عنه وأُمرنا بالصبر علی المصیبة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عَلَیْهِمْ صَلَوَاتٌ مِنْ رَبِّهِمْ وَرَحْمَةٌ وَأُولَئِکَ هُمُ الْمُهْتَدُونَ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أنّک نهیت عن الجزع وأمرت بالصبر لأنفدنا علیک ماءَ الشؤون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فلا تخمشی وجهاً ولا ترخی علیَّ شعراً ولا تنادی بالویل، ولا تقیمی علیَّ نائحة</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أوصی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أُخته 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رواه المفید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لأُخته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إنّی قد أقسمت علیک فأبرّی قسمی، ولا تشقّی علیَّ جیباً، ولا تخمشی علیَّ وجهاً، ولا تدعی علیَّ بالویل والثّبور إن أنا هلکت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فتح رسول الله مکة بایع الرجال، ثمّ جاء النساء یبایعنه،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المعروف الذی أمرنا الله أن لا نعصیک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تلطمْنَ خدّاً، ولا تخمشنَ وجهاً، ولا تنتفنَ شعراً، ولا تشققنَ جیباً، ولا تسوّدنَ ثوباً، فبایعهنّ رسول الله علی هذا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مجموع هذه النّصوص وغیرها قد تشکل منشأ تساؤل عن مدی راجحیة لبس السّواد فی وفیات الأئمّة الأطهار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إلّا أنّه تساؤل سرعان ما یتّضح من النّاحیة العقائدیة والفقهیة والتّاریخیة، وقد تصدّی الفقهاء لذلک وإن تعدّدت وجوه الإجابة وتنوّعت باختلاف منشأ الإشکال والشّبهة وإلیک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جهة کراهة السّواد ودلالة الرّوایات المتقدّمة علیها فبناءً علی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عرفت تشکیک بعض الفقهاء فی أصل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منها لبسه علی عزاء سید الشّهداء وغیره من أهل بیت العصمة، للأمر بإظهار شعائر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الرّوایات الدالّة علی الکراهة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استثناء لبس السّواد فی مأتم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الأخبار لما استفاضت به الأخبار من الأمر بإظهار شعائر الحزن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ثمَّ أیّده بروایة البرقی التی ورد فیها لبس الهاشمیات السّواد والمسوح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الإمام السّجاد یعمل لهن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بیّنه الشیخ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أنَّ لبس السّواد فی وفیات الأئمة إظهاراً لمودتهم وحبّهم وحزناً علیهم، إحیاء لأمرهم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من مصادیق الحزن المستحب، والشّعائر الحسینیة وأسالیب الإحیاء لیست حقائق شرعیة أو أُمور توقیفیة، بل أُمور عرفیة المدار فیها علی إحیاء ذکرهم وإظهار </w:t>
      </w:r>
    </w:p>
    <w:p>
      <w:pPr>
        <w:pStyle w:val="BookText"/>
        <w:rPr/>
      </w:pPr>
      <w:r>
        <w:rPr>
          <w:rFonts w:ascii="IRNazanin" w:hAnsi="IRNazanin" w:eastAsia="IRNazanin"/>
          <w:color w:val="111111"/>
          <w:sz w:val="28"/>
          <w:sz w:val="28"/>
          <w:szCs w:val="28"/>
          <w:rtl w:val="true"/>
          <w:lang w:bidi="fa-IR"/>
        </w:rPr>
        <w:t>مظلومیتهم، والحفاظ علی فکرهم وأهدافهم السّامیة، وضمان استمراریتها ونقلها إلی الأجیال من خلال العزاء والبکاء وإظهار الحزن ونحو ذلک، شریطة أنْ لا یصدق علیه عنوان محرّم شرعاً کالإساءة إلی الدین والمذهب، والإضرار بالنّفس إضراراً محرّماً، فما بالک بلبس السّواد الّذی هو سیرةٌ متعارفةٌ بین النّاس وعلیه شواهد تاریخیة وروائیة تدلُّ بوضوح علی جوازه بل علی استحبابه کما یدلّ علی أنَّ تلک الرّوایات المتقدّمة الواردة فی کراهة لبس السّواد المراد منها اتخاذه زیّاً فی الحیاة والحالات الطّبیعیة أو احترازاً من التّشبه بالفراعنة وبنی العبّاس وأهل النّار، فهی</w:t>
      </w:r>
    </w:p>
    <w:p>
      <w:pPr>
        <w:pStyle w:val="BookText"/>
        <w:rPr/>
      </w:pPr>
      <w:r>
        <w:rPr>
          <w:rFonts w:ascii="IRNazanin" w:hAnsi="IRNazanin" w:eastAsia="IRNazanin"/>
          <w:color w:val="111111"/>
          <w:sz w:val="28"/>
          <w:sz w:val="28"/>
          <w:szCs w:val="28"/>
          <w:rtl w:val="true"/>
          <w:lang w:bidi="fa-IR"/>
        </w:rPr>
        <w:t>لیست کراهة ذاتیة لا تنفک بل ترتفع إذا انطبقت علیه عناوین أُخری مطلوبة ومستحبّة کالحزن علی الأئمّة، وهذا ما أشار إلیه الشّیخ کاشف الغطاء إذ قال معلّقاً علی عدّ السیّد الیزدیّ الثّیاب السّود فی مکروهات اللّباس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لجهة راجحةٍ کعزاء الأئمّة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وتلک الروایات والشواهد التاریخیة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من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لأسماء بنت عمیس بالتسلب علی جعفر ولبس الهاشمیات السّواد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علی أبیه بعد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أبی الحدید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الناس بعد شهادة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ثیابٌ 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إقبال الاعمال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فی فضیلة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تنفیس الکرب ویوم لبس الثیاب ونزع السواد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روی فی مستدرک الوسائل عن کتاب المحتضر للحسن بن سلیمان الحلّیّ، بإسناده عن أحمد بن إسحاق، 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فضیلة یوم التاسع من ربیع الأوّل، وأسامیه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نزع السواد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سکینة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وهی تندب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ثیاب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المحقّق النوری فی المستدرک حیث تقول سکینة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بخمس نسوة قد عظم الله خلقتهنّ، وزاد فی نورهنّ وبینهنّ امرأة عظیمة الخلقة ناشرة شعرها، وعلیها ثیاب سود، وبیدها قمیص مضمّخ بالدم إلی أن ذکرت أنّها کانت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أهل المدینة السواد بعد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مقتل أبی مخنف، عندما أخبر نعمان بن بشیر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یبق فی المدینة مُخدّرة إلاّ وبرزت من خدرها، ولبسوا السواد وصاروا یدعون بالویل والثبور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الدعائم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فی حِدادها علی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ثیاباً مصبّغة ولا تکتحل ولا تطیّب ولا تزیّن حتّی تنقضی عدّتها، ولا بأس أن تلبس ثوباً مصبوغاً بسواد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أفتی بمضمونه الشیخ فی المبسوط</w:t>
      </w:r>
      <w:r>
        <w:rPr>
          <w:rStyle w:val="FootnoteAnchor"/>
          <w:rtl w:val="true"/>
        </w:rPr>
        <w:footnoteReference w:id="29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والمحقّق فی الشرایع فی حداد الزوجة</w:t>
      </w:r>
      <w:r>
        <w:rPr>
          <w:rStyle w:val="FootnoteAnchor"/>
          <w:rtl w:val="true"/>
        </w:rPr>
        <w:footnoteReference w:id="292"/>
      </w:r>
      <w:r>
        <w:rPr>
          <w:rFonts w:ascii="IRNazanin" w:hAnsi="IRNazanin" w:eastAsia="IRNazanin"/>
          <w:color w:val="111111"/>
          <w:sz w:val="28"/>
          <w:sz w:val="28"/>
          <w:szCs w:val="28"/>
          <w:rtl w:val="true"/>
          <w:lang w:bidi="fa-IR"/>
        </w:rPr>
        <w:t>، والعلّامة فی القواعد</w:t>
      </w:r>
      <w:r>
        <w:rPr>
          <w:rStyle w:val="FootnoteAnchor"/>
          <w:rtl w:val="true"/>
        </w:rPr>
        <w:footnoteReference w:id="293"/>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الصفّار فی بصائر الدرجات، عن البزنطیّ، عن أبان بن عثمان، عن عیسی بن عبد الله وثابت، عن حنظلة،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بعد أن صلّی الفجر فی المسجد وعلیه قمیصة سوداء؛ 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سیرة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قمیصة سوداء حین اشتدّ به وجعه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الکلینیّ</w:t>
      </w:r>
      <w:r>
        <w:rPr>
          <w:rStyle w:val="FootnoteAnchor"/>
          <w:rtl w:val="true"/>
        </w:rPr>
        <w:footnoteReference w:id="296"/>
      </w:r>
      <w:r>
        <w:rPr>
          <w:rFonts w:ascii="IRNazanin" w:hAnsi="IRNazanin" w:eastAsia="IRNazanin"/>
          <w:color w:val="111111"/>
          <w:sz w:val="28"/>
          <w:sz w:val="28"/>
          <w:szCs w:val="28"/>
          <w:rtl w:val="true"/>
          <w:lang w:bidi="fa-IR"/>
        </w:rPr>
        <w:t>، وصاحب الدعائم</w:t>
      </w:r>
      <w:r>
        <w:rPr>
          <w:rStyle w:val="FootnoteAnchor"/>
          <w:rtl w:val="true"/>
        </w:rPr>
        <w:footnoteReference w:id="297"/>
      </w:r>
      <w:r>
        <w:rPr>
          <w:rFonts w:ascii="IRNazanin" w:hAnsi="IRNazanin" w:eastAsia="IRNazanin"/>
          <w:color w:val="111111"/>
          <w:sz w:val="28"/>
          <w:sz w:val="28"/>
          <w:szCs w:val="28"/>
          <w:rtl w:val="true"/>
          <w:lang w:bidi="fa-IR"/>
        </w:rPr>
        <w:t>بسنده عن سلیمان بن راشد،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درّاعة سوداء، وطیلسان أزرق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الاخبار عن أبی نعیم، بإسناده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لمّا بلغها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قبّة سوداء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ولبست السواد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فی الغیبة، بسنده إلی کامل بن إبراهیم، أنّه دخل علی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إلی ثیاب بیاض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وحجّته یلبس الناعم من الثیاب، ویأمرنا نحن بمواساة الإخوان، وینهانا عن لبس مثله؟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وحَسر عن ذراعیه فإذا مسح أسود خشن علی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وهذا لکم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کامل الزیارات، بسنده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الملک الذی 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 البحار، وذلک أنّ ملکاً من ملائکة الفردوس نزل علی البحر فنشر أجنحته علیها، ثمّ صاح صیحةً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البحار، البسوا أثواب الحزن، فإنّ فرخ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الأخبار واضحة الدلالة علی مشروعیة لبس السواد، وعدم کراهته فی العزاء، بل وراجحیته علی أئمّة الهدی وسادة الوری، وأنّه لباس الحداد والحزن والعزاء علی الفقید من قدیم الزمان، وهو أمرٌ متعارف ومرسوم إلی یومنا هذا، ولا ردع عنه، بل إقراره والأمر به موجود فی الجملة، هذا مضافاً إلی استحبابه بعنوان إحیاء الشعائر والأمر بها،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المنافاة مع الروایات الناهیة عن الجزع، وعن شق الجیوب، ونحو ذلک، فهی مخصّصة ومقیّدة بما إذا کان ذلک حزناً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الروایات الأُخری الدالّة علی جواز ذلک، کقول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البکاء والجزع مکروهٌ للعبد فی کلّ ما جزع، ما خلا البکاء والجزع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فیه مأجورٌ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الشیخ الطوسی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شققْنَ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الجیوب، ولطمنَ الخدود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مثله تلطم الخدود وتشقّ الجیوب</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مثله تُلطم الخدود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علی التخصیص، وأنَّ الأمر لیس خاصّاً به، بل علی غیره من الأنبیاء والأوصیاء، فإنّه یجوز ذلک ویکون الجزع مطلوباً، ویؤیّد ذلک ما ورد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لجمیل إلّا عنک، وإنَّ الجزع یقبح إلّا علیک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وجزع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 إسماعیل، وآدم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 هابیل، فإنَّ هذا یدلّ علی أنّه لا قبح فی الجزع علی بعض الأشخاص 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للجزع مراتب، فإنَّ الجزع الذی یتضمّن أو یستلزم أمراً محرّماً، کالاعتراض علی الله، أو الشک فی عدله وحکمته، أو الإلقاء بالتهلکة، أو نحو ذلک، فإنَّ ذلک محرّم قطعاً ومطلقاً، سواءً کان علی نبی أو وصی، وقد یکون محرّماً إذا کان الفقید شخصاً عادیاً، کما لو کان مجرد أب أو أخ أو قریب فإنّه جزع وحزن لا یترتّب علیه أثر علی الدین والإنسانیة، بخلاف الجزع والحزن علی الأنبیاء والأوصیاء الذی له فوائد دینیة ودنیویة، وآثار فکریة، وما جاء به من قیم وأخلاق وإنَّ فقد خسارة عظیمة، فإنَّ هذا بحدّ ذاته إدامة له فی الحیاة البشریة ولما جاء به مات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فهکذا جزع وحزن مطلوب ومحبوب، ومزید تفصیل ذلک یأتی فی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الاتشاح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لاتشاح بالسواد هو عبارة عن تغطیة الحسینیات والمساجد والدور بالسواد، ورفع الرایات السود فی أیّام وفیات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وأیّام محرم وصفر ذکری شهادة سید شباب أهل الجنة وأهل بیته وأصحابه فی کربلاء؛ من أجل إقامة العزاء وإعلان شعار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حکمه ممّا تقدّم فی حکم لبس السواد، فإنّه إذا جاز ذلک بل استحبّ حزناً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وإحیاءً للشعائر الحسینیة، جاز هذا واستحب لذلک أیضاً، بل لعلّ عدم الإشکال فی الاتشاح أولی من حکم اللبس؛ إذ عرفت أنّ منشأ الإشکال فی اللبس هو ورود الروایات فی النهی عنه فی حین لا توجد روایات تنهی عن الاتشاح، مع احتمال وجود الخصوصیة فی اللبس، إلّا أن یُقال بوحدة الملاک والحکمة فی الأمرین، ککونه شعار الأعداء، أو غیر ذلک، أو منافاته للصبر المأمور به، أو غیر ذلک من العلل المحتملة التی تقدّم ذکرها،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ورود النهی عن الاتّشاح قد یکون لعدم تعارفه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الحال فی ذلک وأنّه علی فرض الکراهة والمرجوحیة فهو مرجوح بالعناوین المتقدم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یکون راجحاً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لبس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کونه إحیاءً لأمرهم وتجدیداً لذکرهم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وبیاناً لمظلومیتهم، وما جری علیهم، وإحیاءً للشعائر المأمور بها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أجاب العلماء عن السؤال عن حکم الاتشاح بالسواد فی مجالس العزاء بأنّه جائزٌ بل راجحٌ یُثاب علیه، بل اعتبر بعضهم أنّ إثارة الشبهة فی مثل هذه الموارد یصدر غالباً من أعداء الدین؛ لتلقّیهم الضربات بسبب إقامة مجالس العزاء التی من شأنها دحر أفکارهم وإفشال مخطّطاتهم، من هنا تکون وظیفة المؤمنین أن یبذلوا وبنیّةٍ خالصة أکبر قدر من الجدّیة فی إقامة عزاء سیّد الشهداء وخامس أهل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یتعلّم الناس بفضل هذه المجالس والمظاهر فلسفة ثورة </w:t>
      </w:r>
    </w:p>
    <w:p>
      <w:pPr>
        <w:pStyle w:val="BookText"/>
        <w:rPr/>
      </w:pP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وأهدافها المقدّسة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الدّولة العباسیة، مؤلف من القرن الثالث الهجری،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الدوری،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المطلبی، دار الطلیعة،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العباد إلی استحباب لبس السّواد، علی سید الشهداء والأئمة الأمجاد، جعفر الطباطبائی الحائری،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الأعرجی،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دار المفید،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 مکتب الإعلام الإسلامی،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الإلهیة فی المسائل العقائدیة، المیرزا جواد التبریزی، دار الصدّیقة الشهیدة،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 لدرر أخبار الأئمة الأطهار، محمد باقر المجلسی، مؤسسة الوفاء،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الکبری فی فضائل آل أحمد، محمد بن الحسن الصفّار،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کوجه باغی، مؤسسة الأعلمی،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التحصین فی صفات العارفین من العزلة والخمول،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الحسن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الغافلین عن فضائل الطالبیین، شرف الدین بن سعید،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آل شبیب الموسوی، مرکز الغدیر للدراسات الإسلامیة،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فی شرح المقنعة للشیخ المفید، محمد بن الحسن الطوسی،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الموسوی الخرسان، دار الکتب الإسلامیة، طهران،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الأنصاری القرطبی، دار إحیاء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الجامع، الفضل بن الحسن الطبرسی،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التابعة لجماعة المدرسین،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الحسان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بن محمد الثعالبی المکی،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عادل أحمد عبد الموجود، دار احیاء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الإسلام، محمد حسن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القوجانی، دار الکتب الإسلامیة، طهران،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فی أحکام العترة الطاهرة، یوسف البحرانی،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الإیروانی، مؤسسة النشر التابعة لجماعة المدرسین،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 الإسلامی التابعة لجماعة المدرسین،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محمد بن الحسن الطوسی،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التابعة لجماعة المدرسین،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قاموس عام لکل فن ومطلب، بطرس البستانی، دار 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وذکر الحلال والحرام والقضایا والأحکام، النعمان بن محمد 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دار المعارف، مصر،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الشیعة فی أحکام الشّریعة، محمد بن جمال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 ونصوص الأخبار، محمود بن عمر الزمخشری،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النعیمی، الشریف الرضی،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فی شرح إرشاد الأذهان، زید الدین العاملی الشامی،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 سلیمان بن الأشعث السّجستانی،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دار الفکر،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محمد بن عیسی بن سورة،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محمد عثمان، دار الفکر،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الملک بن هشام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مکتبة محمد علی صبیح وأولاده،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فی مسائل الحلال و الحرام،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انتشارات استقلال، طهران،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الکافی، </w:t>
      </w:r>
    </w:p>
    <w:p>
      <w:pPr>
        <w:pStyle w:val="BookText"/>
        <w:rPr/>
      </w:pPr>
      <w:r>
        <w:rPr>
          <w:rFonts w:ascii="IRNazanin" w:hAnsi="IRNazanin" w:eastAsia="IRNazanin"/>
          <w:color w:val="111111"/>
          <w:sz w:val="28"/>
          <w:sz w:val="28"/>
          <w:szCs w:val="28"/>
          <w:rtl w:val="true"/>
          <w:lang w:bidi="fa-IR"/>
        </w:rPr>
        <w:t>محمد صالح المازندرانی،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الشعرانی،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عاشور، 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النعمان بن محمد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الجلالی، مؤسسة النشر الإسلامی التابعة لجماعة المدرسین،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عبد الحمید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 دار إحیاء الکتب،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اسماعیل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عطّار، دار الملایین،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سنتی شیعیان، حسین معتمدی،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مکتبة الحیدریة، النّجف،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الخلیل بن أحمد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السّامرائی، مؤسسة دار الهجرة، ایران،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بایویه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الأعلمی، مؤسسة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الأعلمی،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 شهاب الدین بن حجر العسقلانی، دار المعرفة، 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محمد کاظم الطباطبائی الیزدی،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الفقهاء العظتم، مؤسسة النشر الإسلامی التابعة لجماعة المدرسین،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 الجامع بین فنی الروایة والدرایة من علم التفسیر، محمد بن علی الشوکانی، 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وإعجازه العلمی، اسماعیل ابراهیم، دار الفکر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عبد الله بن جعفر الحمیری،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الأحکام، الحسن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مؤسسة النّشر الإسلامی التابع لجامعة المدرسین،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محمد بن یعقوب الکلینی،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دار الکتب الإسلامیة، طهران،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جعفر بن محمد بن قولویه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مؤسسة نشر الفقاهة،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عن قواعد الأحکام، محمد بن الحسن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التابعة لجماعة المدرسین،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أدب الحوزة،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الإمامیة،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البهبودی، المکتبة المرتضویة لإحیاء الآثار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أحمد بن محمد بن خالد البرقی،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الحسینی، دار الکتب الإسلامیة، طهران،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المحاضرات والمحاورات، جلال الدین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الجبوری، دار الغرب الإسلامی،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 فی شرح شرائع الإسلام، محمد بن علی الموسوی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مشهد،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الأفهام إلی تنقیح شرائع الإسلام، زین الدین بن 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ومستنبط المسائل، المیرزا حسین النوری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الشیعة فی أحکام الشریعة، أحمد بن محمد مهدی النراقی،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مشهد،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أحمد بن حنبل، دار 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 آغا ضیاء الهمدانی،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الباقری، نور علی النوری، محمد المیرزائی، دار الفکر،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انتشارات إسلامی وابسته جامعة مدرسین حوزة علمیة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الأفاضل، مؤسسة سید الشهداء،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أحمد بن فارس،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مکتب الإعلام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غریب القرآن، الحسین بن محمد الراغب الأصفهانی، دفتر نشر کتاب، 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ومصرع أهل بیته وأصحابه فی کربلاء، لوط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المکتبة الحیدریة،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الرزاق المقرّم، انتشارات المکتبة الحیدریة،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99" w:name="pg5104_36410"/>
    </w:p>
    <w:p>
      <w:pPr>
        <w:pStyle w:val="BookText"/>
        <w:rPr/>
      </w:pPr>
      <w:bookmarkEnd w:id="299"/>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جماعة المدرسین، قم،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فی تحقیق المذهب، الحسن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 مشهد،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محمد حسین الطباطبائی، منشورات جامعة المدرسین،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والأثر،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محمود محمد الطناهی، مؤسسة اسماعیلیان، قم،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فی أحادیث سید الأخیار، محمد بن علی الشوکانی، دار الجیل،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مسائل الشریعة، محمد بن 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إلی معرفة الأوائل، عبد الرحمن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العدوی،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عمر، مکتبة الخانجی،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الساعدی</w:t>
      </w:r>
    </w:p>
    <w:p>
      <w:pPr>
        <w:pStyle w:val="Heading4"/>
        <w:numPr>
          <w:ilvl w:val="3"/>
          <w:numId w:val="1"/>
        </w:numPr>
        <w:rPr/>
      </w:pPr>
      <w:bookmarkStart w:id="300" w:name="__RefHeading___Toc1323799_774463916"/>
      <w:bookmarkStart w:id="301" w:name="_Toc127"/>
      <w:bookmarkEnd w:id="300"/>
      <w:r>
        <w:rPr>
          <w:rtl w:val="true"/>
        </w:rPr>
        <w:t>مقتل أبی مخنف</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 لوط بن یحیی، من أشهر کتب المقاتل والذی نقل عنه ثلّة کبیرة من العلماء والمؤرّخین المتقدّمین والمتأخرین، واعتمدوا علیه اعتماداً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أقدم مَن نصَّ علی وجود هذا الکتاب ونسبته لأبی مخنف، هو ابن الندیم</w:t>
      </w:r>
      <w:r>
        <w:rPr>
          <w:rStyle w:val="FootnoteAnchor"/>
          <w:rtl w:val="true"/>
        </w:rPr>
        <w:footnoteReference w:id="305"/>
      </w:r>
      <w:r>
        <w:rPr>
          <w:rFonts w:ascii="IRNazanin" w:hAnsi="IRNazanin" w:eastAsia="IRNazanin"/>
          <w:color w:val="111111"/>
          <w:sz w:val="28"/>
          <w:sz w:val="28"/>
          <w:szCs w:val="28"/>
          <w:rtl w:val="true"/>
          <w:lang w:bidi="fa-IR"/>
        </w:rPr>
        <w:t>إذْ ذکره فی عداد کتبه، وذکره النجاشی کذلک فی قائمة مصنّفاته،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طریقه إلی کتب أبی مخنف،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الجبار بن شیران الساکن بنهر جطا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ابن دینار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الضحاک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بن السّائب الکلبی، عن أبی مخنف</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الشیخ الطوسی أیضاً فی الفهرست،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طریقه إلی مصنّفات أبی مخنف،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بها أحمد بن عبدون، والحسین بن عبید الله جمیعاً، عن أبی بکر الدوری، عن القاضی أبی بکر أحمد بن کامل، عن محمد بن موسی ابن حماد، عن ابن أبی السری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الکلبی، عنه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بعده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فأکَّد وجود هذا الکتاب ونسبته،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التعریف بأبی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کثیرة فی السِّیر، کمقتل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ذکره أیضاً الحموی فی معجم الأُدباء</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ومکانته بین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الباحثین إلی أنَّ مقتل أبی مخنف هو أقدم المقاتل الحسینیّة وأسبقها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مهدی 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فکُتُب المقتل تصلح أن تکون موضوعاً لدراسة علمیة واسعة وعمیقة،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بدأت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مخنف، ولم تنتِه بعد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الیوسفی الغروی فی معرض حدیثه عن توثیق حادثة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بقیت هذه الحادثة الألیمة فی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شجون تتناقلها الألسن، حتّی انبری لها فی أوائل المائة الثانیة للهجرة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فجمعها من أفواه الرواة، وأودعها کتاباً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کتاب فی تاریخ هذه </w:t>
      </w:r>
    </w:p>
    <w:p>
      <w:pPr>
        <w:pStyle w:val="BookText"/>
        <w:rPr/>
      </w:pPr>
      <w:r>
        <w:rPr>
          <w:rFonts w:ascii="IRNazanin" w:hAnsi="IRNazanin" w:eastAsia="IRNazanin"/>
          <w:color w:val="111111"/>
          <w:sz w:val="28"/>
          <w:sz w:val="28"/>
          <w:szCs w:val="28"/>
          <w:rtl w:val="true"/>
          <w:lang w:bidi="fa-IR"/>
        </w:rPr>
        <w:t>الحادثة العظمی علی الإطلاق</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مناقشة هذا القول بأنَّ أوّل مَن کتب فی المقتل الحسینی هو الأصبغ بن نباتة، کما ذهب إلی ذلک آغا بزرک الطهرانی،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أوّل مَن کتب مقتل الحسین، وکتابه أسبق کتب المقاتل</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أنَّ من کُتبه 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الأشتر، ووصیّته إلی محمد بن الحنفیة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الدوری عنه أیضاً مقتل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سعید، عن أحمد بن یوسف الجعفی، عن محمد بن یزید النخعی، عن أحمد بن الحسین، عن أبی الجارود، عن الأصبغ، وذکر الحدیث بطوله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هناک عدداً من روایات المقاتل التی نقلها أو دوّنها العدید من الرواة،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الدهنی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الزبیر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یدلُّ علی أنَّ هناک مقاتل وروایات فی واقعة الطف قبل مقتل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تقدّم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 فی مصاف المقاتل القدیمة، ولیس أقدمها، کما اتّضح، وقد حاول أبو مخنف أنْ یتقصّی کافّة الأخبار الواردة فی هذا الشّأن، ویتتبّعها مدةً طویلة من خلال مراجعة مَن حضر تلک الواقعة الخالدة، أو مَن سمع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یُؤسف له أنَّ أغلب کتب ومؤلّفات أبی مخنف قد فُقدت ولم یبقَ منها إلّا النزر الیسیر، وهو ما رواه المؤرِّخون عنه، ومن کتبه التی اندثرت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أجمع الباحثون علی ضیاعه، وأنّه لم یصلنا منه إلّا ما نقله المؤرِّخون عنه، والمعروف بین المحقّقین أنّ أقدم نصٍّ نقل مرویات هذا المقتل هو کتاب تاریخ الأُمم والملوک للطبری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السّماوی فی مقدّمته لمقتل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المقاتل القدیمة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کمقتل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منها شیء إلّا ما نقله الطبری والجزری وأمثالهما فی ضمن کتبهم، فأمّا أعیانها فلم یبقَ منها شیء؛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یوجد منذ خمسة أو ستّة قرون، وکذلک أمثاله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أکّد ذلک الدکتور لبیب بیضون؛ فعدّه من أشهر المقاتل التی نقل عنه العلماء، إلّا أنّه فُقد ولا توجد منه نسخة فی الوقت الحاضر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المقتل المتداول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یُتداول الیوم 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ومصرع أهل بیته وأصحابه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یُنسب لأبی مخنف، وهو مثار أخذٍ وردٍّ بین المحقّقین والباحثین، کما سیتّضح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لهذا المقتل عدّة نسخ ومخطوطات فی المکتبات الإسلامیة، وتوجد له عدة طبعات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المقتل المتداول ومخطوطاته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المقتل عدّة نسخ ومخطوطات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المخطوطة الرّوسیة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B.60H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عنوانها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مقتل أبی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ما انتهی إلینا من مقتله، وکان فراغه فی الیوم الثانی عشر من شهر ذی القعدة علی ید مرقّمه علی بن خلیفة المقری، وعفی الله عنهما، آمین</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مقال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وقفة عند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هادی جبار سلّوم، وعبد الکاظم مجلّی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مخطوطة دار الکتب المصریة برقم </w:t>
      </w:r>
      <w:r>
        <w:rPr>
          <w:rFonts w:eastAsia="IRNazanin" w:cs="IRNazanin"/>
          <w:color w:val="111111"/>
          <w:sz w:val="28"/>
          <w:szCs w:val="28"/>
          <w:rtl w:val="true"/>
          <w:lang w:bidi="fa-IR"/>
        </w:rPr>
        <w:t>(</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 بن علی بن أبی طالب، تألیف أبی مخنف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تاریخ نسخها فی الصّفحة الأخیرة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یُذکر فیها اسم النّاسخ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مخطوطة السیّد محمد سعید ثابت بکربلاء، وهی مؤرّخة فی 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مخطوطة مکتبة الأسد بدمشق برقم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w:t>
      </w:r>
      <w:r>
        <w:rPr>
          <w:rFonts w:eastAsia="IRNazanin" w:cs="IRNazanin"/>
          <w:color w:val="111111"/>
          <w:sz w:val="28"/>
          <w:szCs w:val="28"/>
          <w:lang w:bidi="fa-IR"/>
        </w:rPr>
        <w:t>4303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له ولأهل بیته من قتلهم وسفک دمائهم وسبی حریمهم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مخرومة الأصل ودون تاریخ ومتهرّئة، وفی آخرها فصلٌ لیس فی الکتاب الأصلی، وشرح لزیارة عاشوراء، وتقع المخطوطة فی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أصابتها الرّطوبة بما لم یؤثر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 هذا المقتل المتداول عدّة طبعات،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طبعة حجریة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ملحقة بالمجلد العاشر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طبعة بمبئی فی الهند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إلی مثیر الأحزان واللهوف</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طبعة المطبعة الحیدریة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نسبة هذا الکتاب المتداول إلی أبی مخنف، وشُکّک فی صحته، ویمکن إجمال الآراء فی ذلک فی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نسبة الکتاب إلی أبی مخنف جملةً وتفصیلاً، فقد ذکر الشیّخ القمّی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المقتل الذی بأیدینا ویُنسب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بل ولا لأحد من المؤرّخین المعتمدین، ومَن أراد تصدیق ذلک، فلیقابل ما فی هذا المقتل وما نقله الطبری وغیره عنه حتّی یعلم ذلک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شرف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 الکتاب المتداول فی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المنسوب إلی أبی مِخْنف، قد اشتمل علی کثیر من الأحادیث التی لا علم لأبی مِخْنف بها، وإنّما هی مکذوبة علی الرجل، وقد کثرت علیه الکذّابة، وهذا شاهدٌ علی جلالته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الأقوال والنّصوص النّافیة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أصحاب هذا الرّأی علی هذا المقتل العدید من الإیرادات والملحوظات التی تدلّ علی عدم صحة نسبته لأبی مخنف،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 بعض الأخبار والحوادث الموجود فی هذا المقتل المتداول، مع ما نقله الطبری عن أبی مخنف، وهو ما حدا بالشیخ القمّی، وغیره من العلماء، کالمحدّث النوری، والسیّد حسن الأمین</w:t>
      </w:r>
      <w:r>
        <w:rPr>
          <w:rStyle w:val="FootnoteAnchor"/>
          <w:rtl w:val="true"/>
        </w:rPr>
        <w:footnoteReference w:id="325"/>
      </w:r>
      <w:r>
        <w:rPr>
          <w:rFonts w:ascii="IRNazanin" w:hAnsi="IRNazanin" w:eastAsia="IRNazanin"/>
          <w:color w:val="111111"/>
          <w:sz w:val="28"/>
          <w:sz w:val="28"/>
          <w:szCs w:val="28"/>
          <w:rtl w:val="true"/>
          <w:lang w:bidi="fa-IR"/>
        </w:rPr>
        <w:t>، إلی نفی الکتاب 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أبا مخنف یحدّث فی هذا الکتاب عن أبی المنذر هشام، ومن الواضح أنَّ هشاماً تلمیذ لأبی مخنف، فکیف یحدّث ویروی عنه؟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فی هذا المقتل روایة عن الکلینی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وفاة أبی مخنف کانت سنة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 أنَّ الروایة </w:t>
      </w:r>
    </w:p>
    <w:p>
      <w:pPr>
        <w:pStyle w:val="BookText"/>
        <w:rPr/>
      </w:pPr>
      <w:r>
        <w:rPr>
          <w:rFonts w:ascii="IRNazanin" w:hAnsi="IRNazanin" w:eastAsia="IRNazanin"/>
          <w:color w:val="111111"/>
          <w:sz w:val="28"/>
          <w:sz w:val="28"/>
          <w:szCs w:val="28"/>
          <w:rtl w:val="true"/>
          <w:lang w:bidi="fa-IR"/>
        </w:rPr>
        <w:t>المنقولة غیر موجودة فی الکافی</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أنَّ یزید بن معاویة أنفذ الکتاب إلی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فیه بأخذ البیعة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لعشرٍ خلون من شعبان</w:t>
      </w:r>
      <w:r>
        <w:rPr>
          <w:rStyle w:val="FootnoteAnchor"/>
          <w:rtl w:val="true"/>
        </w:rPr>
        <w:footnoteReference w:id="328"/>
      </w:r>
      <w:r>
        <w:rPr>
          <w:rFonts w:ascii="IRNazanin" w:hAnsi="IRNazanin" w:eastAsia="IRNazanin"/>
          <w:color w:val="111111"/>
          <w:sz w:val="28"/>
          <w:sz w:val="28"/>
          <w:szCs w:val="28"/>
          <w:rtl w:val="true"/>
          <w:lang w:bidi="fa-IR"/>
        </w:rPr>
        <w:t xml:space="preserve">، مع أنَّ اتفاق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مخنف بروایة الطبری والمفید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مکّة لثلاثٍ خلون من شعبان</w:t>
      </w:r>
      <w:r>
        <w:rPr>
          <w:rStyle w:val="FootnoteAnchor"/>
          <w:rtl w:val="true"/>
        </w:rPr>
        <w:footnoteReference w:id="329"/>
      </w:r>
      <w:r>
        <w:rPr>
          <w:rFonts w:ascii="IRNazanin" w:hAnsi="IRNazanin" w:eastAsia="IRNazanin"/>
          <w:color w:val="111111"/>
          <w:sz w:val="28"/>
          <w:sz w:val="28"/>
          <w:szCs w:val="28"/>
          <w:rtl w:val="true"/>
          <w:lang w:bidi="fa-IR"/>
        </w:rPr>
        <w:t>، فکیف جرت المحادثة المعروفة بین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والولید فی ذلک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انفراد هذا المقتل بذکر أحداث ووقائع غیر مذکورة فی کتب وروایات المقاتل، بالإضافة إلی مخالفتها روایة أبی مخنف فی أحداث عاشوراء التی نقلها عنه الطبری،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انفراده بنقل خبر الحفیرة التی وقع فیها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مکتوفاً إلی ابن زیاد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لما قتل مسلمٌ وهانئ وانقطع خبرهما، قلق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أهله بالرحیل إلی المدینة، فخرجوا معه، فأتی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بکاءً شدیداً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غریب ولم ینقله أحد من المؤرِّخین، بالإضافة إلی أنّه یمکن التّوفیق بینه وبین ما علیه کتب التاریخ، حیث اتّفقت علی وصول خبر مقتل مسلم وهانیء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الثعلبیة علی أشهر الآراء</w:t>
      </w:r>
      <w:r>
        <w:rPr>
          <w:rStyle w:val="FootnoteAnchor"/>
          <w:rtl w:val="true"/>
        </w:rPr>
        <w:footnoteReference w:id="332"/>
      </w:r>
      <w:r>
        <w:rPr>
          <w:rFonts w:ascii="IRNazanin" w:hAnsi="IRNazanin" w:eastAsia="IRNazanin"/>
          <w:color w:val="111111"/>
          <w:sz w:val="28"/>
          <w:sz w:val="28"/>
          <w:szCs w:val="28"/>
          <w:rtl w:val="true"/>
          <w:lang w:bidi="fa-IR"/>
        </w:rPr>
        <w:t>، أو زرود کما عن السید ابن طاووس</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فی حدیث نزول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وینقل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سبعة أفراس ونزل منها وتوقُّفِها وعدم تقدّمها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بذکر إبراهیم بن الحسین فی عداد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یذکر الطّرماح فیمَن استُشهد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روایة الطبری عن أبی مخنف تنفی حضوره فی کربلاء</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بحفر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بئراً ولکنّه لم یجد فیها ماءً</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غیر ذلک من الإیرادات التی أوصلها بعض الباحثین إلی عشرین إیراداً</w:t>
      </w:r>
      <w:r>
        <w:rPr>
          <w:rStyle w:val="FootnoteAnchor"/>
          <w:rtl w:val="true"/>
        </w:rPr>
        <w:footnoteReference w:id="338"/>
      </w:r>
      <w:r>
        <w:rPr>
          <w:rFonts w:ascii="IRNazanin" w:hAnsi="IRNazanin" w:eastAsia="IRNazanin"/>
          <w:color w:val="111111"/>
          <w:sz w:val="28"/>
          <w:sz w:val="28"/>
          <w:szCs w:val="28"/>
          <w:rtl w:val="true"/>
          <w:lang w:bidi="fa-IR"/>
        </w:rPr>
        <w:t>، کانفراده بذکر عدد عساکر ابن سعد بثمانین ألفاً، وخطبة زهیر بن القین یوم نزول العساکر فی کربلاء، ویذکر أبیاتاً للحرّ الجعفی وینسبها للحر الریاحی، وکذلک ینسب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فی رثاء أصحابه، وإلی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فی نسبة الکتاب لأبی مخنف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صحّة نسبة أصل کتاب المقتل لأبی مخنف، مع الاعتراف بحدوث بعض التغییرات والإضافات فیه، غیر أنّها لا تُوجب رفض الکتاب والأخذ منه، وهو ما یظهر من بعض الباحثین،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نشکّ فی نسبة الکتاب، ونعتقد أنّه صحیح النسبة، وأنَّ الذی طرأ علیه لا یمس جوهر الأخبار والأشعار التی قد لا نجدها فی غیره من المؤلَّفات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ناقشوا فی أدلّة وشواهد الرأی الأوّل، بعدّة مناقشات،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مخالفة الطبری لا تفقد الأخبار أهمّیتها، ولا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تاریخ الطبری هو العمدة فی تصحیح الخبر التّاریخی، خصوصاً مع ما علیه من ملاحظات، کروایته عن سیف بن عمر، وتشویه الأخبار وتحریفها، وعدم روایته لکثیر من أخبار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الطّبری لم یزعم أنّه ینقل عن خطّ هشام الکلبی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التمام والکمال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الطبری لم یروِ عن أبی مخنف الرّوایات الواردة فی وقعة الطف کلّها، وأخبار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الأمثلة علی ذلک روایة محمد بن جریر بن رستم الطبری الإمامی، بسنده عن أبی مخنف،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یخرج إلی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 أما علمت إن منعتی من هناک، فإنَّ مصارع أصحابی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لک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سرّه لی رسول الله، وعلمٍ أُعطیته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الشواهد التی ساقها أصحاب هذا الرأی ممّا دعاهم للجزم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الطبری لم یستوفِ کلّ روایات أبی مخنف التی تتعلّق بأحوال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وتفاصیلها، وإنّما اقتبس ما أحبّ</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خلو المقتل من الأسانید، فقد تمَّ بفعل النّساخ، إضافةً إلی أنَّ التّسامح فی أسانید الأخبار بحذفها إذا کانت 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کأسانید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بذلک، کما فعل ذلک کثیر من أصحاب المقاتل، کالشیخ المفید فی الإرشاد، وصاحب اللهوف، وصاحب مثیر الأحزان، ومناقب آل أبی طالب</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روایته عن هشام أو عن الکلینی أو نحو ذلک ممّا حدا بالبعض إلی عدم قبول الکتاب والتشکیک فی نسبته لأبی مخنف، فذلک لحصول کثیر من التصحیف من قبل النسّاخ؛ فکلمة الکلینی تصحیفٌ لکلمة الکلبی، فبدلاً من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به هشام بن محمد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ورد فی أوّل الکتاب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المنذر هشام، عن محمد بن سائب الکلبی</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فی حین أنّ هشاماً یروی عن أبی مخنف ولیس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هذه الهفوة نتیجة انتقال النظر بین السّطور، مضافاً لوقوع التصحیف فأبدلت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تصحیح الخطأ الواقع بفعل الانتقال بالنظر بین السطور ورفع التّصحیف حینها یستقیم السّند علی الشکل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المنذر هشام بن محمد بن سائب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مخنف، قال</w:t>
      </w:r>
      <w:r>
        <w:rPr>
          <w:rFonts w:eastAsia="IRNazanin" w:cs="IRNazanin"/>
          <w:color w:val="111111"/>
          <w:sz w:val="28"/>
          <w:szCs w:val="28"/>
          <w:rtl w:val="true"/>
          <w:lang w:bidi="fa-IR"/>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الهفوات التی حدثت نتیجة التصحیف وأخطاء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الأخطاء لا تقوم حجّة علی نفی نسبة الکتاب إلی أبی مخنف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أصحاب هذا الرّأی قبول نسبة الکتاب إلی أبی مخنف مع وجود بعض الأخطاء والتّحریفات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أنْ یُلاحظ علی الشّواهد والأدلّة المتقدّمة بما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الادّعاء بأنَّ مخالفة روایات المقتل المتداول لروایات الطبری تشکّل قرینة قویة علی ضعف نسبة الکتاب إلی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الادّعاء أنّها کافیة لوحدها من دون ضمّها إلی بقیّة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تاریخ الطبری من الکتب المتینة لما یتمیّز به المؤلّف من مکانةٍ علمیة مرموقة عند العلماء کافّة، وما یتمتع به الکتاب من ضبطٍ واتقان، کما شهد بذلک کثیر من العلماء، قال عنه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أحد أئمّة العلماء، یُحکم بقوله، ویُرجع إلی رأیه لمعرفته وفضله، وکان قد جمع من العلوم ما لم یشارکه فیه أحد من أهل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بأیّام الناس وأخبارهم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أفراد الدهر علماً،وذکاءً، وکثرة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 تری العیون مثله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أوثق من نقل التاریخ</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تسجّل علیه من ملحوظات، کروایته عن سیف بن عمر وغیره فإنَّ جمیع الکتب لا تخلو من وجود هفوات وإشکالات، خصوصاً أنَّ الطبری قد خرج من عهدة الروایات التی ذکرها، فقال فی مقدمة کتابه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یکن فی کتابی هذا من خبر ذکرناه عن بعض الماضین ممّا یستنکره قارئه، أو یستشنعه سامعه، من أجل أنّه لم یعرف له وجهاً فی الصحّة، ولا معنی فی الحقیقة، فلیعلم أنّه لم یؤتَ فی ذلک من قبلنا، وإنّما أُتی من قبل بعض ناقلیه إلینا، وإنّا إنما أدّینا ذلک علی نحو ما أُدیَ إلینا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أخبار عن أبی مخنف تتّصل بواقعة الطف لم یذکرها الطبری من المحتمل أنَّ ذلک إمّا لعدم ورودها فی کتاب المقتل الذی کان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سیتّضح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الطبری أراد حذفها لأسباب، منها ما عاشه من أجواء التقیة والخوف من قبل المتعصّبین والجهلة، سیّما مدة إقامته فی بغداد؛ إذ ناصبه الحنابلة العداء وقد حصل بینهم وبینه خلافات حادّة</w:t>
      </w:r>
      <w:r>
        <w:rPr>
          <w:rStyle w:val="FootnoteAnchor"/>
          <w:rtl w:val="true"/>
        </w:rPr>
        <w:footnoteReference w:id="350"/>
      </w:r>
      <w:r>
        <w:rPr>
          <w:rFonts w:ascii="IRNazanin" w:hAnsi="IRNazanin" w:eastAsia="IRNazanin"/>
          <w:color w:val="111111"/>
          <w:sz w:val="28"/>
          <w:sz w:val="28"/>
          <w:szCs w:val="28"/>
          <w:rtl w:val="true"/>
          <w:lang w:bidi="fa-IR"/>
        </w:rPr>
        <w:t>، حتّی وصلت إلی اتهامه بالتشیّع، مما أدّی به إلی الاعتزال، ومن الأمثلة علی ذلک ما ذکره عن هشام، 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یزید بن ظبیان الهمدانی أنّ محمد بن أبی بکر کتب إلی معاویة بن أبی سفیان لما ولی، فذکر مکاتبات جرت بینهما کرهت ذکرها؛ لما فیه ممّا لا یحتمل سماعها العامة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ادّعاء تشویه الطبری للأخبار وتحریفه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یفهم فی سیاق الظروف والأجواء التی عاشها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یتّصل بالقول بأنَّ الطبری لم یزعم أنّه ینقل عن خط هشام الکلبی کتاب المقتل، فقد یفهم منه أنَّ الطبری لم یکن لدیه کتاب أبی مخنف، وإنّما یروی ذلک روایة، وأنّه لم یذکر الواسطة بینه وبین هشام، فیعد هذا تدلیساً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ذکر الواسطة والاکتفاء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 عن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لا یعدّ قرینة علی عدم وجود کتابٍ لدی الطبری،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ینقل من الکتاب مباشرة ویعززه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الرّوایة موجودةً فی الکتاب الذی عند الطبری، ومع ذلک یسأل عنها تلامذة هشام، فیعزّز ما عنده بما حُدِّث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الروایة غیر موجودة فی الکتاب، فیباشر تلامذة هشام بالسؤال فیعزّز الکتاب بمرویاتٍ 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الفرضین فإنَّ ذلک لیس فیه ما یدلُّ علی عدم وجود کتابٍ عند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عبارة حُدّثتُ عن هشام، وذکر هشام، إمّا بالأخذ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واسطةٍ لم یذکرها الطبری بینه وبین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تعزیزاً لما هو موجود عنده فی الکتاب، وإمّا بإسناد الکتاب وتعزیزه بمرویاتٍ لم تکن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أبو مخنف، فإنّها إشارة إلی النقل من کتابه بشکلٍ مباشر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وجود کتب أبی مخنف عند الطبری بواسطة هشام أنّه صرح بنقله عن کتب هشام عند ذکره لوقعة الحرة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وجدته فی کتابی</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الأمر الذی یشکّل قرینةً علی وجود کتب أبی مخنف عند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وجود الکتاب عند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نجده من التطابق الکبیر جدّا بین روایاته وروایات الشیخ المفید فی الإرشاد، الذی ینقل عن هشام الکلبی، ممّا یعزز أنَّ الکتاب ذاته کان عند الشیخ المفید أیضاً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یتعلّق بالإجابة عن ملحوظة حذف الأسناد فی المقتل المتداول ودعوی أنَّ ذلک من عمل النسّاخ وقیاسه علی ما فعله أصحاب المقاتل، کالشیخ المفید فی الإرشاد، وصاحب اللهوف، ومثیر الأحزان، ومناقب آل أبی طالب، فهذا قیاس مع الفارق، وهو نوع من المغالطة؛ إذ لا یصحّ قیاس عمل النسّاخ الذی لا یتعدّی النسخ بالمطابقة، علی عمل المؤلّف الذی یحقّ له التصرّف وحذف الأسانید لغرضٍ یراه، کالاختصار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جواب المثبتین لنسبة الکتاب لأبی مخنف وقبول ما فیه هو حصول التصحیف أو التّلاعب من قبل النسّاخ عن قصدٍ أو غیر قصد؛ کما فی روایة أبی مخنف عن هشام الذی هو تلمیذه، وعن الکلینی المتأخِّر عنه، أو نسبة بعض الأشعار التی نجزم بخطئها، أو غیر ذلک ممّا لا یمکن قبوله علی ظاهره، فإنّه إنْ کان مقبولاً إلی حدٍ مّا فی مثل حصول التّصحیف فی کلمة الکلبی التی صُحّفت إلی الکلینی، ولکن لا یمکن قبوله فی سائر الموارد الأُخری، کحصول الخطأ فی نسبة بعض المقطوعات الشعریة، أو الخطأ فی الأسانید، أو تداخل الأخبار وغیرها؛ فإنَّ البناء علی ذلک لا یبقی حجر علی حجر فی مسألة البحث عن المخطوطات، وإثبات نسبة الکتب إلی أصحابها وعدمها، فلکلِّ واحدٍ أنْ یدّعی نسبة کتاب ما، ویجیب عمّا یُشکَل علیه بحصول التّصحیف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التّصحیف له ضوابط وأُسس معیّنة علی أساسها یمکن قبوله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 عدم نفی الکتاب عن أبی مخنف</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مقال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حسین حمود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أنّه حصل فیه تحویر وتبدیل وحذف بما لا یمکن معه الأخذ عنه دون 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الرّأی الثّالث، فإنّه وإنْ کان یری قبول الکتاب فی الجملة، ولیس بشکل کامل، وأنَّ ما حدث فیه من التّصحیف قد أضرّ بالکتاب؛ فلا یمکن الرّکون إلیه وحده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وظاهر عبارة آغا بزرک</w:t>
      </w:r>
    </w:p>
    <w:p>
      <w:pPr>
        <w:pStyle w:val="BookText"/>
        <w:rPr/>
      </w:pPr>
      <w:r>
        <w:rPr>
          <w:rFonts w:ascii="IRNazanin" w:hAnsi="IRNazanin" w:eastAsia="IRNazanin"/>
          <w:color w:val="111111"/>
          <w:sz w:val="28"/>
          <w:sz w:val="28"/>
          <w:szCs w:val="28"/>
          <w:rtl w:val="true"/>
          <w:lang w:bidi="fa-IR"/>
        </w:rPr>
        <w:t>الطهرانی ذلک؛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ونسبته</w:t>
      </w:r>
    </w:p>
    <w:p>
      <w:pPr>
        <w:pStyle w:val="BookText"/>
        <w:rPr/>
      </w:pPr>
      <w:r>
        <w:rPr>
          <w:rFonts w:ascii="IRNazanin" w:hAnsi="IRNazanin" w:eastAsia="IRNazanin"/>
          <w:color w:val="111111"/>
          <w:sz w:val="28"/>
          <w:sz w:val="28"/>
          <w:szCs w:val="28"/>
          <w:rtl w:val="true"/>
          <w:lang w:bidi="fa-IR"/>
        </w:rPr>
        <w:t>إلیه مشهورة، ولکن الظّاهر أنَّ فیه بعض الموضوعات</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الشّاهد علی ذلک التشابه الکبیر بینه وبین ما فی الطّبری، خصوصاً ما یتعلّق بالحوادث التّاریخیة، مضافاً إلی أنَّ ما ذُکر من شواهد التّشکیک فی ذلک لا تدلّ مع ملاحظة ذلک التشابه علی أکثر من حصول الوضع والدس أو التصحیف، ولا تنهض دلیلاً علی النفی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ویذهب أصحاب هذا الرّأی</w:t>
      </w:r>
      <w:r>
        <w:rPr>
          <w:rStyle w:val="FootnoteAnchor"/>
          <w:rtl w:val="true"/>
        </w:rPr>
        <w:footnoteReference w:id="357"/>
      </w:r>
      <w:r>
        <w:rPr>
          <w:rFonts w:ascii="IRNazanin" w:hAnsi="IRNazanin" w:eastAsia="IRNazanin"/>
          <w:color w:val="111111"/>
          <w:sz w:val="28"/>
          <w:sz w:val="28"/>
          <w:szCs w:val="28"/>
          <w:rtl w:val="true"/>
          <w:lang w:bidi="fa-IR"/>
        </w:rPr>
        <w:t>إلی أنَّ المقارنة بین مقتل الحسین لأبی مخنف، وما رواه هو نفسه فی تاریخ الطبری یظهر منه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کتاب المقتل من الأسانید، والتی ظهرت فی 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العدید من الرّسائل وتحویر بعضها، مع أنَّ الظاهر أنَّ الرسائل ترد فی الطبری بشکلٍ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الرّسائل فی المقتل أقرب ما تکون إلی لغة العصر الحاضر، علی العکس من ذلک فی تاریخ الطبری فهی فی أُسلوبها قدیمة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انفراده ببعض الرّوایات التی لم ترد فی الطبری فلعلّ الطبری حذفها لعدم انسجامها فی اعتقاده أو لعدم سماح الظروف بذلک، کما تقدّم التنبیه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فمع هذه الملحوظات علی الکتاب والهفوات التی فیه لا یمکن الاعتماد علیه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ینبغی العمل علی تحقیق الکتاب، والمقارنة بین نسخه، وبینها وبین الکتب التّاریخیة الأُُخری، ومن ثمّ الخروج بنتائج یرکن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المقتل بروایة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 المحقّقین أنّ أقدم نصٍّ نقل مرویات مقتل أبی مخنف هو کتاب تاریخ الأُمم والملوک للطبری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بذلک بعضٌ، فقال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نصّ معروف لدینا ممَّن نقل أحادیث هشام الکلبی فی کتابه عن أبی مِخْنَف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لمْ یُفرِد لها تألیفاً خاصّاً، وإنّما ذکر الوقعة فی أثناء تاریخه لحوادث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جملة المقاتل التی استندوا إلیها ونقلوا عنها مقتل أبی مخنف المشهور بین الخواصّ والعوام، ونقل مهرة الفنّ عنه فی زبرهم القدیمة، کمحمد بن جریر الطبری فی کتابه تاریخ الأُمم والملوک</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والملحوظ أنَّ مرویات مقتل أبی مخنف فی الطبری تغطّی أکثر التفاصیل عن الواقعة، إلّا أنّها متناثرة علی حوادث المعرکة وما قبلها وما بعدها، وغیر مراعی فیها التسلسل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أُفرِد لها من قبل المحقّقین مصنّفٌ خاصٌّ تحت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الیوسفی الغروی،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حسن الغفاری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ویتکوّن مقتل أبی مخنف المستخرَج من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حقّقه الیوسفی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مسنداً، رواها أبو مخنف بالمباشرة أو بالواسطة عن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وقد وضع الیوسفی الغروی ستّ قوائم تفصیلیّة بأسماء الرواة الوسائط بین أبی مخنف </w:t>
      </w:r>
    </w:p>
    <w:p>
      <w:pPr>
        <w:pStyle w:val="BookText"/>
        <w:rPr/>
      </w:pPr>
      <w:r>
        <w:rPr>
          <w:rFonts w:ascii="IRNazanin" w:hAnsi="IRNazanin" w:eastAsia="IRNazanin"/>
          <w:color w:val="111111"/>
          <w:sz w:val="28"/>
          <w:sz w:val="28"/>
          <w:szCs w:val="28"/>
          <w:rtl w:val="true"/>
          <w:lang w:bidi="fa-IR"/>
        </w:rPr>
        <w:t>والأحداث، فکانت القوائم هی فی حدّ ذاتها فهرستاً لأحادیث الکتاب أیضاً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هناک مَن اعتمد علی الطبری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الکامل فی التاریخ، والذهبی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الإسلام، وابن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البدایة والنهایة، وابن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آل أبی طالب، غیر أنّه یُلحظ أنَّ فی نقلهم اختلافاً یسیراً فی بعض الموارد؛ ولعلّ ذلک لأنَّ لکلّ واحد من هؤلاء طریقه الخاصّ إلی تاریخ الطبری، فاختلفت النّسخ تبعاً لذلک، وإن کانت الاختلافات نادرة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الطبری إلی 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الطبری لم یتّصل بهشام بن محمد، فقد توفّی الأخیر قبل ولادة الطبری بحوالی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ومع ذلک فإنَّ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أحداث سنتی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یُسنِد مرویاته إلی هشام من دون أن یذکر الواسطة بینهما، ممّا یعنی انقطاع السند بین الطبری وهشام؛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 روایات الطبری عن أبی مخنف مرسلة؛ ومن ثمَّ ضعیفة حسب المقاییس الحدیثیة؛ لجهل الواسطة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الطبری یمتلک نسخة من مقتل أبی مخنف، ینقل منها، معزِّزاً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من معنی التعزیز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بمرویات وردت إلیه عن طریق هشام، دون تعیین الواسطة بینه وبین هشام</w:t>
      </w:r>
      <w:r>
        <w:rPr>
          <w:rStyle w:val="FootnoteAnchor"/>
          <w:rtl w:val="true"/>
        </w:rPr>
        <w:footnoteReference w:id="361"/>
      </w:r>
      <w:r>
        <w:rPr>
          <w:rFonts w:ascii="IRNazanin" w:hAnsi="IRNazanin" w:eastAsia="IRNazanin"/>
          <w:color w:val="111111"/>
          <w:sz w:val="28"/>
          <w:sz w:val="28"/>
          <w:szCs w:val="28"/>
          <w:rtl w:val="true"/>
          <w:lang w:bidi="fa-IR"/>
        </w:rPr>
        <w:t>، فهو یعتمد علی مقتل أبی مخنف المدوّن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عدم وجود الکتاب لدیه، أو عدم وجود الرّوایات فیه، وکان قد رواها للتعزیز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عدم ذکر السند لا یقدح فی روایات الطبری؛ لأنَّ طریقه إلی هشام معروف فهو یروی عن الحارث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سعد صاحب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هشام بن محمد، عن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للطبری طریق إلی هشام غیره</w:t>
      </w:r>
      <w:r>
        <w:rPr>
          <w:rStyle w:val="FootnoteAnchor"/>
          <w:rtl w:val="true"/>
        </w:rPr>
        <w:footnoteReference w:id="362"/>
      </w:r>
      <w:r>
        <w:rPr>
          <w:rFonts w:ascii="IRNazanin" w:hAnsi="IRNazanin" w:eastAsia="IRNazanin"/>
          <w:color w:val="111111"/>
          <w:sz w:val="28"/>
          <w:sz w:val="28"/>
          <w:szCs w:val="28"/>
          <w:rtl w:val="true"/>
          <w:lang w:bidi="fa-IR"/>
        </w:rPr>
        <w:t>، وقد صرَّح الطبری بذلک فی ستّة موارد فی الجزء الأوّل من تاریخه</w:t>
      </w:r>
      <w:r>
        <w:rPr>
          <w:rStyle w:val="FootnoteAnchor"/>
          <w:rtl w:val="true"/>
        </w:rPr>
        <w:footnoteReference w:id="363"/>
      </w:r>
      <w:r>
        <w:rPr>
          <w:rFonts w:ascii="IRNazanin" w:hAnsi="IRNazanin" w:eastAsia="IRNazanin"/>
          <w:color w:val="111111"/>
          <w:sz w:val="28"/>
          <w:sz w:val="28"/>
          <w:szCs w:val="28"/>
          <w:rtl w:val="true"/>
          <w:lang w:bidi="fa-IR"/>
        </w:rPr>
        <w:t>، وبعد أن صار طریقه معروفاً إلی هشام بن محمد، بدأ یُسند إلی هشام بن محمد بقوله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 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المبنی للمجهول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أن نذکر أنَّ هناک ممَّن نقل عن أبی مخنف عن غیر طریق الطبری، کالبلاذری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أنساب الأشراف، وابن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الفتوح، والمسعودی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مروج الذهب، وأبی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مقاتل الطالبیین،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الکتب وأمثالها توجد مرویات عن أبی مخنف یمکن إضافتها إلی المقتل المستخرَج من الطبری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دار المفید،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مصنفی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علی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شبیری الزنجانی، مؤسسة النشر الإسلامی التابعة لجماعة المدرسین، قم،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المقتل الحسینی، عامر الجابری، مؤسسة وراث الأنبیاء للدراسات التخصصیة فی النهضة الحسینیة،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إسماعیل بن کثیر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p>
    <w:p>
      <w:pPr>
        <w:pStyle w:val="BookText"/>
        <w:rPr/>
      </w:pPr>
      <w:r>
        <w:rPr>
          <w:rFonts w:ascii="IRNazanin" w:hAnsi="IRNazanin" w:eastAsia="IRNazanin"/>
          <w:color w:val="111111"/>
          <w:sz w:val="28"/>
          <w:sz w:val="28"/>
          <w:szCs w:val="28"/>
          <w:rtl w:val="true"/>
          <w:lang w:bidi="fa-IR"/>
        </w:rPr>
        <w:t>دار إحیاء التراث،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 آغا برزک الطهرانی، دار الأضواء، 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محمد بن إسحاق أبو الفرج الندیم،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مؤسسة نشر الفقاهة،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الرجالیة، محمد مهدی بحر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حسین بحر العلوم، مکتبة الصادق،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 عباس القمی،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مکتبة الصدر،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فی قتلی الطفوف،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الهدی،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البلاغ، السّنة الثانیة، محرم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البلاغ، السّنة السّابعة، جمادی الثانیة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الکتب، علی بن موسی التبریزی،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الحائری، منشورات مکتبة آیة الله العظمی المرعشی النجفی،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علی النمازی الشاهرودی،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 فی فهرست کتب الشیعة وأسماء المصنفین منهم قدیماً وحدیثاً، محمد بن علی بن شهر آشوب، مراجعة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آل بحر العلوم، دار الأضواء،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 یاقوت الحموی، دار الفکر،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النجفیة، محمد هادی الأمینی، مطبعة الآداب،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للمؤرخ الشهیر لوط بن یحیی،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الغفاری، مطبعة العلمیة،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الموفّق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السّماوی، انتشارات أنوار الهدی، قم،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کربلاء،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لبیب بیضون، طلیعة النور،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مؤلفو الشیعة فی صدر الإسلام، عبد الحسین شرف الدین، تقدیم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الحسینی، مکتبة الأندلس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عباس القمّی، دار المرتضی،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 لأبی مخنف،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الیوسفی الغروی، 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التعارف،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الهاشمی </w:t>
      </w:r>
      <w:bookmarkStart w:id="302" w:name="pg5104_36430"/>
    </w:p>
    <w:p>
      <w:pPr>
        <w:pStyle w:val="Heading2"/>
        <w:numPr>
          <w:ilvl w:val="1"/>
          <w:numId w:val="1"/>
        </w:numPr>
        <w:rPr/>
      </w:pPr>
      <w:bookmarkStart w:id="303" w:name="__RefHeading___Toc1323801_774463916"/>
      <w:bookmarkStart w:id="304" w:name="_Toc128"/>
      <w:bookmarkEnd w:id="302"/>
      <w:bookmarkEnd w:id="303"/>
      <w:r>
        <w:rPr>
          <w:rtl w:val="true"/>
        </w:rPr>
        <w:t>دعوة الکتاب</w:t>
      </w:r>
      <w:bookmarkEnd w:id="304"/>
    </w:p>
    <w:p>
      <w:pPr>
        <w:pStyle w:val="BookText"/>
        <w:rPr/>
      </w:pPr>
      <w:r>
        <w:rPr>
          <w:rFonts w:ascii="IRNazanin" w:hAnsi="IRNazanin" w:eastAsia="IRNazanin"/>
          <w:color w:val="111111"/>
          <w:sz w:val="28"/>
          <w:sz w:val="28"/>
          <w:szCs w:val="28"/>
          <w:rtl w:val="true"/>
          <w:lang w:bidi="fa-IR"/>
        </w:rPr>
        <w:t>مؤسّسه وارث الأنبیاء للدراسات التخصصیة فی النهضة الحسینیة</w:t>
      </w:r>
    </w:p>
    <w:p>
      <w:pPr>
        <w:pStyle w:val="BookText"/>
        <w:rPr/>
      </w:pPr>
      <w:r>
        <w:rPr>
          <w:rFonts w:ascii="IRNazanin" w:hAnsi="IRNazanin" w:eastAsia="IRNazanin"/>
          <w:color w:val="111111"/>
          <w:sz w:val="28"/>
          <w:sz w:val="28"/>
          <w:szCs w:val="28"/>
          <w:rtl w:val="true"/>
          <w:lang w:bidi="fa-IR"/>
        </w:rPr>
        <w:t>السادة العلماء والفضلاء والباحثین والکتاب الکرام</w:t>
      </w:r>
    </w:p>
    <w:p>
      <w:pPr>
        <w:pStyle w:val="BookText"/>
        <w:rPr/>
      </w:pPr>
      <w:r>
        <w:rPr>
          <w:rFonts w:ascii="IRNazanin" w:hAnsi="IRNazanin" w:eastAsia="IRNazanin"/>
          <w:color w:val="111111"/>
          <w:sz w:val="28"/>
          <w:sz w:val="28"/>
          <w:szCs w:val="28"/>
          <w:rtl w:val="true"/>
          <w:lang w:bidi="fa-IR"/>
        </w:rPr>
        <w:t>الی المساهمة فی رفد دائرة المعارف الحسینیة ببحوثهم و کتاباتهم فی مختلف المداجل والموضوعات خدمة للتراث الحسینیة والنهضة الحسینیة المبارکة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دائرة المعارف الحسینیة </w:t>
      </w:r>
      <w:bookmarkStart w:id="305" w:name="pg5104_36432"/>
    </w:p>
    <w:p>
      <w:pPr>
        <w:pStyle w:val="Heading2"/>
        <w:numPr>
          <w:ilvl w:val="1"/>
          <w:numId w:val="1"/>
        </w:numPr>
        <w:rPr/>
      </w:pPr>
      <w:bookmarkStart w:id="306" w:name="__RefHeading___Toc1323803_774463916"/>
      <w:bookmarkStart w:id="307" w:name="_Toc129"/>
      <w:bookmarkEnd w:id="305"/>
      <w:bookmarkEnd w:id="306"/>
      <w:r>
        <w:rPr>
          <w:rtl w:val="true"/>
        </w:rPr>
        <w:t>المحتویات</w:t>
      </w:r>
      <w:bookmarkEnd w:id="307"/>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المفاصل الرئیسة ومراحل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نماذج من کل حرف لمداخل دائرة المعارف الحسینیة الألفبائیة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نماذج من مقالات دائرة المعارف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أنس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عمره وموطنه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صحبته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وَروایته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التحاقه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شهادته ورثاؤه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الثّعلبیة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الموقع الجغرافی للثعلبیة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تاریخ نشوء الثعلبیة ومنشأ تسمیتها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شخصیات الثعلبیة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حوادث الثعلبیة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نزول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بالثعلبیة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وثاقة حمید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روایات حمید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مصیر حمید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زهیر بن القین قبل واقعة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زهیر بن القین والهوی العثمانی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تحلیل الاتهام بالعثمانیة وتحقیقه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هل خرج زهیر بن القین یتلقی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سرّ التحوّل الفکری والعقدی لزهیر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مکانة زهیر وشجاعته ومواقفه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شجاعته ومواقفه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وسام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لُبس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اللون الأسود ودلالاته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السّواد لدی الأُمم والشّعوب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لبس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لبس السّواد فی عزاء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الاتشاح بالسواد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وجوده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ومکانته بین المقاتل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المقتل المتداول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المقتل بروایة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الطبری إلی 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دعوة للکتابة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حدیث الإخبار بمقتل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معرفة الصحابة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المتداولة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العبری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عنها بالقریة یاقوت الحموی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النفیسة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الأخبار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زبیدة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النفیسة</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العراق وبابل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الأقالیم السّبعة التی ذکرها العلماء تقسیماً قدیماً لأجزاء الأرض، وهذه الأقالیم کما یلی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إلّا أنَّ المعروف أنّه لیس فی هذه المنطقة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النفیسة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المسافة مستفادة من طرق استکشاف المسافة الحدیثة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أطلس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الجغرافی لحمد الجاسر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 کما فی کتاب المناسک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اثنین وثلاثین، کما فی کتاب الأعلاق النفیسة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التقاسیم فی معرفة الأقالیم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التقاسیم فی معرفة الأقالیم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التقاسیم فی معرفة الأقالیم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الأخبار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أطلس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الزاء والفاء وفتح اللّام، وعاءٌ تکون أداة الراعی ومتاعه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أطلس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شبهة یذکرها البعض، مفادها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دفع الحسین إلی التوجّه إلی الکوفة رغم ظهور علائم خذلان الأُمّة له، هو إصرار آل عقیل علی خیار الحرب لیثأروا لدم مسلم بن عقیل، ولولا هذا الموقف لعدل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للجواب عن هذا اُنظر 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عقیل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 النهضة الحسینیة، فوزی آل سیف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تجارب الأمم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فی مصائب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المجلس الخامس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 النهضة الحسینیة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الیوم السابع علی ما نُقل وهو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الإنباه علی قبائل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المؤرِّخون فی سلمان هذا الذی نقل عنه زهیر بن القین، فقد ذکر الطبری فی تاریخه أنّه سلمان ابن ربیعة الباهلی قائد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الرکب الحسینی من المدینة إلی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الطریق من مکة إلی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 اسمها دیلم بنت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ویبدو أنّها کانت امرأة صالحة موالیة لأهل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الرکب الحسینی من المدینة إلی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الطریق من مکة إلی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تاریخیة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المعارضة فی عهد یزید بن معاویة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الرکب الحسینی من المدینة إلی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الطریق من مکة إلی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عبد الله بن سلیمان والمنذر بن المشمعل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ضرب من العدو فوق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أرقلت الناقة ترقل إرقالاً، فهی مرقل ومرقال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البلاذری فی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زهیراً انصرف من مکَّة متعجّلاً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الرکب الحسینی من المدینة إلی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الطریق من مکة إلی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الخوارزمی عن أبی أعثم فی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الرکب الحسینی من المدینة إلی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الطریق من مکة إلی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السید علی جمال أشرف، وکان کتابه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زهیر بن القین علوی خرج یتلقّی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بن القین علوی خرج یتلقّی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محقّق کتاب 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الإعجاز النّفسی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//www.kaheel7.com/Rawaee-nafs.pdf</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القرآن فی دنیا الألوان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وإعجازه العلمی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إسماعیل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 ولو فی غیر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نغسه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ولو فی غیر الصلاة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للبستانی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إلی معرفة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والمحاورات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نفسهما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 ونصوص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للحدیث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عنوان الصلاة هنا اتحد مع عنوان مرجوح مطلقاً، وهو لبس السواد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الإلهیة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العباد إلی استحباب لبس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 أبواب مقدمات النکاح وآدابه،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الإلهیة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نزع الأسواد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أدرجه المجلسی فی بحاره نقلاً عن کتاب زوائد الفوائد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أحکام الملابس ولو فی غیر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 داری سنّتی شیعیان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مقدمة التحقیق للشیخ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کربلاء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السّنة السّابعة، جمادی الثانیة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کربلاء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الکتب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مؤلِّفو الشیعة فی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 المتداولة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 المتداولة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 المتداولة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السنة الثامنة،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للباحثین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جبّار سلّوم وعبد الکاظم مجلّی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السّنة السّابعة، جمادی الثانیة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وقفة عند کتاب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جبار سلّوم وعبد الکاظم مجلّی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 المتداولة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السّنة السّابعة، جمادی الثانیة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وقفة عند کتاب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بقلم هادی جبار سلّوم وعبد الکاظم مجلّی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التعزیز یُحتمل فی تفسیره أمران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تطابق کبیر بین مقتل أبی مخنف بروایة الطبری وبین ما نقله الشیخ المفید فی الإرشاد، ولا یوجد اختلاف إلّا فی بعض الکلمات،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الإمام فی الثعلبیة، ووصول خبر مقتل مسلم وهانئ، وخبر الأسدیین، ولقائهم بالأسدی القادم من الکوفة فی 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السّنة الثانیة، محرم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السّنة الثانیة، محرم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حسین 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المقتل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33805</Words>
  <Characters>161970</Characters>
  <CharactersWithSpaces>194269</CharactersWithSpaces>
  <Paragraphs>2117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2026-08-18T23:15:50Z</dcterms:created>
  <dc:creator>ghaemiyeh.com</dc:creator>
  <dc:description/>
  <dc:language>en-US</dc:language>
  <cp:lastModifiedBy/>
  <dcterms:modified xsi:type="dcterms:W3CDTF">2026-08-19T02:45:55Z</dcterms:modified>
  <cp:revision>1</cp:revision>
  <dc:subject/>
  <dc:title>مشروع دائرة المعارف الحسینیة الالفبائیة</dc:title>
</cp:coreProperties>
</file>

<file path=docProps/custom.xml><?xml version="1.0" encoding="utf-8"?>
<Properties xmlns="http://schemas.openxmlformats.org/officeDocument/2006/custom-properties" xmlns:vt="http://schemas.openxmlformats.org/officeDocument/2006/docPropsVTypes"/>
</file>