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الشیخ نصیرالدین الطوسی و سقوط بغداد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8323_203518539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8325_203518539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8327_2035185390">
            <w:r>
              <w:rPr>
                <w:webHidden/>
                <w:rStyle w:val="IndexLink"/>
                <w:rtl w:val="true"/>
              </w:rPr>
              <w:t>دلیل الکتاب</w:t>
            </w:r>
            <w:r>
              <w:rPr>
                <w:rStyle w:val="IndexLink"/>
                <w:rtl w:val="true"/>
              </w:rPr>
              <w:t>:</w:t>
              <w:tab/>
            </w:r>
            <w:r>
              <w:rPr>
                <w:rStyle w:val="IndexLink"/>
              </w:rPr>
              <w:t>5</w:t>
            </w:r>
          </w:hyperlink>
        </w:p>
        <w:p>
          <w:pPr>
            <w:pStyle w:val="Contents2"/>
            <w:tabs>
              <w:tab w:val="clear" w:pos="8743"/>
              <w:tab w:val="right" w:pos="9026" w:leader="dot"/>
            </w:tabs>
            <w:rPr/>
          </w:pPr>
          <w:hyperlink w:anchor="__RefHeading___Toc538329_2035185390">
            <w:r>
              <w:rPr>
                <w:webHidden/>
                <w:rStyle w:val="IndexLink"/>
                <w:rtl w:val="true"/>
              </w:rPr>
              <w:t>مقدّمة المرکز</w:t>
            </w:r>
            <w:r>
              <w:rPr>
                <w:rStyle w:val="IndexLink"/>
                <w:rtl w:val="true"/>
              </w:rPr>
              <w:t>:</w:t>
              <w:tab/>
            </w:r>
            <w:r>
              <w:rPr>
                <w:rStyle w:val="IndexLink"/>
              </w:rPr>
              <w:t>6</w:t>
            </w:r>
          </w:hyperlink>
        </w:p>
        <w:p>
          <w:pPr>
            <w:pStyle w:val="Contents2"/>
            <w:tabs>
              <w:tab w:val="clear" w:pos="8743"/>
              <w:tab w:val="right" w:pos="9026" w:leader="dot"/>
            </w:tabs>
            <w:rPr/>
          </w:pPr>
          <w:hyperlink w:anchor="__RefHeading___Toc538331_2035185390">
            <w:r>
              <w:rPr>
                <w:webHidden/>
                <w:rStyle w:val="IndexLink"/>
                <w:rtl w:val="true"/>
              </w:rPr>
              <w:t>تمهید</w:t>
            </w:r>
            <w:r>
              <w:rPr>
                <w:rStyle w:val="IndexLink"/>
                <w:rtl w:val="true"/>
              </w:rPr>
              <w:t>:</w:t>
              <w:tab/>
            </w:r>
            <w:r>
              <w:rPr>
                <w:rStyle w:val="IndexLink"/>
              </w:rPr>
              <w:t>8</w:t>
            </w:r>
          </w:hyperlink>
        </w:p>
        <w:p>
          <w:pPr>
            <w:pStyle w:val="Contents2"/>
            <w:tabs>
              <w:tab w:val="clear" w:pos="8743"/>
              <w:tab w:val="right" w:pos="9026" w:leader="dot"/>
            </w:tabs>
            <w:rPr/>
          </w:pPr>
          <w:hyperlink w:anchor="__RefHeading___Toc538333_2035185390">
            <w:r>
              <w:rPr>
                <w:webHidden/>
                <w:rStyle w:val="IndexLink"/>
                <w:rtl w:val="true"/>
              </w:rPr>
              <w:t>افتراء ابن تیمیة علی</w:t>
            </w:r>
            <w:r>
              <w:rPr>
                <w:rStyle w:val="IndexLink"/>
                <w:rtl w:val="true"/>
              </w:rPr>
              <w:tab/>
            </w:r>
            <w:r>
              <w:rPr>
                <w:rStyle w:val="IndexLink"/>
              </w:rPr>
              <w:t>9</w:t>
            </w:r>
          </w:hyperlink>
        </w:p>
        <w:p>
          <w:pPr>
            <w:pStyle w:val="Contents3"/>
            <w:tabs>
              <w:tab w:val="clear" w:pos="8459"/>
              <w:tab w:val="right" w:pos="9026" w:leader="dot"/>
            </w:tabs>
            <w:rPr/>
          </w:pPr>
          <w:hyperlink w:anchor="__RefHeading___Toc538335_203518539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538337_2035185390">
            <w:r>
              <w:rPr>
                <w:webHidden/>
                <w:rStyle w:val="IndexLink"/>
                <w:rtl w:val="true"/>
              </w:rPr>
              <w:t>نص ما قاله ابن تیمیّة</w:t>
            </w:r>
            <w:r>
              <w:rPr>
                <w:rStyle w:val="IndexLink"/>
                <w:rtl w:val="true"/>
              </w:rPr>
              <w:t>:</w:t>
              <w:tab/>
            </w:r>
            <w:r>
              <w:rPr>
                <w:rStyle w:val="IndexLink"/>
              </w:rPr>
              <w:t>11</w:t>
            </w:r>
          </w:hyperlink>
        </w:p>
        <w:p>
          <w:pPr>
            <w:pStyle w:val="Contents2"/>
            <w:tabs>
              <w:tab w:val="clear" w:pos="8743"/>
              <w:tab w:val="right" w:pos="9026" w:leader="dot"/>
            </w:tabs>
            <w:rPr/>
          </w:pPr>
          <w:hyperlink w:anchor="__RefHeading___Toc538339_2035185390">
            <w:r>
              <w:rPr>
                <w:webHidden/>
                <w:rStyle w:val="IndexLink"/>
                <w:rtl w:val="true"/>
              </w:rPr>
              <w:t>الرجوع فی قضیة سقوط بغداد</w:t>
            </w:r>
            <w:r>
              <w:rPr>
                <w:rStyle w:val="IndexLink"/>
                <w:rtl w:val="true"/>
              </w:rPr>
              <w:tab/>
            </w:r>
            <w:r>
              <w:rPr>
                <w:rStyle w:val="IndexLink"/>
              </w:rPr>
              <w:t>15</w:t>
            </w:r>
          </w:hyperlink>
        </w:p>
        <w:p>
          <w:pPr>
            <w:pStyle w:val="Contents3"/>
            <w:tabs>
              <w:tab w:val="clear" w:pos="8459"/>
              <w:tab w:val="right" w:pos="9026" w:leader="dot"/>
            </w:tabs>
            <w:rPr/>
          </w:pPr>
          <w:hyperlink w:anchor="__RefHeading___Toc538341_203518539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538343_2035185390">
            <w:r>
              <w:rPr>
                <w:webHidden/>
                <w:rStyle w:val="IndexLink"/>
                <w:rtl w:val="true"/>
              </w:rPr>
              <w:t>الرجوع إلی ابن الفوطی</w:t>
            </w:r>
            <w:r>
              <w:rPr>
                <w:rStyle w:val="IndexLink"/>
                <w:rtl w:val="true"/>
              </w:rPr>
              <w:t>:</w:t>
              <w:tab/>
            </w:r>
            <w:r>
              <w:rPr>
                <w:rStyle w:val="IndexLink"/>
              </w:rPr>
              <w:t>15</w:t>
            </w:r>
          </w:hyperlink>
        </w:p>
        <w:p>
          <w:pPr>
            <w:pStyle w:val="Contents3"/>
            <w:tabs>
              <w:tab w:val="clear" w:pos="8459"/>
              <w:tab w:val="right" w:pos="9026" w:leader="dot"/>
            </w:tabs>
            <w:rPr/>
          </w:pPr>
          <w:hyperlink w:anchor="__RefHeading___Toc538345_2035185390">
            <w:r>
              <w:rPr>
                <w:webHidden/>
                <w:rStyle w:val="IndexLink"/>
                <w:rtl w:val="true"/>
              </w:rPr>
              <w:t>الرجوع إلی ابن الطقطقی</w:t>
            </w:r>
            <w:r>
              <w:rPr>
                <w:rStyle w:val="IndexLink"/>
                <w:rtl w:val="true"/>
              </w:rPr>
              <w:t>:</w:t>
              <w:tab/>
            </w:r>
            <w:r>
              <w:rPr>
                <w:rStyle w:val="IndexLink"/>
              </w:rPr>
              <w:t>17</w:t>
            </w:r>
          </w:hyperlink>
        </w:p>
        <w:p>
          <w:pPr>
            <w:pStyle w:val="Contents3"/>
            <w:tabs>
              <w:tab w:val="clear" w:pos="8459"/>
              <w:tab w:val="right" w:pos="9026" w:leader="dot"/>
            </w:tabs>
            <w:rPr/>
          </w:pPr>
          <w:hyperlink w:anchor="__RefHeading___Toc538347_2035185390">
            <w:r>
              <w:rPr>
                <w:webHidden/>
                <w:rStyle w:val="IndexLink"/>
                <w:rtl w:val="true"/>
              </w:rPr>
              <w:t>الرجوع إلی أبی الفداء</w:t>
            </w:r>
            <w:r>
              <w:rPr>
                <w:rStyle w:val="IndexLink"/>
                <w:rtl w:val="true"/>
              </w:rPr>
              <w:t>:</w:t>
              <w:tab/>
            </w:r>
            <w:r>
              <w:rPr>
                <w:rStyle w:val="IndexLink"/>
              </w:rPr>
              <w:t>19</w:t>
            </w:r>
          </w:hyperlink>
        </w:p>
        <w:p>
          <w:pPr>
            <w:pStyle w:val="Contents3"/>
            <w:tabs>
              <w:tab w:val="clear" w:pos="8459"/>
              <w:tab w:val="right" w:pos="9026" w:leader="dot"/>
            </w:tabs>
            <w:rPr/>
          </w:pPr>
          <w:hyperlink w:anchor="__RefHeading___Toc538349_2035185390">
            <w:r>
              <w:rPr>
                <w:webHidden/>
                <w:rStyle w:val="IndexLink"/>
                <w:rtl w:val="true"/>
              </w:rPr>
              <w:t>الرجوع إلی الذهبی</w:t>
            </w:r>
            <w:r>
              <w:rPr>
                <w:rStyle w:val="IndexLink"/>
                <w:rtl w:val="true"/>
              </w:rPr>
              <w:t>:</w:t>
              <w:tab/>
            </w:r>
            <w:r>
              <w:rPr>
                <w:rStyle w:val="IndexLink"/>
              </w:rPr>
              <w:t>22</w:t>
            </w:r>
          </w:hyperlink>
        </w:p>
        <w:p>
          <w:pPr>
            <w:pStyle w:val="Contents3"/>
            <w:tabs>
              <w:tab w:val="clear" w:pos="8459"/>
              <w:tab w:val="right" w:pos="9026" w:leader="dot"/>
            </w:tabs>
            <w:rPr/>
          </w:pPr>
          <w:hyperlink w:anchor="__RefHeading___Toc538351_2035185390">
            <w:r>
              <w:rPr>
                <w:webHidden/>
                <w:rStyle w:val="IndexLink"/>
                <w:rtl w:val="true"/>
              </w:rPr>
              <w:t>الرجوع إلی ابن شاکر الکتبی</w:t>
            </w:r>
            <w:r>
              <w:rPr>
                <w:rStyle w:val="IndexLink"/>
                <w:rtl w:val="true"/>
              </w:rPr>
              <w:t>:</w:t>
              <w:tab/>
            </w:r>
            <w:r>
              <w:rPr>
                <w:rStyle w:val="IndexLink"/>
              </w:rPr>
              <w:t>22</w:t>
            </w:r>
          </w:hyperlink>
        </w:p>
        <w:p>
          <w:pPr>
            <w:pStyle w:val="Contents3"/>
            <w:tabs>
              <w:tab w:val="clear" w:pos="8459"/>
              <w:tab w:val="right" w:pos="9026" w:leader="dot"/>
            </w:tabs>
            <w:rPr/>
          </w:pPr>
          <w:hyperlink w:anchor="__RefHeading___Toc538353_2035185390">
            <w:r>
              <w:rPr>
                <w:webHidden/>
                <w:rStyle w:val="IndexLink"/>
                <w:rtl w:val="true"/>
              </w:rPr>
              <w:t>الرجوع إلی الصفدی</w:t>
            </w:r>
            <w:r>
              <w:rPr>
                <w:rStyle w:val="IndexLink"/>
                <w:rtl w:val="true"/>
              </w:rPr>
              <w:t>:</w:t>
              <w:tab/>
            </w:r>
            <w:r>
              <w:rPr>
                <w:rStyle w:val="IndexLink"/>
              </w:rPr>
              <w:t>24</w:t>
            </w:r>
          </w:hyperlink>
        </w:p>
        <w:p>
          <w:pPr>
            <w:pStyle w:val="Contents3"/>
            <w:tabs>
              <w:tab w:val="clear" w:pos="8459"/>
              <w:tab w:val="right" w:pos="9026" w:leader="dot"/>
            </w:tabs>
            <w:rPr/>
          </w:pPr>
          <w:hyperlink w:anchor="__RefHeading___Toc538355_2035185390">
            <w:r>
              <w:rPr>
                <w:webHidden/>
                <w:rStyle w:val="IndexLink"/>
                <w:rtl w:val="true"/>
              </w:rPr>
              <w:t>الرجوع إلی ابن خلدون</w:t>
            </w:r>
            <w:r>
              <w:rPr>
                <w:rStyle w:val="IndexLink"/>
                <w:rtl w:val="true"/>
              </w:rPr>
              <w:t>:</w:t>
              <w:tab/>
            </w:r>
            <w:r>
              <w:rPr>
                <w:rStyle w:val="IndexLink"/>
              </w:rPr>
              <w:t>25</w:t>
            </w:r>
          </w:hyperlink>
        </w:p>
        <w:p>
          <w:pPr>
            <w:pStyle w:val="Contents3"/>
            <w:tabs>
              <w:tab w:val="clear" w:pos="8459"/>
              <w:tab w:val="right" w:pos="9026" w:leader="dot"/>
            </w:tabs>
            <w:rPr/>
          </w:pPr>
          <w:hyperlink w:anchor="__RefHeading___Toc538357_2035185390">
            <w:r>
              <w:rPr>
                <w:webHidden/>
                <w:rStyle w:val="IndexLink"/>
                <w:rtl w:val="true"/>
              </w:rPr>
              <w:t>الرجوع إلی السیوطی</w:t>
            </w:r>
            <w:r>
              <w:rPr>
                <w:rStyle w:val="IndexLink"/>
                <w:rtl w:val="true"/>
              </w:rPr>
              <w:t>:</w:t>
              <w:tab/>
            </w:r>
            <w:r>
              <w:rPr>
                <w:rStyle w:val="IndexLink"/>
              </w:rPr>
              <w:t>26</w:t>
            </w:r>
          </w:hyperlink>
        </w:p>
        <w:p>
          <w:pPr>
            <w:pStyle w:val="Contents3"/>
            <w:tabs>
              <w:tab w:val="clear" w:pos="8459"/>
              <w:tab w:val="right" w:pos="9026" w:leader="dot"/>
            </w:tabs>
            <w:rPr/>
          </w:pPr>
          <w:hyperlink w:anchor="__RefHeading___Toc538359_2035185390">
            <w:r>
              <w:rPr>
                <w:webHidden/>
                <w:rStyle w:val="IndexLink"/>
                <w:rtl w:val="true"/>
              </w:rPr>
              <w:t>الرجوع إلی أصحاب ابن تیمیة</w:t>
            </w:r>
            <w:r>
              <w:rPr>
                <w:rStyle w:val="IndexLink"/>
                <w:rtl w:val="true"/>
              </w:rPr>
              <w:t>:</w:t>
              <w:tab/>
            </w:r>
            <w:r>
              <w:rPr>
                <w:rStyle w:val="IndexLink"/>
              </w:rPr>
              <w:t>26</w:t>
            </w:r>
          </w:hyperlink>
        </w:p>
        <w:p>
          <w:pPr>
            <w:pStyle w:val="Contents2"/>
            <w:tabs>
              <w:tab w:val="clear" w:pos="8743"/>
              <w:tab w:val="right" w:pos="9026" w:leader="dot"/>
            </w:tabs>
            <w:rPr/>
          </w:pPr>
          <w:hyperlink w:anchor="__RefHeading___Toc538361_2035185390">
            <w:r>
              <w:rPr>
                <w:webHidden/>
                <w:rStyle w:val="IndexLink"/>
                <w:rtl w:val="true"/>
              </w:rPr>
              <w:t>الثناء علی الشیخ نصیر الدین الطوسی</w:t>
            </w:r>
            <w:r>
              <w:rPr>
                <w:rStyle w:val="IndexLink"/>
                <w:rtl w:val="true"/>
              </w:rPr>
              <w:tab/>
            </w:r>
            <w:r>
              <w:rPr>
                <w:rStyle w:val="IndexLink"/>
              </w:rPr>
              <w:t>31</w:t>
            </w:r>
          </w:hyperlink>
        </w:p>
        <w:p>
          <w:pPr>
            <w:pStyle w:val="Contents2"/>
            <w:tabs>
              <w:tab w:val="clear" w:pos="8743"/>
              <w:tab w:val="right" w:pos="9026" w:leader="dot"/>
            </w:tabs>
            <w:rPr/>
          </w:pPr>
          <w:hyperlink w:anchor="__RefHeading___Toc538363_2035185390">
            <w:r>
              <w:rPr>
                <w:webHidden/>
                <w:rStyle w:val="IndexLink"/>
                <w:rtl w:val="true"/>
              </w:rPr>
              <w:t>خاتمة البحث</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62_29133"/>
      <w:bookmarkStart w:id="1" w:name="pg4662_29133"/>
      <w:bookmarkEnd w:id="1"/>
    </w:p>
    <w:p>
      <w:pPr>
        <w:pStyle w:val="Heading2"/>
        <w:numPr>
          <w:ilvl w:val="1"/>
          <w:numId w:val="1"/>
        </w:numPr>
        <w:rPr/>
      </w:pPr>
      <w:bookmarkStart w:id="2" w:name="pg4662_29133"/>
      <w:bookmarkStart w:id="3" w:name="__RefHeading___Toc538323_203518539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۱۳۲۶</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نصیرالدین الطوسی و سقوط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الحسینی المیلانی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الابحاث العقائدیه،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الندوات العقائدیه</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محمدبن حسن، ق</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8325_2035185390"/>
      <w:bookmarkStart w:id="6" w:name="_Toc2"/>
      <w:bookmarkEnd w:id="5"/>
      <w:r>
        <w:rPr>
          <w:rtl w:val="true"/>
        </w:rPr>
        <w:t>اشارة</w:t>
      </w:r>
      <w:bookmarkStart w:id="7" w:name="pg4662_29135"/>
      <w:bookmarkEnd w:id="6"/>
    </w:p>
    <w:p>
      <w:pPr>
        <w:pStyle w:val="Heading2"/>
        <w:numPr>
          <w:ilvl w:val="1"/>
          <w:numId w:val="1"/>
        </w:numPr>
        <w:rPr/>
      </w:pPr>
      <w:bookmarkStart w:id="8" w:name="__RefHeading___Toc538327_2035185390"/>
      <w:bookmarkStart w:id="9" w:name="_Toc3"/>
      <w:bookmarkEnd w:id="7"/>
      <w:bookmarkEnd w:id="8"/>
      <w:r>
        <w:rPr>
          <w:rtl w:val="true"/>
        </w:rPr>
        <w:t>دلیل الکتاب</w:t>
      </w:r>
      <w:r>
        <w:rPr>
          <w:rtl w:val="true"/>
        </w:rPr>
        <w:t>:</w:t>
      </w:r>
      <w:bookmarkEnd w:id="9"/>
    </w:p>
    <w:p>
      <w:pPr>
        <w:pStyle w:val="BookText"/>
        <w:rPr/>
      </w:pPr>
      <w:r>
        <w:rPr>
          <w:rFonts w:ascii="IRNazanin" w:hAnsi="IRNazanin" w:eastAsia="IRNazanin"/>
          <w:color w:val="111111"/>
          <w:sz w:val="28"/>
          <w:sz w:val="28"/>
          <w:szCs w:val="28"/>
          <w:rtl w:val="true"/>
          <w:lang w:bidi="fa-IR"/>
        </w:rPr>
        <w:t xml:space="preserve">مقدمة المرکز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افتراء ابن تیمیة علی الشیخ نصیر الدین الطوسی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نص ما قاله ابن تیمیّة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الرجوع فی قضیة سقوط بغداد إلی من شهد الواقعة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الرجوع إلی ابن الفوطی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الرجوع إلی ابن الطقطقی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الرجوع إلی أبی الفداء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الرجوع إلی الذهبی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الرجوع إلی ابن شاکر الکتبی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الرجوع إلی الصفدی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الرجوع إلی ابن خلدون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الرجوع إلی السیوطی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الرجوع إلی أصحاب ابن تیمیة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الثناء علی الشیخ نصیر الدین الطوسی </w:t>
      </w:r>
      <w:r>
        <w:rPr>
          <w:rFonts w:eastAsia="IRNazanin" w:cs="IRNazanin"/>
          <w:color w:val="111111"/>
          <w:sz w:val="28"/>
          <w:szCs w:val="28"/>
          <w:lang w:bidi="fa-IR"/>
        </w:rPr>
        <w:t>31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البحث </w:t>
      </w:r>
      <w:r>
        <w:rPr>
          <w:rFonts w:eastAsia="Amiri" w:cs="Amiri" w:ascii="Amiri" w:hAnsi="Amiri"/>
          <w:color w:val="111111"/>
          <w:sz w:val="28"/>
          <w:szCs w:val="28"/>
          <w:lang w:bidi="ar-SA"/>
        </w:rPr>
        <w:t>37</w:t>
      </w:r>
      <w:bookmarkStart w:id="10" w:name="pg4662_29137"/>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538329_2035185390"/>
      <w:bookmarkStart w:id="12" w:name="_Toc4"/>
      <w:bookmarkEnd w:id="11"/>
      <w:r>
        <w:rPr>
          <w:rtl w:val="true"/>
        </w:rPr>
        <w:t>مقدّمة المرکز</w:t>
      </w:r>
      <w:r>
        <w:rPr>
          <w:rtl w:val="true"/>
        </w:rPr>
        <w:t>:</w:t>
      </w:r>
      <w:bookmarkEnd w:id="12"/>
    </w:p>
    <w:p>
      <w:pPr>
        <w:pStyle w:val="BookText"/>
        <w:rPr/>
      </w:pPr>
      <w:r>
        <w:rPr>
          <w:rFonts w:ascii="IRNazanin" w:hAnsi="IRNazanin" w:eastAsia="IRNazanin"/>
          <w:color w:val="111111"/>
          <w:sz w:val="28"/>
          <w:sz w:val="28"/>
          <w:szCs w:val="28"/>
          <w:rtl w:val="true"/>
          <w:lang w:bidi="fa-IR"/>
        </w:rPr>
        <w:t>لا یخفی أنّنا لازلنا بحاجة إلی تکریس الجهود و مضاعفتها نحو الفهم الصحیح و الإفهام المناسب لعقائدنا الحقّة و مفاهیمنا الرفیعة، ممّا یستدعی الالتزام الجادّ بالبرامج و المناهج العلمیة التی توجد حالة من المفاعلة الدائمة بین الأمّة و قیمها الحقّة،بشکل یتناسب مع لغة العصر و التطوّر التقنی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انطلاقا من ذلک،فقد بادر مرکز الأبحاث العقائدیة التابع لمکتب سماحة آیة اللّه العظمی السید 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اتّخاذ منهج ینتظم علی عدّة محاور بهدف طرح الفکر الإسلامی الشیعی علی أوسع نطاق ممکن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هذه المحاور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الندوات العقائدیّة المختصّة،باستضافة نخبة من أساتذة الحوزة العلمیة و مفکّریها المرموقین،التی تقوم نوعا علی الموضوعات الهامّة،حیث یجری تناولها بالعرض و النقد</w:t>
      </w:r>
    </w:p>
    <w:p>
      <w:pPr>
        <w:pStyle w:val="BookText"/>
        <w:rPr/>
      </w:pPr>
      <w:r>
        <w:rPr>
          <w:rFonts w:ascii="IRNazanin" w:hAnsi="IRNazanin" w:eastAsia="IRNazanin"/>
          <w:color w:val="111111"/>
          <w:sz w:val="28"/>
          <w:sz w:val="28"/>
          <w:szCs w:val="28"/>
          <w:rtl w:val="true"/>
          <w:lang w:bidi="fa-IR"/>
        </w:rPr>
        <w:t>و التحلیل و طرح الرأی الشیعی المختار فیها،ثم یخضع ذلک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للحوار المفتوح و المناقشات الحرّة لغرض الحصول علی أفضل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تعمیم الفائدة فقد أخذت هذه الندوات طریقها إلی شبکة الإنترنت العالمیة صوتا و 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یجری تکثیرها عبر التسجیل الصوتی و المرئی و توزیعها علی المراکز و المؤسسات العلمیة و الشخصیات الثقافیة فی شتی أرجاء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أخیرا،فإنّ الخطوة الثالثة تکمن فی طبعها و نشرها علی شکل کراریس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الندوات العقائدیة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إجراء مجموعة من الخطوات التحقیقیة و الفنیّة اللازمة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الکرّاس الماثل بین یدی القارئ الکریم واحد من السلسلة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سائلینه سبحانه و تعالی أن یناله بأحسن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الأبحاث العقائدیة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 الحسّون</w:t>
      </w:r>
      <w:bookmarkStart w:id="13" w:name="pg4662_29139"/>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 w:name="__RefHeading___Toc538331_2035185390"/>
      <w:bookmarkStart w:id="15" w:name="_Toc5"/>
      <w:bookmarkEnd w:id="14"/>
      <w:r>
        <w:rPr>
          <w:rtl w:val="true"/>
        </w:rPr>
        <w:t>تمهید</w:t>
      </w:r>
      <w:r>
        <w:rPr>
          <w:rtl w:val="true"/>
        </w:rPr>
        <w:t>:</w:t>
      </w:r>
      <w:bookmarkEnd w:id="15"/>
    </w:p>
    <w:p>
      <w:pPr>
        <w:pStyle w:val="BookText"/>
        <w:rPr/>
      </w:pPr>
      <w:r>
        <w:rPr>
          <w:rFonts w:ascii="IRNazanin" w:hAnsi="IRNazanin" w:eastAsia="IRNazanin"/>
          <w:color w:val="111111"/>
          <w:sz w:val="28"/>
          <w:sz w:val="28"/>
          <w:szCs w:val="28"/>
          <w:rtl w:val="true"/>
          <w:lang w:bidi="fa-IR"/>
        </w:rPr>
        <w:t>الحمد للّه ربّ العالمین،و الصلاة و السّلام علی سیّدنا محمّد و آله الطاهرین،و لعنة اللّه علی أعدائهم أجمعین 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سألتم عن دور الحکیم الإلهی الشیخ المحقق العظیم الخواجة نصیر الدین الطوسی فی سقوط بغداد علی ید هولاکو</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قد ینسب فی بعض الکتب إلی الشیخ نصیر الدین الطوسی أنّ له ضلعا فی سقوط بغداد علی ید المشرکین،و ما ترتّب علی هذه الحادثة من آثار سیّئة بالنسبة إلی الإسلام و المسلمین،من قتل النفوس،و تخریب البلاد،و المدارس العلمیّة،و سائر ما ترتب علی هذه الحادثة العظیمة من الآثار السیّئة</w:t>
      </w:r>
      <w:r>
        <w:rPr>
          <w:rFonts w:eastAsia="IRNazanin" w:cs="IRNazanin"/>
          <w:color w:val="111111"/>
          <w:sz w:val="28"/>
          <w:szCs w:val="28"/>
          <w:rtl w:val="true"/>
          <w:lang w:bidi="fa-IR"/>
        </w:rPr>
        <w:t>.</w:t>
      </w:r>
      <w:bookmarkStart w:id="16" w:name="pg4662_29141"/>
    </w:p>
    <w:p>
      <w:pPr>
        <w:pStyle w:val="Heading2"/>
        <w:numPr>
          <w:ilvl w:val="1"/>
          <w:numId w:val="1"/>
        </w:numPr>
        <w:rPr/>
      </w:pPr>
      <w:bookmarkStart w:id="17" w:name="__RefHeading___Toc538333_2035185390"/>
      <w:bookmarkStart w:id="18" w:name="_Toc6"/>
      <w:bookmarkEnd w:id="16"/>
      <w:bookmarkEnd w:id="17"/>
      <w:r>
        <w:rPr>
          <w:rtl w:val="true"/>
        </w:rPr>
        <w:t>افتراء ابن تیمیة علی</w:t>
      </w:r>
      <w:bookmarkEnd w:id="18"/>
    </w:p>
    <w:p>
      <w:pPr>
        <w:pStyle w:val="Heading3"/>
        <w:numPr>
          <w:ilvl w:val="2"/>
          <w:numId w:val="1"/>
        </w:numPr>
        <w:rPr/>
      </w:pPr>
      <w:bookmarkStart w:id="19" w:name="__RefHeading___Toc538335_2035185390"/>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الشیخ نصیر الدین الطوسی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من أشدّ الناس علی الشیخ نصیر الدین الطوسی رحمه اللّه فی هذه القضیّة هو ابن تیمیّة،ممّا یثیر الشک و یدعو إلی البحث عمّا إذا کان السبب الأصلی لاتّهام هذا الشیخ بهذا الأمر هو الاختلاف العقائدی،و ما کان للشیخ نصیر الدین الطوسی من دور نشر المذهب الشیعی،و دعمه بالأدلّة و البراهین،و لا سیّما بتألیفه کتاب تجرید الاعتقاد،هذا الکتاب الذی أصبح من المتون الأصلیّة و الأولیّة فی الحوزات العلمیّة کلّها،و کان یدرّس و ما زال هذا الکتاب یدرّس فی بعض الحوزات العلمیّة،و لذا کثرت علیه الشروح و الحواشی من علماء الشیعة و السنّة،و حتّی أنّ کتاب المواقف للقاضی الإیجی،و کتاب المقاصد للسعد التفتازانی، هذان الکتابان أیضا إنّما ألّفا نظرا إلی ما ذکره الخواجه نصیر الدین فی کتاب التجرید،و یحاولون أن یردّوا علیه آراءه و أفکاره،و لربّما</w:t>
      </w:r>
    </w:p>
    <w:p>
      <w:pPr>
        <w:pStyle w:val="BookText"/>
        <w:rPr/>
      </w:pPr>
      <w:r>
        <w:rPr>
          <w:rFonts w:ascii="IRNazanin" w:hAnsi="IRNazanin" w:eastAsia="IRNazanin"/>
          <w:color w:val="111111"/>
          <w:sz w:val="28"/>
          <w:sz w:val="28"/>
          <w:szCs w:val="28"/>
          <w:rtl w:val="true"/>
          <w:lang w:bidi="fa-IR"/>
        </w:rPr>
        <w:t>یذکرون اسمه بصراحة،و قد عثرنا علی مورد فی إحدی تلک الکتب حیث جاء التصریح باسم الشیخ نصیر الدین الطوسی مع التهجّم علیه و السب له،و هو کتاب شرح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تیمیّة،فإنّما یتعرّض للخواجة نصیر الدین الطوسی بمناسبة أنّ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الخواجة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عن أستاذه استدلالا لدعم المذهب الشیعی و إثبات عقیدة الامامیّة،علی أساس حدیثین صحیحین واردین فی کتب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العلاّمة رحمه اللّه عن أستاذه أنّه سئل عن المذهب الحقّ بعد رسول اللّه،فأجاب بأنّ رسول اللّه صلّی اللّه علیه و آله و سلّم قد أخبر فی الحدیث المتفق علیه بأنّ الأمّة ستفترق من بعده علی ثلاث و سبعین فرقة، و هذا الحدیث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کثرة هذه الفرق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ناجیة و الباقی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رسول اللّه عیّن تلک الفرقة الناجیة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أهل بیتی کمثل سفینة نوح من رکبها نجا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الاستدلال لا یمکن لأحد أن یناقش فیه،لا فی الحدیث الأول،و لا فی الحدیث الثانی،و لا فی النتیجة المترتبة علی هذین الحدیثین</w:t>
      </w:r>
      <w:r>
        <w:rPr>
          <w:rFonts w:eastAsia="IRNazanin" w:cs="IRNazanin"/>
          <w:color w:val="111111"/>
          <w:sz w:val="28"/>
          <w:szCs w:val="28"/>
          <w:rtl w:val="true"/>
          <w:lang w:bidi="fa-IR"/>
        </w:rPr>
        <w:t>.</w:t>
      </w:r>
      <w:bookmarkStart w:id="21" w:name="pg4662_29143"/>
    </w:p>
    <w:p>
      <w:pPr>
        <w:pStyle w:val="BookText"/>
        <w:rPr/>
      </w:pPr>
      <w:bookmarkEnd w:id="21"/>
      <w:r>
        <w:rPr>
          <w:rFonts w:ascii="IRNazanin" w:hAnsi="IRNazanin" w:eastAsia="IRNazanin"/>
          <w:color w:val="111111"/>
          <w:sz w:val="28"/>
          <w:sz w:val="28"/>
          <w:szCs w:val="28"/>
          <w:rtl w:val="true"/>
          <w:lang w:bidi="fa-IR"/>
        </w:rPr>
        <w:t>و حینئذ نری ابن تیمیّة العاجز عن إظهار أیّ مناقشة و إبداء أیّ إیراد علمی فی مقابل هذا الاستدلال،نراه یتهجّم علی الشیخ نصیر الدین،و یسبّه بما لا یتفوّه به مسلم بالنسبة الی فرد عادی من أفراد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بأن أقرأ لکم نصّ ما قاله ابن تیمیّة فی الشیخ نصیر الدین الطوسی</w:t>
      </w:r>
      <w:r>
        <w:rPr>
          <w:rFonts w:eastAsia="IRNazanin" w:cs="IRNazanin"/>
          <w:color w:val="111111"/>
          <w:sz w:val="28"/>
          <w:szCs w:val="28"/>
          <w:rtl w:val="true"/>
          <w:lang w:bidi="fa-IR"/>
        </w:rPr>
        <w:t>:</w:t>
      </w:r>
    </w:p>
    <w:p>
      <w:pPr>
        <w:pStyle w:val="Heading3"/>
        <w:numPr>
          <w:ilvl w:val="2"/>
          <w:numId w:val="1"/>
        </w:numPr>
        <w:rPr/>
      </w:pPr>
      <w:bookmarkStart w:id="22" w:name="__RefHeading___Toc538337_2035185390"/>
      <w:bookmarkStart w:id="23" w:name="_Toc8"/>
      <w:bookmarkEnd w:id="22"/>
      <w:r>
        <w:rPr>
          <w:rtl w:val="true"/>
        </w:rPr>
        <w:t>نص ما قاله ابن تیمیّة</w:t>
      </w:r>
      <w:r>
        <w:rPr>
          <w:rtl w:val="true"/>
        </w:rPr>
        <w:t>:</w:t>
      </w:r>
      <w:bookmarkEnd w:id="23"/>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قد اشتهر عند الخاص و العام أنّه کان وزیرا الملاحدة الباطنیة الإسماعیلیّة فی الألموت،ثمّ لمّا قدم الترک المشرکون إلی بلاد المسلمین،و جاؤوا إلی بغداد دار الخلافة،کان هذا منجّما مشیرا لملک الترک المشرکین هولاکو، أشار علیه بقتل الخلیفة و قتل أهل العلم و الدین،و استبقاء أهل الصناعات و التجارات الذین ینفعونه فی الدنیا،و أنّه استولی علی الوقف الذی للمسلمین،و کان یعطی منه ما شاء اللّه لعلماء المشرکین و شیوخهم من البخشیة السحرة و أمثالهم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لمّا بنی الرصد الذی بمراغة علی طریقة الصابئة المشرکین،کان أبخس الناس نصیبا منه من کان إلی أهل الملل</w:t>
      </w:r>
    </w:p>
    <w:p>
      <w:pPr>
        <w:pStyle w:val="BookText"/>
        <w:rPr/>
      </w:pPr>
      <w:r>
        <w:rPr>
          <w:rFonts w:ascii="IRNazanin" w:hAnsi="IRNazanin" w:eastAsia="IRNazanin"/>
          <w:color w:val="111111"/>
          <w:sz w:val="28"/>
          <w:sz w:val="28"/>
          <w:szCs w:val="28"/>
          <w:rtl w:val="true"/>
          <w:lang w:bidi="fa-IR"/>
        </w:rPr>
        <w:t>أقرب،و أوفرهم نصیبا من کان أبعدهم عن الملل،مثل الصابئة المشرکین و مثل المعطلة و سائر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المشهور عنه و عن أتباعه الاستهتار بواجبات الإسلام و محرّماته،لا یحافظون علی الفرائض کالصلوات،و لا ینزعون عن محارم اللّه من الفواحش و الخمر و غیر ذلک من المنکرات، حتّی أنّهم فی شهر رمضان یذکر منهم من إضاعة الصلوات و ارتکاب الفواحش و شرب الخمور ما یعرفه أهل الخبرة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لهم قوّة و ظهور إلاّ مع المشرکین الذین دینهم شرّ من دین الیهود و النصاری،و لهذا کان کلّما قوی الإسلام فی المغل و غیرهم من الترک ضعف أمر هؤلاء،لغرض معاداتهم للإسلام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فأمر هذا الطوسی و أتباعه عند المسلمین أشهر و أعرف من أن یعرّف و یوصف</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فقد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فی آخر عمره یحافظ علی الصلوات الخمس،و یشتغل بتفسیر البغوی و بالفقه و نحو ذلک،فإن کان قد تاب من الإلحاد،فاللّه یقبل التوبة عن عباده و یعفو عن السیّئات، و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 لاٰ تَقْنَطُوا</w:t>
      </w:r>
    </w:p>
    <w:p>
      <w:pPr>
        <w:pStyle w:val="BookText"/>
        <w:rPr/>
      </w:pPr>
      <w:r>
        <w:rPr>
          <w:rFonts w:ascii="Amiri" w:hAnsi="Amiri" w:eastAsia="Amiri" w:cs="Amiri"/>
          <w:color w:val="111111"/>
          <w:sz w:val="28"/>
          <w:sz w:val="28"/>
          <w:szCs w:val="28"/>
          <w:rtl w:val="true"/>
          <w:lang w:bidi="ar-SA"/>
        </w:rPr>
        <w:t xml:space="preserve">مِنْ رَحْمَةِ اللّٰهِ إِنَّ اللّٰهَ یَغْفِرُ الذُّنُوبَ جَمِیعاً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ما ذکره هذا،إن کان قبل التوبة لم یقبل قوله،و إن کان بعد التوبة لم یکن قد تاب من الرفض،بل من الإلحاد وحده،و علی التقدیرین فلا یقبل قوله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أنّه إنّما کان یجتمع به و بأمثاله لمّا کان منجّما للمغل المشرکین،و الإلحاد معروف من حاله إذ ذاک،فمن یقدح فی مثل أبی بکر و عمر و عثمان و غیرهم من السابقین الأوّلین من المهاجرین و الأنصار،و یطعن علی مثل مالک و الشافعی و أبی حنیفة و أحمد بن حنبل و أتباعهم و یعیّرهم بغلطات بعضهم فی مثل إباحة الشطرنج و الغناء،کیف یلیق به أن یحتجّ لمذهبه بقول مثل هؤلاء الذین لا یؤمنون باللّه و لا بالیوم الآخر،و لا یحرّمون ما حرّم اللّه و رسوله،و لا یدینون دین الحق،من الذین أوتوا الکتاب حتّی یعطوا الجزیة عن ید و هم صاغرون،و یستحلّون المحرّمات المجمع علی تحریمها،کالفواحش و الخمر فی شهر رمضان،الذین أضاعوا الصلاة و اتّبعوا الشهوات و خرقوا سیاج الشرائع،و استخفوا بمحرّمات الدین،و سلکوا غیر طریق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حال الرافضة دائما یعادون أولیاء اللّه المتقین،من السابقین الأوّلین من المهاجرین و الأنصار و الذین اتّبعوهم بإحسان،و یوالون الکفّار و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کلامه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جوابه علی استدلال العلاّمة بکلام أستاذه،الاستدلال الذی ذکرناه،لأنّ الاستدلال قوائمه حدیث 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ستفرق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آخر أیضا متّفق علیه،الحدیث الثانی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نجاة إلاّ برکوب سفینة أهل البیت،و النتیجة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جواب ابن تیمیّة علی هذا الاستدلال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علینا أن نبحث عن أصل المسألة التی طلبتم البحث عنها فی هذه اللّیلة</w:t>
      </w:r>
      <w:r>
        <w:rPr>
          <w:rFonts w:eastAsia="IRNazanin" w:cs="IRNazanin"/>
          <w:color w:val="111111"/>
          <w:sz w:val="28"/>
          <w:szCs w:val="28"/>
          <w:rtl w:val="true"/>
          <w:lang w:bidi="fa-IR"/>
        </w:rPr>
        <w:t>.</w:t>
      </w:r>
      <w:bookmarkStart w:id="24" w:name="pg4662_29147"/>
    </w:p>
    <w:p>
      <w:pPr>
        <w:pStyle w:val="Heading2"/>
        <w:numPr>
          <w:ilvl w:val="1"/>
          <w:numId w:val="1"/>
        </w:numPr>
        <w:rPr/>
      </w:pPr>
      <w:bookmarkStart w:id="25" w:name="__RefHeading___Toc538339_2035185390"/>
      <w:bookmarkStart w:id="26" w:name="_Toc9"/>
      <w:bookmarkEnd w:id="24"/>
      <w:bookmarkEnd w:id="25"/>
      <w:r>
        <w:rPr>
          <w:rtl w:val="true"/>
        </w:rPr>
        <w:t>الرجوع فی قضیة سقوط بغداد</w:t>
      </w:r>
      <w:bookmarkEnd w:id="26"/>
    </w:p>
    <w:p>
      <w:pPr>
        <w:pStyle w:val="Heading3"/>
        <w:numPr>
          <w:ilvl w:val="2"/>
          <w:numId w:val="1"/>
        </w:numPr>
        <w:rPr/>
      </w:pPr>
      <w:bookmarkStart w:id="27" w:name="__RefHeading___Toc538341_2035185390"/>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إلی من شهد الواقعة</w:t>
      </w:r>
    </w:p>
    <w:p>
      <w:pPr>
        <w:pStyle w:val="BookText"/>
        <w:rPr/>
      </w:pPr>
      <w:r>
        <w:rPr>
          <w:rFonts w:ascii="IRNazanin" w:hAnsi="IRNazanin" w:eastAsia="IRNazanin"/>
          <w:color w:val="111111"/>
          <w:sz w:val="28"/>
          <w:sz w:val="28"/>
          <w:szCs w:val="28"/>
          <w:rtl w:val="true"/>
          <w:lang w:bidi="fa-IR"/>
        </w:rPr>
        <w:t>فی مثل هذه القضیّة،و هی قضیّة واقعة فی القرن السابع،و فی أواسط هذا القرن،لا بدّ و أن نرجع إلی من شهد تلک الواقعة و کان حاضرا فیها و یخبر عنها،و أیضا إلی المؤرّخین قریبی العهد من تلک الحادثة،لا أقول نرجع إلی المؤرّخین الشیعة حتّی یقال بأنّ الشیعة یحاولون أن یبرّئوا ساحة علمائهم و کبرائهم من أیّ شیء یطعن فیهم به،و إنّما أقول نرجع إلی المؤرّخین من أهل السنّة أنفسهم</w:t>
      </w:r>
      <w:r>
        <w:rPr>
          <w:rFonts w:eastAsia="IRNazanin" w:cs="IRNazanin"/>
          <w:color w:val="111111"/>
          <w:sz w:val="28"/>
          <w:szCs w:val="28"/>
          <w:rtl w:val="true"/>
          <w:lang w:bidi="fa-IR"/>
        </w:rPr>
        <w:t>.</w:t>
      </w:r>
    </w:p>
    <w:p>
      <w:pPr>
        <w:pStyle w:val="Heading3"/>
        <w:numPr>
          <w:ilvl w:val="2"/>
          <w:numId w:val="1"/>
        </w:numPr>
        <w:rPr/>
      </w:pPr>
      <w:bookmarkStart w:id="29" w:name="__RefHeading___Toc538343_2035185390"/>
      <w:bookmarkStart w:id="30" w:name="_Toc11"/>
      <w:bookmarkEnd w:id="29"/>
      <w:r>
        <w:rPr>
          <w:rtl w:val="true"/>
        </w:rPr>
        <w:t>الرجوع إلی ابن الفوطی</w:t>
      </w:r>
      <w:r>
        <w:rPr>
          <w:rtl w:val="true"/>
        </w:rPr>
        <w:t>:</w:t>
      </w:r>
      <w:bookmarkEnd w:id="30"/>
    </w:p>
    <w:p>
      <w:pPr>
        <w:pStyle w:val="BookText"/>
        <w:rPr/>
      </w:pPr>
      <w:r>
        <w:rPr>
          <w:rFonts w:ascii="IRNazanin" w:hAnsi="IRNazanin" w:eastAsia="IRNazanin"/>
          <w:color w:val="111111"/>
          <w:sz w:val="28"/>
          <w:sz w:val="28"/>
          <w:szCs w:val="28"/>
          <w:rtl w:val="true"/>
          <w:lang w:bidi="fa-IR"/>
        </w:rPr>
        <w:t>لعلّ خیر کتاب یمکننا الرجوع إلیه بالدرجة الأولی کتاب الحوادث الجامعة،و هو تألیف العلاّمة ابن الفوطی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أذکر لکم باختصار عن بعض المصادر المعتبرة ترجمة ابن</w:t>
      </w:r>
    </w:p>
    <w:p>
      <w:pPr>
        <w:pStyle w:val="BookText"/>
        <w:rPr/>
      </w:pPr>
      <w:r>
        <w:rPr>
          <w:rFonts w:ascii="IRNazanin" w:hAnsi="IRNazanin" w:eastAsia="IRNazanin"/>
          <w:color w:val="111111"/>
          <w:sz w:val="28"/>
          <w:sz w:val="28"/>
          <w:szCs w:val="28"/>
          <w:rtl w:val="true"/>
          <w:lang w:bidi="fa-IR"/>
        </w:rPr>
        <w:t xml:space="preserve">الفوطی الحنبلی البغدادی المتوفی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له الذهبی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الفوطی العالم البارع المتفنّن المحدّث المفید،مؤرخ الآفاق،مفخر أهل العراق،کمال الدین أبو الفضائل عبد الرزاق بن أحمد بن محمّد بن أبی المعالی الشیبانی ابن الفوطی،مولده فی المحرّم سنة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ببغداد،و أسر فی الوقعة و هو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 فی الوقعة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صار إلی أستاذه و معلّمه خواجة نصیر الدین الطوسی فی سنة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،فأخذ منه علوم الأوائل،و مهر علی غیره فی الأدب،و مهر فی التاریخ و الشعر و أیام الناس،و له النظم و النثر،و الباع الأطول فی ترصیع تراجم الناس،و له ذکاء مفرط،و خط منسوب رشیق،و فضائل کثیرة، سمع الکثیر،و عنی بهذا الشأن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یعبّر عنه صاحب فوات الوفیات ابن شاکر الکتبی،عند ما یعنونه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الإمام المحدّث المؤرّخ الأخباری الفیلسوف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ابن کثیر،فیذکر ابن الفوطی فی تاریخه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المؤرّخ کمال الدین ابن الفوطی أبو الفضل عبد الرزاق،ولد سنة</w:t>
      </w:r>
      <w:bookmarkStart w:id="31" w:name="pg4662_29149"/>
    </w:p>
    <w:p>
      <w:pPr>
        <w:pStyle w:val="BookText"/>
        <w:rPr/>
      </w:pPr>
      <w:bookmarkEnd w:id="31"/>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ببغداد،و أسر فی واقعة التتار،ثمّ تخلّص من الأسر،فکان مشرفا علی الکتب بالمستنصریّة،و قد صنّف تأریخا فی خمس و خمسین مجلّدا،و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کتابا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نحو عشرین،و له مصنّفات کثیرة،و شعر حسن،و قد سمع الحدیث من محی الدین ابن الجوزی،و توفی فی ثالث المحرّم فی السنة التی ذکرناها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العالم المؤرّخ،الذی شاهد القضیّة،و حضرها،و أسر فیها،و هو إمام مؤرّخ معتمد،یذکره علماء أهل السنّة بالثناء الجمیل،و یذکرون کتبه فی التاریخ،هذا الرجل له کتاب الحوادث الجامعة،فی هذا الکتاب یتعرّض لقضیّة سقوط بغداد علی ید هولاکو،و لیس لخواجة نصیر الدین اسم فی هذه القضیّة و لا ذکر أبدا،یذکرون أنّه قد ألّف کتابه هذا بعد الواقعة بسنة واحدة،أی أنّ سنة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 کتاب الحوادث الجامعة</w:t>
      </w:r>
      <w:r>
        <w:rPr>
          <w:rFonts w:eastAsia="IRNazanin" w:cs="IRNazanin"/>
          <w:color w:val="111111"/>
          <w:sz w:val="28"/>
          <w:szCs w:val="28"/>
          <w:rtl w:val="true"/>
          <w:lang w:bidi="fa-IR"/>
        </w:rPr>
        <w:t>.</w:t>
      </w:r>
    </w:p>
    <w:p>
      <w:pPr>
        <w:pStyle w:val="Heading3"/>
        <w:numPr>
          <w:ilvl w:val="2"/>
          <w:numId w:val="1"/>
        </w:numPr>
        <w:rPr/>
      </w:pPr>
      <w:bookmarkStart w:id="32" w:name="__RefHeading___Toc538345_2035185390"/>
      <w:bookmarkStart w:id="33" w:name="_Toc12"/>
      <w:bookmarkEnd w:id="32"/>
      <w:r>
        <w:rPr>
          <w:rtl w:val="true"/>
        </w:rPr>
        <w:t>الرجوع إلی ابن الطقطقی</w:t>
      </w:r>
      <w:r>
        <w:rPr>
          <w:rtl w:val="true"/>
        </w:rPr>
        <w:t>:</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ابن الفوطی،نری ابن الطقطقی المولود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،هذا صاحب کتاب الفخری فی الآداب</w:t>
      </w:r>
    </w:p>
    <w:p>
      <w:pPr>
        <w:pStyle w:val="BookText"/>
        <w:rPr/>
      </w:pPr>
      <w:r>
        <w:rPr>
          <w:rFonts w:ascii="IRNazanin" w:hAnsi="IRNazanin" w:eastAsia="IRNazanin"/>
          <w:color w:val="111111"/>
          <w:sz w:val="28"/>
          <w:sz w:val="28"/>
          <w:szCs w:val="28"/>
          <w:rtl w:val="true"/>
          <w:lang w:bidi="fa-IR"/>
        </w:rPr>
        <w:t>السلطانیّة و الدول الإسلامیّة،یروی الحوادث،حوادث بغداد، بواسطة واحدة فقط،و لا ذکر فی هذا الکتاب حیث یذکر الحوادث لخواجة نصیر الدین فی القضیّة أصلا،لا من قریب و لا 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یذکر اسم الخواجة مرّة واحدة،حیث یبیّن دخول ابن العلقمی علی هولاکو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العلقمی کان وزیر المستعصم العباسی،أصبح بعد المستعصم العباسی من الشخصیّات المرموقة فی بغداد،و ینسب إلیه أیضا من قبل بعض کتّاب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السابقین و اللاّحقین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یدا فی سقوط بغداد،لکن بحثنا الآن فی خواجة نصیر الدین و لیس فی ابن العلقمی،و بإمکانکم أن ترجعوا إلی کتاب أعیان الشیعة للسیّد الأمین العاملی رحمه اللّه یذکر هناک ما یقال عن ابن العلقمی و براءة ساحة هذا الرجل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کتاب الفخری فی الآداب السلطانیّة یذکر الشیخ نصیر الدین الطوسی مرّة واحدة بمناسبة أنّ الشیخ نصیر الدین کان واسطة فی دخول هذا الوزیر،أی ابن العلقمی علی هولاکو،یقول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الذی تولّی ترتیبه فی الحضرة السلطانیّة الوزیر السعید</w:t>
      </w:r>
      <w:bookmarkStart w:id="34" w:name="pg4662_29151"/>
    </w:p>
    <w:p>
      <w:pPr>
        <w:pStyle w:val="BookText"/>
        <w:rPr/>
      </w:pPr>
      <w:bookmarkEnd w:id="34"/>
      <w:r>
        <w:rPr>
          <w:rFonts w:ascii="IRNazanin" w:hAnsi="IRNazanin" w:eastAsia="IRNazanin"/>
          <w:color w:val="111111"/>
          <w:sz w:val="28"/>
          <w:sz w:val="28"/>
          <w:szCs w:val="28"/>
          <w:rtl w:val="true"/>
          <w:lang w:bidi="fa-IR"/>
        </w:rPr>
        <w:t xml:space="preserve">نصیر الدین محمّد الطوسی قدّس اللّه روحه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538347_2035185390"/>
      <w:bookmarkStart w:id="36" w:name="_Toc13"/>
      <w:bookmarkEnd w:id="35"/>
      <w:r>
        <w:rPr>
          <w:rtl w:val="true"/>
        </w:rPr>
        <w:t>الرجوع إلی أبی الفداء</w:t>
      </w:r>
      <w:r>
        <w:rPr>
          <w:rtl w:val="true"/>
        </w:rPr>
        <w:t>:</w:t>
      </w:r>
      <w:bookmarkEnd w:id="36"/>
    </w:p>
    <w:p>
      <w:pPr>
        <w:pStyle w:val="BookText"/>
        <w:rPr/>
      </w:pPr>
      <w:r>
        <w:rPr>
          <w:rFonts w:ascii="IRNazanin" w:hAnsi="IRNazanin" w:eastAsia="IRNazanin"/>
          <w:color w:val="111111"/>
          <w:sz w:val="28"/>
          <w:sz w:val="28"/>
          <w:szCs w:val="28"/>
          <w:rtl w:val="true"/>
          <w:lang w:bidi="fa-IR"/>
        </w:rPr>
        <w:t xml:space="preserve">ثمّ ننتقل إلی تاریخ أبی الفداء،المولود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،و هذا قریب العهد بالواقعة،لأنّ الواقعة کانت سنة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و هذا مولود 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،أی بعد سنوات قلیلة،و متوفی فی سنة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فنراه یذکر قضیّة فتح بغداد،و استیلاء المشرکین و التتر علی بغداد،و انقراض الحکومة العبّاسیّة،یقول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أوّل 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هولاکو ملک التتر بغداد،و ملکها فی العشرین من المحرّم،و قتل الخلیفة المستعصم باللّه،و سبب ذلک أنّ وزیر الخلیفة مؤیّد الدین ابن العلقمی کان رافضیّا،و کان أهل الکرخ أیضا روافض،فجرت فتنة بین السنّیّة و الشیعة ببغداد علی جاری عادتهم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هذه الفتن کانت موجودة فی بغداد بین الشیعة و السنّة، منذ زمن الشیخ المفید و الشیخ الطوسی،و فی بعض هذه الفتن</w:t>
      </w:r>
    </w:p>
    <w:p>
      <w:pPr>
        <w:pStyle w:val="BookText"/>
        <w:rPr/>
      </w:pPr>
      <w:r>
        <w:rPr>
          <w:rFonts w:ascii="IRNazanin" w:hAnsi="IRNazanin" w:eastAsia="IRNazanin"/>
          <w:color w:val="111111"/>
          <w:sz w:val="28"/>
          <w:sz w:val="28"/>
          <w:szCs w:val="28"/>
          <w:rtl w:val="true"/>
          <w:lang w:bidi="fa-IR"/>
        </w:rPr>
        <w:t>هاجر الشیخ الطوسی من بغداد إلی النجف الأشرف و أسّس الحوزة العلمیّة،لذلک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جاری عادتهم،أی هذا شیء معتاد بینهم،محلّة الکرخ و المحلّة التی تقابلها،هؤلاء شیعة و أولئک أهل سنّة،جرت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أبو بکر ابن الخلیفة و رکن الدین الدوادار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رئیس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العسکر،فنهبوا الکرخ،و هتکوا النساء،و رکبوا منهنّ الفواحش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فعظم ذلک علی الوزیر ابن العلقمی،و کاتب التتر و أطمعهم فی ملک بغداد،و کان عسکر بغداد یبلغ مائة ألف فارس،فقطّعهم المستعصم لیحمل إلی التتر متحصل اقطاعاتهم،و صار عسکر بغداد دون عشرین ألف فارس،و أرسل ابن العلقمی إلی التتر أخاه یستدعیهم،فساروا قاصدین بغداد فی جحفل عظیم،و خرج عسکر الخلیفة لقتالهم و مقدّمهم رکن الدین الدوادار،و التقوا علی مرحلتین من بغداد،و اقتتلوا قتالا شدیدا،فانهزم عسکر الخلیفة، و دخل بعضهم بغداد و سار بعضهم إلی جهة الشام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نزل هولاکو علی بغداد من الجانب الشرقی،و نزل باجو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مقدّم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الجانب الغربی،علی قریة قبالة دار الخلافة، و خرج مؤید الدین الوزیر ابن العلقمی إلی هولاکو،فتوثّق منه</w:t>
      </w:r>
    </w:p>
    <w:p>
      <w:pPr>
        <w:pStyle w:val="BookText"/>
        <w:rPr/>
      </w:pPr>
      <w:r>
        <w:rPr>
          <w:rFonts w:ascii="IRNazanin" w:hAnsi="IRNazanin" w:eastAsia="IRNazanin"/>
          <w:color w:val="111111"/>
          <w:sz w:val="28"/>
          <w:sz w:val="28"/>
          <w:szCs w:val="28"/>
          <w:rtl w:val="true"/>
          <w:lang w:bidi="fa-IR"/>
        </w:rPr>
        <w:t>لنفسه،و عاد إلی الخلیفة المستعصم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هولاکو یبقیک فی الخلافة کما فعل بسلطان الروم،فخرج إلیه المستعصم فی جمع من أکابر أصحابه،و أنزل فی خیمته،ثمّ استدعی الوزیر الفقهاء و الأماثل،فاجتمع هناک جمیع سادات بغداد و المدرّسون،و کان منهم محی الدین ابن الجوزی و أولاده،و کذلک بقی یخرج إلی التتر طائفة بعد طائفة،فلمّا تکاملوا قتلهم التتر عن آخرهم،ثمّ مدّوا الجسر و عدا باجو و من معه،و بذلوا السیف فی بغداد،و هجموا علی دار الخلافة و قتلوا کلّ من کان فیها من الأشراف،و لم یسلم إلاّ من کان صغیرا،فأخذ أسیرا،و دام القتل و النهب فی بغداد نحو أربعین یوما،ثمّ نودی بالأمان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الخلیفة فإنّهم قتلوه،و لم یقع الإطّلاع علی کیفیّة قتله، فقیل خنق،و قیل وضع فی عدل و رفسوه حتّی مات،و قیل غرق فی دجلة،و اللّه أعلم بحقیقة ذلک،و کان المستعصم ضعیف الرأی، قد غلب علیه أمراء دولته لسوء تدبیره،و هو آخر الخلفاء العبّاسیّین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ذکر لخواجه نصیر الدین الطوسی أبدا،و أمّا ما ذکر عن ابن</w:t>
      </w:r>
      <w:bookmarkStart w:id="37" w:name="pg4662_29154"/>
    </w:p>
    <w:p>
      <w:pPr>
        <w:pStyle w:val="BookText"/>
        <w:rPr/>
      </w:pPr>
      <w:bookmarkEnd w:id="37"/>
      <w:r>
        <w:rPr>
          <w:rFonts w:ascii="IRNazanin" w:hAnsi="IRNazanin" w:eastAsia="IRNazanin"/>
          <w:color w:val="111111"/>
          <w:sz w:val="28"/>
          <w:sz w:val="28"/>
          <w:szCs w:val="28"/>
          <w:rtl w:val="true"/>
          <w:lang w:bidi="fa-IR"/>
        </w:rPr>
        <w:t>العلقمی ففیه نظر،فلا بدّ و أن یحقّق عنه</w:t>
      </w:r>
      <w:r>
        <w:rPr>
          <w:rFonts w:eastAsia="IRNazanin" w:cs="IRNazanin"/>
          <w:color w:val="111111"/>
          <w:sz w:val="28"/>
          <w:szCs w:val="28"/>
          <w:rtl w:val="true"/>
          <w:lang w:bidi="fa-IR"/>
        </w:rPr>
        <w:t>.</w:t>
      </w:r>
    </w:p>
    <w:p>
      <w:pPr>
        <w:pStyle w:val="Heading3"/>
        <w:numPr>
          <w:ilvl w:val="2"/>
          <w:numId w:val="1"/>
        </w:numPr>
        <w:rPr/>
      </w:pPr>
      <w:bookmarkStart w:id="38" w:name="__RefHeading___Toc538349_2035185390"/>
      <w:bookmarkStart w:id="39" w:name="_Toc14"/>
      <w:bookmarkEnd w:id="38"/>
      <w:r>
        <w:rPr>
          <w:rtl w:val="true"/>
        </w:rPr>
        <w:t>الرجوع إلی الذهبی</w:t>
      </w:r>
      <w:r>
        <w:rPr>
          <w:rtl w:val="true"/>
        </w:rPr>
        <w:t>:</w:t>
      </w:r>
      <w:bookmarkEnd w:id="39"/>
    </w:p>
    <w:p>
      <w:pPr>
        <w:pStyle w:val="BookText"/>
        <w:rPr/>
      </w:pPr>
      <w:r>
        <w:rPr>
          <w:rFonts w:ascii="IRNazanin" w:hAnsi="IRNazanin" w:eastAsia="IRNazanin"/>
          <w:color w:val="111111"/>
          <w:sz w:val="28"/>
          <w:sz w:val="28"/>
          <w:szCs w:val="28"/>
          <w:rtl w:val="true"/>
          <w:lang w:bidi="fa-IR"/>
        </w:rPr>
        <w:t>و أمّا الذهبی،الذهبی هو تلمیذ ابن تیمیّة و إن کان یخالفه فی بعض الآراء،إلاّ أنّه تلمیذه،و قد لخّص کتاب منهاج السنّة أیضا، فمن مؤلفات الذهبی منهاج الاعتدال و هو تلخیص منهاج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الذهبی فی حوادث سنة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المؤید ابن العلقمی قد کاتب التتر،و حرّضهم علی قصد بغداد،لأجل ما جری علی إخوانه الرافضة من النهب و الخزی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 الواقعة کما تقدّم عن أبی الفداء،و لیس فیها ذکر لنصیر الدین الطوسی أصلا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538351_2035185390"/>
      <w:bookmarkStart w:id="41" w:name="_Toc15"/>
      <w:bookmarkEnd w:id="40"/>
      <w:r>
        <w:rPr>
          <w:rtl w:val="true"/>
        </w:rPr>
        <w:t>الرجوع إلی ابن شاکر الکتبی</w:t>
      </w:r>
      <w:r>
        <w:rPr>
          <w:rtl w:val="true"/>
        </w:rPr>
        <w:t>:</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فوات الوفیات ابن شاکر الکتبی المولود سنة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أی بعد الواقعة بثلاثین سنة،و المتوفی سنة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،یترجم الخلیفة العبّاسی و یترجم نصیر الدین الطوسی کلیهما فی کتابه،و لا یذکر</w:t>
      </w:r>
    </w:p>
    <w:p>
      <w:pPr>
        <w:pStyle w:val="BookText"/>
        <w:rPr/>
      </w:pPr>
      <w:r>
        <w:rPr>
          <w:rFonts w:ascii="IRNazanin" w:hAnsi="IRNazanin" w:eastAsia="IRNazanin"/>
          <w:color w:val="111111"/>
          <w:sz w:val="28"/>
          <w:sz w:val="28"/>
          <w:szCs w:val="28"/>
          <w:rtl w:val="true"/>
          <w:lang w:bidi="fa-IR"/>
        </w:rPr>
        <w:t>شیئا من دخل الخواجة فی حوادث بغداد أبدا،و بترجمة الخلیفة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متینا متمسّکا بمذهب أهل السنّة و الجماعة علی ما کان علیه والده و جدّه،و لم یکن علی ما کانوا علیه من التیقّظ و الهمّة، بل کان قلیل المعرفة و التدبیر و التیقّظ،نازل الهمّة،محبّا للمال، مهملا للأمور،یتّکل فیها علی غیره،و لو لم یکن فیه إلاّ ما فعله مع الملک الناصر داود فی الودیعة لکفاه ذلک عارا و شنارا،و اللّه لو کان الناصر من الشعراء،و قد قصده و تردّد علیه علی بعد المسافة و مدحه بعدّة قصائد،کان یتعیّن علیه أن ینعم علیه بقریب من قیمة ودیعته من ماله،فقد کان فی أجداد المستعصم باللّه من استفاد منه آحاد الشعراء أکثر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کانت عنده ودیعة لشخص،و هذه الودیعة تصرّف فیها و لم یرجعها إلی صاحبها،یذکر هذه القضیّة،إلی غیر ذلک من الأمور التی کانت تصدر عنه،ممّا لا یناسب منصب الخلافة،و لم یتخلّق بها الخلفاء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هذه الأسباب کلّها مقدّمات لما أراد اللّه تعالی بالخلیفة و العراق و أهله،و إذا أراد اللّه تعالی أمرا هیّأ أسبابه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سائر أعمال هذا الخلیفة و أسلاف هذا الخلیفة،من</w:t>
      </w:r>
      <w:bookmarkStart w:id="42" w:name="pg4662_29156"/>
    </w:p>
    <w:p>
      <w:pPr>
        <w:pStyle w:val="BookText"/>
        <w:rPr/>
      </w:pPr>
      <w:bookmarkEnd w:id="42"/>
      <w:r>
        <w:rPr>
          <w:rFonts w:ascii="IRNazanin" w:hAnsi="IRNazanin" w:eastAsia="IRNazanin"/>
          <w:color w:val="111111"/>
          <w:sz w:val="28"/>
          <w:sz w:val="28"/>
          <w:szCs w:val="28"/>
          <w:rtl w:val="true"/>
          <w:lang w:bidi="fa-IR"/>
        </w:rPr>
        <w:t>الخلاعة و المجون و الاستهتار بالدین و السکر و شرب الخمر و مجالس اللهو و اللعب،و إلی آخره،کلّ ذلک أسباب لانقراض الحکومة أیّ حکومة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کیف کان قتله،قیل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هولاکو لمّا ملک بغداد أمر بخنقه،و قیل رفس إلی أن مات،و قیل کذا إلی آخره و اللّه أعلم بحقیقة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واقعة بغداد و قتل الخلیفة من أعظم الوقائع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یذکر شیئا یتعلّق بالخواجة نصیر الدین الطوسی أبدا</w:t>
      </w:r>
      <w:r>
        <w:rPr>
          <w:rFonts w:eastAsia="IRNazanin" w:cs="IRNazanin"/>
          <w:color w:val="111111"/>
          <w:sz w:val="28"/>
          <w:szCs w:val="28"/>
          <w:rtl w:val="true"/>
          <w:lang w:bidi="fa-IR"/>
        </w:rPr>
        <w:t>.</w:t>
      </w:r>
    </w:p>
    <w:p>
      <w:pPr>
        <w:pStyle w:val="Heading3"/>
        <w:numPr>
          <w:ilvl w:val="2"/>
          <w:numId w:val="1"/>
        </w:numPr>
        <w:rPr/>
      </w:pPr>
      <w:bookmarkStart w:id="43" w:name="__RefHeading___Toc538353_2035185390"/>
      <w:bookmarkStart w:id="44" w:name="_Toc16"/>
      <w:bookmarkEnd w:id="43"/>
      <w:r>
        <w:rPr>
          <w:rtl w:val="true"/>
        </w:rPr>
        <w:t>الرجوع إلی الصفدی</w:t>
      </w:r>
      <w:r>
        <w:rPr>
          <w:rtl w:val="true"/>
        </w:rPr>
        <w:t>:</w:t>
      </w:r>
      <w:bookmarkEnd w:id="44"/>
    </w:p>
    <w:p>
      <w:pPr>
        <w:pStyle w:val="BookText"/>
        <w:rPr/>
      </w:pPr>
      <w:r>
        <w:rPr>
          <w:rFonts w:ascii="IRNazanin" w:hAnsi="IRNazanin" w:eastAsia="IRNazanin"/>
          <w:color w:val="111111"/>
          <w:sz w:val="28"/>
          <w:sz w:val="28"/>
          <w:szCs w:val="28"/>
          <w:rtl w:val="true"/>
          <w:lang w:bidi="fa-IR"/>
        </w:rPr>
        <w:t xml:space="preserve">و إذا راجعتم کتاب الوافی بالوفیات للصفدی،هذا الرجل مولود فی سنة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أربعین سنة من الواقعة،و متوفی فی سنة </w:t>
      </w:r>
      <w:r>
        <w:rPr>
          <w:rFonts w:eastAsia="IRNazanin" w:cs="IRNazanin"/>
          <w:color w:val="111111"/>
          <w:sz w:val="28"/>
          <w:szCs w:val="28"/>
          <w:lang w:bidi="fa-IR"/>
        </w:rPr>
        <w:t>764</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بترجمة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حلیما کریما،سلیم الباطن،حسن الدیانة،متمسّکا بالسنّة،و لکنّه لم یکن کما کان علیه أبوه و جدّه، و کان الدوادار و الشرابی لهم الأرض،جاء هولاکو البلاد فی نحو</w:t>
      </w:r>
      <w:bookmarkStart w:id="45" w:name="pg4662_29157"/>
    </w:p>
    <w:p>
      <w:pPr>
        <w:pStyle w:val="BookText"/>
        <w:rPr/>
      </w:pPr>
      <w:bookmarkEnd w:id="45"/>
      <w:r>
        <w:rPr>
          <w:rFonts w:ascii="IRNazanin" w:hAnsi="IRNazanin" w:eastAsia="IRNazanin"/>
          <w:color w:val="111111"/>
          <w:sz w:val="28"/>
          <w:sz w:val="28"/>
          <w:szCs w:val="28"/>
          <w:rtl w:val="true"/>
          <w:lang w:bidi="fa-IR"/>
        </w:rPr>
        <w:t xml:space="preserve">مائتین ألف فارس،و طلب الخلیفة وحده فطلع و مع القضاة و المدرّسون و الأعیان نحو سبعمائة نفس،فلمّا وصلوا إلی الحریبة جاء الأمر بحضور الخلیفة وحده،و معه سبعة عشر نفسا،فساقوا مع الخلیفة و أنزلوا من بقی من خیلهم و ضربوا رقابهم،و وقع السیف فی بغداد،و عمل القتل أربعین یوما،و أنزلوا الخلیفة فی خیمة وحده و السبعة عشر فی خیمة أخری،ثمّ إنّ هولاکو أحضر الخلیفة و جرت له معه و مع ابنه أبی بکر محاورات و أخرجا و رفسوهما إلی أن ماتا،و عفّی أثرهما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538355_2035185390"/>
      <w:bookmarkStart w:id="47" w:name="_Toc17"/>
      <w:bookmarkEnd w:id="46"/>
      <w:r>
        <w:rPr>
          <w:rtl w:val="true"/>
        </w:rPr>
        <w:t>الرجوع إلی ابن خلدون</w:t>
      </w:r>
      <w:r>
        <w:rPr>
          <w:rtl w:val="true"/>
        </w:rPr>
        <w:t>:</w:t>
      </w:r>
      <w:bookmarkEnd w:id="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ننتقل إلی ابن خلدون،ابن خلدون متولّد فی سنة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و وفاته سنة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،یذکر فی تاریخه خبر المستعصم آخر ملوک بنی العبّاس ببغداد،فلم یصف الخلیفة بما وصفه به غیره من الصفات الدنیئة الموجبة للعار و الشنار،و المسببة لما وقع به و بأهل بغداد، بل وصفه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فقیها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ما کان من السنّة ضدّ الشیعة فی الکرخ بأمر من الخلیفة و ابنه أبی بکر و رکن الدین</w:t>
      </w:r>
      <w:bookmarkStart w:id="48" w:name="pg4662_29158"/>
    </w:p>
    <w:p>
      <w:pPr>
        <w:pStyle w:val="BookText"/>
        <w:rPr/>
      </w:pPr>
      <w:bookmarkEnd w:id="48"/>
      <w:r>
        <w:rPr>
          <w:rFonts w:ascii="IRNazanin" w:hAnsi="IRNazanin" w:eastAsia="IRNazanin"/>
          <w:color w:val="111111"/>
          <w:sz w:val="28"/>
          <w:sz w:val="28"/>
          <w:szCs w:val="28"/>
          <w:rtl w:val="true"/>
          <w:lang w:bidi="fa-IR"/>
        </w:rPr>
        <w:t>الدوادار،ثمّ ذکر زحف هولاکو إلی العراق و دخول بغداد و قتل الخلیفة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فی شیء ممّا ذکر ذکرا لنصیر الدین الطوسی أبدا، فلاحظوا تاریخه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538357_2035185390"/>
      <w:bookmarkStart w:id="50" w:name="_Toc18"/>
      <w:bookmarkEnd w:id="49"/>
      <w:r>
        <w:rPr>
          <w:rtl w:val="true"/>
        </w:rPr>
        <w:t>الرجوع إلی السیوطی</w:t>
      </w:r>
      <w:r>
        <w:rPr>
          <w:rtl w:val="true"/>
        </w:rPr>
        <w:t>:</w:t>
      </w:r>
      <w:bookmarkEnd w:id="50"/>
    </w:p>
    <w:p>
      <w:pPr>
        <w:pStyle w:val="BookText"/>
        <w:rPr/>
      </w:pPr>
      <w:r>
        <w:rPr>
          <w:rFonts w:ascii="IRNazanin" w:hAnsi="IRNazanin" w:eastAsia="IRNazanin"/>
          <w:color w:val="111111"/>
          <w:sz w:val="28"/>
          <w:sz w:val="28"/>
          <w:szCs w:val="28"/>
          <w:rtl w:val="true"/>
          <w:lang w:bidi="fa-IR"/>
        </w:rPr>
        <w:t xml:space="preserve">و ذکر جلال الدین السیوطی فی تاریخه تاریخ الخلفاء، السیوطی وفاته سنة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،ذکر أخبار التتر،و ورودهم إلی بغداد، و قتل الخلیفة و غیر ذلک،فی صفحات کثیرة،و لیس فیها ذکرا لنصیر الدین الطوسی أبدا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فأین ما ذکره ابن تیمیّة حول نصیر الدین الطوسی رحمه اللّه فیما یتعلّق بقضیّة بغداد</w:t>
      </w:r>
      <w:r>
        <w:rPr>
          <w:rFonts w:eastAsia="IRNazanin" w:cs="IRNazanin"/>
          <w:color w:val="111111"/>
          <w:sz w:val="28"/>
          <w:szCs w:val="28"/>
          <w:rtl w:val="true"/>
          <w:lang w:bidi="fa-IR"/>
        </w:rPr>
        <w:t>.</w:t>
      </w:r>
    </w:p>
    <w:p>
      <w:pPr>
        <w:pStyle w:val="Heading3"/>
        <w:numPr>
          <w:ilvl w:val="2"/>
          <w:numId w:val="1"/>
        </w:numPr>
        <w:rPr/>
      </w:pPr>
      <w:bookmarkStart w:id="51" w:name="__RefHeading___Toc538359_2035185390"/>
      <w:bookmarkStart w:id="52" w:name="_Toc19"/>
      <w:bookmarkEnd w:id="51"/>
      <w:r>
        <w:rPr>
          <w:rtl w:val="true"/>
        </w:rPr>
        <w:t>الرجوع إلی أصحاب ابن تیمیة</w:t>
      </w:r>
      <w:r>
        <w:rPr>
          <w:rtl w:val="true"/>
        </w:rPr>
        <w:t>:</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ننتقل إلی أصحاب ابن تیمیّة و المقرّبین منه،و هم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الذهبی،و ابن کثیر،و ابن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الذهبی ذکرنا عبارته،و وجدناه لا یشیر لا من قریب و لا من بعید إلی ما ذکره ابن تیمیّة،و کذا بترجمة المستعصم إذا راجعتم سیر أعلام النبلاء حیث ذکر الواقعة ناقلا شرحها عن جمال الدین سلیمان بن رطنین الحنبلی،و الظهیر الکازرونی،و غیرهما،و لیس فی ذلک ذکرا لنصیر الدین الطوسی أبدا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ابن کثیر،ابن کثیر ولادته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الواقعة حدود الخمسین سنة و وفاته سنة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،ترجم لنصیر الدین الطوسی،و لم ینسبه إلی شیء أو لم ینسب شیئا ممّا ذکر ابن تیمیّة إلی الخواجة نصیر الدین،من الإخلال بالصلوات و شرب الخمر و ارتکاب الفواحش،لم یذکر شیئا من هذه أبدا،و إنّما ذکر ما نسب إلیه من الإشارة علی هولاکو بقتل الخلیفة،بعبارة ظاهرة جدّا فی التشکیک فی ذلک،و إلیکم نصّ ما قاله ابن کثیر فی تاریخه فی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یزعم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الخواجه نصیر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علی هولاکو خان بقتل الخلیفة،فاللّه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یقول أکثر من هذا،و من الناس من یزعم،و اللّه أعلم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و أنّه یقصد من الناس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بعد أن یذکر ذلک عن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أنّ هذا لا یصدر من عاقل و لا فاضل،و قد ذکره بعض البغاددة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أهالی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فأثنی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عاقلا فاضلا کریم الأخلاق،و دفن فی مشهد موسی بن جعفر،فی سرداب کان قد أعدّ للخلیفة الناصر لدین اللّه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من جملة المواضع التی لا یوافق فیها ابن کثیر شیخه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ابن قیّم الجوزیّة،ابن قیّم الجوزیّة لم یتبع ابن تیمیّة فقط، بل زاد علی ما قال شیخه أشیاء أخری أیضا،لاحظوا عبارته بالنص عند ما یذکر نصیر الدین الطوسی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الشرک و الکفر و الإلحاد،وزیر الملاحدة النصیر الطوسی،وزیر هولاکو،شفی نفسه من أتباع الرسول و أهل دینه، فعرضهم علی السیف حتّی شفی إخوانه من الملاحدة و اشتفی هو، فقتل الخلیفة المستعصم و القضاة و الفقهاء و المحدّثین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هی بالنصب،لا بد أن تقرأ الکلمة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قتل،أی قتل نصیر الدین المستعصم و القضاة و الفقهاء و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نرجع الضمیر إلی هولاکو،لکن بأمر الخواجة نصیر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استبقی الفلاسفة و المنجّمین و الطبایعیین و السحرة،و نقل أوقاف المدارس و المساجد و الربط إلیهم،و جعلهم خاصته و أولیاءه،و نصر فی کتبه قدم العالم و بطلان المعاد و إنکار صفات الربّ جلّ جلاله من علمه و قدرته و حیاته و سمعه و بصره،و اتّخذ للملاحدة مدارس،و رام جعل إشارات إمام الملحدین ابن سینا مکان القرآن،فلم یقدر علی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قرآن الخواص و ذلک قرآن العوام،و رام تغییر الصلاة و جعلها صلاتین،فلم یتم له الأمر، و تعلّم السحر فی آخر الأمر فکان ساحرا یعبد الأصنام،انتهی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الأمر تاب نصیر الدین الطوسی،قرأنا عبارته فی أنّه فی آخر الأمر تاب نصیر الدین الطوسی و کان یصلّی و تعلّم الفقه و قرأ تفسیر البغوی فی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السحر فی آخر الأمر،فکان ساحرا یعبد الأصنام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هنا تبیّن أنّ ما ینسب سابقا و لاحقا إلی الخواجة نصیر الدین الطوسی لیس له سبب،سوی أنّ هذا الرجل العظیم استفاد من تلک الظروف لصالح هذا المذهب المظلوم،و تمکّن من</w:t>
      </w:r>
    </w:p>
    <w:p>
      <w:pPr>
        <w:pStyle w:val="BookText"/>
        <w:rPr/>
      </w:pPr>
      <w:r>
        <w:rPr>
          <w:rFonts w:ascii="IRNazanin" w:hAnsi="IRNazanin" w:eastAsia="IRNazanin"/>
          <w:color w:val="111111"/>
          <w:sz w:val="28"/>
          <w:sz w:val="28"/>
          <w:szCs w:val="28"/>
          <w:rtl w:val="true"/>
          <w:lang w:bidi="fa-IR"/>
        </w:rPr>
        <w:t>تألیف کتابه تجرید الإعتقاد،و أصبح هذا الکتاب هو الکتاب الذی یدرّس فی الأوساط العلمیّة،و طرحت أفکار الإمامیّة فی الأوساط العلمیّة،بعد أن لم تکن لأفکار هذه الطائفة أیّة فرصة، و لم یکن لآراء هذه الطائفة أیّ مجال لأن یذکر شیء منها فی المدارس العلمیّة و الأوساط العلمیّة،حینئذ أصبح الآخرون عیالا علی الخواجة نصیر الدین الطوسی فی علم الکلام و العقائد،و بتبع کتاب التجرید ألّفت کتبهم فی العقائد،و هذا ممّا یغتاظ منه القوم، فهذا کان هو السبب العمدة لأن ینسب ما سمعتم إلی هذا الرجل العظیم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ثبت أنّ کلّ ما ینسب إلیه باطل،و لا أساس له من الصحّة، إستنادا إلی کلمات المؤرّخین من أهل السنّة أنفسهم،من ابن الفوطی الذی عاصر القضیّة و کان من الأسری فی الواقعة،ثمّ ابن الطقطقی،ثمّ ابن کثیر،ثمّ الذهبی،و الصفدی،و ابن شاکر الکتبی، و غیرهم،و هؤلاء کلّهم من أهل السنّة،و هکذا أبو الفداء،و لم ننقل شیئا لتبرئة ساحة هذا الشیخ العظیم عن أحد من علماء الشیعة</w:t>
      </w:r>
      <w:r>
        <w:rPr>
          <w:rFonts w:eastAsia="IRNazanin" w:cs="IRNazanin"/>
          <w:color w:val="111111"/>
          <w:sz w:val="28"/>
          <w:szCs w:val="28"/>
          <w:rtl w:val="true"/>
          <w:lang w:bidi="fa-IR"/>
        </w:rPr>
        <w:t>.</w:t>
      </w:r>
      <w:bookmarkStart w:id="53" w:name="pg4662_29163"/>
    </w:p>
    <w:p>
      <w:pPr>
        <w:pStyle w:val="Heading2"/>
        <w:numPr>
          <w:ilvl w:val="1"/>
          <w:numId w:val="1"/>
        </w:numPr>
        <w:rPr/>
      </w:pPr>
      <w:bookmarkStart w:id="54" w:name="__RefHeading___Toc538361_2035185390"/>
      <w:bookmarkStart w:id="55" w:name="_Toc20"/>
      <w:bookmarkEnd w:id="53"/>
      <w:bookmarkEnd w:id="54"/>
      <w:r>
        <w:rPr>
          <w:rtl w:val="true"/>
        </w:rPr>
        <w:t>الثناء علی الشیخ نصیر الدین الطوسی</w:t>
      </w:r>
      <w:bookmarkEnd w:id="55"/>
    </w:p>
    <w:p>
      <w:pPr>
        <w:pStyle w:val="BookText"/>
        <w:rPr/>
      </w:pPr>
      <w:r>
        <w:rPr>
          <w:rFonts w:ascii="IRNazanin" w:hAnsi="IRNazanin" w:eastAsia="IRNazanin"/>
          <w:color w:val="111111"/>
          <w:sz w:val="28"/>
          <w:sz w:val="28"/>
          <w:szCs w:val="28"/>
          <w:rtl w:val="true"/>
          <w:lang w:bidi="fa-IR"/>
        </w:rPr>
        <w:t>و الآن،لا بأس أن أذکر لکم بعض النصوص فی الثناء الجمیل علی هذا الشیخ العظیم من کتب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لاحظوا عبارة ابن کثیر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 الطوسی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والده محمّد فهو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یقال له المولی نصیر الدین،و یقال الخواجة نصیر الدین،اشتغل فی شبیبته، و حصّل علم الأوائل جیّدا،و صنّف فی ذلک فی علم الکلام،و شرح الإشارات لابن سینا،و وزر لأصحاب قلاع الألموت من الإسماعیلیّة،ثمّ وزر لهولاکو،و کان معهم فی واقعة بغداد،و من الناس من یزعم أنّه أشار علی هولاکو بقتل الخلیفة،فاللّه أعلم، و عندی أنّ هذا لا یصدر من عاقل و لا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قرأناه سابقا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کان قد بنی الرصد فی مراغة،و رتّب فیه الحکماء من الفلاسفة و المتکلّمین و الفقهاء و المحدّثین و الأطبّاء،</w:t>
      </w:r>
    </w:p>
    <w:p>
      <w:pPr>
        <w:pStyle w:val="BookText"/>
        <w:rPr/>
      </w:pPr>
      <w:r>
        <w:rPr>
          <w:rFonts w:ascii="IRNazanin" w:hAnsi="IRNazanin" w:eastAsia="IRNazanin"/>
          <w:color w:val="111111"/>
          <w:sz w:val="28"/>
          <w:sz w:val="28"/>
          <w:szCs w:val="28"/>
          <w:rtl w:val="true"/>
          <w:lang w:bidi="fa-IR"/>
        </w:rPr>
        <w:t>و غیرهم من الفضلاء،و بنی له فیه قبّة عظیمة،و جعل فیه کتبا کثیرة جدّا،توفی فی بغداد فی الثانی عشر من ذی الحجة من هذه السنة، و له خمس و سبعون سنة،و له شعر جیّد قویّ،و أصل اشتغاله علی المعین سالم بن بدران بن علی المصری المعتزلی المتشیّع،فنزع فیه حروب کثیرة منه حتّی أفسد 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ذکره فی ترجمة نصیر الدین الطوسی،و فیه الثناء الجمیل علی علمه،إلاّ أنّه یعرّض به لأجل مذهبه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الذهبی فی وفیات سنة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الفلاسفة خواجة نصیر الدین محمّد بن محمّد بن حسن الطوسی صاحب الرصد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نصیر الدین الطوسی أبو عبد اللّه محمّد بن محمّد بن الحسن،مات فی ذی الحجّة ببغداد،و قد نیّف علی الثمانین،و کان رأسا فی علم الأوائل،ذا منزلة من هولاکو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الإثنین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الحجة،توفی الشیخ العلاّمة نصیر الدین الطوسی،و اسمه محمّد بن محمّد الإمام المشهور،و کان یخدم صاحب الألموت،ثمّ خدم هولاکو،و حظی عنده،و عمل لهولاکو</w:t>
      </w:r>
    </w:p>
    <w:p>
      <w:pPr>
        <w:pStyle w:val="BookText"/>
        <w:rPr/>
      </w:pPr>
      <w:r>
        <w:rPr>
          <w:rFonts w:ascii="IRNazanin" w:hAnsi="IRNazanin" w:eastAsia="IRNazanin"/>
          <w:color w:val="111111"/>
          <w:sz w:val="28"/>
          <w:sz w:val="28"/>
          <w:szCs w:val="28"/>
          <w:rtl w:val="true"/>
          <w:lang w:bidi="fa-IR"/>
        </w:rPr>
        <w:t xml:space="preserve">رصدا بمراغة و زیجا و له مصنفات عدیدة کلّها نفیسة،منها أقلیدس یتضمّن اختلاط الأوضاع،و کتاب المجسطی،و التذکرة فی الهیئة لم یصنّف فی فنّها مثلها،و شرح الإشارات،و أجاب عن غالب إیرادات فخر الدین الرازی،و کانت ولادته فی الحادی عشر جمادی الأولی سنة سبع و تسعین و خمسمائة،و کانت وفاته ببغداد،و دفن فی مشهد موسی الجواد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و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لا بدّ منها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 الطوسی محمّد بن محمّد بن الحسن نصیر الدین الطوسی،الفیلسوف،صاحب علم الریاضی، کان رأسا فی علم الأوائل،لا سیّما فی الأرصاد و المجسطی،فإنّه فاق الکبار،قرأ علی المعین سالم بن بدران المعتزلی الرافضی و غیره،و کان ذا حرمة وافرة و منزلة عالیة عند هولاکو،و کان یطیع علی ما یشیر علیه،و الأموال فی تصریفه،و ابتنی بمراغة قبّة و رصدا عظیما،و اتخذ فی ذلک خزانة عظیمة،فسیحة الأرجاء و ملأها من الکتب التی نهبت من بغداد و الشام و الجزیرة،حتّی تجمّع فیها زیادة علی أربعمائة ألف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تلک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w:t>
      </w:r>
    </w:p>
    <w:p>
      <w:pPr>
        <w:pStyle w:val="BookText"/>
        <w:rPr/>
      </w:pPr>
      <w:r>
        <w:rPr>
          <w:rFonts w:ascii="IRNazanin" w:hAnsi="IRNazanin" w:eastAsia="IRNazanin"/>
          <w:color w:val="111111"/>
          <w:sz w:val="28"/>
          <w:sz w:val="28"/>
          <w:szCs w:val="28"/>
          <w:rtl w:val="true"/>
          <w:lang w:bidi="fa-IR"/>
        </w:rPr>
        <w:t>بالرصد المنجّمین و الفلاسفة،و جعل لهم الأوقاف،و کان حسن الصورة،سمحا کریما جوادا حلیما حسن العشرة غزیر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أنّه لمّا أراد العمل بالرصد رأی هولاکو ما یقدم علیه،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العلم المتعلق بالنجوم ما فائدته،أیدفع ما قدّر أن یکون؟فقال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أضرب لک مثلا،یأمر القان من یطلع إلی هذا المکان،و یرمی من أعلاه طشتا نحاسا کبیرا من غیر أن یعلم به أحد،ففعل ذلک،و لمّا وقع کان له وقعة عظیمة هائلة روّعت کلّ من هناک،و کاد بعضهم یصعق،فأمّا هو و هولاکو فإنّهما ما حصل لهما شیء لعلمهما بأنّ ذلک یقع،فقال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العلم النجومی له هذه الفائدة،یعلم المتحدّث فیه ما یحدث،فلا یحصل له من الروعة ما یحصل للذاهل الغافل عنه،فقال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بهذا،و أمره بالشروع فیه،إلی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دهائه ما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حصل لهولاکو غضب علی علاء الدین الجوینی صاحب الدیوان،فأمر بقتله،فجاء أخوه إلی النصیر و ذکر له،فقال 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فسعی فی خلاص هذا الشخص</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وقف له علیه أن ورقة حضرت إلیه عن شخص من جملة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کلب یابن الکلب،فکان الجواب منه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کلب،</w:t>
      </w:r>
    </w:p>
    <w:p>
      <w:pPr>
        <w:pStyle w:val="BookText"/>
        <w:rPr/>
      </w:pPr>
      <w:r>
        <w:rPr>
          <w:rFonts w:ascii="IRNazanin" w:hAnsi="IRNazanin" w:eastAsia="IRNazanin"/>
          <w:color w:val="111111"/>
          <w:sz w:val="28"/>
          <w:sz w:val="28"/>
          <w:szCs w:val="28"/>
          <w:rtl w:val="true"/>
          <w:lang w:bidi="fa-IR"/>
        </w:rPr>
        <w:t>فلیس بصحیح،لأنّ الکلب من ذوات الأربع و هو نابح طویل الأظفار،و أمّا أنا فمنتصب القائمة بادی البشرة عریض الأظفار ناطق ضاحک،فهذه الفصول و الخواص غیر تلک الفصول و الخواص،و أطال فی نقض کل ما قاله ذلک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ردّ علیه بحسن طویة و تأن غیر منزعج،و لم یقل فی الجواب کلمة 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تصانیفه،ثمّ ذکر بعض القضایا الأخری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أرید أن أطیل علیکم بقراءة کلّ ما فی کتاب الوافی بالوفیات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لاحظوا هذه العبارة من کلامه،أقرؤها علیکم،یقول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للمسلمین به نفع خصوصا الشیعة و العلویین و الحکماء و غیرهم، و کان یبرّهم و یقضی أشغالهم و یحمی أوقاتهم،و کان مع هذا کلّه فیه تواضع و حسن ملتقی،و کان نصیر قدم من مراغة إلی بغداد،و معه کثیر من تلامذته و أصحابه،فأقام بها مدّة أشهر و مات،و مولد النصیر بطوس سنة کذا و وفاته سنة کذا،و شیّعه صاحب الدیوان و الکبار،و کانت جنازته حفلة،و دفن فی مشهد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فی هذا النص علی طوله من نقص،من 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الوافی بالوفیات کتاب معتبر،و مؤلّفه من أهل السنّة المعروفین المشهورین المعتمدین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أقرأ لکم ما جاء فی فوات الوفیات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الخواجة نصیر الدین الطوسی محمّد بن محمّد بن الحسن نصیر الدین،کان رأسا فی علم الأوائل،لا سیّما فی الأرصاد و المجسطی،و کان یطیعه هولاکو فیما یشیر علیه،و الأموال فی تصریفه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تقریبا عبارات الوافی بالوفیات و 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حسن الصورة سمحا کریما جوادا حلیما حسن العشرة غزیر الفضائل جلیل القدر داهیة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ذکر تصانیفه و هی کثیرة جدّا،و ذکر کلمات بعض لعلماء فی حقّه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فی مشهد الکاظم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تجدون الثناء علیه فی النجوم الزاهرة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غیر هؤلاء من المؤلفین و المؤرخین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ما ذکره ابن تیمیّة أو ما زاد علیه تلمیذه ابن قیّم الجوزیّة؟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 ما ذکرته لکم</w:t>
      </w:r>
      <w:r>
        <w:rPr>
          <w:rFonts w:eastAsia="IRNazanin" w:cs="IRNazanin"/>
          <w:color w:val="111111"/>
          <w:sz w:val="28"/>
          <w:szCs w:val="28"/>
          <w:rtl w:val="true"/>
          <w:lang w:bidi="fa-IR"/>
        </w:rPr>
        <w:t>.</w:t>
      </w:r>
      <w:bookmarkStart w:id="56" w:name="pg4662_29169"/>
    </w:p>
    <w:p>
      <w:pPr>
        <w:pStyle w:val="Heading2"/>
        <w:numPr>
          <w:ilvl w:val="1"/>
          <w:numId w:val="1"/>
        </w:numPr>
        <w:rPr/>
      </w:pPr>
      <w:bookmarkStart w:id="57" w:name="__RefHeading___Toc538363_2035185390"/>
      <w:bookmarkStart w:id="58" w:name="_Toc21"/>
      <w:bookmarkEnd w:id="56"/>
      <w:bookmarkEnd w:id="57"/>
      <w:r>
        <w:rPr>
          <w:rtl w:val="true"/>
        </w:rPr>
        <w:t>خاتمة البحث</w:t>
      </w:r>
      <w:bookmarkEnd w:id="58"/>
    </w:p>
    <w:p>
      <w:pPr>
        <w:pStyle w:val="BookText"/>
        <w:rPr/>
      </w:pPr>
      <w:r>
        <w:rPr>
          <w:rFonts w:ascii="IRNazanin" w:hAnsi="IRNazanin" w:eastAsia="IRNazanin"/>
          <w:color w:val="111111"/>
          <w:sz w:val="28"/>
          <w:sz w:val="28"/>
          <w:szCs w:val="28"/>
          <w:rtl w:val="true"/>
          <w:lang w:bidi="fa-IR"/>
        </w:rPr>
        <w:t>و العجیب أنّکم لو قرأتم کتب علمائنا فی التراجم و سیر العلماء و فی التواریخ،لن تجدوا لفظة واحدة من هذه الألفاظ التی تصدر من بعض هؤلاء فی حقّ علماء الشیعة،لن تجدوا لفظة منها فی حقّ علماء السنة،فإن ذکروا شیئا عن بعض علماء أهل السنّة،فإنّما یذکرونه بأدب و متانة،فکیف و أن ینسبوا إلی أحد منهم ما لیس فیه،و ما لا یجوز نسبته إلیه،لاحظوا الکتب،قارنوا بین کتبنا و کتبهم،قارنوا بین أسالیب علمائنا و أسالیب شیخ إسلامهم، لتعرفوا الحقّ و تکونوا من أتباع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عرفتم الحقّ تعرفون أهله،و إذا عرفتم الحق تتّبعونه بلا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إذن،عرفنا فی هذا البحث أمورا،و کان لهذا البحث فوائد عدیدة،و لا حاجة إلی الإطالة بأکثر ممّا ذکرته لکم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صلّی اللّه علی محمّد و آله الطاهرین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1493/4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فی الآداب السلطانیة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أحوال البشر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641/17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1104/6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181/23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276/13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فی ملوک نصر و القاهرة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Pages>
  <Words>4800</Words>
  <Characters>21664</Characters>
  <CharactersWithSpaces>26215</CharactersWithSpaces>
  <Paragraphs>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2026-08-18T18:27:06Z</dcterms:created>
  <dc:creator>ghaemiyeh.com</dc:creator>
  <dc:description/>
  <dc:language>en-US</dc:language>
  <cp:lastModifiedBy/>
  <dcterms:modified xsi:type="dcterms:W3CDTF">2026-08-18T21:57:07Z</dcterms:modified>
  <cp:revision>1</cp:revision>
  <dc:subject/>
  <dc:title>الشیخ نصیرالدین الطوسی و سقوط بغداد</dc:title>
</cp:coreProperties>
</file>

<file path=docProps/custom.xml><?xml version="1.0" encoding="utf-8"?>
<Properties xmlns="http://schemas.openxmlformats.org/officeDocument/2006/custom-properties" xmlns:vt="http://schemas.openxmlformats.org/officeDocument/2006/docPropsVTypes"/>
</file>