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گذرگاه ها و سد معبر در فقه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1912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61914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61916_147905668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561918_1479056682">
            <w:r>
              <w:rPr>
                <w:webHidden/>
                <w:rStyle w:val="IndexLink"/>
                <w:rtl w:val="true"/>
              </w:rPr>
              <w:t>اهداء</w:t>
            </w:r>
            <w:r>
              <w:rPr>
                <w:rStyle w:val="IndexLink"/>
                <w:rtl w:val="true"/>
              </w:rPr>
              <w:tab/>
            </w:r>
            <w:r>
              <w:rPr>
                <w:rStyle w:val="IndexLink"/>
              </w:rPr>
              <w:t>9</w:t>
            </w:r>
          </w:hyperlink>
        </w:p>
        <w:p>
          <w:pPr>
            <w:pStyle w:val="Contents2"/>
            <w:tabs>
              <w:tab w:val="clear" w:pos="8743"/>
              <w:tab w:val="right" w:pos="9026" w:leader="dot"/>
            </w:tabs>
            <w:rPr/>
          </w:pPr>
          <w:hyperlink w:anchor="__RefHeading___Toc1561920_1479056682">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561922_1479056682">
            <w:r>
              <w:rPr>
                <w:webHidden/>
                <w:rStyle w:val="IndexLink"/>
                <w:rtl w:val="true"/>
              </w:rPr>
              <w:t>گفتار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1561924_147905668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61926_1479056682">
            <w:r>
              <w:rPr>
                <w:webHidden/>
                <w:rStyle w:val="IndexLink"/>
              </w:rPr>
              <w:t>1</w:t>
            </w:r>
            <w:r>
              <w:rPr>
                <w:rStyle w:val="IndexLink"/>
                <w:rtl w:val="true"/>
              </w:rPr>
              <w:t xml:space="preserve">- </w:t>
            </w:r>
            <w:r>
              <w:rPr>
                <w:rStyle w:val="IndexLink"/>
                <w:rtl w:val="true"/>
              </w:rPr>
              <w:t>پیدایش</w:t>
            </w:r>
            <w:r>
              <w:rPr>
                <w:rStyle w:val="IndexLink"/>
                <w:rtl w:val="true"/>
              </w:rPr>
              <w:tab/>
            </w:r>
            <w:r>
              <w:rPr>
                <w:rStyle w:val="IndexLink"/>
              </w:rPr>
              <w:t>17</w:t>
            </w:r>
          </w:hyperlink>
        </w:p>
        <w:p>
          <w:pPr>
            <w:pStyle w:val="Contents3"/>
            <w:tabs>
              <w:tab w:val="clear" w:pos="8459"/>
              <w:tab w:val="right" w:pos="9026" w:leader="dot"/>
            </w:tabs>
            <w:rPr/>
          </w:pPr>
          <w:hyperlink w:anchor="__RefHeading___Toc1561928_1479056682">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17</w:t>
            </w:r>
          </w:hyperlink>
        </w:p>
        <w:p>
          <w:pPr>
            <w:pStyle w:val="Contents3"/>
            <w:tabs>
              <w:tab w:val="clear" w:pos="8459"/>
              <w:tab w:val="right" w:pos="9026" w:leader="dot"/>
            </w:tabs>
            <w:rPr/>
          </w:pPr>
          <w:hyperlink w:anchor="__RefHeading___Toc1561930_1479056682">
            <w:r>
              <w:rPr>
                <w:webHidden/>
                <w:rStyle w:val="IndexLink"/>
              </w:rPr>
              <w:t>3</w:t>
            </w:r>
            <w:r>
              <w:rPr>
                <w:rStyle w:val="IndexLink"/>
                <w:rtl w:val="true"/>
              </w:rPr>
              <w:t xml:space="preserve">- </w:t>
            </w:r>
            <w:r>
              <w:rPr>
                <w:rStyle w:val="IndexLink"/>
                <w:rtl w:val="true"/>
              </w:rPr>
              <w:t>کاربری</w:t>
            </w:r>
            <w:r>
              <w:rPr>
                <w:rStyle w:val="IndexLink"/>
                <w:rtl w:val="true"/>
              </w:rPr>
              <w:tab/>
            </w:r>
            <w:r>
              <w:rPr>
                <w:rStyle w:val="IndexLink"/>
              </w:rPr>
              <w:t>18</w:t>
            </w:r>
          </w:hyperlink>
        </w:p>
        <w:p>
          <w:pPr>
            <w:pStyle w:val="Contents4"/>
            <w:tabs>
              <w:tab w:val="clear" w:pos="8176"/>
              <w:tab w:val="right" w:pos="9026" w:leader="dot"/>
            </w:tabs>
            <w:rPr/>
          </w:pPr>
          <w:hyperlink w:anchor="__RefHeading___Toc1561932_1479056682">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561934_1479056682">
            <w:r>
              <w:rPr>
                <w:webHidden/>
                <w:rStyle w:val="IndexLink"/>
              </w:rPr>
              <w:t>1-3</w:t>
            </w:r>
            <w:r>
              <w:rPr>
                <w:rStyle w:val="IndexLink"/>
                <w:rtl w:val="true"/>
              </w:rPr>
              <w:t xml:space="preserve">- </w:t>
            </w:r>
            <w:r>
              <w:rPr>
                <w:rStyle w:val="IndexLink"/>
                <w:rtl w:val="true"/>
              </w:rPr>
              <w:t>بهره‌برداری آزاد</w:t>
            </w:r>
            <w:r>
              <w:rPr>
                <w:rStyle w:val="IndexLink"/>
                <w:rtl w:val="true"/>
              </w:rPr>
              <w:tab/>
            </w:r>
            <w:r>
              <w:rPr>
                <w:rStyle w:val="IndexLink"/>
              </w:rPr>
              <w:t>18</w:t>
            </w:r>
          </w:hyperlink>
        </w:p>
        <w:p>
          <w:pPr>
            <w:pStyle w:val="Contents4"/>
            <w:tabs>
              <w:tab w:val="clear" w:pos="8176"/>
              <w:tab w:val="right" w:pos="9026" w:leader="dot"/>
            </w:tabs>
            <w:rPr/>
          </w:pPr>
          <w:hyperlink w:anchor="__RefHeading___Toc1561936_1479056682">
            <w:r>
              <w:rPr>
                <w:webHidden/>
                <w:rStyle w:val="IndexLink"/>
              </w:rPr>
              <w:t>2-3</w:t>
            </w:r>
            <w:r>
              <w:rPr>
                <w:rStyle w:val="IndexLink"/>
                <w:rtl w:val="true"/>
              </w:rPr>
              <w:t xml:space="preserve">- </w:t>
            </w:r>
            <w:r>
              <w:rPr>
                <w:rStyle w:val="IndexLink"/>
                <w:rtl w:val="true"/>
              </w:rPr>
              <w:t>بیشتر برای تردد</w:t>
            </w:r>
            <w:r>
              <w:rPr>
                <w:rStyle w:val="IndexLink"/>
                <w:rtl w:val="true"/>
              </w:rPr>
              <w:tab/>
            </w:r>
            <w:r>
              <w:rPr>
                <w:rStyle w:val="IndexLink"/>
              </w:rPr>
              <w:t>19</w:t>
            </w:r>
          </w:hyperlink>
        </w:p>
        <w:p>
          <w:pPr>
            <w:pStyle w:val="Contents4"/>
            <w:tabs>
              <w:tab w:val="clear" w:pos="8176"/>
              <w:tab w:val="right" w:pos="9026" w:leader="dot"/>
            </w:tabs>
            <w:rPr/>
          </w:pPr>
          <w:hyperlink w:anchor="__RefHeading___Toc1561938_1479056682">
            <w:r>
              <w:rPr>
                <w:webHidden/>
                <w:rStyle w:val="IndexLink"/>
              </w:rPr>
              <w:t>3-3</w:t>
            </w:r>
            <w:r>
              <w:rPr>
                <w:rStyle w:val="IndexLink"/>
                <w:rtl w:val="true"/>
              </w:rPr>
              <w:t xml:space="preserve">- </w:t>
            </w:r>
            <w:r>
              <w:rPr>
                <w:rStyle w:val="IndexLink"/>
                <w:rtl w:val="true"/>
              </w:rPr>
              <w:t>تنها برای تردد</w:t>
            </w:r>
            <w:r>
              <w:rPr>
                <w:rStyle w:val="IndexLink"/>
                <w:rtl w:val="true"/>
              </w:rPr>
              <w:tab/>
            </w:r>
            <w:r>
              <w:rPr>
                <w:rStyle w:val="IndexLink"/>
              </w:rPr>
              <w:t>21</w:t>
            </w:r>
          </w:hyperlink>
        </w:p>
        <w:p>
          <w:pPr>
            <w:pStyle w:val="Contents2"/>
            <w:tabs>
              <w:tab w:val="clear" w:pos="8743"/>
              <w:tab w:val="right" w:pos="9026" w:leader="dot"/>
            </w:tabs>
            <w:rPr/>
          </w:pPr>
          <w:hyperlink w:anchor="__RefHeading___Toc1561940_1479056682">
            <w:r>
              <w:rPr>
                <w:webHidden/>
                <w:rStyle w:val="IndexLink"/>
                <w:rtl w:val="true"/>
              </w:rPr>
              <w:t>گفتار دوم</w:t>
            </w:r>
            <w:r>
              <w:rPr>
                <w:rStyle w:val="IndexLink"/>
                <w:rtl w:val="true"/>
              </w:rPr>
              <w:t xml:space="preserve">: </w:t>
            </w:r>
            <w:r>
              <w:rPr>
                <w:rStyle w:val="IndexLink"/>
                <w:rtl w:val="true"/>
              </w:rPr>
              <w:t>آسیب شناسی</w:t>
            </w:r>
            <w:r>
              <w:rPr>
                <w:rStyle w:val="IndexLink"/>
                <w:rtl w:val="true"/>
              </w:rPr>
              <w:tab/>
            </w:r>
            <w:r>
              <w:rPr>
                <w:rStyle w:val="IndexLink"/>
              </w:rPr>
              <w:t>27</w:t>
            </w:r>
          </w:hyperlink>
        </w:p>
        <w:p>
          <w:pPr>
            <w:pStyle w:val="Contents3"/>
            <w:tabs>
              <w:tab w:val="clear" w:pos="8459"/>
              <w:tab w:val="right" w:pos="9026" w:leader="dot"/>
            </w:tabs>
            <w:rPr/>
          </w:pPr>
          <w:hyperlink w:anchor="__RefHeading___Toc1561942_147905668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61944_1479056682">
            <w:r>
              <w:rPr>
                <w:webHidden/>
                <w:rStyle w:val="IndexLink"/>
              </w:rPr>
              <w:t>1</w:t>
            </w:r>
            <w:r>
              <w:rPr>
                <w:rStyle w:val="IndexLink"/>
                <w:rtl w:val="true"/>
              </w:rPr>
              <w:t xml:space="preserve">- </w:t>
            </w:r>
            <w:r>
              <w:rPr>
                <w:rStyle w:val="IndexLink"/>
                <w:rtl w:val="true"/>
              </w:rPr>
              <w:t>بهره‌برداری‌های خطر ساز</w:t>
            </w:r>
            <w:r>
              <w:rPr>
                <w:rStyle w:val="IndexLink"/>
                <w:rtl w:val="true"/>
              </w:rPr>
              <w:tab/>
            </w:r>
            <w:r>
              <w:rPr>
                <w:rStyle w:val="IndexLink"/>
              </w:rPr>
              <w:t>29</w:t>
            </w:r>
          </w:hyperlink>
        </w:p>
        <w:p>
          <w:pPr>
            <w:pStyle w:val="Contents4"/>
            <w:tabs>
              <w:tab w:val="clear" w:pos="8176"/>
              <w:tab w:val="right" w:pos="9026" w:leader="dot"/>
            </w:tabs>
            <w:rPr/>
          </w:pPr>
          <w:hyperlink w:anchor="__RefHeading___Toc1561946_147905668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561948_1479056682">
            <w:r>
              <w:rPr>
                <w:webHidden/>
                <w:rStyle w:val="IndexLink"/>
              </w:rPr>
              <w:t>1-1</w:t>
            </w:r>
            <w:r>
              <w:rPr>
                <w:rStyle w:val="IndexLink"/>
                <w:rtl w:val="true"/>
              </w:rPr>
              <w:t xml:space="preserve">- </w:t>
            </w:r>
            <w:r>
              <w:rPr>
                <w:rStyle w:val="IndexLink"/>
                <w:rtl w:val="true"/>
              </w:rPr>
              <w:t>حکم‌تکلیفی</w:t>
            </w:r>
            <w:r>
              <w:rPr>
                <w:rStyle w:val="IndexLink"/>
                <w:rtl w:val="true"/>
              </w:rPr>
              <w:tab/>
            </w:r>
            <w:r>
              <w:rPr>
                <w:rStyle w:val="IndexLink"/>
              </w:rPr>
              <w:t>29</w:t>
            </w:r>
          </w:hyperlink>
        </w:p>
        <w:p>
          <w:pPr>
            <w:pStyle w:val="Contents4"/>
            <w:tabs>
              <w:tab w:val="clear" w:pos="8176"/>
              <w:tab w:val="right" w:pos="9026" w:leader="dot"/>
            </w:tabs>
            <w:rPr/>
          </w:pPr>
          <w:hyperlink w:anchor="__RefHeading___Toc1561950_1479056682">
            <w:r>
              <w:rPr>
                <w:webHidden/>
                <w:rStyle w:val="IndexLink"/>
              </w:rPr>
              <w:t>2-1</w:t>
            </w:r>
            <w:r>
              <w:rPr>
                <w:rStyle w:val="IndexLink"/>
                <w:rtl w:val="true"/>
              </w:rPr>
              <w:t xml:space="preserve">- </w:t>
            </w:r>
            <w:r>
              <w:rPr>
                <w:rStyle w:val="IndexLink"/>
                <w:rtl w:val="true"/>
              </w:rPr>
              <w:t>حکم وضعی</w:t>
            </w:r>
            <w:r>
              <w:rPr>
                <w:rStyle w:val="IndexLink"/>
                <w:rtl w:val="true"/>
              </w:rPr>
              <w:tab/>
            </w:r>
            <w:r>
              <w:rPr>
                <w:rStyle w:val="IndexLink"/>
              </w:rPr>
              <w:t>30</w:t>
            </w:r>
          </w:hyperlink>
        </w:p>
        <w:p>
          <w:pPr>
            <w:pStyle w:val="Contents3"/>
            <w:tabs>
              <w:tab w:val="clear" w:pos="8459"/>
              <w:tab w:val="right" w:pos="9026" w:leader="dot"/>
            </w:tabs>
            <w:rPr/>
          </w:pPr>
          <w:hyperlink w:anchor="__RefHeading___Toc1561952_1479056682">
            <w:r>
              <w:rPr>
                <w:webHidden/>
                <w:rStyle w:val="IndexLink"/>
              </w:rPr>
              <w:t>2</w:t>
            </w:r>
            <w:r>
              <w:rPr>
                <w:rStyle w:val="IndexLink"/>
                <w:rtl w:val="true"/>
              </w:rPr>
              <w:t xml:space="preserve">- </w:t>
            </w:r>
            <w:r>
              <w:rPr>
                <w:rStyle w:val="IndexLink"/>
                <w:rtl w:val="true"/>
              </w:rPr>
              <w:t>بهره‌برداری‌های اختلال‌ساز</w:t>
            </w:r>
            <w:r>
              <w:rPr>
                <w:rStyle w:val="IndexLink"/>
                <w:rtl w:val="true"/>
              </w:rPr>
              <w:tab/>
            </w:r>
            <w:r>
              <w:rPr>
                <w:rStyle w:val="IndexLink"/>
              </w:rPr>
              <w:t>33</w:t>
            </w:r>
          </w:hyperlink>
        </w:p>
        <w:p>
          <w:pPr>
            <w:pStyle w:val="Contents4"/>
            <w:tabs>
              <w:tab w:val="clear" w:pos="8176"/>
              <w:tab w:val="right" w:pos="9026" w:leader="dot"/>
            </w:tabs>
            <w:rPr/>
          </w:pPr>
          <w:hyperlink w:anchor="__RefHeading___Toc1561954_147905668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561956_1479056682">
            <w:r>
              <w:rPr>
                <w:webHidden/>
                <w:rStyle w:val="IndexLink"/>
              </w:rPr>
              <w:t>1-2</w:t>
            </w:r>
            <w:r>
              <w:rPr>
                <w:rStyle w:val="IndexLink"/>
                <w:rtl w:val="true"/>
              </w:rPr>
              <w:t xml:space="preserve">- </w:t>
            </w:r>
            <w:r>
              <w:rPr>
                <w:rStyle w:val="IndexLink"/>
                <w:rtl w:val="true"/>
              </w:rPr>
              <w:t>حکم تکلیفی</w:t>
            </w:r>
            <w:r>
              <w:rPr>
                <w:rStyle w:val="IndexLink"/>
                <w:rtl w:val="true"/>
              </w:rPr>
              <w:tab/>
            </w:r>
            <w:r>
              <w:rPr>
                <w:rStyle w:val="IndexLink"/>
              </w:rPr>
              <w:t>35</w:t>
            </w:r>
          </w:hyperlink>
        </w:p>
        <w:p>
          <w:pPr>
            <w:pStyle w:val="Contents5"/>
            <w:tabs>
              <w:tab w:val="clear" w:pos="7892"/>
              <w:tab w:val="right" w:pos="9026" w:leader="dot"/>
            </w:tabs>
            <w:rPr/>
          </w:pPr>
          <w:hyperlink w:anchor="__RefHeading___Toc1561958_1479056682">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561960_1479056682">
            <w:r>
              <w:rPr>
                <w:webHidden/>
                <w:rStyle w:val="IndexLink"/>
              </w:rPr>
              <w:t>1-1-2</w:t>
            </w:r>
            <w:r>
              <w:rPr>
                <w:rStyle w:val="IndexLink"/>
                <w:rtl w:val="true"/>
              </w:rPr>
              <w:t xml:space="preserve">- </w:t>
            </w:r>
            <w:r>
              <w:rPr>
                <w:rStyle w:val="IndexLink"/>
                <w:rtl w:val="true"/>
              </w:rPr>
              <w:t>تجاوز از حدود الهی</w:t>
            </w:r>
            <w:r>
              <w:rPr>
                <w:rStyle w:val="IndexLink"/>
                <w:rtl w:val="true"/>
              </w:rPr>
              <w:tab/>
            </w:r>
            <w:r>
              <w:rPr>
                <w:rStyle w:val="IndexLink"/>
              </w:rPr>
              <w:t>35</w:t>
            </w:r>
          </w:hyperlink>
        </w:p>
        <w:p>
          <w:pPr>
            <w:pStyle w:val="Contents5"/>
            <w:tabs>
              <w:tab w:val="clear" w:pos="7892"/>
              <w:tab w:val="right" w:pos="9026" w:leader="dot"/>
            </w:tabs>
            <w:rPr/>
          </w:pPr>
          <w:hyperlink w:anchor="__RefHeading___Toc1561962_1479056682">
            <w:r>
              <w:rPr>
                <w:webHidden/>
                <w:rStyle w:val="IndexLink"/>
              </w:rPr>
              <w:t>2-1-2</w:t>
            </w:r>
            <w:r>
              <w:rPr>
                <w:rStyle w:val="IndexLink"/>
                <w:rtl w:val="true"/>
              </w:rPr>
              <w:t xml:space="preserve">- </w:t>
            </w:r>
            <w:r>
              <w:rPr>
                <w:rStyle w:val="IndexLink"/>
                <w:rtl w:val="true"/>
              </w:rPr>
              <w:t>قاعده نفی حَرَج</w:t>
            </w:r>
            <w:r>
              <w:rPr>
                <w:rStyle w:val="IndexLink"/>
                <w:rtl w:val="true"/>
              </w:rPr>
              <w:tab/>
            </w:r>
            <w:r>
              <w:rPr>
                <w:rStyle w:val="IndexLink"/>
              </w:rPr>
              <w:t>36</w:t>
            </w:r>
          </w:hyperlink>
        </w:p>
        <w:p>
          <w:pPr>
            <w:pStyle w:val="Contents2"/>
            <w:tabs>
              <w:tab w:val="clear" w:pos="8743"/>
              <w:tab w:val="right" w:pos="9026" w:leader="dot"/>
            </w:tabs>
            <w:rPr/>
          </w:pPr>
          <w:hyperlink w:anchor="__RefHeading___Toc1561964_1479056682">
            <w:r>
              <w:rPr>
                <w:webHidden/>
                <w:rStyle w:val="IndexLink"/>
                <w:rtl w:val="true"/>
              </w:rPr>
              <w:t>گفتار سوم</w:t>
            </w:r>
            <w:r>
              <w:rPr>
                <w:rStyle w:val="IndexLink"/>
                <w:rtl w:val="true"/>
              </w:rPr>
              <w:t xml:space="preserve">: </w:t>
            </w:r>
            <w:r>
              <w:rPr>
                <w:rStyle w:val="IndexLink"/>
                <w:rtl w:val="true"/>
              </w:rPr>
              <w:t>کاربری‌های غیر مجاز</w:t>
            </w:r>
            <w:r>
              <w:rPr>
                <w:rStyle w:val="IndexLink"/>
                <w:rtl w:val="true"/>
              </w:rPr>
              <w:tab/>
            </w:r>
            <w:r>
              <w:rPr>
                <w:rStyle w:val="IndexLink"/>
              </w:rPr>
              <w:t>41</w:t>
            </w:r>
          </w:hyperlink>
        </w:p>
        <w:p>
          <w:pPr>
            <w:pStyle w:val="Contents3"/>
            <w:tabs>
              <w:tab w:val="clear" w:pos="8459"/>
              <w:tab w:val="right" w:pos="9026" w:leader="dot"/>
            </w:tabs>
            <w:rPr/>
          </w:pPr>
          <w:hyperlink w:anchor="__RefHeading___Toc1561966_1479056682">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561968_1479056682">
            <w:r>
              <w:rPr>
                <w:webHidden/>
                <w:rStyle w:val="IndexLink"/>
              </w:rPr>
              <w:t>1</w:t>
            </w:r>
            <w:r>
              <w:rPr>
                <w:rStyle w:val="IndexLink"/>
                <w:rtl w:val="true"/>
              </w:rPr>
              <w:t xml:space="preserve">- </w:t>
            </w:r>
            <w:r>
              <w:rPr>
                <w:rStyle w:val="IndexLink"/>
                <w:rtl w:val="true"/>
              </w:rPr>
              <w:t>ساخت‌وساز</w:t>
            </w:r>
            <w:r>
              <w:rPr>
                <w:rStyle w:val="IndexLink"/>
                <w:rtl w:val="true"/>
              </w:rPr>
              <w:tab/>
            </w:r>
            <w:r>
              <w:rPr>
                <w:rStyle w:val="IndexLink"/>
              </w:rPr>
              <w:t>43</w:t>
            </w:r>
          </w:hyperlink>
        </w:p>
        <w:p>
          <w:pPr>
            <w:pStyle w:val="Contents4"/>
            <w:tabs>
              <w:tab w:val="clear" w:pos="8176"/>
              <w:tab w:val="right" w:pos="9026" w:leader="dot"/>
            </w:tabs>
            <w:rPr/>
          </w:pPr>
          <w:hyperlink w:anchor="__RefHeading___Toc1561970_147905668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561972_1479056682">
            <w:r>
              <w:rPr>
                <w:webHidden/>
                <w:rStyle w:val="IndexLink"/>
              </w:rPr>
              <w:t>1-1</w:t>
            </w:r>
            <w:r>
              <w:rPr>
                <w:rStyle w:val="IndexLink"/>
                <w:rtl w:val="true"/>
              </w:rPr>
              <w:t xml:space="preserve">- </w:t>
            </w:r>
            <w:r>
              <w:rPr>
                <w:rStyle w:val="IndexLink"/>
                <w:rtl w:val="true"/>
              </w:rPr>
              <w:t>ساخت دکه</w:t>
            </w:r>
            <w:r>
              <w:rPr>
                <w:rStyle w:val="IndexLink"/>
                <w:rtl w:val="true"/>
              </w:rPr>
              <w:tab/>
            </w:r>
            <w:r>
              <w:rPr>
                <w:rStyle w:val="IndexLink"/>
              </w:rPr>
              <w:t>43</w:t>
            </w:r>
          </w:hyperlink>
        </w:p>
        <w:p>
          <w:pPr>
            <w:pStyle w:val="Contents5"/>
            <w:tabs>
              <w:tab w:val="clear" w:pos="7892"/>
              <w:tab w:val="right" w:pos="9026" w:leader="dot"/>
            </w:tabs>
            <w:rPr/>
          </w:pPr>
          <w:hyperlink w:anchor="__RefHeading___Toc1561974_1479056682">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561976_1479056682">
            <w:r>
              <w:rPr>
                <w:webHidden/>
                <w:rStyle w:val="IndexLink"/>
              </w:rPr>
              <w:t>1-1-1</w:t>
            </w:r>
            <w:r>
              <w:rPr>
                <w:rStyle w:val="IndexLink"/>
                <w:rtl w:val="true"/>
              </w:rPr>
              <w:t xml:space="preserve">- </w:t>
            </w:r>
            <w:r>
              <w:rPr>
                <w:rStyle w:val="IndexLink"/>
                <w:rtl w:val="true"/>
              </w:rPr>
              <w:t>حکم تکلیفی</w:t>
            </w:r>
            <w:r>
              <w:rPr>
                <w:rStyle w:val="IndexLink"/>
                <w:rtl w:val="true"/>
              </w:rPr>
              <w:tab/>
            </w:r>
            <w:r>
              <w:rPr>
                <w:rStyle w:val="IndexLink"/>
              </w:rPr>
              <w:t>44</w:t>
            </w:r>
          </w:hyperlink>
        </w:p>
        <w:p>
          <w:pPr>
            <w:pStyle w:val="Contents4"/>
            <w:tabs>
              <w:tab w:val="clear" w:pos="8176"/>
              <w:tab w:val="right" w:pos="9026" w:leader="dot"/>
            </w:tabs>
            <w:rPr/>
          </w:pPr>
          <w:hyperlink w:anchor="__RefHeading___Toc1561978_1479056682">
            <w:r>
              <w:rPr>
                <w:webHidden/>
                <w:rStyle w:val="IndexLink"/>
              </w:rPr>
              <w:t>2-1</w:t>
            </w:r>
            <w:r>
              <w:rPr>
                <w:rStyle w:val="IndexLink"/>
                <w:rtl w:val="true"/>
              </w:rPr>
              <w:t xml:space="preserve">- </w:t>
            </w:r>
            <w:r>
              <w:rPr>
                <w:rStyle w:val="IndexLink"/>
                <w:rtl w:val="true"/>
              </w:rPr>
              <w:t>ساخت مسجد</w:t>
            </w:r>
            <w:r>
              <w:rPr>
                <w:rStyle w:val="IndexLink"/>
                <w:rtl w:val="true"/>
              </w:rPr>
              <w:tab/>
            </w:r>
            <w:r>
              <w:rPr>
                <w:rStyle w:val="IndexLink"/>
              </w:rPr>
              <w:t>47</w:t>
            </w:r>
          </w:hyperlink>
        </w:p>
        <w:p>
          <w:pPr>
            <w:pStyle w:val="Contents4"/>
            <w:tabs>
              <w:tab w:val="clear" w:pos="8176"/>
              <w:tab w:val="right" w:pos="9026" w:leader="dot"/>
            </w:tabs>
            <w:rPr/>
          </w:pPr>
          <w:hyperlink w:anchor="__RefHeading___Toc1561980_1479056682">
            <w:r>
              <w:rPr>
                <w:webHidden/>
                <w:rStyle w:val="IndexLink"/>
              </w:rPr>
              <w:t>3-1</w:t>
            </w:r>
            <w:r>
              <w:rPr>
                <w:rStyle w:val="IndexLink"/>
                <w:rtl w:val="true"/>
              </w:rPr>
              <w:t xml:space="preserve">- </w:t>
            </w:r>
            <w:r>
              <w:rPr>
                <w:rStyle w:val="IndexLink"/>
                <w:rtl w:val="true"/>
              </w:rPr>
              <w:t>ساخت سایه‌بان</w:t>
            </w:r>
            <w:r>
              <w:rPr>
                <w:rStyle w:val="IndexLink"/>
                <w:rtl w:val="true"/>
              </w:rPr>
              <w:tab/>
            </w:r>
            <w:r>
              <w:rPr>
                <w:rStyle w:val="IndexLink"/>
              </w:rPr>
              <w:t>49</w:t>
            </w:r>
          </w:hyperlink>
        </w:p>
        <w:p>
          <w:pPr>
            <w:pStyle w:val="Contents5"/>
            <w:tabs>
              <w:tab w:val="clear" w:pos="7892"/>
              <w:tab w:val="right" w:pos="9026" w:leader="dot"/>
            </w:tabs>
            <w:rPr/>
          </w:pPr>
          <w:hyperlink w:anchor="__RefHeading___Toc1561982_1479056682">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561984_1479056682">
            <w:r>
              <w:rPr>
                <w:webHidden/>
                <w:rStyle w:val="IndexLink"/>
              </w:rPr>
              <w:t>1-3-1</w:t>
            </w:r>
            <w:r>
              <w:rPr>
                <w:rStyle w:val="IndexLink"/>
                <w:rtl w:val="true"/>
              </w:rPr>
              <w:t xml:space="preserve">- </w:t>
            </w:r>
            <w:r>
              <w:rPr>
                <w:rStyle w:val="IndexLink"/>
                <w:rtl w:val="true"/>
              </w:rPr>
              <w:t>حکم تکلیفی</w:t>
            </w:r>
            <w:r>
              <w:rPr>
                <w:rStyle w:val="IndexLink"/>
                <w:rtl w:val="true"/>
              </w:rPr>
              <w:tab/>
            </w:r>
            <w:r>
              <w:rPr>
                <w:rStyle w:val="IndexLink"/>
              </w:rPr>
              <w:t>50</w:t>
            </w:r>
          </w:hyperlink>
        </w:p>
        <w:p>
          <w:pPr>
            <w:pStyle w:val="Contents5"/>
            <w:tabs>
              <w:tab w:val="clear" w:pos="7892"/>
              <w:tab w:val="right" w:pos="9026" w:leader="dot"/>
            </w:tabs>
            <w:rPr/>
          </w:pPr>
          <w:hyperlink w:anchor="__RefHeading___Toc1561986_1479056682">
            <w:r>
              <w:rPr>
                <w:webHidden/>
                <w:rStyle w:val="IndexLink"/>
              </w:rPr>
              <w:t>2-3-1</w:t>
            </w:r>
            <w:r>
              <w:rPr>
                <w:rStyle w:val="IndexLink"/>
                <w:rtl w:val="true"/>
              </w:rPr>
              <w:t xml:space="preserve">- </w:t>
            </w:r>
            <w:r>
              <w:rPr>
                <w:rStyle w:val="IndexLink"/>
                <w:rtl w:val="true"/>
              </w:rPr>
              <w:t>حکم وضعی</w:t>
            </w:r>
            <w:r>
              <w:rPr>
                <w:rStyle w:val="IndexLink"/>
                <w:rtl w:val="true"/>
              </w:rPr>
              <w:tab/>
            </w:r>
            <w:r>
              <w:rPr>
                <w:rStyle w:val="IndexLink"/>
              </w:rPr>
              <w:t>54</w:t>
            </w:r>
          </w:hyperlink>
        </w:p>
        <w:p>
          <w:pPr>
            <w:pStyle w:val="Contents3"/>
            <w:tabs>
              <w:tab w:val="clear" w:pos="8459"/>
              <w:tab w:val="right" w:pos="9026" w:leader="dot"/>
            </w:tabs>
            <w:rPr/>
          </w:pPr>
          <w:hyperlink w:anchor="__RefHeading___Toc1561988_1479056682">
            <w:r>
              <w:rPr>
                <w:webHidden/>
                <w:rStyle w:val="IndexLink"/>
              </w:rPr>
              <w:t>2</w:t>
            </w:r>
            <w:r>
              <w:rPr>
                <w:rStyle w:val="IndexLink"/>
                <w:rtl w:val="true"/>
              </w:rPr>
              <w:t xml:space="preserve">- </w:t>
            </w:r>
            <w:r>
              <w:rPr>
                <w:rStyle w:val="IndexLink"/>
                <w:rtl w:val="true"/>
              </w:rPr>
              <w:t>باز کردنِ در به معابر</w:t>
            </w:r>
            <w:r>
              <w:rPr>
                <w:rStyle w:val="IndexLink"/>
                <w:rtl w:val="true"/>
              </w:rPr>
              <w:tab/>
            </w:r>
            <w:r>
              <w:rPr>
                <w:rStyle w:val="IndexLink"/>
              </w:rPr>
              <w:t>54</w:t>
            </w:r>
          </w:hyperlink>
        </w:p>
        <w:p>
          <w:pPr>
            <w:pStyle w:val="Contents3"/>
            <w:tabs>
              <w:tab w:val="clear" w:pos="8459"/>
              <w:tab w:val="right" w:pos="9026" w:leader="dot"/>
            </w:tabs>
            <w:rPr/>
          </w:pPr>
          <w:hyperlink w:anchor="__RefHeading___Toc1561990_1479056682">
            <w:r>
              <w:rPr>
                <w:webHidden/>
                <w:rStyle w:val="IndexLink"/>
              </w:rPr>
              <w:t>3</w:t>
            </w:r>
            <w:r>
              <w:rPr>
                <w:rStyle w:val="IndexLink"/>
                <w:rtl w:val="true"/>
              </w:rPr>
              <w:t xml:space="preserve">- </w:t>
            </w:r>
            <w:r>
              <w:rPr>
                <w:rStyle w:val="IndexLink"/>
                <w:rtl w:val="true"/>
              </w:rPr>
              <w:t>حفاری</w:t>
            </w:r>
            <w:r>
              <w:rPr>
                <w:rStyle w:val="IndexLink"/>
                <w:rtl w:val="true"/>
              </w:rPr>
              <w:tab/>
            </w:r>
            <w:r>
              <w:rPr>
                <w:rStyle w:val="IndexLink"/>
              </w:rPr>
              <w:t>55</w:t>
            </w:r>
          </w:hyperlink>
        </w:p>
        <w:p>
          <w:pPr>
            <w:pStyle w:val="Contents4"/>
            <w:tabs>
              <w:tab w:val="clear" w:pos="8176"/>
              <w:tab w:val="right" w:pos="9026" w:leader="dot"/>
            </w:tabs>
            <w:rPr/>
          </w:pPr>
          <w:hyperlink w:anchor="__RefHeading___Toc1561992_147905668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561994_1479056682">
            <w:r>
              <w:rPr>
                <w:webHidden/>
                <w:rStyle w:val="IndexLink"/>
              </w:rPr>
              <w:t>1-3</w:t>
            </w:r>
            <w:r>
              <w:rPr>
                <w:rStyle w:val="IndexLink"/>
                <w:rtl w:val="true"/>
              </w:rPr>
              <w:t xml:space="preserve">- </w:t>
            </w:r>
            <w:r>
              <w:rPr>
                <w:rStyle w:val="IndexLink"/>
                <w:rtl w:val="true"/>
              </w:rPr>
              <w:t>با انگیزه‌های شخصی</w:t>
            </w:r>
            <w:r>
              <w:rPr>
                <w:rStyle w:val="IndexLink"/>
                <w:rtl w:val="true"/>
              </w:rPr>
              <w:tab/>
            </w:r>
            <w:r>
              <w:rPr>
                <w:rStyle w:val="IndexLink"/>
              </w:rPr>
              <w:t>56</w:t>
            </w:r>
          </w:hyperlink>
        </w:p>
        <w:p>
          <w:pPr>
            <w:pStyle w:val="Contents4"/>
            <w:tabs>
              <w:tab w:val="clear" w:pos="8176"/>
              <w:tab w:val="right" w:pos="9026" w:leader="dot"/>
            </w:tabs>
            <w:rPr/>
          </w:pPr>
          <w:hyperlink w:anchor="__RefHeading___Toc1561996_1479056682">
            <w:r>
              <w:rPr>
                <w:webHidden/>
                <w:rStyle w:val="IndexLink"/>
              </w:rPr>
              <w:t>2-3</w:t>
            </w:r>
            <w:r>
              <w:rPr>
                <w:rStyle w:val="IndexLink"/>
                <w:rtl w:val="true"/>
              </w:rPr>
              <w:t xml:space="preserve">- </w:t>
            </w:r>
            <w:r>
              <w:rPr>
                <w:rStyle w:val="IndexLink"/>
                <w:rtl w:val="true"/>
              </w:rPr>
              <w:t>با انگیزه‌های عمومی</w:t>
            </w:r>
            <w:r>
              <w:rPr>
                <w:rStyle w:val="IndexLink"/>
                <w:rtl w:val="true"/>
              </w:rPr>
              <w:tab/>
            </w:r>
            <w:r>
              <w:rPr>
                <w:rStyle w:val="IndexLink"/>
              </w:rPr>
              <w:t>56</w:t>
            </w:r>
          </w:hyperlink>
        </w:p>
        <w:p>
          <w:pPr>
            <w:pStyle w:val="Contents3"/>
            <w:tabs>
              <w:tab w:val="clear" w:pos="8459"/>
              <w:tab w:val="right" w:pos="9026" w:leader="dot"/>
            </w:tabs>
            <w:rPr/>
          </w:pPr>
          <w:hyperlink w:anchor="__RefHeading___Toc1561998_1479056682">
            <w:r>
              <w:rPr>
                <w:webHidden/>
                <w:rStyle w:val="IndexLink"/>
              </w:rPr>
              <w:t>4</w:t>
            </w:r>
            <w:r>
              <w:rPr>
                <w:rStyle w:val="IndexLink"/>
                <w:rtl w:val="true"/>
              </w:rPr>
              <w:t xml:space="preserve">- </w:t>
            </w:r>
            <w:r>
              <w:rPr>
                <w:rStyle w:val="IndexLink"/>
                <w:rtl w:val="true"/>
              </w:rPr>
              <w:t>خرید و فروش</w:t>
            </w:r>
            <w:r>
              <w:rPr>
                <w:rStyle w:val="IndexLink"/>
                <w:rtl w:val="true"/>
              </w:rPr>
              <w:tab/>
            </w:r>
            <w:r>
              <w:rPr>
                <w:rStyle w:val="IndexLink"/>
              </w:rPr>
              <w:t>59</w:t>
            </w:r>
          </w:hyperlink>
        </w:p>
        <w:p>
          <w:pPr>
            <w:pStyle w:val="Contents3"/>
            <w:tabs>
              <w:tab w:val="clear" w:pos="8459"/>
              <w:tab w:val="right" w:pos="9026" w:leader="dot"/>
            </w:tabs>
            <w:rPr/>
          </w:pPr>
          <w:hyperlink w:anchor="__RefHeading___Toc1562000_1479056682">
            <w:r>
              <w:rPr>
                <w:webHidden/>
                <w:rStyle w:val="IndexLink"/>
              </w:rPr>
              <w:t>5</w:t>
            </w:r>
            <w:r>
              <w:rPr>
                <w:rStyle w:val="IndexLink"/>
                <w:rtl w:val="true"/>
              </w:rPr>
              <w:t xml:space="preserve">- </w:t>
            </w:r>
            <w:r>
              <w:rPr>
                <w:rStyle w:val="IndexLink"/>
                <w:rtl w:val="true"/>
              </w:rPr>
              <w:t>اتراق کردن</w:t>
            </w:r>
            <w:r>
              <w:rPr>
                <w:rStyle w:val="IndexLink"/>
                <w:rtl w:val="true"/>
              </w:rPr>
              <w:tab/>
            </w:r>
            <w:r>
              <w:rPr>
                <w:rStyle w:val="IndexLink"/>
              </w:rPr>
              <w:t>63</w:t>
            </w:r>
          </w:hyperlink>
        </w:p>
        <w:p>
          <w:pPr>
            <w:pStyle w:val="Contents4"/>
            <w:tabs>
              <w:tab w:val="clear" w:pos="8176"/>
              <w:tab w:val="right" w:pos="9026" w:leader="dot"/>
            </w:tabs>
            <w:rPr/>
          </w:pPr>
          <w:hyperlink w:anchor="__RefHeading___Toc1562002_147905668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562004_1479056682">
            <w:r>
              <w:rPr>
                <w:webHidden/>
                <w:rStyle w:val="IndexLink"/>
              </w:rPr>
              <w:t>1-5</w:t>
            </w:r>
            <w:r>
              <w:rPr>
                <w:rStyle w:val="IndexLink"/>
                <w:rtl w:val="true"/>
              </w:rPr>
              <w:t xml:space="preserve">- </w:t>
            </w:r>
            <w:r>
              <w:rPr>
                <w:rStyle w:val="IndexLink"/>
                <w:rtl w:val="true"/>
              </w:rPr>
              <w:t>حکم تکلیفی</w:t>
            </w:r>
            <w:r>
              <w:rPr>
                <w:rStyle w:val="IndexLink"/>
                <w:rtl w:val="true"/>
              </w:rPr>
              <w:tab/>
            </w:r>
            <w:r>
              <w:rPr>
                <w:rStyle w:val="IndexLink"/>
              </w:rPr>
              <w:t>63</w:t>
            </w:r>
          </w:hyperlink>
        </w:p>
        <w:p>
          <w:pPr>
            <w:pStyle w:val="Contents4"/>
            <w:tabs>
              <w:tab w:val="clear" w:pos="8176"/>
              <w:tab w:val="right" w:pos="9026" w:leader="dot"/>
            </w:tabs>
            <w:rPr/>
          </w:pPr>
          <w:hyperlink w:anchor="__RefHeading___Toc1562006_1479056682">
            <w:r>
              <w:rPr>
                <w:webHidden/>
                <w:rStyle w:val="IndexLink"/>
              </w:rPr>
              <w:t>2-5</w:t>
            </w:r>
            <w:r>
              <w:rPr>
                <w:rStyle w:val="IndexLink"/>
                <w:rtl w:val="true"/>
              </w:rPr>
              <w:t xml:space="preserve">- </w:t>
            </w:r>
            <w:r>
              <w:rPr>
                <w:rStyle w:val="IndexLink"/>
                <w:rtl w:val="true"/>
              </w:rPr>
              <w:t>جابه‌جا کردن</w:t>
            </w:r>
            <w:r>
              <w:rPr>
                <w:rStyle w:val="IndexLink"/>
                <w:rtl w:val="true"/>
              </w:rPr>
              <w:tab/>
            </w:r>
            <w:r>
              <w:rPr>
                <w:rStyle w:val="IndexLink"/>
              </w:rPr>
              <w:t>63</w:t>
            </w:r>
          </w:hyperlink>
        </w:p>
        <w:p>
          <w:pPr>
            <w:pStyle w:val="Contents4"/>
            <w:tabs>
              <w:tab w:val="clear" w:pos="8176"/>
              <w:tab w:val="right" w:pos="9026" w:leader="dot"/>
            </w:tabs>
            <w:rPr/>
          </w:pPr>
          <w:hyperlink w:anchor="__RefHeading___Toc1562008_1479056682">
            <w:r>
              <w:rPr>
                <w:webHidden/>
                <w:rStyle w:val="IndexLink"/>
              </w:rPr>
              <w:t>3-5</w:t>
            </w:r>
            <w:r>
              <w:rPr>
                <w:rStyle w:val="IndexLink"/>
                <w:rtl w:val="true"/>
              </w:rPr>
              <w:t xml:space="preserve">- </w:t>
            </w:r>
            <w:r>
              <w:rPr>
                <w:rStyle w:val="IndexLink"/>
                <w:rtl w:val="true"/>
              </w:rPr>
              <w:t>اختلاف در گزینش مکان</w:t>
            </w:r>
            <w:r>
              <w:rPr>
                <w:rStyle w:val="IndexLink"/>
                <w:rtl w:val="true"/>
              </w:rPr>
              <w:tab/>
            </w:r>
            <w:r>
              <w:rPr>
                <w:rStyle w:val="IndexLink"/>
              </w:rPr>
              <w:t>64</w:t>
            </w:r>
          </w:hyperlink>
        </w:p>
        <w:p>
          <w:pPr>
            <w:pStyle w:val="Contents4"/>
            <w:tabs>
              <w:tab w:val="clear" w:pos="8176"/>
              <w:tab w:val="right" w:pos="9026" w:leader="dot"/>
            </w:tabs>
            <w:rPr/>
          </w:pPr>
          <w:hyperlink w:anchor="__RefHeading___Toc1562010_1479056682">
            <w:r>
              <w:rPr>
                <w:webHidden/>
                <w:rStyle w:val="IndexLink"/>
              </w:rPr>
              <w:t>4-5</w:t>
            </w:r>
            <w:r>
              <w:rPr>
                <w:rStyle w:val="IndexLink"/>
                <w:rtl w:val="true"/>
              </w:rPr>
              <w:t xml:space="preserve">- </w:t>
            </w:r>
            <w:r>
              <w:rPr>
                <w:rStyle w:val="IndexLink"/>
                <w:rtl w:val="true"/>
              </w:rPr>
              <w:t>ایجاد آفتاب‌گیر</w:t>
            </w:r>
            <w:r>
              <w:rPr>
                <w:rStyle w:val="IndexLink"/>
                <w:rtl w:val="true"/>
              </w:rPr>
              <w:tab/>
            </w:r>
            <w:r>
              <w:rPr>
                <w:rStyle w:val="IndexLink"/>
              </w:rPr>
              <w:t>66</w:t>
            </w:r>
          </w:hyperlink>
        </w:p>
        <w:p>
          <w:pPr>
            <w:pStyle w:val="Contents3"/>
            <w:tabs>
              <w:tab w:val="clear" w:pos="8459"/>
              <w:tab w:val="right" w:pos="9026" w:leader="dot"/>
            </w:tabs>
            <w:rPr/>
          </w:pPr>
          <w:hyperlink w:anchor="__RefHeading___Toc1562012_1479056682">
            <w:r>
              <w:rPr>
                <w:webHidden/>
                <w:rStyle w:val="IndexLink"/>
              </w:rPr>
              <w:t>6</w:t>
            </w:r>
            <w:r>
              <w:rPr>
                <w:rStyle w:val="IndexLink"/>
                <w:rtl w:val="true"/>
              </w:rPr>
              <w:t xml:space="preserve">- </w:t>
            </w:r>
            <w:r>
              <w:rPr>
                <w:rStyle w:val="IndexLink"/>
                <w:rtl w:val="true"/>
              </w:rPr>
              <w:t>ایجاد لغزندگی</w:t>
            </w:r>
            <w:r>
              <w:rPr>
                <w:rStyle w:val="IndexLink"/>
                <w:rtl w:val="true"/>
              </w:rPr>
              <w:tab/>
            </w:r>
            <w:r>
              <w:rPr>
                <w:rStyle w:val="IndexLink"/>
              </w:rPr>
              <w:t>70</w:t>
            </w:r>
          </w:hyperlink>
        </w:p>
        <w:p>
          <w:pPr>
            <w:pStyle w:val="Contents2"/>
            <w:tabs>
              <w:tab w:val="clear" w:pos="8743"/>
              <w:tab w:val="right" w:pos="9026" w:leader="dot"/>
            </w:tabs>
            <w:rPr/>
          </w:pPr>
          <w:hyperlink w:anchor="__RefHeading___Toc1562014_1479056682">
            <w:r>
              <w:rPr>
                <w:webHidden/>
                <w:rStyle w:val="IndexLink"/>
                <w:rtl w:val="true"/>
              </w:rPr>
              <w:t>نتایج</w:t>
            </w:r>
            <w:r>
              <w:rPr>
                <w:rStyle w:val="IndexLink"/>
                <w:rtl w:val="true"/>
              </w:rPr>
              <w:tab/>
            </w:r>
            <w:r>
              <w:rPr>
                <w:rStyle w:val="IndexLink"/>
              </w:rPr>
              <w:t>73</w:t>
            </w:r>
          </w:hyperlink>
        </w:p>
        <w:p>
          <w:pPr>
            <w:pStyle w:val="Contents2"/>
            <w:tabs>
              <w:tab w:val="clear" w:pos="8743"/>
              <w:tab w:val="right" w:pos="9026" w:leader="dot"/>
            </w:tabs>
            <w:rPr/>
          </w:pPr>
          <w:hyperlink w:anchor="__RefHeading___Toc1562016_1479056682">
            <w:r>
              <w:rPr>
                <w:webHidden/>
                <w:rStyle w:val="IndexLink"/>
                <w:rtl w:val="true"/>
              </w:rPr>
              <w:t>کتاب نامه</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9_30416"/>
      <w:bookmarkStart w:id="1" w:name="pg4409_30416"/>
      <w:bookmarkEnd w:id="1"/>
    </w:p>
    <w:p>
      <w:pPr>
        <w:pStyle w:val="Heading2"/>
        <w:numPr>
          <w:ilvl w:val="1"/>
          <w:numId w:val="1"/>
        </w:numPr>
        <w:rPr/>
      </w:pPr>
      <w:bookmarkStart w:id="2" w:name="pg4409_30416"/>
      <w:bookmarkStart w:id="3" w:name="__RefHeading___Toc156191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توکلی، سعید،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گذرگاه‌ها و سد معبر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نظری‌توکلی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۱۱۸۷۳۸۳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1914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09_30418"/>
      <w:bookmarkStart w:id="8" w:name="pg4409_30418"/>
      <w:bookmarkEnd w:id="8"/>
    </w:p>
    <w:p>
      <w:pPr>
        <w:pStyle w:val="Heading2"/>
        <w:numPr>
          <w:ilvl w:val="1"/>
          <w:numId w:val="1"/>
        </w:numPr>
        <w:rPr/>
      </w:pPr>
      <w:bookmarkStart w:id="9" w:name="pg4409_30418"/>
      <w:bookmarkStart w:id="10" w:name="__RefHeading___Toc1561916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آزاد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تردد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تردد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بهره‌برداری‌های خطرساز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ضمان با نوع استفاده از گذرگاه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بهره‌برداری‌های اختلال‌ساز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حدود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نفی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کاربری‌های غیر مجاز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ساخت‌وساز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دکه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سایه‌بان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نظریه اول، جواز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ضرر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ضرر و معارض</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نظریه دوم، حرمت مطلق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در به معابر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انگیزه‌های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انگیزه‌های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گزینش مکان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آفتاب‌گیر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لغزندگی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2" w:name="pg4409_30420"/>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 w:name="__RefHeading___Toc1561918_1479056682"/>
      <w:bookmarkStart w:id="14" w:name="_Toc4"/>
      <w:bookmarkEnd w:id="13"/>
      <w:r>
        <w:rPr>
          <w:rtl w:val="true"/>
        </w:rPr>
        <w:t>اهداء</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را به رسم ادب و احترام، به روح فقیه فهیم و مفسّر توانا، مرحوم آیة اللّه سعیدی کاشمری قدس‌سره که از نخستین روزهای اقامتشان در جوار حریم رضوی، توفیق شاگردیشان را داشتم، تقدیم می‌کنم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409_30422"/>
      <w:bookmarkStart w:id="16" w:name="pg4409_30422"/>
      <w:bookmarkEnd w:id="16"/>
    </w:p>
    <w:p>
      <w:pPr>
        <w:pStyle w:val="Heading2"/>
        <w:numPr>
          <w:ilvl w:val="1"/>
          <w:numId w:val="1"/>
        </w:numPr>
        <w:rPr/>
      </w:pPr>
      <w:bookmarkStart w:id="17" w:name="pg4409_30422"/>
      <w:bookmarkStart w:id="18" w:name="__RefHeading___Toc1561920_1479056682"/>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حتی اگر اجتماعی بودن را ویژگی ذاتی و غریزی انسان ندانیم و در درستی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داشته باشیم، ناگزیریم بپذیریم عوامل مختلفی در روند شکل‌گیری زندگی اجتماعی انسان نقش داشته‌اند که شاید بتوان محدودیت منابع طبیعی، گرایش به بهره‌برداری نامحدود از طبیعت و سرانجام، محدودیت توان انسان را از جمله مهم‌ترین و مؤثرترین آن‌ها دانست، زیرا با وجود این سه واقعیت انکارناپذیر، بهره‌مندی از رفاه و توسعه بیشتر جز با ورود به زندگی جمعی و استفاده از توان و امکانات دیگران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زندگی جمعی برای انسان هیچ‌گاه به معنای نادیده گرفتن تک تک انسان‌ها به عنوان عناصر سازنده آن جامعه نیست، زیرا جامعه بدون در نظر گرفتن عناصر سازنده خود، هویتی مستقل ندارد؛ اما از این واقعیت نیز نمی‌توان چشم پوشی کرد که انسان در جامعه به واسطه برخورداری از موقعیت‌های اجتماعی و در نتیجه، قدرت و امکانات بیشتر، قابل مقایسه با انسان به عنوان فرد و موجودی ورای جامعه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هم زمان به دو عنصر فرد و جامعه و نادیده نگرفتن هریک به سود دیگری، در نظام حقوقی و فقه اسلامی که تکالیف آن، ناظر به سود </w:t>
      </w:r>
    </w:p>
    <w:p>
      <w:pPr>
        <w:pStyle w:val="BookText"/>
        <w:rPr/>
      </w:pPr>
      <w:r>
        <w:rPr>
          <w:rFonts w:ascii="IRNazanin" w:hAnsi="IRNazanin" w:eastAsia="IRNazanin"/>
          <w:color w:val="111111"/>
          <w:sz w:val="28"/>
          <w:sz w:val="28"/>
          <w:szCs w:val="28"/>
          <w:rtl w:val="true"/>
          <w:lang w:bidi="fa-IR"/>
        </w:rPr>
        <w:t xml:space="preserve">و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است، به عنوان یک اصل مورد پذیرفته شده است، به گونه‌ای که نه احکام فردی آن به حقوق جمعی آسیب وارد می‌کند و نه احکام اجتماعی آن، حقوق فردی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مصادیق توازن حقوقی میان فرد و اجتماع، مالکیت خصوصی و مالکیت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مالکیت فردی در اسلام محترم است، مالکیت جمعی نیز محترم بوده، هیچ‌گاه یکی به خاطر دیگری نادیده گرفته نمی‌شود؛ هرچند ممکن است در شرایط خاص، مراعات حرمت یکی بر مراعات دیگری اولویت پیدا کند و این همان اصل عدالت‌محوری در حقوق اسلامی است که قرآن کریم همه مسلمانان را به رعایت آن فرا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ای کسانی که ایمان آورده‌اید، پیوسته عدل را به 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فقهی، هنگام بررسی آثار حقوقیِ آباد کردن زمین‌های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بحث مالکیت عمومی، موارد و احکام آن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مصادیق مالکیت عمومی، خیابان‌ها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
      </w:r>
      <w:r>
        <w:rPr>
          <w:rFonts w:ascii="IRNazanin" w:hAnsi="IRNazanin" w:eastAsia="IRNazanin"/>
          <w:color w:val="111111"/>
          <w:sz w:val="28"/>
          <w:sz w:val="28"/>
          <w:szCs w:val="28"/>
          <w:rtl w:val="true"/>
          <w:lang w:bidi="fa-IR"/>
        </w:rPr>
        <w:t>که در تبصره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شهرداری به آن چنین اشاره 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اراضی کوچه‌های عمومی و میدان‌ها و پیاده‌روها و خیابان‌ها و به طور کلی معابر و بستر رودخانه‌ها و مجاری فاضلاب شهرها و باغ‌های عمومی و گورستان‌های عمومی و درخت‌های معابر </w:t>
      </w:r>
    </w:p>
    <w:p>
      <w:pPr>
        <w:pStyle w:val="BookText"/>
        <w:rPr/>
      </w:pPr>
      <w:r>
        <w:rPr>
          <w:rFonts w:ascii="IRNazanin" w:hAnsi="IRNazanin" w:eastAsia="IRNazanin"/>
          <w:color w:val="111111"/>
          <w:sz w:val="28"/>
          <w:sz w:val="28"/>
          <w:szCs w:val="28"/>
          <w:rtl w:val="true"/>
          <w:lang w:bidi="fa-IR"/>
        </w:rPr>
        <w:t>عمومی واقع در محدوده هر شهر که مورد استفاده عموم است، ملک عمومی محسوب و در مالکیت شهرداری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هرچند گذرگاه‌ها در قرون گذشته از پیچیدگی‌های امروزی برخوردار نبودند، فقهای بزرگ اسلام با دور اندیشی‌ای بس ستودنی، به تمام پرسش‌هایی که مدیران شهری امروز با آن مواجه هستند،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 آن هستیم تا با بررسی مسائل حقوقی گذرگاه‌ها، یکی از مهم‌ترین آفت‌های زندگی شهری، یعنی سدّ معبر، را از نگاه حقوق اسلامی ارزیابی کنیم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سعید نظری توکلّی</w:t>
      </w:r>
    </w:p>
    <w:p>
      <w:pPr>
        <w:pStyle w:val="BookText"/>
        <w:rPr/>
      </w:pPr>
      <w:r>
        <w:rPr>
          <w:rFonts w:ascii="IRNazanin" w:hAnsi="IRNazanin" w:eastAsia="IRNazanin"/>
          <w:color w:val="111111"/>
          <w:sz w:val="28"/>
          <w:sz w:val="28"/>
          <w:szCs w:val="28"/>
          <w:rtl w:val="true"/>
          <w:lang w:bidi="fa-IR"/>
        </w:rPr>
        <w:t>دانشکده الهیات و معارف اسلامی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فردوسی مشهد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409_30426"/>
      <w:bookmarkStart w:id="21" w:name="pg4409_30426"/>
      <w:bookmarkEnd w:id="21"/>
    </w:p>
    <w:p>
      <w:pPr>
        <w:pStyle w:val="Heading2"/>
        <w:numPr>
          <w:ilvl w:val="1"/>
          <w:numId w:val="1"/>
        </w:numPr>
        <w:rPr/>
      </w:pPr>
      <w:bookmarkStart w:id="22" w:name="pg4409_30426"/>
      <w:bookmarkStart w:id="23" w:name="__RefHeading___Toc1561922_1479056682"/>
      <w:bookmarkStart w:id="24" w:name="_Toc6"/>
      <w:bookmarkEnd w:id="22"/>
      <w:bookmarkEnd w:id="23"/>
      <w:r>
        <w:rPr>
          <w:rtl w:val="true"/>
        </w:rPr>
        <w:t>گفتار اوّل</w:t>
      </w:r>
      <w:r>
        <w:rPr>
          <w:rtl w:val="true"/>
        </w:rPr>
        <w:t xml:space="preserve">: </w:t>
      </w:r>
      <w:r>
        <w:rPr>
          <w:rtl w:val="true"/>
        </w:rPr>
        <w:t>کلّیات</w:t>
      </w:r>
      <w:bookmarkEnd w:id="24"/>
    </w:p>
    <w:p>
      <w:pPr>
        <w:pStyle w:val="Heading3"/>
        <w:numPr>
          <w:ilvl w:val="2"/>
          <w:numId w:val="1"/>
        </w:numPr>
        <w:rPr/>
      </w:pPr>
      <w:bookmarkStart w:id="25" w:name="__RefHeading___Toc1561924_1479056682"/>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پیدایش</w:t>
      </w:r>
    </w:p>
    <w:p>
      <w:pPr>
        <w:pStyle w:val="BookText"/>
        <w:rPr/>
      </w:pPr>
      <w:r>
        <w:rPr>
          <w:rFonts w:ascii="IRNazanin" w:hAnsi="IRNazanin" w:eastAsia="IRNazanin"/>
          <w:color w:val="111111"/>
          <w:sz w:val="28"/>
          <w:sz w:val="28"/>
          <w:szCs w:val="28"/>
          <w:rtl w:val="true"/>
          <w:lang w:bidi="fa-IR"/>
        </w:rPr>
        <w:t>مفهوم‌شناسی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4409_30428"/>
      <w:bookmarkStart w:id="28" w:name="pg4409_30428"/>
      <w:bookmarkEnd w:id="28"/>
    </w:p>
    <w:p>
      <w:pPr>
        <w:pStyle w:val="Heading3"/>
        <w:numPr>
          <w:ilvl w:val="2"/>
          <w:numId w:val="1"/>
        </w:numPr>
        <w:rPr/>
      </w:pPr>
      <w:bookmarkStart w:id="29" w:name="pg4409_30428"/>
      <w:bookmarkStart w:id="30" w:name="__RefHeading___Toc1561926_1479056682"/>
      <w:bookmarkStart w:id="31" w:name="_Toc8"/>
      <w:bookmarkEnd w:id="29"/>
      <w:bookmarkEnd w:id="30"/>
      <w:r>
        <w:rPr/>
        <w:t>1</w:t>
      </w:r>
      <w:r>
        <w:rPr>
          <w:rtl w:val="true"/>
        </w:rPr>
        <w:t xml:space="preserve">- </w:t>
      </w:r>
      <w:r>
        <w:rPr>
          <w:rtl w:val="true"/>
        </w:rPr>
        <w:t>پیدایش</w:t>
      </w:r>
      <w:bookmarkEnd w:id="31"/>
    </w:p>
    <w:p>
      <w:pPr>
        <w:pStyle w:val="BookText"/>
        <w:rPr/>
      </w:pPr>
      <w:r>
        <w:rPr>
          <w:rFonts w:ascii="IRNazanin" w:hAnsi="IRNazanin" w:eastAsia="IRNazanin"/>
          <w:color w:val="111111"/>
          <w:sz w:val="28"/>
          <w:sz w:val="28"/>
          <w:szCs w:val="28"/>
          <w:rtl w:val="true"/>
          <w:lang w:bidi="fa-IR"/>
        </w:rPr>
        <w:t xml:space="preserve">تبدیل یک قطعه زمین به محلی برای رفت و آمد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شکل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انگیزه و با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که نمود آن بیشتر در جوامع گذشته است، بر اثر ترددهای پی در پی در زمینی بدون صاحب یا موات، آرام آرام راه یا خیابان شکل می‌گرفته است؛ اما در نوع دوم که بیشتر در جوامع امروزی دیده می‌شود، اشخاص حقیقی یا حقوقی و هم‌چنین دولت، زمینی با مالکیت خصوصی یا موات را به خیابان یا راه تبدیل می‌کنند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2" w:name="__RefHeading___Toc1561928_1479056682"/>
      <w:bookmarkStart w:id="33" w:name="_Toc9"/>
      <w:bookmarkEnd w:id="32"/>
      <w:r>
        <w:rPr/>
        <w:t>2</w:t>
      </w:r>
      <w:r>
        <w:rPr>
          <w:rtl w:val="true"/>
        </w:rPr>
        <w:t xml:space="preserve">- </w:t>
      </w:r>
      <w:r>
        <w:rPr>
          <w:rtl w:val="true"/>
        </w:rPr>
        <w:t>مفهوم‌شناسی</w:t>
      </w:r>
      <w:bookmarkEnd w:id="33"/>
    </w:p>
    <w:p>
      <w:pPr>
        <w:pStyle w:val="BookText"/>
        <w:rPr/>
      </w:pPr>
      <w:r>
        <w:rPr>
          <w:rFonts w:ascii="IRNazanin" w:hAnsi="IRNazanin" w:eastAsia="IRNazanin"/>
          <w:color w:val="111111"/>
          <w:sz w:val="28"/>
          <w:sz w:val="28"/>
          <w:szCs w:val="28"/>
          <w:rtl w:val="true"/>
          <w:lang w:bidi="fa-IR"/>
        </w:rPr>
        <w:t xml:space="preserve">از آن جا که هر گزاره فقهی مرکب از موضوع و محمول است، پیش از استنباط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به شناسایی موضوع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تحقیقی که پیش رو داریم، خیابان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پیاده‌رو و مواردی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تعریف و تشخیص موضوع با عرف است که می‌تواند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به نوع مورد، عرف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متخصصان </w:t>
      </w:r>
      <w:bookmarkStart w:id="34" w:name="pg4409_30429"/>
    </w:p>
    <w:p>
      <w:pPr>
        <w:pStyle w:val="BookText"/>
        <w:rPr/>
      </w:pPr>
      <w:bookmarkEnd w:id="34"/>
      <w:r>
        <w:rPr>
          <w:rFonts w:ascii="IRNazanin" w:hAnsi="IRNazanin" w:eastAsia="IRNazanin"/>
          <w:color w:val="111111"/>
          <w:sz w:val="28"/>
          <w:sz w:val="28"/>
          <w:szCs w:val="28"/>
          <w:rtl w:val="true"/>
          <w:lang w:bidi="fa-IR"/>
        </w:rPr>
        <w:t>علوم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خدمات شهری طرح تفصیلی شهر مشهد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پیاده معبری است که فقط برای عبور و مرور پیاده‌روندگان 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پیاده می‌تواند تمام یا بخشی از یک گذرگاه عمومی را به خود اختصاص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سواره معبری است که فقط برای عبور و مرور وسایط نقلیه طرح شده باشد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5" w:name="__RefHeading___Toc1561930_1479056682"/>
      <w:bookmarkStart w:id="36" w:name="_Toc10"/>
      <w:bookmarkEnd w:id="35"/>
      <w:r>
        <w:rPr/>
        <w:t>3</w:t>
      </w:r>
      <w:r>
        <w:rPr>
          <w:rtl w:val="true"/>
        </w:rPr>
        <w:t xml:space="preserve">- </w:t>
      </w:r>
      <w:r>
        <w:rPr>
          <w:rtl w:val="true"/>
        </w:rPr>
        <w:t>کاربری</w:t>
      </w:r>
      <w:bookmarkEnd w:id="36"/>
    </w:p>
    <w:p>
      <w:pPr>
        <w:pStyle w:val="Heading4"/>
        <w:numPr>
          <w:ilvl w:val="3"/>
          <w:numId w:val="1"/>
        </w:numPr>
        <w:rPr/>
      </w:pPr>
      <w:bookmarkStart w:id="37" w:name="__RefHeading___Toc1561932_1479056682"/>
      <w:bookmarkStart w:id="38" w:name="_Toc11"/>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هرچند در تعاریف بالا کاربری گذرگاه‌ها نیز مشخص شده است، اما در منابع فقهی، سه دیدگاه مختلف درباره کاربری آن‌ها وجود دارد</w:t>
      </w:r>
      <w:r>
        <w:rPr>
          <w:rFonts w:eastAsia="IRNazanin" w:cs="IRNazanin"/>
          <w:color w:val="111111"/>
          <w:sz w:val="28"/>
          <w:szCs w:val="28"/>
          <w:rtl w:val="true"/>
          <w:lang w:bidi="fa-IR"/>
        </w:rPr>
        <w:t>:</w:t>
      </w:r>
    </w:p>
    <w:p>
      <w:pPr>
        <w:pStyle w:val="Heading4"/>
        <w:numPr>
          <w:ilvl w:val="3"/>
          <w:numId w:val="1"/>
        </w:numPr>
        <w:rPr/>
      </w:pPr>
      <w:bookmarkStart w:id="39" w:name="__RefHeading___Toc1561934_1479056682"/>
      <w:bookmarkStart w:id="40" w:name="_Toc12"/>
      <w:bookmarkEnd w:id="39"/>
      <w:r>
        <w:rPr/>
        <w:t>1-3</w:t>
      </w:r>
      <w:r>
        <w:rPr>
          <w:rtl w:val="true"/>
        </w:rPr>
        <w:t xml:space="preserve">- </w:t>
      </w:r>
      <w:r>
        <w:rPr>
          <w:rtl w:val="true"/>
        </w:rPr>
        <w:t>بهره‌برداری آزاد</w:t>
      </w:r>
      <w:bookmarkEnd w:id="40"/>
    </w:p>
    <w:p>
      <w:pPr>
        <w:pStyle w:val="BookText"/>
        <w:rPr/>
      </w:pPr>
      <w:r>
        <w:rPr>
          <w:rFonts w:ascii="IRNazanin" w:hAnsi="IRNazanin" w:eastAsia="IRNazanin"/>
          <w:color w:val="111111"/>
          <w:sz w:val="28"/>
          <w:sz w:val="28"/>
          <w:szCs w:val="28"/>
          <w:rtl w:val="true"/>
          <w:lang w:bidi="fa-IR"/>
        </w:rPr>
        <w:t>می‌توان ابن زهره حلبی و علی بن محمد قمی را از جمله طرفداران این دیدگاه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خیابان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می‌تواند هر گونه که بخواهد، از آن استفاده کند، مشروط به این که استفاده او باعث آسیب دیدن افرادی که از آن جا عبور می‌کنند، نشود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تضرّر عابران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ناظر به اصل کلی در استفاده از مباحات باشد که نمی‌توان از اماکن عمومی به گونه‌ای بهره‌برداری کرد که زمینه بهره‌برداری دیگران را از بین برد یا به آنان </w:t>
      </w:r>
      <w:bookmarkStart w:id="41" w:name="pg4409_30430"/>
    </w:p>
    <w:p>
      <w:pPr>
        <w:pStyle w:val="BookText"/>
        <w:rPr/>
      </w:pPr>
      <w:bookmarkEnd w:id="41"/>
      <w:r>
        <w:rPr>
          <w:rFonts w:ascii="IRNazanin" w:hAnsi="IRNazanin" w:eastAsia="IRNazanin"/>
          <w:color w:val="111111"/>
          <w:sz w:val="28"/>
          <w:sz w:val="28"/>
          <w:szCs w:val="28"/>
          <w:rtl w:val="true"/>
          <w:lang w:bidi="fa-IR"/>
        </w:rPr>
        <w:t>آسیب وارد سازد</w:t>
      </w:r>
      <w:r>
        <w:rPr>
          <w:rFonts w:eastAsia="IRNazanin" w:cs="IRNazanin"/>
          <w:color w:val="111111"/>
          <w:sz w:val="28"/>
          <w:szCs w:val="28"/>
          <w:rtl w:val="true"/>
          <w:lang w:bidi="fa-IR"/>
        </w:rPr>
        <w:t>.</w:t>
      </w:r>
    </w:p>
    <w:p>
      <w:pPr>
        <w:pStyle w:val="Heading4"/>
        <w:numPr>
          <w:ilvl w:val="3"/>
          <w:numId w:val="1"/>
        </w:numPr>
        <w:rPr/>
      </w:pPr>
      <w:bookmarkStart w:id="42" w:name="__RefHeading___Toc1561936_1479056682"/>
      <w:bookmarkStart w:id="43" w:name="_Toc13"/>
      <w:bookmarkEnd w:id="42"/>
      <w:r>
        <w:rPr/>
        <w:t>2-3</w:t>
      </w:r>
      <w:r>
        <w:rPr>
          <w:rtl w:val="true"/>
        </w:rPr>
        <w:t xml:space="preserve">- </w:t>
      </w:r>
      <w:r>
        <w:rPr>
          <w:rtl w:val="true"/>
        </w:rPr>
        <w:t>بیشتر برای تردد</w:t>
      </w:r>
      <w:bookmarkEnd w:id="43"/>
    </w:p>
    <w:p>
      <w:pPr>
        <w:pStyle w:val="BookText"/>
        <w:rPr/>
      </w:pPr>
      <w:r>
        <w:rPr>
          <w:rFonts w:ascii="IRNazanin" w:hAnsi="IRNazanin" w:eastAsia="IRNazanin"/>
          <w:color w:val="111111"/>
          <w:sz w:val="28"/>
          <w:sz w:val="28"/>
          <w:szCs w:val="28"/>
          <w:rtl w:val="true"/>
          <w:lang w:bidi="fa-IR"/>
        </w:rPr>
        <w:t>بیشتر فقهای شیعه و سنی بر این باورند که کاربرد اصلی جاده و خیابان آمد و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فرض تعیین کاربرد اصلی، کاربردهای فرعی نیز قابل تصور است؛</w:t>
      </w:r>
      <w:r>
        <w:rPr>
          <w:rStyle w:val="FootnoteAnchor"/>
          <w:rtl w:val="true"/>
        </w:rPr>
        <w:footnoteReference w:id="9"/>
      </w:r>
      <w:r>
        <w:rPr>
          <w:rFonts w:ascii="IRNazanin" w:hAnsi="IRNazanin" w:eastAsia="IRNazanin"/>
          <w:color w:val="111111"/>
          <w:sz w:val="28"/>
          <w:sz w:val="28"/>
          <w:szCs w:val="28"/>
          <w:rtl w:val="true"/>
          <w:lang w:bidi="fa-IR"/>
        </w:rPr>
        <w:t xml:space="preserve">از این رو، می‌توان به جز رفت و آمد، از خیابان برای استراحت، دادوستد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الدمشقیة، </w:t>
      </w:r>
      <w:r>
        <w:rPr>
          <w:rFonts w:eastAsia="IRNazanin" w:cs="IRNazanin"/>
          <w:color w:val="111111"/>
          <w:sz w:val="28"/>
          <w:szCs w:val="28"/>
          <w:lang w:bidi="fa-IR"/>
        </w:rPr>
        <w:t>7/181</w:t>
      </w:r>
      <w:r>
        <w:rPr>
          <w:rFonts w:ascii="IRNazanin" w:hAnsi="IRNazanin" w:eastAsia="IRNazanin"/>
          <w:color w:val="111111"/>
          <w:sz w:val="28"/>
          <w:sz w:val="28"/>
          <w:szCs w:val="28"/>
          <w:rtl w:val="true"/>
          <w:lang w:bidi="fa-IR"/>
        </w:rPr>
        <w:t xml:space="preserve">؛ مسالک الافهام الی تنقیح شرائع الاسلام، </w:t>
      </w:r>
      <w:r>
        <w:rPr>
          <w:rFonts w:eastAsia="IRNazanin" w:cs="IRNazanin"/>
          <w:color w:val="111111"/>
          <w:sz w:val="28"/>
          <w:szCs w:val="28"/>
          <w:lang w:bidi="fa-IR"/>
        </w:rPr>
        <w:t>2/428</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روضة الطالبین، </w:t>
      </w:r>
      <w:r>
        <w:rPr>
          <w:rFonts w:eastAsia="IRNazanin" w:cs="IRNazanin"/>
          <w:color w:val="111111"/>
          <w:sz w:val="28"/>
          <w:szCs w:val="28"/>
          <w:lang w:bidi="fa-IR"/>
        </w:rPr>
        <w:t>4/359</w:t>
      </w:r>
      <w:r>
        <w:rPr>
          <w:rFonts w:ascii="IRNazanin" w:hAnsi="IRNazanin" w:eastAsia="IRNazanin"/>
          <w:color w:val="111111"/>
          <w:sz w:val="28"/>
          <w:sz w:val="28"/>
          <w:szCs w:val="28"/>
          <w:rtl w:val="true"/>
          <w:lang w:bidi="fa-IR"/>
        </w:rPr>
        <w:t xml:space="preserve">؛ فتح الوهاب بشرح منهج الطلاب، </w:t>
      </w:r>
      <w:r>
        <w:rPr>
          <w:rFonts w:eastAsia="IRNazanin" w:cs="IRNazanin"/>
          <w:color w:val="111111"/>
          <w:sz w:val="28"/>
          <w:szCs w:val="28"/>
          <w:lang w:bidi="fa-IR"/>
        </w:rPr>
        <w:t>1/436</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الشوارع و الغرض بها الاستطراق و منفعتها الأصلیّة التردّد فیها بالذهاب و العود و الناس فیها شرع سواء یجوز الوقوف و الجلوس فیها لغرض الاستراحة و المعاملة و غیرهما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همان گونه که مشاهده می‌شود، چه بگوییم گذرگاه‌ها از جمله اموال مباحی هستند که هر نوع استفاده از آن‌ها جایز است و چه بگوییم دارای کاربری اصلی و کاربری فرعی هستند، می‌توان از آن‌ها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کارهایی غیر از عبور و مرور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جواز چنین بهره‌برداری‌هایی مشروط به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اضرار و عدم تضییق؛</w:t>
      </w:r>
      <w:r>
        <w:rPr>
          <w:rStyle w:val="FootnoteAnchor"/>
          <w:rtl w:val="true"/>
        </w:rPr>
        <w:footnoteReference w:id="12"/>
      </w:r>
      <w:r>
        <w:rPr>
          <w:rFonts w:ascii="IRNazanin" w:hAnsi="IRNazanin" w:eastAsia="IRNazanin"/>
          <w:color w:val="111111"/>
          <w:sz w:val="28"/>
          <w:sz w:val="28"/>
          <w:szCs w:val="28"/>
          <w:rtl w:val="true"/>
          <w:lang w:bidi="fa-IR"/>
        </w:rPr>
        <w:t xml:space="preserve">یعنی می‌باید این </w:t>
      </w:r>
    </w:p>
    <w:p>
      <w:pPr>
        <w:pStyle w:val="BookText"/>
        <w:rPr/>
      </w:pPr>
      <w:r>
        <w:rPr>
          <w:rFonts w:ascii="IRNazanin" w:hAnsi="IRNazanin" w:eastAsia="IRNazanin"/>
          <w:color w:val="111111"/>
          <w:sz w:val="28"/>
          <w:sz w:val="28"/>
          <w:szCs w:val="28"/>
          <w:rtl w:val="true"/>
          <w:lang w:bidi="fa-IR"/>
        </w:rPr>
        <w:t xml:space="preserve">بهره‌برداری‌ها باعث آسیب دیدن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عابران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از بین رفتن کاربری اصلی گذرگاه</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و اختلال در عبور و مرور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جواز بهره‌برداری‌های مختلف از گذرگاه‌ها، به این مطالب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شک در جواز و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خاص، اصل بر حلیت و جواز آن بهره‌برداری است، مادامی که دلیلی بر حرمت آن یافت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ساکنان شهرها در خلال قرون متمادی بر این مطلب اتفاق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که می‌توان از راه‌ها و خیابان‌ها برای</w:t>
      </w:r>
    </w:p>
    <w:p>
      <w:pPr>
        <w:pStyle w:val="BookText"/>
        <w:rPr/>
      </w:pPr>
      <w:r>
        <w:rPr>
          <w:rFonts w:ascii="IRNazanin" w:hAnsi="IRNazanin" w:eastAsia="IRNazanin"/>
          <w:color w:val="111111"/>
          <w:sz w:val="28"/>
          <w:sz w:val="28"/>
          <w:szCs w:val="28"/>
          <w:rtl w:val="true"/>
          <w:lang w:bidi="fa-IR"/>
        </w:rPr>
        <w:t>سایر کارها به جز عبور و مرور نیز استفاده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راه‌ها و خیابان‌ها به جز عبور و مرور، برای کارهای دیگری نیز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دلیلی بر جواز</w:t>
      </w:r>
    </w:p>
    <w:p>
      <w:pPr>
        <w:pStyle w:val="BookText"/>
        <w:rPr/>
      </w:pPr>
      <w:r>
        <w:rPr>
          <w:rFonts w:ascii="IRNazanin" w:hAnsi="IRNazanin" w:eastAsia="IRNazanin"/>
          <w:color w:val="111111"/>
          <w:sz w:val="28"/>
          <w:sz w:val="28"/>
          <w:szCs w:val="28"/>
          <w:rtl w:val="true"/>
          <w:lang w:bidi="fa-IR"/>
        </w:rPr>
        <w:t xml:space="preserve">القواعد الفقهیة، </w:t>
      </w:r>
      <w:r>
        <w:rPr>
          <w:rFonts w:eastAsia="IRNazanin" w:cs="IRNazanin"/>
          <w:color w:val="111111"/>
          <w:sz w:val="28"/>
          <w:szCs w:val="28"/>
          <w:lang w:bidi="fa-IR"/>
        </w:rPr>
        <w:t>2/150</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lang w:bidi="fa-IR"/>
        </w:rPr>
        <w:t>2/405</w:t>
      </w:r>
      <w:r>
        <w:rPr>
          <w:rFonts w:ascii="IRNazanin" w:hAnsi="IRNazanin" w:eastAsia="IRNazanin"/>
          <w:color w:val="111111"/>
          <w:sz w:val="28"/>
          <w:sz w:val="28"/>
          <w:szCs w:val="28"/>
          <w:rtl w:val="true"/>
          <w:lang w:bidi="fa-IR"/>
        </w:rPr>
        <w:t xml:space="preserve">؛ مسالک الافهام الی تنقیح شرائع الاسلام، </w:t>
      </w:r>
      <w:r>
        <w:rPr>
          <w:rFonts w:eastAsia="IRNazanin" w:cs="IRNazanin"/>
          <w:color w:val="111111"/>
          <w:sz w:val="28"/>
          <w:szCs w:val="28"/>
          <w:lang w:bidi="fa-IR"/>
        </w:rPr>
        <w:t>12/429</w:t>
      </w:r>
      <w:r>
        <w:rPr>
          <w:rFonts w:ascii="IRNazanin" w:hAnsi="IRNazanin" w:eastAsia="IRNazanin"/>
          <w:color w:val="111111"/>
          <w:sz w:val="28"/>
          <w:sz w:val="28"/>
          <w:szCs w:val="28"/>
          <w:rtl w:val="true"/>
          <w:lang w:bidi="fa-IR"/>
        </w:rPr>
        <w:t xml:space="preserve">؛ کفایة الاحکام،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جواهر الکلام فی شرح شرائع الاسلام، </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 xml:space="preserve">؛ فتح الوهاب بشرح منهج الطلاب، </w:t>
      </w:r>
      <w:r>
        <w:rPr>
          <w:rFonts w:eastAsia="IRNazanin" w:cs="IRNazanin"/>
          <w:color w:val="111111"/>
          <w:sz w:val="28"/>
          <w:szCs w:val="28"/>
          <w:lang w:bidi="fa-IR"/>
        </w:rPr>
        <w:t>1/437</w:t>
      </w:r>
      <w:r>
        <w:rPr>
          <w:rFonts w:eastAsia="IRNazanin" w:cs="IRNazanin"/>
          <w:color w:val="111111"/>
          <w:sz w:val="28"/>
          <w:szCs w:val="28"/>
          <w:rtl w:val="true"/>
          <w:lang w:bidi="fa-IR"/>
        </w:rPr>
        <w:t>.</w:t>
      </w:r>
      <w:bookmarkStart w:id="44" w:name="pg4409_30432"/>
    </w:p>
    <w:p>
      <w:pPr>
        <w:pStyle w:val="BookText"/>
        <w:rPr/>
      </w:pPr>
      <w:bookmarkEnd w:id="44"/>
      <w:r>
        <w:rPr>
          <w:rFonts w:ascii="IRNazanin" w:hAnsi="IRNazanin" w:eastAsia="IRNazanin"/>
          <w:color w:val="111111"/>
          <w:sz w:val="28"/>
          <w:sz w:val="28"/>
          <w:szCs w:val="28"/>
          <w:rtl w:val="true"/>
          <w:lang w:bidi="fa-IR"/>
        </w:rPr>
        <w:t>بهره‌برداری‌های مختلف از آن‌ها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نجفی در این باره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الأصل و السیرة القطعیة یقتضیان جواز سائر وجوه الانتفاع بالمنافع المشترکة إذا لم تعارض أصل المنفعة المقصودة منه الّذی أعدّ لها بإحیاء المحیی أو بوقف الواقف أو بتسبیل المسبل أو بغیر ذلک من غیر فرق بین ما یدوم أثر التصرّف کالبناء و نحوه و بین ما لایدوم مع فرض عدم إخراجه بذلک عمّا أعدّ له</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5" w:name="__RefHeading___Toc1561938_1479056682"/>
      <w:bookmarkStart w:id="46" w:name="_Toc14"/>
      <w:bookmarkEnd w:id="45"/>
      <w:r>
        <w:rPr/>
        <w:t>3-3</w:t>
      </w:r>
      <w:r>
        <w:rPr>
          <w:rtl w:val="true"/>
        </w:rPr>
        <w:t xml:space="preserve">- </w:t>
      </w:r>
      <w:r>
        <w:rPr>
          <w:rtl w:val="true"/>
        </w:rPr>
        <w:t>تنها برای تردد</w:t>
      </w:r>
      <w:bookmarkEnd w:id="46"/>
    </w:p>
    <w:p>
      <w:pPr>
        <w:pStyle w:val="BookText"/>
        <w:rPr/>
      </w:pPr>
      <w:r>
        <w:rPr>
          <w:rFonts w:ascii="IRNazanin" w:hAnsi="IRNazanin" w:eastAsia="IRNazanin"/>
          <w:color w:val="111111"/>
          <w:sz w:val="28"/>
          <w:sz w:val="28"/>
          <w:szCs w:val="28"/>
          <w:rtl w:val="true"/>
          <w:lang w:bidi="fa-IR"/>
        </w:rPr>
        <w:t>این احتمال را فخر المحققین در نقد سخن علامه حلّی که خرید و فروش را در خیابان جایز می‌داند، مطرح کرده است، هرچند خود از آن دفاع نمی‌کند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بر این اساس، پیاده رو مکانی است تنها برای تردد عابران پیاده و خیابان مکانی است تنها برای عبور و مرور وسائل نقلیه که بسته به موقعیت جغرافیایی و مشخصات فنی آن، می‌تواند به عبور و مرور وسائل نقلیه سبک، نیمه سنگین و سنگین اختصاص پیدا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مشهور فقها برای اثبات جواز سایر بهره‌برداری‌ها،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کرده‌اند، ولی معنای اصطلاحی این دو واژه مورد نظر آن‌ها نیست، زیرا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اتفاق نظر فقها در حکمی خاص اطلاق می‌شود و نه بر توافق مردم بر انجام یک کار؛ از این رو،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همان سیره </w:t>
      </w:r>
    </w:p>
    <w:p>
      <w:pPr>
        <w:pStyle w:val="BookText"/>
        <w:rPr/>
      </w:pPr>
      <w:r>
        <w:rPr>
          <w:rFonts w:ascii="IRNazanin" w:hAnsi="IRNazanin" w:eastAsia="IRNazanin"/>
          <w:color w:val="111111"/>
          <w:sz w:val="28"/>
          <w:sz w:val="28"/>
          <w:szCs w:val="28"/>
          <w:rtl w:val="true"/>
          <w:lang w:bidi="fa-IR"/>
        </w:rPr>
        <w:t>و روش عملی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اصول فقه نیز به تفصیل بیان شده است، سیره و روش عملی مردم در انجام یک کار، همیشه نمی‌تواند دارای اعتبار شرعی باشد و بر فرض که چنین باشد، روش مردم در استفاده از گذرگاه‌های عمومی در قرون گذشته نمی‌تواند مبنایی برای رفتار ما در امروز باشد، زیرا مفاهیمی هم‌چون خیابان، خیابان اصلی و فرعی، بزرگ‌راه، آزادراه، پیاده‌رو و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گذشته وجود نداشته‌اند و یا به معنای امروزی آن به کار نمی‌رفته‌اند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سیره و روش مردم، بر فرض که اعتبار شرعی هم داشته باشد، با تغییر موضوع، برای زمان حاضر ارزش فقهی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برای ما در این مجال قابل بررسی است، ادعای مرحوم نجفی است که به عنوان یک اصل در استفاده از منافع مشترک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ما می‌توانیم از اموال عمومی هر گونه که بخواهیم، استفاده کنیم؟ به نظر ما، دلایلی که جواز استفاده افراد از</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می‌کنند، </w:t>
      </w:r>
      <w:r>
        <w:rPr>
          <w:rStyle w:val="FootnoteAnchor"/>
          <w:rtl w:val="true"/>
        </w:rPr>
        <w:footnoteReference w:id="19"/>
      </w:r>
      <w:r>
        <w:rPr>
          <w:rFonts w:ascii="IRNazanin" w:hAnsi="IRNazanin" w:eastAsia="IRNazanin"/>
          <w:color w:val="111111"/>
          <w:sz w:val="28"/>
          <w:sz w:val="28"/>
          <w:szCs w:val="28"/>
          <w:rtl w:val="true"/>
          <w:lang w:bidi="fa-IR"/>
        </w:rPr>
        <w:t>از اطلاق افرادی و احوالی برخوردار نیستند تا بتوان از آن‌ها جواز هر نوع بهره‌برداری را استنباط کرد، بلکه تنها در مقام تشریع مالکیت عمومی و اصل جواز بهره‌برداری از اموال عمومی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متبادر از لفظ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زمان ما مفهومی خاص است که اطلاقات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معنای متبادر حمل می‌شود و از سایر کاربردها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ادعا که هر فردی می‌تواند از اموال عمومی هر گونه که بخواهد </w:t>
      </w:r>
    </w:p>
    <w:p>
      <w:pPr>
        <w:pStyle w:val="BookText"/>
        <w:rPr/>
      </w:pPr>
      <w:r>
        <w:rPr>
          <w:rFonts w:ascii="IRNazanin" w:hAnsi="IRNazanin" w:eastAsia="IRNazanin"/>
          <w:color w:val="111111"/>
          <w:sz w:val="28"/>
          <w:sz w:val="28"/>
          <w:szCs w:val="28"/>
          <w:rtl w:val="true"/>
          <w:lang w:bidi="fa-IR"/>
        </w:rPr>
        <w:t>، استفاده بکند، لوازمی دارد که گمان نمی‌کنم هیچ فقیهی به آن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آن گونه که در بندهای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راهنمایی و رانندگی آمده است، خیابان در محیط شهری، محلی است برای رفت و آمد وسایل نقلیه که می‌تواند بسته به تنوع وسیله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نیمه سنگین،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محدودیت‌هایی نیز باشد؛ هم‌چنان که پیاده‌رو مکانی است برای عبور و مرور افراد که با یک حاشیه امنیتی از سطح خیابان جدا می‌شود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نتیجه، هر عملی به جز رفت و آمد وسایل نقلیه در خیابان جایز نیست؛ هم‌چنان که هر کاری به جز عبور افراد در پیاده‌رو نیز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راهنمایی و رانندگی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عابران پیاده موظف‌اند که در محل‌هایی که پیاده‌رو وجود دارد، از داخل سواره‌رو عبور نکنند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هم‌چنین در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آئین‌نامه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محل‌های زیر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پیاده‌رو و گذرگاه پیاده؛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خیابان‌هایی که پیاده‌روی آن قابل عبور نبوده و پیاده‌ها مجبورند از قسمتی از سواره‌رو عبور کنند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توجه به این نکته نیز ضروری است، همان دلایلی که عبور و مرور وسایل نقلیه و افراد را در سطح خیابان و پیاده‌رو جایز می‌دانند </w:t>
      </w:r>
    </w:p>
    <w:p>
      <w:pPr>
        <w:pStyle w:val="BookText"/>
        <w:rPr/>
      </w:pPr>
      <w:r>
        <w:rPr>
          <w:rFonts w:ascii="IRNazanin" w:hAnsi="IRNazanin" w:eastAsia="IRNazanin"/>
          <w:color w:val="111111"/>
          <w:sz w:val="28"/>
          <w:sz w:val="28"/>
          <w:szCs w:val="28"/>
          <w:rtl w:val="true"/>
          <w:lang w:bidi="fa-IR"/>
        </w:rPr>
        <w:t>، لوازم عقلی و عادی این دو عمل را که می‌تواند کاری غیر از تردد ولی وابسته به آن باشد نیز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لازمه تردد عابران در پیاده‌رو، با ملاحظه سن و توانایی‌های جسمانی آن‌ها، اندکی توقف و استراحت نیز هست، اما نه آن گونه توقف و استراحتی که افراد در پارک‌ها و تفرجگاه‌ها انجام می‌دهند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صورت، به راحتی می‌توانیم بگوییم تردد موتورسیکلت در</w:t>
      </w:r>
    </w:p>
    <w:p>
      <w:pPr>
        <w:pStyle w:val="BookText"/>
        <w:rPr/>
      </w:pPr>
      <w:r>
        <w:rPr>
          <w:rFonts w:ascii="IRNazanin" w:hAnsi="IRNazanin" w:eastAsia="IRNazanin"/>
          <w:color w:val="111111"/>
          <w:sz w:val="28"/>
          <w:sz w:val="28"/>
          <w:szCs w:val="28"/>
          <w:rtl w:val="true"/>
          <w:lang w:bidi="fa-IR"/>
        </w:rPr>
        <w:t>پیاده‌رو، حرکت ماشین‌های سنگین در خیابان‌های فرعی با عرض کم، تردد عابران پیاده در سطح خیابان و خوابیدن و خرید و فروش افراد در سطح پیاده‌روها، از آن جا که استفاده از منافع عمومی در خارج از منفعت تعریف‌شده آن‌هاست، جایز نخواهد بود، حتی اگر مزاحمتی برای دیگران نداشته باشد؛ زیرا شرط عدم مزاحمت در بهره‌گیری از منفعت ذاتی اشیاء معتبر است، نه در منفعتی که شی‌ء برای آن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ماده واحده قانون تشدید مجازات موتورسیکلت‌سواران متخلف، ناظر به همین مطلب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افسران و درجه‌داران دیپلمه مأمور راهنمایی و رانندگی شهرداری پایتخت مکلف‌اند در محدوده قانونی شهر تهران </w:t>
      </w:r>
    </w:p>
    <w:p>
      <w:pPr>
        <w:pStyle w:val="BookText"/>
        <w:rPr/>
      </w:pPr>
      <w:r>
        <w:rPr>
          <w:rFonts w:ascii="IRNazanin" w:hAnsi="IRNazanin" w:eastAsia="IRNazanin"/>
          <w:color w:val="111111"/>
          <w:sz w:val="28"/>
          <w:sz w:val="28"/>
          <w:szCs w:val="28"/>
          <w:rtl w:val="true"/>
          <w:lang w:bidi="fa-IR"/>
        </w:rPr>
        <w:t xml:space="preserve">رانندگان موتورسیکلت یا موتورگازی را که در پیاده‌رو مبادرت به رانندگی می‌کنند و یا در جهت مخالف مسیر مجاز حرکت می‌کنند و یا به وسیله لوله خروج دود، عمدا صدای ناهنجار ایجاد می‌کنند، علاوه بر اخذ جزای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موتورسیکلت یا موتورگازی آنان را از سه ماه تا شش ماه به ترتیب زیر توقیف نمایند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بنابراین، این فتوا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می‌تواند از خیابان‌ها و راه‌های عمومی برای نشستن، خوابیدن، نماز خواندن، خرید و فروش و مانند این‌ها استفاده کند، مادامی که برای عابران مزاحمتی ایجاد نکند و کسی حق ندارد او را از این کار باز بدارد و به مقداری که برای گذاشتن</w:t>
      </w:r>
    </w:p>
    <w:p>
      <w:pPr>
        <w:pStyle w:val="BookText"/>
        <w:rPr/>
      </w:pPr>
      <w:r>
        <w:rPr>
          <w:rFonts w:ascii="IRNazanin" w:hAnsi="IRNazanin" w:eastAsia="IRNazanin"/>
          <w:color w:val="111111"/>
          <w:sz w:val="28"/>
          <w:sz w:val="28"/>
          <w:szCs w:val="28"/>
          <w:rtl w:val="true"/>
          <w:lang w:bidi="fa-IR"/>
        </w:rPr>
        <w:t>کالا و توقف نیاز دارد مانع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درست به نظر نمی‌رسد؛ هم‌چنان که مضمون ذیل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رسیدگی به تخلّفات و اخذ جرایم رانندگی مصوب </w:t>
      </w:r>
      <w:r>
        <w:rPr>
          <w:rFonts w:eastAsia="IRNazanin" w:cs="IRNazanin"/>
          <w:color w:val="111111"/>
          <w:sz w:val="28"/>
          <w:szCs w:val="28"/>
          <w:lang w:bidi="fa-IR"/>
        </w:rPr>
        <w:t>30/3/1350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عنایت به شرط مذکور در صدر آن، جمع‌آوری وسایل نقلیه پارک‌شده در پیاده‌روها را مشروط به خطرساز بودن آن یا انسداد راه دانسته است، نادرست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محل‌هایی که توقف وسایل نقلیه در آن محل‌ها موجب بروز خطر و انسداد راه می‌شود، باید با نصب علایم مخصوص رانندگی وسیله مسئولان مربوط مشخص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توقف وسایل نقلیه در این قبیل محل‌ها و </w:t>
      </w:r>
    </w:p>
    <w:p>
      <w:pPr>
        <w:pStyle w:val="BookText"/>
        <w:rPr/>
      </w:pPr>
      <w:r>
        <w:rPr>
          <w:rFonts w:ascii="IRNazanin" w:hAnsi="IRNazanin" w:eastAsia="IRNazanin"/>
          <w:color w:val="111111"/>
          <w:sz w:val="28"/>
          <w:sz w:val="28"/>
          <w:szCs w:val="28"/>
          <w:rtl w:val="true"/>
          <w:lang w:bidi="fa-IR"/>
        </w:rPr>
        <w:t>پیاده‌روها، مأموران مربوط مجازند با وسایل اطمینان بخشی که برای این کار معمول است، وسیله نقلیه مزبور را به نزدیک‌ترین توقفگاه یا منطقه مجاز انتقال داده، جریمه مقرّر را با حقّ توقف در توقفگاه از متخلف دریافت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به نظر ما می‌باید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بالا حذف شود تا این قانون صرفا ناظر به توقف در محل‌های خطرساز یا توقف موجب انسداد راه باشد، زیرا توقف ماشین در پیاده‌روها حتی اگر خطرساز هم نباشد و باعث انسداد راه نیز نشود، مجاز نخواهد بود و در هر دو صورت، مأموران نه تنها مجاز بلکه موظف به انتقال آن از سطح معبر</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هرچند در صدر مواد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راهنمایی و رانندگی به صراحت تردد دوچرخه‌سواران و وسایل نقلیه در پیاده‌رو منع شده است، اما در ذیل این مواد، برای سایر افراد کارهایی غیر از عبور و مرور تلویحا مجاز دانسته شده که نیازمند بازنگری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دوچرخه‌سوار از پیاده‌رو و وسط دستجات، بازار، نقاط شلوغ و پرتردد ممنوع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وسایل نقلیه در پیاده‌رو، از وسط دستجات ارتش یا مأموران انتظامی یا دانش‌آموز یا تشییع کنندگان جنازه‌ها یا سایر دستجات تشریفاتی و هم‌چنین بوق زدن در این قبیل موارد، مجاز نیست</w:t>
      </w:r>
      <w:r>
        <w:rPr>
          <w:rFonts w:eastAsia="IRNazanin" w:cs="IRNazanin"/>
          <w:color w:val="111111"/>
          <w:sz w:val="28"/>
          <w:szCs w:val="28"/>
          <w:rtl w:val="true"/>
          <w:lang w:bidi="fa-IR"/>
        </w:rPr>
        <w:t>.</w:t>
      </w:r>
      <w:r>
        <w:rPr>
          <w:rStyle w:val="FootnoteAnchor"/>
          <w:rtl w:val="true"/>
        </w:rPr>
        <w:footnoteReference w:id="28"/>
      </w:r>
      <w:bookmarkStart w:id="47" w:name="pg4409_30438"/>
    </w:p>
    <w:p>
      <w:pPr>
        <w:pStyle w:val="Heading2"/>
        <w:numPr>
          <w:ilvl w:val="1"/>
          <w:numId w:val="1"/>
        </w:numPr>
        <w:rPr/>
      </w:pPr>
      <w:bookmarkStart w:id="48" w:name="__RefHeading___Toc1561940_1479056682"/>
      <w:bookmarkStart w:id="49" w:name="_Toc15"/>
      <w:bookmarkEnd w:id="47"/>
      <w:bookmarkEnd w:id="48"/>
      <w:r>
        <w:rPr>
          <w:rtl w:val="true"/>
        </w:rPr>
        <w:t>گفتار دوم</w:t>
      </w:r>
      <w:r>
        <w:rPr>
          <w:rtl w:val="true"/>
        </w:rPr>
        <w:t xml:space="preserve">: </w:t>
      </w:r>
      <w:r>
        <w:rPr>
          <w:rtl w:val="true"/>
        </w:rPr>
        <w:t>آسیب شناسی</w:t>
      </w:r>
      <w:bookmarkEnd w:id="49"/>
    </w:p>
    <w:p>
      <w:pPr>
        <w:pStyle w:val="Heading3"/>
        <w:numPr>
          <w:ilvl w:val="2"/>
          <w:numId w:val="1"/>
        </w:numPr>
        <w:rPr/>
      </w:pPr>
      <w:bookmarkStart w:id="50" w:name="__RefHeading___Toc1561942_1479056682"/>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بهره‌برداری‌های خطرساز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بهره‌برداری‌های اختلال‌ساز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4409_30440"/>
      <w:bookmarkStart w:id="53" w:name="pg4409_30440"/>
      <w:bookmarkEnd w:id="53"/>
    </w:p>
    <w:p>
      <w:pPr>
        <w:pStyle w:val="BookText"/>
        <w:rPr/>
      </w:pPr>
      <w:bookmarkStart w:id="54" w:name="pg4409_30440"/>
      <w:bookmarkEnd w:id="54"/>
      <w:r>
        <w:rPr>
          <w:rFonts w:ascii="IRNazanin" w:hAnsi="IRNazanin" w:eastAsia="IRNazanin"/>
          <w:color w:val="111111"/>
          <w:sz w:val="28"/>
          <w:sz w:val="28"/>
          <w:szCs w:val="28"/>
          <w:rtl w:val="true"/>
          <w:lang w:bidi="fa-IR"/>
        </w:rPr>
        <w:t xml:space="preserve">چه بگوییم گذرگاه‌های عمومی تنها برای عبور و مرور وسایل نقلیه و عابران پیاده به‌کار می‌روند و چه آن گونه که مشهور میان فقهاست، مدعی شویم این گذرگاه‌ها کاربردهای جانبی نیز دارند، این مطلب مسلّم است که هر گونه رفتاری که باعث توقف عبور و مرور یا کندی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حرام خواهد بود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5" w:name="__RefHeading___Toc1561944_1479056682"/>
      <w:bookmarkStart w:id="56" w:name="_Toc17"/>
      <w:bookmarkEnd w:id="55"/>
      <w:r>
        <w:rPr/>
        <w:t>1</w:t>
      </w:r>
      <w:r>
        <w:rPr>
          <w:rtl w:val="true"/>
        </w:rPr>
        <w:t xml:space="preserve">- </w:t>
      </w:r>
      <w:r>
        <w:rPr>
          <w:rtl w:val="true"/>
        </w:rPr>
        <w:t>بهره‌برداری‌های خطر ساز</w:t>
      </w:r>
      <w:bookmarkEnd w:id="56"/>
    </w:p>
    <w:p>
      <w:pPr>
        <w:pStyle w:val="Heading4"/>
        <w:numPr>
          <w:ilvl w:val="3"/>
          <w:numId w:val="1"/>
        </w:numPr>
        <w:rPr/>
      </w:pPr>
      <w:bookmarkStart w:id="57" w:name="__RefHeading___Toc1561946_1479056682"/>
      <w:bookmarkStart w:id="58" w:name="_Toc18"/>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تردیدی نیست که هر گونه استفاده از گذرگاه‌های عمومی که باعث آسیب دیدن عابران یا وسایل نقلیه و سرنشینان آن‌ها شود، کاری حرام خواهد بود؛ افزون بر این که از نظر حقوقی نیز ضمان شرعی را به دنبال خواهد داشت</w:t>
      </w:r>
      <w:r>
        <w:rPr>
          <w:rFonts w:eastAsia="IRNazanin" w:cs="IRNazanin"/>
          <w:color w:val="111111"/>
          <w:sz w:val="28"/>
          <w:szCs w:val="28"/>
          <w:rtl w:val="true"/>
          <w:lang w:bidi="fa-IR"/>
        </w:rPr>
        <w:t>.</w:t>
      </w:r>
    </w:p>
    <w:p>
      <w:pPr>
        <w:pStyle w:val="Heading4"/>
        <w:numPr>
          <w:ilvl w:val="3"/>
          <w:numId w:val="1"/>
        </w:numPr>
        <w:rPr/>
      </w:pPr>
      <w:bookmarkStart w:id="59" w:name="__RefHeading___Toc1561948_1479056682"/>
      <w:bookmarkStart w:id="60" w:name="_Toc19"/>
      <w:bookmarkEnd w:id="59"/>
      <w:r>
        <w:rPr/>
        <w:t>1-1</w:t>
      </w:r>
      <w:r>
        <w:rPr>
          <w:rtl w:val="true"/>
        </w:rPr>
        <w:t xml:space="preserve">- </w:t>
      </w:r>
      <w:r>
        <w:rPr>
          <w:rtl w:val="true"/>
        </w:rPr>
        <w:t>حکم‌تکلیفی</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حرمت آن نوع بهره‌برداری از گذرگاه‌های عمومی که منجر به ضرر و آسیب دیگران می‌شود، به دلایلی که اثبات‌کننده حرمت اضرار به غیر است، می‌توان استناد کرد</w:t>
      </w:r>
      <w:r>
        <w:rPr>
          <w:rStyle w:val="FootnoteAnchor"/>
          <w:rtl w:val="true"/>
        </w:rPr>
        <w:footnoteReference w:id="30"/>
      </w:r>
      <w:r>
        <w:rPr>
          <w:rFonts w:ascii="IRNazanin" w:hAnsi="IRNazanin" w:eastAsia="IRNazanin"/>
          <w:color w:val="111111"/>
          <w:sz w:val="28"/>
          <w:sz w:val="28"/>
          <w:szCs w:val="28"/>
          <w:rtl w:val="true"/>
          <w:lang w:bidi="fa-IR"/>
        </w:rPr>
        <w:t>که مهم‌ترین آن‌ها قاعده لاضرر است</w:t>
      </w:r>
      <w:r>
        <w:rPr>
          <w:rFonts w:eastAsia="IRNazanin" w:cs="IRNazanin"/>
          <w:color w:val="111111"/>
          <w:sz w:val="28"/>
          <w:szCs w:val="28"/>
          <w:rtl w:val="true"/>
          <w:lang w:bidi="fa-IR"/>
        </w:rPr>
        <w:t xml:space="preserve">. </w:t>
      </w:r>
      <w:bookmarkStart w:id="61" w:name="pg4409_30441"/>
    </w:p>
    <w:p>
      <w:pPr>
        <w:pStyle w:val="BookText"/>
        <w:rPr/>
      </w:pPr>
      <w:bookmarkEnd w:id="61"/>
      <w:r>
        <w:rPr>
          <w:rFonts w:ascii="IRNazanin" w:hAnsi="IRNazanin" w:eastAsia="IRNazanin"/>
          <w:color w:val="111111"/>
          <w:sz w:val="28"/>
          <w:sz w:val="28"/>
          <w:szCs w:val="28"/>
          <w:rtl w:val="true"/>
          <w:lang w:bidi="fa-IR"/>
        </w:rPr>
        <w:t xml:space="preserve">در بیشتر منابع علم اصول فقه، به چهار احتمال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ضرر، </w:t>
      </w:r>
      <w:r>
        <w:rPr>
          <w:rStyle w:val="FootnoteAnchor"/>
          <w:rtl w:val="true"/>
        </w:rPr>
        <w:footnoteReference w:id="31"/>
      </w:r>
      <w:r>
        <w:rPr>
          <w:rFonts w:ascii="IRNazanin" w:hAnsi="IRNazanin" w:eastAsia="IRNazanin"/>
          <w:color w:val="111111"/>
          <w:sz w:val="28"/>
          <w:sz w:val="28"/>
          <w:szCs w:val="28"/>
          <w:rtl w:val="true"/>
          <w:lang w:bidi="fa-IR"/>
        </w:rPr>
        <w:t xml:space="preserve">نفی حکم به لسان نفی موضوع، </w:t>
      </w:r>
      <w:r>
        <w:rPr>
          <w:rStyle w:val="FootnoteAnchor"/>
          <w:rtl w:val="true"/>
        </w:rPr>
        <w:footnoteReference w:id="32"/>
      </w:r>
      <w:r>
        <w:rPr>
          <w:rFonts w:ascii="IRNazanin" w:hAnsi="IRNazanin" w:eastAsia="IRNazanin"/>
          <w:color w:val="111111"/>
          <w:sz w:val="28"/>
          <w:sz w:val="28"/>
          <w:szCs w:val="28"/>
          <w:rtl w:val="true"/>
          <w:lang w:bidi="fa-IR"/>
        </w:rPr>
        <w:t>نفی حکم ضرری</w:t>
      </w:r>
      <w:r>
        <w:rPr>
          <w:rStyle w:val="FootnoteAnchor"/>
          <w:rtl w:val="true"/>
        </w:rPr>
        <w:footnoteReference w:id="33"/>
      </w:r>
      <w:r>
        <w:rPr>
          <w:rFonts w:ascii="IRNazanin" w:hAnsi="IRNazanin" w:eastAsia="IRNazanin"/>
          <w:color w:val="111111"/>
          <w:sz w:val="28"/>
          <w:sz w:val="28"/>
          <w:szCs w:val="28"/>
          <w:rtl w:val="true"/>
          <w:lang w:bidi="fa-IR"/>
        </w:rPr>
        <w:t>و نفی ضرری که جبران نمی‌شود؛</w:t>
      </w:r>
      <w:r>
        <w:rPr>
          <w:rStyle w:val="FootnoteAnchor"/>
          <w:rtl w:val="true"/>
        </w:rPr>
        <w:footnoteReference w:id="34"/>
      </w:r>
      <w:r>
        <w:rPr>
          <w:rFonts w:ascii="IRNazanin" w:hAnsi="IRNazanin" w:eastAsia="IRNazanin"/>
          <w:color w:val="111111"/>
          <w:sz w:val="28"/>
          <w:sz w:val="28"/>
          <w:szCs w:val="28"/>
          <w:rtl w:val="true"/>
          <w:lang w:bidi="fa-IR"/>
        </w:rPr>
        <w:t>اما به نظر می‌رسد که این حدیث با خبر دادن از نبود ضرر در هستی، در مقام بیان نامطلوب بودن ضرر نزد قانون‌گذار است</w:t>
      </w:r>
      <w:r>
        <w:rPr>
          <w:rStyle w:val="FootnoteAnchor"/>
          <w:rtl w:val="true"/>
        </w:rPr>
        <w:footnoteReference w:id="35"/>
      </w:r>
      <w:r>
        <w:rPr>
          <w:rFonts w:ascii="IRNazanin" w:hAnsi="IRNazanin" w:eastAsia="IRNazanin"/>
          <w:color w:val="111111"/>
          <w:sz w:val="28"/>
          <w:sz w:val="28"/>
          <w:szCs w:val="28"/>
          <w:rtl w:val="true"/>
          <w:lang w:bidi="fa-IR"/>
        </w:rPr>
        <w:t>و به همین جهت، هم‌چنان که این حدیث، نافی جعل حکم ضرری است، حاکی از عدم جواز ایراد ضرر و ضرار در خارج نیز هست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افزون بر این، برخی از روایات هم‌چون روایت صدوق نیز به خوبی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ضارّ مسلما فلیس منّا و لسنا منه فی الدّنیا والآخرة؛</w:t>
      </w:r>
      <w:r>
        <w:rPr>
          <w:rStyle w:val="FootnoteAnchor"/>
          <w:rtl w:val="true"/>
        </w:rPr>
        <w:footnoteReference w:id="37"/>
      </w:r>
      <w:r>
        <w:rPr>
          <w:rFonts w:ascii="IRNazanin" w:hAnsi="IRNazanin" w:eastAsia="IRNazanin"/>
          <w:color w:val="111111"/>
          <w:sz w:val="28"/>
          <w:sz w:val="28"/>
          <w:szCs w:val="28"/>
          <w:rtl w:val="true"/>
          <w:lang w:bidi="fa-IR"/>
        </w:rPr>
        <w:t>هرکس به مسلمانی آسیب برساند، نه از ماست و نه ما در دنیا و آخرت با او هستیم</w:t>
      </w:r>
      <w:r>
        <w:rPr>
          <w:rFonts w:eastAsia="IRNazanin" w:cs="IRNazanin"/>
          <w:color w:val="111111"/>
          <w:sz w:val="28"/>
          <w:szCs w:val="28"/>
          <w:rtl w:val="true"/>
          <w:lang w:bidi="fa-IR"/>
        </w:rPr>
        <w:t>.</w:t>
      </w:r>
    </w:p>
    <w:p>
      <w:pPr>
        <w:pStyle w:val="Heading4"/>
        <w:numPr>
          <w:ilvl w:val="3"/>
          <w:numId w:val="1"/>
        </w:numPr>
        <w:rPr/>
      </w:pPr>
      <w:bookmarkStart w:id="62" w:name="__RefHeading___Toc1561950_1479056682"/>
      <w:bookmarkStart w:id="63" w:name="_Toc20"/>
      <w:bookmarkEnd w:id="62"/>
      <w:r>
        <w:rPr/>
        <w:t>2-1</w:t>
      </w:r>
      <w:r>
        <w:rPr>
          <w:rtl w:val="true"/>
        </w:rPr>
        <w:t xml:space="preserve">- </w:t>
      </w:r>
      <w:r>
        <w:rPr>
          <w:rtl w:val="true"/>
        </w:rPr>
        <w:t>حکم وضعی</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استفاده از گذرگاه‌های عمومی که به طور عمدی یا غیر عمدی باعث آسیب‌دیدگی عابران یا وسایل نقلیه شود، ضمان را به دنبال دارد؛ یعنی آسیب‌زننده موظف است خسارت‌های مالی فرد آسیب‌دیده را بسته به موردش جبران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اثبات ضمان و لزوم پرداخت خسارت، به این روایات می‌توان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یضرّ بطریق المسلمین فصاحبه ضامنٌ لما یصیبه؛</w:t>
      </w:r>
      <w:r>
        <w:rPr>
          <w:rStyle w:val="FootnoteAnchor"/>
          <w:rtl w:val="true"/>
        </w:rPr>
        <w:footnoteReference w:id="38"/>
      </w:r>
      <w:r>
        <w:rPr>
          <w:rFonts w:ascii="IRNazanin" w:hAnsi="IRNazanin" w:eastAsia="IRNazanin"/>
          <w:color w:val="111111"/>
          <w:sz w:val="28"/>
          <w:sz w:val="28"/>
          <w:szCs w:val="28"/>
          <w:rtl w:val="true"/>
          <w:lang w:bidi="fa-IR"/>
        </w:rPr>
        <w:t>هرچیزی که به مسیر رفت و آمد مسلمانان آسیب برساند، صاحب آن، ضامن خسارت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بشئ من طریق المسلمین فهو له ضامن؛</w:t>
      </w:r>
      <w:r>
        <w:rPr>
          <w:rStyle w:val="FootnoteAnchor"/>
          <w:rtl w:val="true"/>
        </w:rPr>
        <w:footnoteReference w:id="39"/>
      </w:r>
      <w:r>
        <w:rPr>
          <w:rFonts w:ascii="IRNazanin" w:hAnsi="IRNazanin" w:eastAsia="IRNazanin"/>
          <w:color w:val="111111"/>
          <w:sz w:val="28"/>
          <w:sz w:val="28"/>
          <w:szCs w:val="28"/>
          <w:rtl w:val="true"/>
          <w:lang w:bidi="fa-IR"/>
        </w:rPr>
        <w:t>هرکس به هر شکل به مسیر رفت و آمد مسلمانان خسارتی وارد کند،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ضمان با نوع استفاده از 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به این نکته توجه داشته باشیم که حرکت در گذرگاه‌های عمومی به طور طبیعی کار پرخطری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مسئله ضمان هنگامی قابل طرح است که دارنده وسیله نقلیه یا عابر پیاده از گذرگاه تعیین‌شده خود حرکت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مطلب می‌توان به روایت علی بن سوید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الفُرسان سیروا فی وسط الطریق ، یا معشر الرجالة سیروا علی جنبی الطریق، فأیّما فارس أخذ علی جنبی الطریق فأصاب رجلاً عیب ألزمناه الدیة ، وأیّما رجل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فی وسط الطریق فأصابه عیب فلا دیة له؛</w:t>
      </w:r>
      <w:r>
        <w:rPr>
          <w:rStyle w:val="FootnoteAnchor"/>
          <w:rtl w:val="true"/>
        </w:rPr>
        <w:footnoteReference w:id="40"/>
      </w:r>
      <w:r>
        <w:rPr>
          <w:rFonts w:ascii="IRNazanin" w:hAnsi="IRNazanin" w:eastAsia="IRNazanin"/>
          <w:color w:val="111111"/>
          <w:sz w:val="28"/>
          <w:sz w:val="28"/>
          <w:szCs w:val="28"/>
          <w:rtl w:val="true"/>
          <w:lang w:bidi="fa-IR"/>
        </w:rPr>
        <w:t>هنگامی که قائم ما قیام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اسب‌سواران، از وسط راه حرکت کنید و ای پیادگان، از کناره </w:t>
      </w:r>
    </w:p>
    <w:p>
      <w:pPr>
        <w:pStyle w:val="BookText"/>
        <w:rPr/>
      </w:pPr>
      <w:r>
        <w:rPr>
          <w:rFonts w:ascii="IRNazanin" w:hAnsi="IRNazanin" w:eastAsia="IRNazanin"/>
          <w:color w:val="111111"/>
          <w:sz w:val="28"/>
          <w:sz w:val="28"/>
          <w:szCs w:val="28"/>
          <w:rtl w:val="true"/>
          <w:lang w:bidi="fa-IR"/>
        </w:rPr>
        <w:t>راه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اسب‌سواری را که از کناره راه حرکت کند و به انسانی آسیب وارد سازد، وادار به پرداخت دیه می‌کنیم و هر پیاده‌ای که در میانه راه حرکت کند و به او آسیبی وارد شود، دیه‌ای دریافت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مترادف دانستن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رانندگان وسایل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 حدیث این خواهد شد که عبور و مرور در گذرگاه‌ها، اعم از راه، خیابان و پیاده‌رو، هنگامی موجب ضمان می‌شود که آسیب‌زننده در خارج از جایگاه قانونی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وسیله نقلیه‌ای بدون ملاحظات قانونی وارد پیاده‌رو شود و با عابری برخورد کند، ضامن خواهد بود؛ اما اگر عابر پیاده با خروج از گذرگاه قانونی خود یعنی پیاده‌رو و ورود به حوزه خیابان، با وسیله نقلیه‌ای تصادف کند، در این صورت، عابر نمی‌تواند بابت خسارتی که از این تصادف دیده است، از راننده وسیله نقلیه پولی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رسیدگی به تخلفات و اخذ جرایم رانندگی مصوب </w:t>
      </w:r>
      <w:r>
        <w:rPr>
          <w:rFonts w:eastAsia="IRNazanin" w:cs="IRNazanin"/>
          <w:color w:val="111111"/>
          <w:sz w:val="28"/>
          <w:szCs w:val="28"/>
          <w:lang w:bidi="fa-IR"/>
        </w:rPr>
        <w:t>30/3/1350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عابر پیاده در عبور از سواره‌رو و معابر و خیابان‌ها، جز از نقاطی که خط‌کشی شده و مخصوص</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عبور عابر پیاده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نماید، متخلف شناخته می‌شود و مکلّف به پرداخت جریمه مقرّر در آئین‌نامه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در این قبیل نقاط غیر مجاز، وسیله نقلیه موتوری با عابر پیاده تصادف نماید، راننده وسیله نقلیه در صورتی که کلیه مقررات راهنمایی و رانندگی را رعایت نموده باشد، مسئول شناخته </w:t>
      </w:r>
      <w:bookmarkStart w:id="64" w:name="pg4409_30444"/>
    </w:p>
    <w:p>
      <w:pPr>
        <w:pStyle w:val="BookText"/>
        <w:rPr/>
      </w:pPr>
      <w:bookmarkEnd w:id="64"/>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مسئولیت راننده مانع استفاده شخص ثالث از مقررات بیمه نخواهد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هم‌چنین گذرگاه محلی برای عبور و مرور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خیابان یا پیاده‌رو برای کاری غیر از این استفاده کند،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استفاده از معابر عمومی برای تخلیه فاضلاب و زباله، پارکینگ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آسیب‌دیدگی کسی شود، استفاده کننده مسئول جبران خسارت وی بوده و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می‌توان از روایت سکونی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أخرج میزابا أو کنیفا أو أوتد وتدا أو أوثق دابة أو حفر بئرا</w:t>
      </w:r>
    </w:p>
    <w:p>
      <w:pPr>
        <w:pStyle w:val="BookText"/>
        <w:rPr/>
      </w:pPr>
      <w:r>
        <w:rPr>
          <w:rFonts w:ascii="IRNazanin" w:hAnsi="IRNazanin" w:eastAsia="IRNazanin"/>
          <w:color w:val="111111"/>
          <w:sz w:val="28"/>
          <w:sz w:val="28"/>
          <w:szCs w:val="28"/>
          <w:rtl w:val="true"/>
          <w:lang w:bidi="fa-IR"/>
        </w:rPr>
        <w:t>فی طریق المسلمین فأصاب شیئا فعطب فهو له ضامنٌ؛</w:t>
      </w:r>
      <w:r>
        <w:rPr>
          <w:rStyle w:val="FootnoteAnchor"/>
          <w:rtl w:val="true"/>
        </w:rPr>
        <w:footnoteReference w:id="42"/>
      </w:r>
      <w:r>
        <w:rPr>
          <w:rFonts w:ascii="IRNazanin" w:hAnsi="IRNazanin" w:eastAsia="IRNazanin"/>
          <w:color w:val="111111"/>
          <w:sz w:val="28"/>
          <w:sz w:val="28"/>
          <w:szCs w:val="28"/>
          <w:rtl w:val="true"/>
          <w:lang w:bidi="fa-IR"/>
        </w:rPr>
        <w:t>هرکس ناودان یا فاضلاب خانه‌اش را به گذرگاه مسلمانان باز</w:t>
      </w:r>
    </w:p>
    <w:p>
      <w:pPr>
        <w:pStyle w:val="BookText"/>
        <w:rPr/>
      </w:pPr>
      <w:r>
        <w:rPr>
          <w:rFonts w:ascii="IRNazanin" w:hAnsi="IRNazanin" w:eastAsia="IRNazanin"/>
          <w:color w:val="111111"/>
          <w:sz w:val="28"/>
          <w:sz w:val="28"/>
          <w:szCs w:val="28"/>
          <w:rtl w:val="true"/>
          <w:lang w:bidi="fa-IR"/>
        </w:rPr>
        <w:t>کند یا در گذرگاه میخی بکوبد یا حیوانی را ببندد یا چاهی حفر کند و کسی با آن برخورد کند و تلف شود، ضامن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دو روایت علی بن سوید و سکونی به خوبی مطلبی را که پیش از این توضیح دادیم، تأیید می‌کند، زیرا بر اساس این دو روایت نمی‌توان معابر عمومی را مکان‌هایی چندمنظوره تلقی کرد، بلکه کاربری این مکان‌ها تنها عبور و مرور وسایل نقلیه و عابران پیاده است</w:t>
      </w:r>
      <w:r>
        <w:rPr>
          <w:rFonts w:eastAsia="IRNazanin" w:cs="IRNazanin"/>
          <w:color w:val="111111"/>
          <w:sz w:val="28"/>
          <w:szCs w:val="28"/>
          <w:rtl w:val="true"/>
          <w:lang w:bidi="fa-IR"/>
        </w:rPr>
        <w:t>.</w:t>
      </w:r>
    </w:p>
    <w:p>
      <w:pPr>
        <w:pStyle w:val="Heading3"/>
        <w:numPr>
          <w:ilvl w:val="2"/>
          <w:numId w:val="1"/>
        </w:numPr>
        <w:rPr/>
      </w:pPr>
      <w:bookmarkStart w:id="65" w:name="__RefHeading___Toc1561952_1479056682"/>
      <w:bookmarkStart w:id="66" w:name="_Toc21"/>
      <w:bookmarkEnd w:id="65"/>
      <w:r>
        <w:rPr/>
        <w:t>2</w:t>
      </w:r>
      <w:r>
        <w:rPr>
          <w:rtl w:val="true"/>
        </w:rPr>
        <w:t xml:space="preserve">- </w:t>
      </w:r>
      <w:r>
        <w:rPr>
          <w:rtl w:val="true"/>
        </w:rPr>
        <w:t>بهره‌برداری‌های اختلال‌ساز</w:t>
      </w:r>
      <w:bookmarkEnd w:id="66"/>
    </w:p>
    <w:p>
      <w:pPr>
        <w:pStyle w:val="Heading4"/>
        <w:numPr>
          <w:ilvl w:val="3"/>
          <w:numId w:val="1"/>
        </w:numPr>
        <w:rPr/>
      </w:pPr>
      <w:bookmarkStart w:id="67" w:name="__RefHeading___Toc1561954_1479056682"/>
      <w:bookmarkStart w:id="68" w:name="_Toc22"/>
      <w:bookmarkEnd w:id="67"/>
      <w:r>
        <w:rPr>
          <w:rtl w:val="true"/>
        </w:rPr>
        <w:t>اشاره</w:t>
      </w:r>
      <w:bookmarkEnd w:id="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خطراتی که معابر عمومی از دیرباز با آن مواجه هستند، بهره‌برداری‌هایی است که موجب اختلال در امر رفت و آمد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نمود این آسیب بیشتر در جایی است که معابر عمومی را دارای کاربردهای چندمنظوره بدانیم، ولی اگر از معابر یاد شده تنها برای جابجایی وسایل نقلیه و عابران پیاده نیز استفاده کنیم، استفاده ناصحیح از آن‌ها می‌تواند باعث کندی عبور و مرور و سدّ معبر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کسانی که از گذرگاه‌های عمومی برای کاری غیر از رفت و آمد استفاده می‌کنند، مجاز نیستند با کار خود در آمد و شد مردم اخلال ایجاد 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الوجیز، </w:t>
      </w:r>
      <w:r>
        <w:rPr>
          <w:rFonts w:eastAsia="IRNazanin" w:cs="IRNazanin"/>
          <w:color w:val="111111"/>
          <w:sz w:val="28"/>
          <w:szCs w:val="28"/>
          <w:lang w:bidi="fa-IR"/>
        </w:rPr>
        <w:t>10/308</w:t>
      </w:r>
      <w:r>
        <w:rPr>
          <w:rFonts w:ascii="IRNazanin" w:hAnsi="IRNazanin" w:eastAsia="IRNazanin"/>
          <w:color w:val="111111"/>
          <w:sz w:val="28"/>
          <w:sz w:val="28"/>
          <w:szCs w:val="28"/>
          <w:rtl w:val="true"/>
          <w:lang w:bidi="fa-IR"/>
        </w:rPr>
        <w:t xml:space="preserve">؛ روضة الطالبین، </w:t>
      </w:r>
      <w:r>
        <w:rPr>
          <w:rFonts w:eastAsia="IRNazanin" w:cs="IRNazanin"/>
          <w:color w:val="111111"/>
          <w:sz w:val="28"/>
          <w:szCs w:val="28"/>
          <w:lang w:bidi="fa-IR"/>
        </w:rPr>
        <w:t>3/438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حقوق عابران در گذرگاه‌ها تا بدان اندازه است که اگر کسانی با خواندن نماز در سطح معابر، عبور و مرور مردم را مختل کنند، نمازشان باطل خواهد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علامه حلّی جایگاه اخلال در عبور</w:t>
      </w:r>
    </w:p>
    <w:p>
      <w:pPr>
        <w:pStyle w:val="BookText"/>
        <w:rPr/>
      </w:pPr>
      <w:r>
        <w:rPr>
          <w:rFonts w:ascii="IRNazanin" w:hAnsi="IRNazanin" w:eastAsia="IRNazanin"/>
          <w:color w:val="111111"/>
          <w:sz w:val="28"/>
          <w:sz w:val="28"/>
          <w:szCs w:val="28"/>
          <w:rtl w:val="true"/>
          <w:lang w:bidi="fa-IR"/>
        </w:rPr>
        <w:t>و مرور را در فقه اسلامی چنین توضیح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الطرق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نافذة و غیر 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النافذة و النّاس کلّهم فی السلوک فیها شرع سواء مستحقّون للممرّ فیه و لیس لأحد أن یتصرّف فیه بما یبطل المرور فیه أو ینقصه أو یضرّ بالمارّة من بناء حائط فیه أو دکّة أو وضع جناح أو ساباط علی جداره إذا أضرّ بالمارّة إجماعا</w:t>
      </w:r>
      <w:r>
        <w:rPr>
          <w:rFonts w:eastAsia="IRNazanin" w:cs="IRNazanin"/>
          <w:color w:val="111111"/>
          <w:sz w:val="28"/>
          <w:szCs w:val="28"/>
          <w:rtl w:val="true"/>
          <w:lang w:bidi="fa-IR"/>
        </w:rPr>
        <w:t>.</w:t>
      </w:r>
      <w:r>
        <w:rPr>
          <w:rStyle w:val="FootnoteAnchor"/>
          <w:rtl w:val="true"/>
        </w:rPr>
        <w:footnoteReference w:id="45"/>
      </w:r>
      <w:bookmarkStart w:id="69" w:name="pg4409_30446"/>
    </w:p>
    <w:p>
      <w:pPr>
        <w:pStyle w:val="BookText"/>
        <w:rPr/>
      </w:pPr>
      <w:bookmarkEnd w:id="69"/>
      <w:r>
        <w:rPr>
          <w:rFonts w:ascii="IRNazanin" w:hAnsi="IRNazanin" w:eastAsia="IRNazanin"/>
          <w:color w:val="111111"/>
          <w:sz w:val="28"/>
          <w:sz w:val="28"/>
          <w:szCs w:val="28"/>
          <w:rtl w:val="true"/>
          <w:lang w:bidi="fa-IR"/>
        </w:rPr>
        <w:t>هم‌چنین فقیه بحرانی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خلاف بین الأصحاب فی أنّ الأراضی المحبوسة علی المنافع العامّة کالشوارع و المشارع و المساجد و المقابر و الرباطات و المدارس و الأسواق لایجوز لأحد التصرّف فیها علی وجه یمنع الانتفاع بها فیما هی متّخذة له</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0" w:name="__RefHeading___Toc1561956_1479056682"/>
      <w:bookmarkStart w:id="71" w:name="_Toc23"/>
      <w:bookmarkEnd w:id="70"/>
      <w:r>
        <w:rPr/>
        <w:t>1-2</w:t>
      </w:r>
      <w:r>
        <w:rPr>
          <w:rtl w:val="true"/>
        </w:rPr>
        <w:t xml:space="preserve">- </w:t>
      </w:r>
      <w:r>
        <w:rPr>
          <w:rtl w:val="true"/>
        </w:rPr>
        <w:t>حکم تکلیفی</w:t>
      </w:r>
      <w:bookmarkEnd w:id="71"/>
    </w:p>
    <w:p>
      <w:pPr>
        <w:pStyle w:val="Heading5"/>
        <w:numPr>
          <w:ilvl w:val="4"/>
          <w:numId w:val="1"/>
        </w:numPr>
        <w:rPr/>
      </w:pPr>
      <w:bookmarkStart w:id="72" w:name="__RefHeading___Toc1561958_1479056682"/>
      <w:bookmarkStart w:id="73" w:name="_Toc24"/>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برای اثبات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می‌توان به آیات قرآنی، قواعد فقهی و هم‌چنین برخی از احادیث خاندان عصمت استناد کرد</w:t>
      </w:r>
      <w:r>
        <w:rPr>
          <w:rFonts w:eastAsia="IRNazanin" w:cs="IRNazanin"/>
          <w:color w:val="111111"/>
          <w:sz w:val="28"/>
          <w:szCs w:val="28"/>
          <w:rtl w:val="true"/>
          <w:lang w:bidi="fa-IR"/>
        </w:rPr>
        <w:t>.</w:t>
      </w:r>
    </w:p>
    <w:p>
      <w:pPr>
        <w:pStyle w:val="Heading5"/>
        <w:numPr>
          <w:ilvl w:val="4"/>
          <w:numId w:val="1"/>
        </w:numPr>
        <w:rPr/>
      </w:pPr>
      <w:bookmarkStart w:id="74" w:name="__RefHeading___Toc1561960_1479056682"/>
      <w:bookmarkStart w:id="75" w:name="_Toc25"/>
      <w:bookmarkEnd w:id="74"/>
      <w:r>
        <w:rPr/>
        <w:t>1-1-2</w:t>
      </w:r>
      <w:r>
        <w:rPr>
          <w:rtl w:val="true"/>
        </w:rPr>
        <w:t xml:space="preserve">- </w:t>
      </w:r>
      <w:r>
        <w:rPr>
          <w:rtl w:val="true"/>
        </w:rPr>
        <w:t>تجاوز از حدود الهی</w:t>
      </w:r>
      <w:bookmarkEnd w:id="75"/>
    </w:p>
    <w:p>
      <w:pPr>
        <w:pStyle w:val="BookText"/>
        <w:rPr/>
      </w:pPr>
      <w:r>
        <w:rPr>
          <w:rFonts w:ascii="IRNazanin" w:hAnsi="IRNazanin" w:eastAsia="IRNazanin"/>
          <w:color w:val="111111"/>
          <w:sz w:val="28"/>
          <w:sz w:val="28"/>
          <w:szCs w:val="28"/>
          <w:rtl w:val="true"/>
          <w:lang w:bidi="fa-IR"/>
        </w:rPr>
        <w:t>قرآن کریم کسانی را که حدود و مرزهای الهی را می‌شکنند و حرمت آن‌ها را رعایت نمی‌کنند، ستمگر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آنان که</w:t>
      </w:r>
    </w:p>
    <w:p>
      <w:pPr>
        <w:pStyle w:val="BookText"/>
        <w:rPr/>
      </w:pPr>
      <w:r>
        <w:rPr>
          <w:rFonts w:ascii="IRNazanin" w:hAnsi="IRNazanin" w:eastAsia="IRNazanin"/>
          <w:color w:val="111111"/>
          <w:sz w:val="28"/>
          <w:sz w:val="28"/>
          <w:szCs w:val="28"/>
          <w:rtl w:val="true"/>
          <w:lang w:bidi="fa-IR"/>
        </w:rPr>
        <w:t>حدود الهی را زیر پا می‌گذارند، ستمکارند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 تعدّی آن </w:t>
      </w:r>
      <w:bookmarkStart w:id="76" w:name="pg4409_30447"/>
    </w:p>
    <w:p>
      <w:pPr>
        <w:pStyle w:val="BookText"/>
        <w:rPr/>
      </w:pPr>
      <w:bookmarkEnd w:id="76"/>
      <w:r>
        <w:rPr>
          <w:rFonts w:ascii="IRNazanin" w:hAnsi="IRNazanin" w:eastAsia="IRNazanin"/>
          <w:color w:val="111111"/>
          <w:sz w:val="28"/>
          <w:sz w:val="28"/>
          <w:szCs w:val="28"/>
          <w:rtl w:val="true"/>
          <w:lang w:bidi="fa-IR"/>
        </w:rPr>
        <w:t>گونه که در متون تفسیری آمده، به معنای گذر کردن از حق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بنابراین، هرگاه حقی زیر پا نهاده شود، تجاوزی صورت گرفته است و آن‌ها که تجاوز می‌کنند،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توضیح دادیم که گذرگاه‌ها از جمله اموال عمومی و منافع مشترکی هستند که هر کس حق دارد از آن‌ها در راستای هدفی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و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استفاده دیگران از این اموال عمومی، خللی ایجاد کند، حق آن‌ها را تضییع کرده، ستمکار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معبر و ایجاد اختلال در امر رفت و آمد مردم، هرچند ابتدا حق استفاده آن‌ها از گذرگاه‌ها را کاهش داده یا از بین می‌برد، اما از آن جا که عناصر اجتماعی به هم پیوسته هستند، کسی که خود چنین مشکلی را برای مردم ایجاد می‌کند نیز در درازمدت از رهگذر همین کار آسیب خواهد دید؛ از این رو، می‌توان او را از جمله کسانی دانست که به خود ستم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فَقَدْ ظَلَمَ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آنان که حدود الهی را زیر پا می‌گذارند، به خود ستم کرده‌اند</w:t>
      </w:r>
      <w:r>
        <w:rPr>
          <w:rFonts w:eastAsia="IRNazanin" w:cs="IRNazanin"/>
          <w:color w:val="111111"/>
          <w:sz w:val="28"/>
          <w:szCs w:val="28"/>
          <w:rtl w:val="true"/>
          <w:lang w:bidi="fa-IR"/>
        </w:rPr>
        <w:t>.</w:t>
      </w:r>
    </w:p>
    <w:p>
      <w:pPr>
        <w:pStyle w:val="Heading5"/>
        <w:numPr>
          <w:ilvl w:val="4"/>
          <w:numId w:val="1"/>
        </w:numPr>
        <w:rPr/>
      </w:pPr>
      <w:bookmarkStart w:id="77" w:name="__RefHeading___Toc1561962_1479056682"/>
      <w:bookmarkStart w:id="78" w:name="_Toc26"/>
      <w:bookmarkEnd w:id="77"/>
      <w:r>
        <w:rPr/>
        <w:t>2-1-2</w:t>
      </w:r>
      <w:r>
        <w:rPr>
          <w:rtl w:val="true"/>
        </w:rPr>
        <w:t xml:space="preserve">- </w:t>
      </w:r>
      <w:r>
        <w:rPr>
          <w:rtl w:val="true"/>
        </w:rPr>
        <w:t>قاعده نفی حَرَج</w:t>
      </w:r>
      <w:bookmarkEnd w:id="78"/>
    </w:p>
    <w:p>
      <w:pPr>
        <w:pStyle w:val="BookText"/>
        <w:rPr/>
      </w:pPr>
      <w:r>
        <w:rPr>
          <w:rFonts w:ascii="IRNazanin" w:hAnsi="IRNazanin" w:eastAsia="IRNazanin"/>
          <w:color w:val="111111"/>
          <w:sz w:val="28"/>
          <w:sz w:val="28"/>
          <w:szCs w:val="28"/>
          <w:rtl w:val="true"/>
          <w:lang w:bidi="fa-IR"/>
        </w:rPr>
        <w:t xml:space="preserve">این قاعده که از جمله قواعد مسلّم عقلی و فقهی و مبتنی بر آیات و روایات معتبر است، حکایت از این دارد که از نظر قانونگذار اسلام،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وجود حرج به این معناست که نه احکام الهی مکلّفان را در تنگنا قرار می‌دهند و نه مردم مجاز هستند با رفتار خود یکدیگر را در تنگنا قرار دهند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 علیه‌السلام در پاسخ به پرسشی درباره طهارت و نجاست، این اصل کلی را چنین توضیح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الدّین لیس بمضیّق،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51"/>
      </w:r>
      <w:r>
        <w:rPr>
          <w:rFonts w:ascii="IRNazanin" w:hAnsi="IRNazanin" w:eastAsia="IRNazanin"/>
          <w:color w:val="111111"/>
          <w:sz w:val="28"/>
          <w:sz w:val="28"/>
          <w:szCs w:val="28"/>
          <w:rtl w:val="true"/>
          <w:lang w:bidi="fa-IR"/>
        </w:rPr>
        <w:t>دین سخت‌گیرنده نیست، 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بر شما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شهروندان مجاز هستند از گذرگاه‌های موجود در سطح شهرها استفاده کنند، اما نباید استفاده کسی باعث شود که دیگران فرصت استفاده نیابند یا در بهره‌مندی از اماکن عمومی دچار سختی و مشقت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هرگونه سدّ معبر در معابر عمومی، اعم از خیابان‌ها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و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پیاده‌روها، ممنوع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شهرداری‌ها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معابر عمومی و اشغال پیاده‌روها و استفاده غیر مجاز از آن‌ها و میدان‌ها و پارک‌ها و باغ‌های عمومی برای کسب و یا سکنی و یا هر عنوان دیگری ممنوع است و شهرداری مکلف است از آن جلوگیری و در رفع موانع موجود و آزاد</w:t>
      </w:r>
    </w:p>
    <w:p>
      <w:pPr>
        <w:pStyle w:val="BookText"/>
        <w:rPr/>
      </w:pPr>
      <w:r>
        <w:rPr>
          <w:rFonts w:ascii="IRNazanin" w:hAnsi="IRNazanin" w:eastAsia="IRNazanin"/>
          <w:color w:val="111111"/>
          <w:sz w:val="28"/>
          <w:sz w:val="28"/>
          <w:szCs w:val="28"/>
          <w:rtl w:val="true"/>
          <w:lang w:bidi="fa-IR"/>
        </w:rPr>
        <w:t>نمودن معابر و اماکن فوق وسیله مأمورین خود رأسا اقدام کند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این تبصره هرچند به وضوح مسئله سدّ معبر را مورد توجه قرار داده است، اما به کار رفتن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غیر مجاز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این ماده را با ابهام مواجه کرده است، زیرا مفهوم آن، این خواهد بود </w:t>
      </w:r>
    </w:p>
    <w:p>
      <w:pPr>
        <w:pStyle w:val="BookText"/>
        <w:rPr/>
      </w:pPr>
      <w:r>
        <w:rPr>
          <w:rFonts w:ascii="IRNazanin" w:hAnsi="IRNazanin" w:eastAsia="IRNazanin"/>
          <w:color w:val="111111"/>
          <w:sz w:val="28"/>
          <w:sz w:val="28"/>
          <w:szCs w:val="28"/>
          <w:rtl w:val="true"/>
          <w:lang w:bidi="fa-IR"/>
        </w:rPr>
        <w:t>که استفاده مجاز از اماکن یاد شده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آیا برای این اماکن غیر از کاربری ذاتی که دارند، یعنی عبور و مرور، کاربری مجاز دیگری هم وجود دارد؟</w:t>
      </w:r>
    </w:p>
    <w:p>
      <w:pPr>
        <w:pStyle w:val="BookText"/>
        <w:rPr/>
      </w:pP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راهنمایی و رانندگی، بدون آن که اسمی از سد معبر به میان آید، به سه نمونه از کارهایی که می‌تواند سد معبر به شمار آید، اشاره شده است، اما جواز انجام آن‌ها موکول به اجازه پلیس گردیده است که جای تأمل دارد، زیرا اجازه پلیس نه در بهره‌برداری غیر مجاز از معابر تأثیر دارد و نه در مسدود کردن موقت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ذیل در خیابان‌ها و معابر شهری ممنوع است، مگر با اجازه نیروی انتظامی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یا خوراک دادن دام‌ها و پرندگان یا رها کردن آن‌ها بدون نگهبان؛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با اسب یا سایر حیوانات و وسایل نقلیه؛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مسابقه‌های ورزشی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بپذیریم ایجاد اختلال در رفت و آمد مردم، ستمی بر ایشان است، به دو نتیجه فقهی 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همکاری با کسانی که با سدّ معبر، عبور و مرور وسایل نقلیه و افراد را با مشکل مواجه می‌کنند، از آن جهت که تعاون بر ظلم محسوب می‌شود، حرام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عَلَی الإثْمِ وَ الْعُدْوَانِ وَاتّقُوا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یکدیگر را بر گناه و تجاوزگری یاری </w:t>
      </w:r>
    </w:p>
    <w:p>
      <w:pPr>
        <w:pStyle w:val="BookText"/>
        <w:rPr/>
      </w:pPr>
      <w:r>
        <w:rPr>
          <w:rFonts w:ascii="IRNazanin" w:hAnsi="IRNazanin" w:eastAsia="IRNazanin"/>
          <w:color w:val="111111"/>
          <w:sz w:val="28"/>
          <w:sz w:val="28"/>
          <w:szCs w:val="28"/>
          <w:rtl w:val="true"/>
          <w:lang w:bidi="fa-IR"/>
        </w:rPr>
        <w:t>نکنید و از خداوند پروا کنید که خداوند سخت‌کیفر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گونه تلاش برای از بین بردن موانع عبور و مرور در سطح گذرگاه‌ها، همکاری بر نیکی بوده، متضمن پاداش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در نقل ماجرایی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شجرة تضیق الطریق فقطعها رجل فعزلها عن الطریق، فغفر له؛</w:t>
      </w:r>
      <w:r>
        <w:rPr>
          <w:rStyle w:val="FootnoteAnchor"/>
          <w:rtl w:val="true"/>
        </w:rPr>
        <w:footnoteReference w:id="55"/>
      </w:r>
      <w:r>
        <w:rPr>
          <w:rFonts w:ascii="IRNazanin" w:hAnsi="IRNazanin" w:eastAsia="IRNazanin"/>
          <w:color w:val="111111"/>
          <w:sz w:val="28"/>
          <w:sz w:val="28"/>
          <w:szCs w:val="28"/>
          <w:rtl w:val="true"/>
          <w:lang w:bidi="fa-IR"/>
        </w:rPr>
        <w:t>درختی راه مردم را تنگ کرده بود؛ مردی آن را کند و از مسیر حرکت مردم خارج کرد و به واسطه همین کار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ملاحظه همین جهت باشد که قانونگذار، جمع‌آوری موانع موجود در مسیر عبور و مرور شهروندان را از جمله وظایف شهرداری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شهرداری‌ها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تدابیر مؤثر و اقدام لازم برای حفظ شهر از خطر سیل</w:t>
      </w:r>
    </w:p>
    <w:p>
      <w:pPr>
        <w:pStyle w:val="BookText"/>
        <w:rPr/>
      </w:pPr>
      <w:r>
        <w:rPr>
          <w:rFonts w:ascii="IRNazanin" w:hAnsi="IRNazanin" w:eastAsia="IRNazanin"/>
          <w:color w:val="111111"/>
          <w:sz w:val="28"/>
          <w:sz w:val="28"/>
          <w:szCs w:val="28"/>
          <w:rtl w:val="true"/>
          <w:lang w:bidi="fa-IR"/>
        </w:rPr>
        <w:t>و حریق و هم‌چنین رفع خطر از بناها و دیوارهای شکسته و خطرناک واقع در معابر عمومی و کوچه‌ها و اماکن عمومی و دالان‌های عمومی و خصوصی و پر کردن و پوشاندن چاه‌ها و چاله‌های واقع در معابر و جلوگیری از گذاشتن هر نوع اشیاء در بالکن‌ها و ایوان‌های مشرف و مجاور به معابر عمومی که افتادن آن‌ها موجب خطر برای عابرین است و جلوگیری از ناودان‌ها و دودکش‌های ساختمان‌ها که باعث زحمت و خسارت ساکنین شهرها 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سدّ معبر جرم به حساب می‌آید و مرتکبان آن، ستمکارانی </w:t>
      </w:r>
    </w:p>
    <w:p>
      <w:pPr>
        <w:pStyle w:val="BookText"/>
        <w:rPr/>
      </w:pPr>
      <w:r>
        <w:rPr>
          <w:rFonts w:ascii="IRNazanin" w:hAnsi="IRNazanin" w:eastAsia="IRNazanin"/>
          <w:color w:val="111111"/>
          <w:sz w:val="28"/>
          <w:sz w:val="28"/>
          <w:szCs w:val="28"/>
          <w:rtl w:val="true"/>
          <w:lang w:bidi="fa-IR"/>
        </w:rPr>
        <w:t>هستند که به واسطه تجاوز به حقوق عمومی، استحقاق مجازات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تنها کسانی که به مردم ستم می‌کنند و در زمین به ناحق ظلم روا می‌دارند، مجازات می‌شوند و برای ایشان عذابی دردناک است</w:t>
      </w:r>
      <w:r>
        <w:rPr>
          <w:rFonts w:eastAsia="IRNazanin" w:cs="IRNazanin"/>
          <w:color w:val="111111"/>
          <w:sz w:val="28"/>
          <w:szCs w:val="28"/>
          <w:rtl w:val="true"/>
          <w:lang w:bidi="fa-IR"/>
        </w:rPr>
        <w:t xml:space="preserve">. </w:t>
      </w:r>
      <w:bookmarkStart w:id="79" w:name="pg4409_30452"/>
    </w:p>
    <w:p>
      <w:pPr>
        <w:pStyle w:val="Heading2"/>
        <w:numPr>
          <w:ilvl w:val="1"/>
          <w:numId w:val="1"/>
        </w:numPr>
        <w:rPr/>
      </w:pPr>
      <w:bookmarkStart w:id="80" w:name="__RefHeading___Toc1561964_1479056682"/>
      <w:bookmarkStart w:id="81" w:name="_Toc27"/>
      <w:bookmarkEnd w:id="79"/>
      <w:bookmarkEnd w:id="80"/>
      <w:r>
        <w:rPr>
          <w:rtl w:val="true"/>
        </w:rPr>
        <w:t>گفتار سوم</w:t>
      </w:r>
      <w:r>
        <w:rPr>
          <w:rtl w:val="true"/>
        </w:rPr>
        <w:t xml:space="preserve">: </w:t>
      </w:r>
      <w:r>
        <w:rPr>
          <w:rtl w:val="true"/>
        </w:rPr>
        <w:t>کاربری‌های غیر مجاز</w:t>
      </w:r>
      <w:bookmarkEnd w:id="81"/>
    </w:p>
    <w:p>
      <w:pPr>
        <w:pStyle w:val="Heading3"/>
        <w:numPr>
          <w:ilvl w:val="2"/>
          <w:numId w:val="1"/>
        </w:numPr>
        <w:rPr/>
      </w:pPr>
      <w:bookmarkStart w:id="82" w:name="__RefHeading___Toc1561966_1479056682"/>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ساخت‌وساز</w:t>
      </w:r>
    </w:p>
    <w:p>
      <w:pPr>
        <w:pStyle w:val="BookText"/>
        <w:rPr/>
      </w:pPr>
      <w:r>
        <w:rPr>
          <w:rFonts w:ascii="IRNazanin" w:hAnsi="IRNazanin" w:eastAsia="IRNazanin"/>
          <w:color w:val="111111"/>
          <w:sz w:val="28"/>
          <w:sz w:val="28"/>
          <w:szCs w:val="28"/>
          <w:rtl w:val="true"/>
          <w:lang w:bidi="fa-IR"/>
        </w:rPr>
        <w:t>باز کردنِ در به معابر</w:t>
      </w:r>
    </w:p>
    <w:p>
      <w:pPr>
        <w:pStyle w:val="BookText"/>
        <w:rPr/>
      </w:pPr>
      <w:r>
        <w:rPr>
          <w:rFonts w:ascii="IRNazanin" w:hAnsi="IRNazanin" w:eastAsia="IRNazanin"/>
          <w:color w:val="111111"/>
          <w:sz w:val="28"/>
          <w:sz w:val="28"/>
          <w:szCs w:val="28"/>
          <w:rtl w:val="true"/>
          <w:lang w:bidi="fa-IR"/>
        </w:rPr>
        <w:t>حفاری</w:t>
      </w:r>
    </w:p>
    <w:p>
      <w:pPr>
        <w:pStyle w:val="BookText"/>
        <w:rPr/>
      </w:pPr>
      <w:r>
        <w:rPr>
          <w:rFonts w:ascii="IRNazanin" w:hAnsi="IRNazanin" w:eastAsia="IRNazanin"/>
          <w:color w:val="111111"/>
          <w:sz w:val="28"/>
          <w:sz w:val="28"/>
          <w:szCs w:val="28"/>
          <w:rtl w:val="true"/>
          <w:lang w:bidi="fa-IR"/>
        </w:rPr>
        <w:t>خرید و فروش</w:t>
      </w:r>
    </w:p>
    <w:p>
      <w:pPr>
        <w:pStyle w:val="BookText"/>
        <w:rPr/>
      </w:pPr>
      <w:r>
        <w:rPr>
          <w:rFonts w:ascii="IRNazanin" w:hAnsi="IRNazanin" w:eastAsia="IRNazanin"/>
          <w:color w:val="111111"/>
          <w:sz w:val="28"/>
          <w:sz w:val="28"/>
          <w:szCs w:val="28"/>
          <w:rtl w:val="true"/>
          <w:lang w:bidi="fa-IR"/>
        </w:rPr>
        <w:t>اتراق کردن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لغزندگی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4409_30454"/>
      <w:bookmarkStart w:id="85" w:name="pg4409_30454"/>
      <w:bookmarkEnd w:id="85"/>
    </w:p>
    <w:p>
      <w:pPr>
        <w:pStyle w:val="BookText"/>
        <w:rPr/>
      </w:pPr>
      <w:bookmarkStart w:id="86" w:name="pg4409_30454"/>
      <w:bookmarkEnd w:id="86"/>
      <w:r>
        <w:rPr>
          <w:rFonts w:ascii="IRNazanin" w:hAnsi="IRNazanin" w:eastAsia="IRNazanin"/>
          <w:color w:val="111111"/>
          <w:sz w:val="28"/>
          <w:sz w:val="28"/>
          <w:szCs w:val="28"/>
          <w:rtl w:val="true"/>
          <w:lang w:bidi="fa-IR"/>
        </w:rPr>
        <w:t>بررسی منابع فقهی نشان می‌دهد که فقها از دیرباز درباره بهره‌برداری غیر مجاز از گذرگاه‌ها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برخی از مهم‌ترین انواع آن اشاره می‌کنیم و مبانی فقهی آن را یاد آور می‌شویم</w:t>
      </w:r>
      <w:r>
        <w:rPr>
          <w:rFonts w:eastAsia="IRNazanin" w:cs="IRNazanin"/>
          <w:color w:val="111111"/>
          <w:sz w:val="28"/>
          <w:szCs w:val="28"/>
          <w:rtl w:val="true"/>
          <w:lang w:bidi="fa-IR"/>
        </w:rPr>
        <w:t>:</w:t>
      </w:r>
    </w:p>
    <w:p>
      <w:pPr>
        <w:pStyle w:val="Heading3"/>
        <w:numPr>
          <w:ilvl w:val="2"/>
          <w:numId w:val="1"/>
        </w:numPr>
        <w:rPr/>
      </w:pPr>
      <w:bookmarkStart w:id="87" w:name="__RefHeading___Toc1561968_1479056682"/>
      <w:bookmarkStart w:id="88" w:name="_Toc29"/>
      <w:bookmarkEnd w:id="87"/>
      <w:r>
        <w:rPr/>
        <w:t>1</w:t>
      </w:r>
      <w:r>
        <w:rPr>
          <w:rtl w:val="true"/>
        </w:rPr>
        <w:t xml:space="preserve">- </w:t>
      </w:r>
      <w:r>
        <w:rPr>
          <w:rtl w:val="true"/>
        </w:rPr>
        <w:t>ساخت‌وساز</w:t>
      </w:r>
      <w:bookmarkEnd w:id="88"/>
    </w:p>
    <w:p>
      <w:pPr>
        <w:pStyle w:val="Heading4"/>
        <w:numPr>
          <w:ilvl w:val="3"/>
          <w:numId w:val="1"/>
        </w:numPr>
        <w:rPr/>
      </w:pPr>
      <w:bookmarkStart w:id="89" w:name="__RefHeading___Toc1561970_1479056682"/>
      <w:bookmarkStart w:id="90" w:name="_Toc30"/>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ساخت‌وسازهای غیر مجاز در گذرگاه‌ها عبارت‌اند از</w:t>
      </w:r>
      <w:r>
        <w:rPr>
          <w:rFonts w:eastAsia="IRNazanin" w:cs="IRNazanin"/>
          <w:color w:val="111111"/>
          <w:sz w:val="28"/>
          <w:szCs w:val="28"/>
          <w:rtl w:val="true"/>
          <w:lang w:bidi="fa-IR"/>
        </w:rPr>
        <w:t>:</w:t>
      </w:r>
    </w:p>
    <w:p>
      <w:pPr>
        <w:pStyle w:val="Heading4"/>
        <w:numPr>
          <w:ilvl w:val="3"/>
          <w:numId w:val="1"/>
        </w:numPr>
        <w:rPr/>
      </w:pPr>
      <w:bookmarkStart w:id="91" w:name="__RefHeading___Toc1561972_1479056682"/>
      <w:bookmarkStart w:id="92" w:name="_Toc31"/>
      <w:bookmarkEnd w:id="91"/>
      <w:r>
        <w:rPr/>
        <w:t>1-1</w:t>
      </w:r>
      <w:r>
        <w:rPr>
          <w:rtl w:val="true"/>
        </w:rPr>
        <w:t xml:space="preserve">- </w:t>
      </w:r>
      <w:r>
        <w:rPr>
          <w:rtl w:val="true"/>
        </w:rPr>
        <w:t>ساخت دکه</w:t>
      </w:r>
      <w:bookmarkEnd w:id="92"/>
    </w:p>
    <w:p>
      <w:pPr>
        <w:pStyle w:val="Heading5"/>
        <w:numPr>
          <w:ilvl w:val="4"/>
          <w:numId w:val="1"/>
        </w:numPr>
        <w:rPr/>
      </w:pPr>
      <w:bookmarkStart w:id="93" w:name="__RefHeading___Toc1561974_1479056682"/>
      <w:bookmarkStart w:id="94" w:name="_Toc32"/>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آیا می‌توان با تصرف بخشی از زمین خیابان یا پیاده‌رو، برای خود مکانی سقف‌دار همچون دکه ساخت؟</w:t>
      </w:r>
    </w:p>
    <w:p>
      <w:pPr>
        <w:pStyle w:val="BookText"/>
        <w:rPr/>
      </w:pPr>
      <w:r>
        <w:rPr>
          <w:rFonts w:ascii="IRNazanin" w:hAnsi="IRNazanin" w:eastAsia="IRNazanin"/>
          <w:color w:val="111111"/>
          <w:sz w:val="28"/>
          <w:sz w:val="28"/>
          <w:szCs w:val="28"/>
          <w:rtl w:val="true"/>
          <w:lang w:bidi="fa-IR"/>
        </w:rPr>
        <w:t xml:space="preserve">هرچند در منابع فقهی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اما بعید نیست بتوان این عنوان را به غرفه، چادر، کیوسک، کانکس و کانتینر نیز تعمیم داد، چرا که در همه این موارد، با تصرف بخشی از زمین گذرگاه، مکانی مسقف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اجرایی قانون اصلاح ماده واحده قانون نحوه واگذاری اماکن عمومی و میادین و غرفه توزیع میوه، مصوّب </w:t>
      </w:r>
      <w:r>
        <w:rPr>
          <w:rFonts w:eastAsia="IRNazanin" w:cs="IRNazanin"/>
          <w:color w:val="111111"/>
          <w:sz w:val="28"/>
          <w:szCs w:val="28"/>
          <w:lang w:bidi="fa-IR"/>
        </w:rPr>
        <w:t>5/10/1358</w:t>
      </w:r>
      <w:r>
        <w:rPr>
          <w:rFonts w:ascii="IRNazanin" w:hAnsi="IRNazanin" w:eastAsia="IRNazanin"/>
          <w:color w:val="111111"/>
          <w:sz w:val="28"/>
          <w:sz w:val="28"/>
          <w:szCs w:val="28"/>
          <w:rtl w:val="true"/>
          <w:lang w:bidi="fa-IR"/>
        </w:rPr>
        <w:t>، این اماکن چنین تعریف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مستقلی است که به وسیله مصالح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ساختمانی </w:t>
      </w:r>
      <w:bookmarkStart w:id="95" w:name="pg4409_30455"/>
    </w:p>
    <w:p>
      <w:pPr>
        <w:pStyle w:val="BookText"/>
        <w:rPr/>
      </w:pPr>
      <w:bookmarkEnd w:id="95"/>
      <w:r>
        <w:rPr>
          <w:rFonts w:ascii="IRNazanin" w:hAnsi="IRNazanin" w:eastAsia="IRNazanin"/>
          <w:color w:val="111111"/>
          <w:sz w:val="28"/>
          <w:sz w:val="28"/>
          <w:szCs w:val="28"/>
          <w:rtl w:val="true"/>
          <w:lang w:bidi="fa-IR"/>
        </w:rPr>
        <w:t>از قبیل آهن، آجر، سیمان، سنگ، آهک، خشت، گل و چوب بنا شده، دارای محل عبور مجزا و آب و برق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به وسیله داربست فلزی یا چوبی بنا شده و با پارچه یا برزنت محصور شده باشد و در صورت امکان، دارای آب و برق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کیوسک، کانکس و کانتینر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اتاقک‌های منقولی هستند که از اجناسی مانند فایبر گلاس، فلز، چوب و نظایر آن‌ها ساخته شده و بنا به ضرورت، در مقاطع زمانی مشخصی مورد استفاده واقع می‌شوند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96" w:name="__RefHeading___Toc1561976_1479056682"/>
      <w:bookmarkStart w:id="97" w:name="_Toc33"/>
      <w:bookmarkEnd w:id="96"/>
      <w:r>
        <w:rPr/>
        <w:t>1-1-1</w:t>
      </w:r>
      <w:r>
        <w:rPr>
          <w:rtl w:val="true"/>
        </w:rPr>
        <w:t xml:space="preserve">- </w:t>
      </w:r>
      <w:r>
        <w:rPr>
          <w:rtl w:val="true"/>
        </w:rPr>
        <w:t>حکم تکلیفی</w:t>
      </w:r>
      <w:bookmarkEnd w:id="97"/>
    </w:p>
    <w:p>
      <w:pPr>
        <w:pStyle w:val="BookText"/>
        <w:rPr/>
      </w:pPr>
      <w:r>
        <w:rPr>
          <w:rFonts w:ascii="IRNazanin" w:hAnsi="IRNazanin" w:eastAsia="IRNazanin"/>
          <w:color w:val="111111"/>
          <w:sz w:val="28"/>
          <w:sz w:val="28"/>
          <w:szCs w:val="28"/>
          <w:rtl w:val="true"/>
          <w:lang w:bidi="fa-IR"/>
        </w:rPr>
        <w:t>در متون فقهی، در مورد این گونه ساخت‌وسازها در سطح معابر عمومی، نظرات مختلفی مطرح شده است که می‌توان آن‌ها را به دو گروه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به شکل‌های گوناگونی مشروط بودن جواز این عمل را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دکه جایز است، به شرط آن که مسیر عبور و مرور را تنگ نکند و باعث آسیب دیدن دیگران نیز نشود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بنابراین، اگر دکه باعث تنگی مسیر یا آسیب دیدن دیگران شود، ساخت آن جایز نخواهد بود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دکه جایز است، اگر عرض معبر زیاد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آن باعث آسیب دیدن عابران نشود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دکه جایز است، به شرط آن که وجود آن به عابران آسیبی وارد نکند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ملاحظه می‌شود، محور اصلی این آراء، اباحه و جواز تصرف در اموال عمومی است، مادامی که این بهره‌برداری باعث از بین رفتن کاربری اصلی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و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آسیبی هم به دیگران وارد نسازد؛</w:t>
      </w:r>
      <w:r>
        <w:rPr>
          <w:rStyle w:val="FootnoteAnchor"/>
          <w:rtl w:val="true"/>
        </w:rPr>
        <w:footnoteReference w:id="63"/>
      </w:r>
      <w:r>
        <w:rPr>
          <w:rFonts w:ascii="IRNazanin" w:hAnsi="IRNazanin" w:eastAsia="IRNazanin"/>
          <w:color w:val="111111"/>
          <w:sz w:val="28"/>
          <w:sz w:val="28"/>
          <w:szCs w:val="28"/>
          <w:rtl w:val="true"/>
          <w:lang w:bidi="fa-IR"/>
        </w:rPr>
        <w:t>اما چنان که خواهد آمد، تردیدی نیست که اگر ساخت دکه در سطح معابر، باعث اخلال در امر رفت و آمد یا آسیب دیدن عابران شود، این عمل از جهت اخلال و اضرار، حرام خواهد بود، ولی دلیل حرمت تنها منحصر به بروز این دو مانع بیرونی نیست، بلکه اگر فرض کنیم به علت پهن بودن سطح معبر، هیچیک از این دو مشکل نیز به وجود نیاید، باز هم این عمل از آن جهت که تصرف در اموال عمومی و تغییر در کاربری آن‌هاست،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بر این باورند که ساخت دکه در سطح معابر جایز نیست، حتی اگر عرض معبر آن قدر زیاد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ایجاد دکه مسیر عبور و مرور را تنگ نکند و موجب آسیب دیدن افراد نیز نشود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توضیح دادیم که آسیب نزدن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است حاکم بر همه رفتارها و به همین جهت، در برخی از متون فقهی، بدون اشاره به شرط مزبور، تنها بر این مطلب تأکید شده است که چه عرض خیابان زیاد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دکه جایز نیست </w:t>
      </w:r>
    </w:p>
    <w:p>
      <w:pPr>
        <w:pStyle w:val="BookText"/>
        <w:rPr/>
      </w:pPr>
      <w:r>
        <w:rPr>
          <w:rFonts w:ascii="IRNazanin" w:hAnsi="IRNazanin" w:eastAsia="IRNazanin"/>
          <w:color w:val="111111"/>
          <w:sz w:val="28"/>
          <w:sz w:val="28"/>
          <w:szCs w:val="28"/>
          <w:rtl w:val="true"/>
          <w:lang w:bidi="fa-IR"/>
        </w:rPr>
        <w:t xml:space="preserve">و چون عادتا با زیاد بودن عرض خیابان، ایجاد دکه باعث اختلال در امر عبور و مرور نمی‌شود، </w:t>
      </w:r>
      <w:r>
        <w:rPr>
          <w:rStyle w:val="FootnoteAnchor"/>
          <w:rtl w:val="true"/>
        </w:rPr>
        <w:footnoteReference w:id="65"/>
      </w:r>
      <w:r>
        <w:rPr>
          <w:rFonts w:ascii="IRNazanin" w:hAnsi="IRNazanin" w:eastAsia="IRNazanin"/>
          <w:color w:val="111111"/>
          <w:sz w:val="28"/>
          <w:sz w:val="28"/>
          <w:szCs w:val="28"/>
          <w:rtl w:val="true"/>
          <w:lang w:bidi="fa-IR"/>
        </w:rPr>
        <w:t xml:space="preserve">می‌توان چنین نتیجه گرفت که از نظر این فقیهان، ایجاد دکه در سطح معابر جایز نیست، چه باعث اختلال در آمد و شد وسایل نقلیه و عابران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دلیل طرفداران این نظریه آن است که گذرگاه‌های عمومی مالک خصوصی نداشته، همه مردم به یک اندازه حق استفاده از آن‌ها را دارند و ساخت دکه چون باعث تملّک مال مشترک و اختصاص آن به یک نفر می‌شود، جایز نخواهد بود؛ افزون بر این که حق مردم برای رفت و آمد از آن قسمت را از آن‌ها می‌گیرد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ساخت دکه در خارج از حریم خیابان یا پیاده‌رو و در زمینی با مالکیت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حقیقی یا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رعایت قوانین مربوط، جایز خواهد بود؛</w:t>
      </w:r>
      <w:r>
        <w:rPr>
          <w:rStyle w:val="FootnoteAnchor"/>
          <w:rtl w:val="true"/>
        </w:rPr>
        <w:footnoteReference w:id="68"/>
      </w:r>
      <w:r>
        <w:rPr>
          <w:rFonts w:ascii="IRNazanin" w:hAnsi="IRNazanin" w:eastAsia="IRNazanin"/>
          <w:color w:val="111111"/>
          <w:sz w:val="28"/>
          <w:sz w:val="28"/>
          <w:szCs w:val="28"/>
          <w:rtl w:val="true"/>
          <w:lang w:bidi="fa-IR"/>
        </w:rPr>
        <w:t>اما ساخت دکه یا هر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سرپوشیده دیگری در حریم خیابان و پیاده‌رو، از آن جهت که تجاوز به حریم مالکیت عمومی و استفاده از سطح معابر در غیر از کاربری تعریف‌شده برای آن‌هاست، جایز نخواهد بود، </w:t>
      </w:r>
      <w:r>
        <w:rPr>
          <w:rStyle w:val="FootnoteAnchor"/>
          <w:rtl w:val="true"/>
        </w:rPr>
        <w:footnoteReference w:id="69"/>
      </w:r>
      <w:r>
        <w:rPr>
          <w:rFonts w:ascii="IRNazanin" w:hAnsi="IRNazanin" w:eastAsia="IRNazanin"/>
          <w:color w:val="111111"/>
          <w:sz w:val="28"/>
          <w:sz w:val="28"/>
          <w:szCs w:val="28"/>
          <w:rtl w:val="true"/>
          <w:lang w:bidi="fa-IR"/>
        </w:rPr>
        <w:t xml:space="preserve">بدون آن که آسیب زدن </w:t>
      </w:r>
      <w:bookmarkStart w:id="98" w:name="pg4409_30458"/>
    </w:p>
    <w:p>
      <w:pPr>
        <w:pStyle w:val="BookText"/>
        <w:rPr/>
      </w:pPr>
      <w:bookmarkEnd w:id="98"/>
      <w:r>
        <w:rPr>
          <w:rFonts w:ascii="IRNazanin" w:hAnsi="IRNazanin" w:eastAsia="IRNazanin"/>
          <w:color w:val="111111"/>
          <w:sz w:val="28"/>
          <w:sz w:val="28"/>
          <w:szCs w:val="28"/>
          <w:rtl w:val="true"/>
          <w:lang w:bidi="fa-IR"/>
        </w:rPr>
        <w:t xml:space="preserve">به عابران و یا محدود شدن عرض معبر، آن گونه که شیخ طوسی و ابن نووی مدعی آن هستند، </w:t>
      </w:r>
      <w:r>
        <w:rPr>
          <w:rStyle w:val="FootnoteAnchor"/>
          <w:rtl w:val="true"/>
        </w:rPr>
        <w:footnoteReference w:id="70"/>
      </w:r>
      <w:r>
        <w:rPr>
          <w:rFonts w:ascii="IRNazanin" w:hAnsi="IRNazanin" w:eastAsia="IRNazanin"/>
          <w:color w:val="111111"/>
          <w:sz w:val="28"/>
          <w:sz w:val="28"/>
          <w:szCs w:val="28"/>
          <w:rtl w:val="true"/>
          <w:lang w:bidi="fa-IR"/>
        </w:rPr>
        <w:t>در این حکم تأثیری داشته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مضمون روایت ابو عباس بقباق بهترین شاهد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الواسع هل یؤخذ منه شی‌ء اذا لم یضر بالطریق؟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72"/>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بخشی از راه پهن را مشروط به این که به رفت و آمد آسیبی نرساند، به تصرف درآورد؟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99" w:name="__RefHeading___Toc1561978_1479056682"/>
      <w:bookmarkStart w:id="100" w:name="_Toc34"/>
      <w:bookmarkEnd w:id="99"/>
      <w:r>
        <w:rPr/>
        <w:t>2-1</w:t>
      </w:r>
      <w:r>
        <w:rPr>
          <w:rtl w:val="true"/>
        </w:rPr>
        <w:t xml:space="preserve">- </w:t>
      </w:r>
      <w:r>
        <w:rPr>
          <w:rtl w:val="true"/>
        </w:rPr>
        <w:t>ساخت مسجد</w:t>
      </w:r>
      <w:bookmarkEnd w:id="100"/>
    </w:p>
    <w:p>
      <w:pPr>
        <w:pStyle w:val="BookText"/>
        <w:rPr/>
      </w:pPr>
      <w:r>
        <w:rPr>
          <w:rFonts w:ascii="IRNazanin" w:hAnsi="IRNazanin" w:eastAsia="IRNazanin"/>
          <w:color w:val="111111"/>
          <w:sz w:val="28"/>
          <w:sz w:val="28"/>
          <w:szCs w:val="28"/>
          <w:rtl w:val="true"/>
          <w:lang w:bidi="fa-IR"/>
        </w:rPr>
        <w:t xml:space="preserve">آیا می‌توان برای انجام مراسم عبادی، بخشی از سطح خیابان، پیاده‌رو، پارکینگ، بوستان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 آن، مسجد، نماز خانه، حسینیه و مانند آن ساخت؟</w:t>
      </w:r>
    </w:p>
    <w:p>
      <w:pPr>
        <w:pStyle w:val="BookText"/>
        <w:rPr/>
      </w:pPr>
      <w:r>
        <w:rPr>
          <w:rFonts w:ascii="IRNazanin" w:hAnsi="IRNazanin" w:eastAsia="IRNazanin"/>
          <w:color w:val="111111"/>
          <w:sz w:val="28"/>
          <w:sz w:val="28"/>
          <w:szCs w:val="28"/>
          <w:rtl w:val="true"/>
          <w:lang w:bidi="fa-IR"/>
        </w:rPr>
        <w:t xml:space="preserve">تا آن جا که بررسی‌های ما نشان می‌دهد، فقها بیشتر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مورد گفت‌وگو قرار داده، کمتر به بررسی حکم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پرداخته‌اند که می‌تواند ناشی از روشن بودن آن با توجه به مبانی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دو مبنای فقهی در این موضوع، اگر کسی استفاده از اموال عمومی را در غیر از کاربری ذاتی آن‌ها به شرط عدم اخلال به آن و هم‌چنین آسیب ندیدن افراد جایز بداند، در این صورت، ساخت مسجد در سطح معابر هنگامی جایز خواهد بود که </w:t>
      </w:r>
    </w:p>
    <w:p>
      <w:pPr>
        <w:pStyle w:val="BookText"/>
        <w:rPr/>
      </w:pPr>
      <w:r>
        <w:rPr>
          <w:rFonts w:ascii="IRNazanin" w:hAnsi="IRNazanin" w:eastAsia="IRNazanin"/>
          <w:color w:val="111111"/>
          <w:sz w:val="28"/>
          <w:sz w:val="28"/>
          <w:szCs w:val="28"/>
          <w:rtl w:val="true"/>
          <w:lang w:bidi="fa-IR"/>
        </w:rPr>
        <w:t>عرض معبر زیاد باشد و وجود آن باعث کندی و اخلال در امر رفت و آمد نشود و عبورکنندگان از سطح معبر نیز از وجود آن آسیب نبینند؛</w:t>
      </w:r>
      <w:r>
        <w:rPr>
          <w:rStyle w:val="FootnoteAnchor"/>
          <w:rtl w:val="true"/>
        </w:rPr>
        <w:footnoteReference w:id="73"/>
      </w:r>
      <w:r>
        <w:rPr>
          <w:rFonts w:ascii="IRNazanin" w:hAnsi="IRNazanin" w:eastAsia="IRNazanin"/>
          <w:color w:val="111111"/>
          <w:sz w:val="28"/>
          <w:sz w:val="28"/>
          <w:szCs w:val="28"/>
          <w:rtl w:val="true"/>
          <w:lang w:bidi="fa-IR"/>
        </w:rPr>
        <w:t>اما اگر کسی استفاده از اماکن عمومی را تنها در راستای کاربری تعریف‌شده‌ة آن‌ها جایز بداند، ساخت مسجد یا هر بنای مذهبی دیگر در سطح معابر و گذرگاه‌های عمومی، هرچند به خاطر پهن بودن معبر، اخلالی در امر آمد و شد ایجاد نکند و وجود آن خطرساز هم نباشد،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صورت، اگر کسی با کسب مجوز از مراکز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بدون آن، اقدام به ساخت مسجد در معابر عمومی کند و کسی به سبب وجود آن بنا در آن مکان آسیب ببیند، چه کسی مسئول جبران خسارت اوست؟</w:t>
      </w:r>
    </w:p>
    <w:p>
      <w:pPr>
        <w:pStyle w:val="BookText"/>
        <w:rPr/>
      </w:pPr>
      <w:r>
        <w:rPr>
          <w:rFonts w:ascii="IRNazanin" w:hAnsi="IRNazanin" w:eastAsia="IRNazanin"/>
          <w:color w:val="111111"/>
          <w:sz w:val="28"/>
          <w:sz w:val="28"/>
          <w:szCs w:val="28"/>
          <w:rtl w:val="true"/>
          <w:lang w:bidi="fa-IR"/>
        </w:rPr>
        <w:t>علامه حلّی بر این باور است که اگر کسی در گذرگاه مسجدی بسازد و این کار باعث آسیب دیدن فرد یا افرادی شود، سازنده مسجد ضامن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فتوا اطلاق دارد و شامل دو صورت پهن</w:t>
      </w:r>
    </w:p>
    <w:p>
      <w:pPr>
        <w:pStyle w:val="BookText"/>
        <w:rPr/>
      </w:pPr>
      <w:r>
        <w:rPr>
          <w:rFonts w:ascii="IRNazanin" w:hAnsi="IRNazanin" w:eastAsia="IRNazanin"/>
          <w:color w:val="111111"/>
          <w:sz w:val="28"/>
          <w:sz w:val="28"/>
          <w:szCs w:val="28"/>
          <w:rtl w:val="true"/>
          <w:lang w:bidi="fa-IR"/>
        </w:rPr>
        <w:t>بودن عرض گذرگاه و کم پهنا بودن آن می‌شود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با فرض ساخت مسجد در مکانی که به طور عادی کسی از وجود آن آسیب نمی‌بیند، معتقد است اگر کسی به طور اتفاقی از وجود مسجد در چنین مکانی آسیب دید، دو احتمال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از آن جهت که شک در تحقق تجاوز به حریم عمومی داریم و ضمان از آن جهت که ساخت این بنا بر فرض جواز، مشروط به ضمان بوده است</w:t>
      </w:r>
      <w:r>
        <w:rPr>
          <w:rFonts w:eastAsia="IRNazanin" w:cs="IRNazanin"/>
          <w:color w:val="111111"/>
          <w:sz w:val="28"/>
          <w:szCs w:val="28"/>
          <w:rtl w:val="true"/>
          <w:lang w:bidi="fa-IR"/>
        </w:rPr>
        <w:t>.</w:t>
      </w:r>
      <w:r>
        <w:rPr>
          <w:rStyle w:val="FootnoteAnchor"/>
          <w:rtl w:val="true"/>
        </w:rPr>
        <w:footnoteReference w:id="76"/>
      </w:r>
      <w:bookmarkStart w:id="101" w:name="pg4409_30460"/>
    </w:p>
    <w:p>
      <w:pPr>
        <w:pStyle w:val="BookText"/>
        <w:rPr/>
      </w:pPr>
      <w:bookmarkEnd w:id="101"/>
      <w:r>
        <w:rPr>
          <w:rFonts w:ascii="IRNazanin" w:hAnsi="IRNazanin" w:eastAsia="IRNazanin"/>
          <w:color w:val="111111"/>
          <w:sz w:val="28"/>
          <w:sz w:val="28"/>
          <w:szCs w:val="28"/>
          <w:rtl w:val="true"/>
          <w:lang w:bidi="fa-IR"/>
        </w:rPr>
        <w:t xml:space="preserve">ابن نووی از فقهای اهل سنت مدعی است اگر در شرایط عادی، ساخت این مسجد در گذرگاه باعث آسیب دیدن دیگران نمی‌شود، در صورت آسیب دیدن احتمالی یک فرد، سازنده مسجد اگر با کسب مجوز از دستگاه‌های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ساخت آن کرده باشد، مسئول جبران خسارت او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ساخت مسجد با کسب مجوز از مراکز مسئول بوده است، ضمان متوجه مراکز صادر کننده مجوز است و چنان چه فرد یا افرادی بدون کسب مجوز به ساخت مسجد یا هر مکان مذهبی دیگر در سطح معابر عمومی اقدام کنند، خود مسئول جبران خسارت فرد یا افراد آسیب‌دیده خواهند بود</w:t>
      </w:r>
      <w:r>
        <w:rPr>
          <w:rFonts w:eastAsia="IRNazanin" w:cs="IRNazanin"/>
          <w:color w:val="111111"/>
          <w:sz w:val="28"/>
          <w:szCs w:val="28"/>
          <w:rtl w:val="true"/>
          <w:lang w:bidi="fa-IR"/>
        </w:rPr>
        <w:t>.</w:t>
      </w:r>
    </w:p>
    <w:p>
      <w:pPr>
        <w:pStyle w:val="Heading4"/>
        <w:numPr>
          <w:ilvl w:val="3"/>
          <w:numId w:val="1"/>
        </w:numPr>
        <w:rPr/>
      </w:pPr>
      <w:bookmarkStart w:id="102" w:name="__RefHeading___Toc1561980_1479056682"/>
      <w:bookmarkStart w:id="103" w:name="_Toc35"/>
      <w:bookmarkEnd w:id="102"/>
      <w:r>
        <w:rPr/>
        <w:t>3-1</w:t>
      </w:r>
      <w:r>
        <w:rPr>
          <w:rtl w:val="true"/>
        </w:rPr>
        <w:t xml:space="preserve">- </w:t>
      </w:r>
      <w:r>
        <w:rPr>
          <w:rtl w:val="true"/>
        </w:rPr>
        <w:t>ساخت سایه‌بان</w:t>
      </w:r>
      <w:bookmarkEnd w:id="103"/>
    </w:p>
    <w:p>
      <w:pPr>
        <w:pStyle w:val="Heading5"/>
        <w:numPr>
          <w:ilvl w:val="4"/>
          <w:numId w:val="1"/>
        </w:numPr>
        <w:rPr/>
      </w:pPr>
      <w:bookmarkStart w:id="104" w:name="__RefHeading___Toc1561982_1479056682"/>
      <w:bookmarkStart w:id="105" w:name="_Toc36"/>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بر اساس یافته‌های ما، در منابع فقهی، از سه نوع سایه‌بان سخن به میان آمده و درباره ساخت آن‌ها در</w:t>
      </w:r>
    </w:p>
    <w:p>
      <w:pPr>
        <w:pStyle w:val="BookText"/>
        <w:rPr/>
      </w:pPr>
      <w:r>
        <w:rPr>
          <w:rFonts w:ascii="IRNazanin" w:hAnsi="IRNazanin" w:eastAsia="IRNazanin"/>
          <w:color w:val="111111"/>
          <w:sz w:val="28"/>
          <w:sz w:val="28"/>
          <w:szCs w:val="28"/>
          <w:rtl w:val="true"/>
          <w:lang w:bidi="fa-IR"/>
        </w:rPr>
        <w:t xml:space="preserve">گذرگاه‌های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خیابان‌های بن‌بست هم‌چون خیابان‌های باز نبوده، احداث پیش‌آمدگی در آن‌ها منوط به اجازه همه مالکان است؛ 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فی شرح التبصرة، </w:t>
      </w:r>
      <w:r>
        <w:rPr>
          <w:rFonts w:eastAsia="IRNazanin" w:cs="IRNazanin"/>
          <w:color w:val="111111"/>
          <w:sz w:val="28"/>
          <w:szCs w:val="28"/>
          <w:lang w:bidi="fa-IR"/>
        </w:rPr>
        <w:t>19/474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سایه‌بانی است ثابت در امتداد عرض خیابان که دو سوی آن را پوشش می‌دهد؛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سایه‌بانی است در امتداد عرض خیابان یا پیاده‌رو و دارای پایه‌های ثابت در سطح گذرگاه؛ </w:t>
      </w:r>
      <w:bookmarkStart w:id="106" w:name="pg4409_30461"/>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سایه‌بانی است در امتداد عرض خیابان یا پیاده‌رو بدون پایه‌های ثابت در سطح گذرگاه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برخی از منابع فقهی، افزون بر جنبه سایه‌بان بودن این موارد، بحث ساخت و ساز بر روی آن‌ها نیز مطرح شده است که در این صورت، موضوع بحث، پیاده‌روهای مسقّف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بحیث لایصل إلی الجدار المقابل و یبنی علیها، ولو وصلت فهو الساباط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فرّق بینهما بأن الأجنحة ینضم إلیها مع ما ذکر أن توضع لها أعمدة 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له دار مجاورة لسکة نافذة أن یخرج فی أعلی الحائط خشبا و یسقفها و یبنی علیها متی شاء إذا رفع ذلک عن رؤس المارّة رفعا بیّنا، و هو الّذی عنی بالروشن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شرائع الاسلام،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مواهب الجلیل بشرح مختصر خلیل، </w:t>
      </w:r>
      <w:r>
        <w:rPr>
          <w:rFonts w:eastAsia="IRNazanin" w:cs="IRNazanin"/>
          <w:color w:val="111111"/>
          <w:sz w:val="28"/>
          <w:szCs w:val="28"/>
          <w:lang w:bidi="fa-IR"/>
        </w:rPr>
        <w:t>7/146</w:t>
      </w:r>
      <w:r>
        <w:rPr>
          <w:rFonts w:eastAsia="IRNazanin" w:cs="IRNazanin"/>
          <w:color w:val="111111"/>
          <w:sz w:val="28"/>
          <w:szCs w:val="28"/>
          <w:rtl w:val="true"/>
          <w:lang w:bidi="fa-IR"/>
        </w:rPr>
        <w:t>.</w:t>
      </w:r>
    </w:p>
    <w:p>
      <w:pPr>
        <w:pStyle w:val="Heading5"/>
        <w:numPr>
          <w:ilvl w:val="4"/>
          <w:numId w:val="1"/>
        </w:numPr>
        <w:rPr/>
      </w:pPr>
      <w:bookmarkStart w:id="107" w:name="__RefHeading___Toc1561984_1479056682"/>
      <w:bookmarkStart w:id="108" w:name="_Toc37"/>
      <w:bookmarkEnd w:id="107"/>
      <w:r>
        <w:rPr/>
        <w:t>1-3-1</w:t>
      </w:r>
      <w:r>
        <w:rPr>
          <w:rtl w:val="true"/>
        </w:rPr>
        <w:t xml:space="preserve">- </w:t>
      </w:r>
      <w:r>
        <w:rPr>
          <w:rtl w:val="true"/>
        </w:rPr>
        <w:t>حکم تکلیفی</w:t>
      </w:r>
      <w:bookmarkEnd w:id="108"/>
    </w:p>
    <w:p>
      <w:pPr>
        <w:pStyle w:val="BookText"/>
        <w:rPr/>
      </w:pPr>
      <w:r>
        <w:rPr>
          <w:rFonts w:ascii="IRNazanin" w:hAnsi="IRNazanin" w:eastAsia="IRNazanin"/>
          <w:color w:val="111111"/>
          <w:sz w:val="28"/>
          <w:sz w:val="28"/>
          <w:szCs w:val="28"/>
          <w:rtl w:val="true"/>
          <w:lang w:bidi="fa-IR"/>
        </w:rPr>
        <w:t xml:space="preserve">آیا اهالی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مقابل درِ منزل یا دکّان خود، یکی از این سه نوع سایه‌بان را نصب کنند؟</w:t>
      </w:r>
    </w:p>
    <w:p>
      <w:pPr>
        <w:pStyle w:val="BookText"/>
        <w:rPr/>
      </w:pPr>
      <w:r>
        <w:rPr>
          <w:rFonts w:ascii="IRNazanin" w:hAnsi="IRNazanin" w:eastAsia="IRNazanin"/>
          <w:color w:val="111111"/>
          <w:sz w:val="28"/>
          <w:sz w:val="28"/>
          <w:szCs w:val="28"/>
          <w:rtl w:val="true"/>
          <w:lang w:bidi="fa-IR"/>
        </w:rPr>
        <w:t>در پاسخ به این سؤال، دو نظریه جواز مشروط و حرمت مطلق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جواز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طرفدار این نظریه برای اثبات جواز، یکی از دو شرط زیر را معتبر دانسته‌اند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از فقها، هنگامی نصب سایه‌بان در سطح گذرگاه جایز است که این کار باعث آسیب دیدن دیگران نشود؛</w:t>
      </w:r>
      <w:r>
        <w:rPr>
          <w:rStyle w:val="FootnoteAnchor"/>
          <w:rtl w:val="true"/>
        </w:rPr>
        <w:footnoteReference w:id="80"/>
      </w:r>
      <w:r>
        <w:rPr>
          <w:rFonts w:ascii="IRNazanin" w:hAnsi="IRNazanin" w:eastAsia="IRNazanin"/>
          <w:color w:val="111111"/>
          <w:sz w:val="28"/>
          <w:sz w:val="28"/>
          <w:szCs w:val="28"/>
          <w:rtl w:val="true"/>
          <w:lang w:bidi="fa-IR"/>
        </w:rPr>
        <w:t xml:space="preserve">در غیر این صورت، نه تنها این کار جایز نیست، </w:t>
      </w:r>
      <w:r>
        <w:rPr>
          <w:rStyle w:val="FootnoteAnchor"/>
          <w:rtl w:val="true"/>
        </w:rPr>
        <w:footnoteReference w:id="81"/>
      </w:r>
      <w:r>
        <w:rPr>
          <w:rFonts w:ascii="IRNazanin" w:hAnsi="IRNazanin" w:eastAsia="IRNazanin"/>
          <w:color w:val="111111"/>
          <w:sz w:val="28"/>
          <w:sz w:val="28"/>
          <w:szCs w:val="28"/>
          <w:rtl w:val="true"/>
          <w:lang w:bidi="fa-IR"/>
        </w:rPr>
        <w:t xml:space="preserve">بلکه در صورت ساخت، </w:t>
      </w:r>
    </w:p>
    <w:p>
      <w:pPr>
        <w:pStyle w:val="BookText"/>
        <w:rPr/>
      </w:pPr>
      <w:r>
        <w:rPr>
          <w:rFonts w:ascii="IRNazanin" w:hAnsi="IRNazanin" w:eastAsia="IRNazanin"/>
          <w:color w:val="111111"/>
          <w:sz w:val="28"/>
          <w:sz w:val="28"/>
          <w:szCs w:val="28"/>
          <w:rtl w:val="true"/>
          <w:lang w:bidi="fa-IR"/>
        </w:rPr>
        <w:t>می‌باید نسبت به تخریب آن نیز اقدام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طرفداران این نظریه بر این باورند که تنها سطح معابر جزء اموال عمومی به حساب می‌آید و فضای هوایی این اماکن مالک ندارد و مانعی برای استفاده از آن‌ها جز آسیب عابران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تضرر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با فقدان مانع و وجود مقتضی، تصرف در فضای هوایی گذرگاه‌ها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تنها مضر نبودن را شرط جواز نصب سایه‌بان در گذرگاه‌های عمومی می‌دانند، برای مخالفت دیگران با نصب آن اثری قائل نیستند و معتقدند حتی اگر همسایگان یا سایر افراد با چنین کاری مخالفت کنند، نمی‌توان از احداث آن جلوگیری یا پس از</w:t>
      </w:r>
    </w:p>
    <w:p>
      <w:pPr>
        <w:pStyle w:val="BookText"/>
        <w:rPr/>
      </w:pPr>
      <w:r>
        <w:rPr>
          <w:rFonts w:ascii="IRNazanin" w:hAnsi="IRNazanin" w:eastAsia="IRNazanin"/>
          <w:color w:val="111111"/>
          <w:sz w:val="28"/>
          <w:sz w:val="28"/>
          <w:szCs w:val="28"/>
          <w:rtl w:val="true"/>
          <w:lang w:bidi="fa-IR"/>
        </w:rPr>
        <w:t xml:space="preserve">احداث، نسبت به تخریب آن اقدام کرد، </w:t>
      </w:r>
      <w:r>
        <w:rPr>
          <w:rStyle w:val="FootnoteAnchor"/>
          <w:rtl w:val="true"/>
        </w:rPr>
        <w:footnoteReference w:id="84"/>
      </w:r>
      <w:r>
        <w:rPr>
          <w:rFonts w:ascii="IRNazanin" w:hAnsi="IRNazanin" w:eastAsia="IRNazanin"/>
          <w:color w:val="111111"/>
          <w:sz w:val="28"/>
          <w:sz w:val="28"/>
          <w:szCs w:val="28"/>
          <w:rtl w:val="true"/>
          <w:lang w:bidi="fa-IR"/>
        </w:rPr>
        <w:t>چرا که در خلال قرون گذشته، مردم به این روش رفتار می‌کرده‌اند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ضرر و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متون فقهی، به جز مضر نبودن نصب سایه‌بان، شرط دیگری نیز برای جواز نصب آن معتبر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فقیهان، هنگامی می‌توان سایه‌بان نصب کرد که به جز مضر نبودن، هیچ‌یک از همسایگان یا عابران با نصب آن مخالف نباشند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این نظریه بر این باورند که گذرگاه‌ها از جمله اماکن عمومی به حساب می‌آیند و همه به طور یکسان حق استفاده از آن‌ها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حتی اگر یک نفر از استفاده دیگران رضایت نداشته باشد، باعث می‌شود استفاده آنان، تصرف در مال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گردد و حرام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تعریف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درستی یا نادرستی این نظرات، این پرسش به ذهن می‌رسد که منظور از مضر نبودن سایه‌بان چیست؟</w:t>
      </w:r>
    </w:p>
    <w:p>
      <w:pPr>
        <w:pStyle w:val="BookText"/>
        <w:rPr/>
      </w:pPr>
      <w:r>
        <w:rPr>
          <w:rFonts w:ascii="IRNazanin" w:hAnsi="IRNazanin" w:eastAsia="IRNazanin"/>
          <w:color w:val="111111"/>
          <w:sz w:val="28"/>
          <w:sz w:val="28"/>
          <w:szCs w:val="28"/>
          <w:rtl w:val="true"/>
          <w:lang w:bidi="fa-IR"/>
        </w:rPr>
        <w:t>برخی بر این باورند که نصب سایه‌بان هنگامی برای دیگران مضر به حساب نمی‌آید که دارای ارتفاع مناسبی از سطح زمین باشد</w:t>
      </w:r>
      <w:r>
        <w:rPr>
          <w:rStyle w:val="FootnoteAnchor"/>
          <w:rtl w:val="true"/>
        </w:rPr>
        <w:footnoteReference w:id="8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عابران مزاحمتی ایجاد نکند؛ اما به نظر می‌رسد که جنبه آسیب‌زنندگی سایه‌بان تنها به ارتفاع آن خلاصه نمی‌شود</w:t>
      </w:r>
      <w:r>
        <w:rPr>
          <w:rStyle w:val="FootnoteAnchor"/>
          <w:rtl w:val="true"/>
        </w:rPr>
        <w:footnoteReference w:id="89"/>
      </w:r>
      <w:r>
        <w:rPr>
          <w:rFonts w:ascii="IRNazanin" w:hAnsi="IRNazanin" w:eastAsia="IRNazanin"/>
          <w:color w:val="111111"/>
          <w:sz w:val="28"/>
          <w:sz w:val="28"/>
          <w:szCs w:val="28"/>
          <w:rtl w:val="true"/>
          <w:lang w:bidi="fa-IR"/>
        </w:rPr>
        <w:t>و بسته به ویژگی فنی گذرگاه</w:t>
      </w:r>
      <w:r>
        <w:rPr>
          <w:rStyle w:val="FootnoteAnchor"/>
          <w:rtl w:val="true"/>
        </w:rPr>
        <w:footnoteReference w:id="90"/>
      </w:r>
      <w:r>
        <w:rPr>
          <w:rFonts w:ascii="IRNazanin" w:hAnsi="IRNazanin" w:eastAsia="IRNazanin"/>
          <w:color w:val="111111"/>
          <w:sz w:val="28"/>
          <w:sz w:val="28"/>
          <w:szCs w:val="28"/>
          <w:rtl w:val="true"/>
          <w:lang w:bidi="fa-IR"/>
        </w:rPr>
        <w:t>و نوع وسایل نقلیه یا افرادی که به طور معمول از آن جا عبور می‌کنند، قابل تغییر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حرمت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دیدگاه جواز، این نظر هم در متون فقهی مطرح شده است که نصب سایه‌بان به هر شکلی که باشد، هرچند باعث آسیب دیدن وسایل نقلیه یا عابران نیز نشود، جایز نخواهد بود؛ زیرا احداث چنین بنایی در سطح گذرگاه‌های عمومی، تجاوز به حریم عمومی است و ایجاد سازه در ملک دیگران تلقی می‌شود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توضیحات گذشته، هر گونه خروج از ملک شخصی و ورود به حریم عمومی از طریق نصب سایه‌بان و ساخت‌وساز بر روی آن جایز نیست، هرچند در امر آمد و شد وسایل نقلیه و عابران پیاده خللی ایجاد نکند و آسیبی هم به آن‌ها وارد نسازد؛ زیرا جواز و عدم جواز استفاده از فضای هوایی مکان‌های عمومی هم‌چون معابر، تابع جواز و عدم جواز استفاده از سطح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Style w:val="FootnoteAnchor"/>
          <w:rtl w:val="true"/>
        </w:rPr>
        <w:footnoteReference w:id="93"/>
      </w:r>
      <w:r>
        <w:rPr>
          <w:rFonts w:ascii="IRNazanin" w:hAnsi="IRNazanin" w:eastAsia="IRNazanin"/>
          <w:color w:val="111111"/>
          <w:sz w:val="28"/>
          <w:sz w:val="28"/>
          <w:szCs w:val="28"/>
          <w:rtl w:val="true"/>
          <w:lang w:bidi="fa-IR"/>
        </w:rPr>
        <w:t>و چون احداث بنا در سطح معابر و استفاده</w:t>
      </w:r>
    </w:p>
    <w:p>
      <w:pPr>
        <w:pStyle w:val="BookText"/>
        <w:rPr/>
      </w:pPr>
      <w:r>
        <w:rPr>
          <w:rFonts w:ascii="IRNazanin" w:hAnsi="IRNazanin" w:eastAsia="IRNazanin"/>
          <w:color w:val="111111"/>
          <w:sz w:val="28"/>
          <w:sz w:val="28"/>
          <w:szCs w:val="28"/>
          <w:rtl w:val="true"/>
          <w:lang w:bidi="fa-IR"/>
        </w:rPr>
        <w:t>اختصاصی از آن‌ها برای هیچ‌کس جایز نیست، چنین حقی در استفاده از فضای هوایی معابر نیز برای هیچ‌کس وجود نخواهد داشت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افزون بر این، برخی از فقها معتقدند که اگر ساخت چنین سازه‌هایی جایز باشد، نمی‌توان سازنده آن‌ها را در برابر خسارتی که عابران یا وسایل نقلیه از وجود یا تخریب آن‌ها متحمل می‌شوند، مسئول دانست</w:t>
      </w:r>
      <w:r>
        <w:rPr>
          <w:rStyle w:val="FootnoteAnchor"/>
          <w:rtl w:val="true"/>
        </w:rPr>
        <w:footnoteReference w:id="95"/>
      </w:r>
      <w:r>
        <w:rPr>
          <w:rFonts w:ascii="IRNazanin" w:hAnsi="IRNazanin" w:eastAsia="IRNazanin"/>
          <w:color w:val="111111"/>
          <w:sz w:val="28"/>
          <w:sz w:val="28"/>
          <w:szCs w:val="28"/>
          <w:rtl w:val="true"/>
          <w:lang w:bidi="fa-IR"/>
        </w:rPr>
        <w:t xml:space="preserve">و حال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ضمان وی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با پذیرش حرمت استفاده شخصی از فضای هوایی معابر و ساخت سازه در آن، دیگر نمی‌توان از طریق مصالحه با افراد حقیقی یا حقوقی و پرداخت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مجوز انجام چنین کاری را </w:t>
      </w:r>
      <w:bookmarkStart w:id="109" w:name="pg4409_30465"/>
    </w:p>
    <w:p>
      <w:pPr>
        <w:pStyle w:val="BookText"/>
        <w:rPr/>
      </w:pPr>
      <w:bookmarkEnd w:id="109"/>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پیش آمدگی‌های ساختمانی در گذرها مصوب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لوله بخاری به دیوار خارجی که مشرف به گذر است و یا خروج آن از دیوار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آب ناودان و امثال آن به سطح پیاده‌رو ممنوع بوده و انتهای این قبیل مجاری باید طوری باشد که</w:t>
      </w:r>
    </w:p>
    <w:p>
      <w:pPr>
        <w:pStyle w:val="BookText"/>
        <w:rPr/>
      </w:pPr>
      <w:r>
        <w:rPr>
          <w:rFonts w:ascii="IRNazanin" w:hAnsi="IRNazanin" w:eastAsia="IRNazanin"/>
          <w:color w:val="111111"/>
          <w:sz w:val="28"/>
          <w:sz w:val="28"/>
          <w:szCs w:val="28"/>
          <w:rtl w:val="true"/>
          <w:lang w:bidi="fa-IR"/>
        </w:rPr>
        <w:t>آب آن‌ها از زیر سطح پیاده‌رو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کفش‌پاک‌کن جلو درب خانه‌ها و مغازه‌ها و غیره در گذرها و پیاده‌روها و نصب تیر و ستون ممنوع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10" w:name="__RefHeading___Toc1561986_1479056682"/>
      <w:bookmarkStart w:id="111" w:name="_Toc38"/>
      <w:bookmarkEnd w:id="110"/>
      <w:r>
        <w:rPr/>
        <w:t>2-3-1</w:t>
      </w:r>
      <w:r>
        <w:rPr>
          <w:rtl w:val="true"/>
        </w:rPr>
        <w:t xml:space="preserve">- </w:t>
      </w:r>
      <w:r>
        <w:rPr>
          <w:rtl w:val="true"/>
        </w:rPr>
        <w:t>حکم وضعی</w:t>
      </w:r>
      <w:bookmarkEnd w:id="111"/>
    </w:p>
    <w:p>
      <w:pPr>
        <w:pStyle w:val="BookText"/>
        <w:rPr/>
      </w:pPr>
      <w:r>
        <w:rPr>
          <w:rFonts w:ascii="IRNazanin" w:hAnsi="IRNazanin" w:eastAsia="IRNazanin"/>
          <w:color w:val="111111"/>
          <w:sz w:val="28"/>
          <w:sz w:val="28"/>
          <w:szCs w:val="28"/>
          <w:rtl w:val="true"/>
          <w:lang w:bidi="fa-IR"/>
        </w:rPr>
        <w:t>صرف نظر از این که ورود به حریم عمومی و ایجاد سازه در آن، جایز باشد یا نباشد، چنان چه وجود یا تخریب تمام یا بخشی از آن سازه باعث آسیب دیدن عابران شود، سازنده آن سازه مسئول جبران ضرر و زیان وارد شده به آن افراد خواهد بود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12" w:name="__RefHeading___Toc1561988_1479056682"/>
      <w:bookmarkStart w:id="113" w:name="_Toc39"/>
      <w:bookmarkEnd w:id="112"/>
      <w:r>
        <w:rPr/>
        <w:t>2</w:t>
      </w:r>
      <w:r>
        <w:rPr>
          <w:rtl w:val="true"/>
        </w:rPr>
        <w:t xml:space="preserve">- </w:t>
      </w:r>
      <w:r>
        <w:rPr>
          <w:rtl w:val="true"/>
        </w:rPr>
        <w:t>باز کردنِ در به معابر</w:t>
      </w:r>
      <w:bookmarkEnd w:id="113"/>
    </w:p>
    <w:p>
      <w:pPr>
        <w:pStyle w:val="BookText"/>
        <w:rPr/>
      </w:pPr>
      <w:r>
        <w:rPr>
          <w:rFonts w:ascii="IRNazanin" w:hAnsi="IRNazanin" w:eastAsia="IRNazanin"/>
          <w:color w:val="111111"/>
          <w:sz w:val="28"/>
          <w:sz w:val="28"/>
          <w:szCs w:val="28"/>
          <w:rtl w:val="true"/>
          <w:lang w:bidi="fa-IR"/>
        </w:rPr>
        <w:t xml:space="preserve">از جمله مسائلی که در متون فقهی مورد بحث قرار گرفته است، باز کردن در از املاک خصوصی به معابر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درون ملک خود، در یا پنجره‌ای را به سوی خیابان یا پیاده‌رو گشود؟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مبنای مشهور در میان فقها، تردیدی نیست که اگر گشودن در یا </w:t>
      </w:r>
      <w:bookmarkStart w:id="114" w:name="pg4409_30466"/>
    </w:p>
    <w:p>
      <w:pPr>
        <w:pStyle w:val="BookText"/>
        <w:rPr/>
      </w:pPr>
      <w:bookmarkEnd w:id="114"/>
      <w:r>
        <w:rPr>
          <w:rFonts w:ascii="IRNazanin" w:hAnsi="IRNazanin" w:eastAsia="IRNazanin"/>
          <w:color w:val="111111"/>
          <w:sz w:val="28"/>
          <w:sz w:val="28"/>
          <w:szCs w:val="28"/>
          <w:rtl w:val="true"/>
          <w:lang w:bidi="fa-IR"/>
        </w:rPr>
        <w:t>پنجره به سوی معابر عمومی، باعث اختلال در عبور و مرور وسایل نقلیه و عابران پیاده یا موجب آسیب دیدن آن‌ها شود، جایز نخواهد بود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نتیجه، این ادعا که هرکس به هر گونه که بخواهد می‌تواند از ملک خود به طرف خیابان در باز کند، نمی‌تواند به اطلاق خود</w:t>
      </w:r>
    </w:p>
    <w:p>
      <w:pPr>
        <w:pStyle w:val="BookText"/>
        <w:rPr/>
      </w:pPr>
      <w:r>
        <w:rPr>
          <w:rFonts w:ascii="IRNazanin" w:hAnsi="IRNazanin" w:eastAsia="IRNazanin"/>
          <w:color w:val="111111"/>
          <w:sz w:val="28"/>
          <w:sz w:val="28"/>
          <w:szCs w:val="28"/>
          <w:rtl w:val="true"/>
          <w:lang w:bidi="fa-IR"/>
        </w:rPr>
        <w:t>درست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 به نظر ما، باز کردن در یا پنجره حتّی در صورتی که باعث اختلال در عبور و مرور وسایل نقلیه و عابران پیاده یا موجب آسیب دیدن آن‌ها نیز نشود، هنگامی جایز است که تجاوز به حریم معابر و استفاده اختصاصی از آن‌ها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پیش‌آمدگی‌های ساختمانی در گذرها مصوب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گذاردن در و پنجره که به طرف گذر باز و در موقع باز شدن، از سطح نما تجاوز می‌نماید، ممنوع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در قسمت مقررات و قوانین استفاده از زمین در طرح تفصیلی و جامع شهر مشهد، در تعریف حریم گذرگاه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ساختمان یا اجزاء ساختمان نبایستی از حد بر و حریم گذرگاه و اراضی عمومی و هم‌چنین از مرز مالکیت زمینی که در آن ساخته می‌شود، تجاوز کند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15" w:name="__RefHeading___Toc1561990_1479056682"/>
      <w:bookmarkStart w:id="116" w:name="_Toc40"/>
      <w:bookmarkEnd w:id="115"/>
      <w:r>
        <w:rPr/>
        <w:t>3</w:t>
      </w:r>
      <w:r>
        <w:rPr>
          <w:rtl w:val="true"/>
        </w:rPr>
        <w:t xml:space="preserve">- </w:t>
      </w:r>
      <w:r>
        <w:rPr>
          <w:rtl w:val="true"/>
        </w:rPr>
        <w:t>حفاری</w:t>
      </w:r>
      <w:bookmarkEnd w:id="116"/>
    </w:p>
    <w:p>
      <w:pPr>
        <w:pStyle w:val="Heading4"/>
        <w:numPr>
          <w:ilvl w:val="3"/>
          <w:numId w:val="1"/>
        </w:numPr>
        <w:rPr/>
      </w:pPr>
      <w:bookmarkStart w:id="117" w:name="__RefHeading___Toc1561992_1479056682"/>
      <w:bookmarkStart w:id="118" w:name="_Toc41"/>
      <w:bookmarkEnd w:id="117"/>
      <w:r>
        <w:rPr>
          <w:rtl w:val="true"/>
        </w:rPr>
        <w:t>اشاره</w:t>
      </w:r>
      <w:bookmarkEnd w:id="11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مشکلات معابر عمومی، حفاری‌هایی است که با عمق‌های </w:t>
      </w:r>
      <w:bookmarkStart w:id="119" w:name="pg4409_30467"/>
    </w:p>
    <w:p>
      <w:pPr>
        <w:pStyle w:val="BookText"/>
        <w:rPr/>
      </w:pPr>
      <w:bookmarkEnd w:id="119"/>
      <w:r>
        <w:rPr>
          <w:rFonts w:ascii="IRNazanin" w:hAnsi="IRNazanin" w:eastAsia="IRNazanin"/>
          <w:color w:val="111111"/>
          <w:sz w:val="28"/>
          <w:sz w:val="28"/>
          <w:szCs w:val="28"/>
          <w:rtl w:val="true"/>
          <w:lang w:bidi="fa-IR"/>
        </w:rPr>
        <w:t>متفاوت و با انگیزه‌های گوناگون انجام می‌شود</w:t>
      </w:r>
      <w:r>
        <w:rPr>
          <w:rFonts w:eastAsia="IRNazanin" w:cs="IRNazanin"/>
          <w:color w:val="111111"/>
          <w:sz w:val="28"/>
          <w:szCs w:val="28"/>
          <w:rtl w:val="true"/>
          <w:lang w:bidi="fa-IR"/>
        </w:rPr>
        <w:t>:</w:t>
      </w:r>
    </w:p>
    <w:p>
      <w:pPr>
        <w:pStyle w:val="Heading4"/>
        <w:numPr>
          <w:ilvl w:val="3"/>
          <w:numId w:val="1"/>
        </w:numPr>
        <w:rPr/>
      </w:pPr>
      <w:bookmarkStart w:id="120" w:name="__RefHeading___Toc1561994_1479056682"/>
      <w:bookmarkStart w:id="121" w:name="_Toc42"/>
      <w:bookmarkEnd w:id="120"/>
      <w:r>
        <w:rPr/>
        <w:t>1-3</w:t>
      </w:r>
      <w:r>
        <w:rPr>
          <w:rtl w:val="true"/>
        </w:rPr>
        <w:t xml:space="preserve">- </w:t>
      </w:r>
      <w:r>
        <w:rPr>
          <w:rtl w:val="true"/>
        </w:rPr>
        <w:t>با انگیزه‌های شخصی</w:t>
      </w:r>
      <w:bookmarkEnd w:id="121"/>
    </w:p>
    <w:p>
      <w:pPr>
        <w:pStyle w:val="BookText"/>
        <w:rPr/>
      </w:pPr>
      <w:r>
        <w:rPr>
          <w:rFonts w:ascii="IRNazanin" w:hAnsi="IRNazanin" w:eastAsia="IRNazanin"/>
          <w:color w:val="111111"/>
          <w:sz w:val="28"/>
          <w:sz w:val="28"/>
          <w:szCs w:val="28"/>
          <w:rtl w:val="true"/>
          <w:lang w:bidi="fa-IR"/>
        </w:rPr>
        <w:t>تردیدی نیست که حفاری در سطح معابر عمومی با انگیزه‌های شخصی، تصرف غیر مجاز در اموال عمومی است و جایز نخواهد بود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بدیهی است چنان چه هر</w:t>
      </w:r>
    </w:p>
    <w:p>
      <w:pPr>
        <w:pStyle w:val="BookText"/>
        <w:rPr/>
      </w:pPr>
      <w:r>
        <w:rPr>
          <w:rFonts w:ascii="IRNazanin" w:hAnsi="IRNazanin" w:eastAsia="IRNazanin"/>
          <w:color w:val="111111"/>
          <w:sz w:val="28"/>
          <w:sz w:val="28"/>
          <w:szCs w:val="28"/>
          <w:rtl w:val="true"/>
          <w:lang w:bidi="fa-IR"/>
        </w:rPr>
        <w:t>شخص حقیقی یا حقوقی به چنین کاری اقدام کند و کسی به واسطه آن آسیب ببیند، بسته به مورد، کسی که حفاری کرده یا به دستور او این کار انجام شده، ضامن است و می‌باید خسارت فرد آسیب دیده را جبران کند</w:t>
      </w:r>
      <w:r>
        <w:rPr>
          <w:rFonts w:eastAsia="IRNazanin" w:cs="IRNazanin"/>
          <w:color w:val="111111"/>
          <w:sz w:val="28"/>
          <w:szCs w:val="28"/>
          <w:rtl w:val="true"/>
          <w:lang w:bidi="fa-IR"/>
        </w:rPr>
        <w:t>.</w:t>
      </w:r>
    </w:p>
    <w:p>
      <w:pPr>
        <w:pStyle w:val="Heading4"/>
        <w:numPr>
          <w:ilvl w:val="3"/>
          <w:numId w:val="1"/>
        </w:numPr>
        <w:rPr/>
      </w:pPr>
      <w:bookmarkStart w:id="122" w:name="__RefHeading___Toc1561996_1479056682"/>
      <w:bookmarkStart w:id="123" w:name="_Toc43"/>
      <w:bookmarkEnd w:id="122"/>
      <w:r>
        <w:rPr/>
        <w:t>2-3</w:t>
      </w:r>
      <w:r>
        <w:rPr>
          <w:rtl w:val="true"/>
        </w:rPr>
        <w:t xml:space="preserve">- </w:t>
      </w:r>
      <w:r>
        <w:rPr>
          <w:rtl w:val="true"/>
        </w:rPr>
        <w:t>با انگیزه‌های عمومی</w:t>
      </w:r>
      <w:bookmarkEnd w:id="123"/>
    </w:p>
    <w:p>
      <w:pPr>
        <w:pStyle w:val="BookText"/>
        <w:rPr/>
      </w:pPr>
      <w:r>
        <w:rPr>
          <w:rFonts w:ascii="IRNazanin" w:hAnsi="IRNazanin" w:eastAsia="IRNazanin"/>
          <w:color w:val="111111"/>
          <w:sz w:val="28"/>
          <w:sz w:val="28"/>
          <w:szCs w:val="28"/>
          <w:rtl w:val="true"/>
          <w:lang w:bidi="fa-IR"/>
        </w:rPr>
        <w:t>در برخی موارد، این حفاری‌ها برای خدمت به مردم یا بهینه‌سازی سطح معبر صورت می‌گیرد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انجام این حفاری‌ها بدون مکان‌یابی مناسب یا مراعات ایمنی عابران، جایز نخواهد بود، زیرا آسیبی که شهروندان از ایجاد آن‌ها می‌بینند، می‌تواند بیشتر از سود احتمالی آن باشد؛ اما اگر با مکان‌یابی مناسب و مراعات نکات ایمنی، اقدام به حفاری در سطح معابر شود، چنین کاری از نظر فقهی جایز خواهد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هرچند از نظر حقوقی، جواز و عدم جواز انجام این حفاری‌ها به تناسب شرایط اجرای آن‌ها متفاوت است، اما آیا در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تفاوت وجود دارد؟</w:t>
      </w:r>
    </w:p>
    <w:p>
      <w:pPr>
        <w:pStyle w:val="BookText"/>
        <w:rPr/>
      </w:pPr>
      <w:r>
        <w:rPr>
          <w:rFonts w:ascii="IRNazanin" w:hAnsi="IRNazanin" w:eastAsia="IRNazanin"/>
          <w:color w:val="111111"/>
          <w:sz w:val="28"/>
          <w:sz w:val="28"/>
          <w:szCs w:val="28"/>
          <w:rtl w:val="true"/>
          <w:lang w:bidi="fa-IR"/>
        </w:rPr>
        <w:t>برخی از فقها بر این باورند که مسئولیت هر گونه حفاری در سطح معابر، حتّی اگر به منظور خدمت‌رسانی به شهروندان یا به‌سازی</w:t>
      </w:r>
    </w:p>
    <w:p>
      <w:pPr>
        <w:pStyle w:val="BookText"/>
        <w:rPr/>
      </w:pPr>
      <w:r>
        <w:rPr>
          <w:rFonts w:ascii="IRNazanin" w:hAnsi="IRNazanin" w:eastAsia="IRNazanin"/>
          <w:color w:val="111111"/>
          <w:sz w:val="28"/>
          <w:sz w:val="28"/>
          <w:szCs w:val="28"/>
          <w:rtl w:val="true"/>
          <w:lang w:bidi="fa-IR"/>
        </w:rPr>
        <w:t xml:space="preserve">وضعیت راه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کسی است که اقدام به چنین کاری می‌کند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برابر، محقق اردبیلی معتقد است که اگر این حفاری‌ها در راستای خدمات عمومی باشد، متصدی حفاری در برابر آسیب‌دیدگی‌های احتمالی افراد مسئولیتی ندارد و ضامن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ابن نووی احتمال سومی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اگر این حفاری‌ها در راستای خدمت‌رسانی به مردم و با کسب اجازه از دستگاه‌های دولتی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باشد، متصدی حفاری مسئولیتی در برابر آسیب‌دیدگی افراد ندارد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هیچ‌یک از شهروندان مجاز نیستند در سطح معابر عمومی به نفع خود یا مردم، اقدام به حفاری کنند، حتی اگر این کار </w:t>
      </w:r>
    </w:p>
    <w:p>
      <w:pPr>
        <w:pStyle w:val="BookText"/>
        <w:rPr/>
      </w:pPr>
      <w:r>
        <w:rPr>
          <w:rFonts w:ascii="IRNazanin" w:hAnsi="IRNazanin" w:eastAsia="IRNazanin"/>
          <w:color w:val="111111"/>
          <w:sz w:val="28"/>
          <w:sz w:val="28"/>
          <w:szCs w:val="28"/>
          <w:rtl w:val="true"/>
          <w:lang w:bidi="fa-IR"/>
        </w:rPr>
        <w:t>باعث آسیب دیدن عابران نیز نشود؛</w:t>
      </w:r>
      <w:r>
        <w:rPr>
          <w:rStyle w:val="FootnoteAnchor"/>
          <w:rtl w:val="true"/>
        </w:rPr>
        <w:footnoteReference w:id="109"/>
      </w:r>
      <w:r>
        <w:rPr>
          <w:rFonts w:ascii="IRNazanin" w:hAnsi="IRNazanin" w:eastAsia="IRNazanin"/>
          <w:color w:val="111111"/>
          <w:sz w:val="28"/>
          <w:sz w:val="28"/>
          <w:szCs w:val="28"/>
          <w:rtl w:val="true"/>
          <w:lang w:bidi="fa-IR"/>
        </w:rPr>
        <w:t>زیرا در هر دو صورت، مستلزم تجاوز به حریم اموال عمومی است و داشتن حق استفاده از سطح معابر تنها ناظر به کاربری متعارف آن‌هاست، نه هر نوع تصرف و استفاده‌ای حتی در غیر از کاربری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دستگاه‌های دولتی مجاز هستند بنا به مصالح عمومی، اقدام به چنین کاری نمایند، اما باید توجه داشت که جواز حفاری برای آن‌ها در صورت احراز ضرورت انجام آن، رافع مسئولیت حقوقی آن‌ها در تأمین خسارت آسیب‌دیدگان نیست؛ زیرا خطرساز نبودن حفاری در هنگام شروع و نیاز جامعه به انجام آن، دلیل بر جواز عمل است نه عدم مسئولیت و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می‌توان به اطلاق مضمون این روایات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حفر فی الطریق أو فی غیر ما یملک فهو ضامنٌ لما یسقط فیه؛</w:t>
      </w:r>
      <w:r>
        <w:rPr>
          <w:rStyle w:val="FootnoteAnchor"/>
          <w:rtl w:val="true"/>
        </w:rPr>
        <w:footnoteReference w:id="111"/>
      </w:r>
      <w:r>
        <w:rPr>
          <w:rFonts w:ascii="IRNazanin" w:hAnsi="IRNazanin" w:eastAsia="IRNazanin"/>
          <w:color w:val="111111"/>
          <w:sz w:val="28"/>
          <w:sz w:val="28"/>
          <w:szCs w:val="28"/>
          <w:rtl w:val="true"/>
          <w:lang w:bidi="fa-IR"/>
        </w:rPr>
        <w:t>اما اگر چاهی را در راه یا در خارج از ملک خود حفر کند، ضامنِ چیزی است که در آن سقوط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حفر فی غیر ملکه کان علیه الضمان؛</w:t>
      </w:r>
      <w:r>
        <w:rPr>
          <w:rStyle w:val="FootnoteAnchor"/>
          <w:rtl w:val="true"/>
        </w:rPr>
        <w:footnoteReference w:id="112"/>
      </w:r>
      <w:r>
        <w:rPr>
          <w:rFonts w:ascii="IRNazanin" w:hAnsi="IRNazanin" w:eastAsia="IRNazanin"/>
          <w:color w:val="111111"/>
          <w:sz w:val="28"/>
          <w:sz w:val="28"/>
          <w:szCs w:val="28"/>
          <w:rtl w:val="true"/>
          <w:lang w:bidi="fa-IR"/>
        </w:rPr>
        <w:t>هرکس در خارج از ملک خود، چاهی حفر کند، ضمان کسی که از آن آسیب می‌بیند، بر عهده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میزابا أو کنیفا أو أوتد وتدا أو أوثق دابة </w:t>
      </w:r>
      <w:bookmarkStart w:id="124" w:name="pg4409_30470"/>
    </w:p>
    <w:p>
      <w:pPr>
        <w:pStyle w:val="BookText"/>
        <w:rPr/>
      </w:pPr>
      <w:bookmarkEnd w:id="124"/>
      <w:r>
        <w:rPr>
          <w:rFonts w:ascii="IRNazanin" w:hAnsi="IRNazanin" w:eastAsia="IRNazanin"/>
          <w:color w:val="111111"/>
          <w:sz w:val="28"/>
          <w:sz w:val="28"/>
          <w:szCs w:val="28"/>
          <w:rtl w:val="true"/>
          <w:lang w:bidi="fa-IR"/>
        </w:rPr>
        <w:t>أو حفر شیئا فی طریق المسلمین فأصاب شیئا فعطب، فهو له ضامنٌ؛</w:t>
      </w:r>
      <w:r>
        <w:rPr>
          <w:rStyle w:val="FootnoteAnchor"/>
          <w:rtl w:val="true"/>
        </w:rPr>
        <w:footnoteReference w:id="113"/>
      </w:r>
      <w:r>
        <w:rPr>
          <w:rFonts w:ascii="IRNazanin" w:hAnsi="IRNazanin" w:eastAsia="IRNazanin"/>
          <w:color w:val="111111"/>
          <w:sz w:val="28"/>
          <w:sz w:val="28"/>
          <w:szCs w:val="28"/>
          <w:rtl w:val="true"/>
          <w:lang w:bidi="fa-IR"/>
        </w:rPr>
        <w:t>هرکس ناودان یا فاضلاب خانه‌اش را به گذرگاه مسلمانان باز کند یا در گذرگاه میخی بکوبد یا حیوانی را ببندد یا چاهی حفر کند و کسی با آن برخورد کند</w:t>
      </w:r>
    </w:p>
    <w:p>
      <w:pPr>
        <w:pStyle w:val="BookText"/>
        <w:rPr/>
      </w:pPr>
      <w:r>
        <w:rPr>
          <w:rFonts w:ascii="IRNazanin" w:hAnsi="IRNazanin" w:eastAsia="IRNazanin"/>
          <w:color w:val="111111"/>
          <w:sz w:val="28"/>
          <w:sz w:val="28"/>
          <w:szCs w:val="28"/>
          <w:rtl w:val="true"/>
          <w:lang w:bidi="fa-IR"/>
        </w:rPr>
        <w:t>و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پیش‌آمدگی‌های ساختمانی در گذرها مصوب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کندن سطح گذرها و پیاده رو جهت کاشتن درخت و مجاری آب یا لوله کشی و سیم گذاری و غیره بدون پروانه شهرداری ممنوع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25" w:name="__RefHeading___Toc1561998_1479056682"/>
      <w:bookmarkStart w:id="126" w:name="_Toc44"/>
      <w:bookmarkEnd w:id="125"/>
      <w:r>
        <w:rPr/>
        <w:t>4</w:t>
      </w:r>
      <w:r>
        <w:rPr>
          <w:rtl w:val="true"/>
        </w:rPr>
        <w:t xml:space="preserve">- </w:t>
      </w:r>
      <w:r>
        <w:rPr>
          <w:rtl w:val="true"/>
        </w:rPr>
        <w:t>خرید و فروش</w:t>
      </w:r>
      <w:bookmarkEnd w:id="126"/>
    </w:p>
    <w:p>
      <w:pPr>
        <w:pStyle w:val="BookText"/>
        <w:rPr/>
      </w:pPr>
      <w:r>
        <w:rPr>
          <w:rFonts w:ascii="IRNazanin" w:hAnsi="IRNazanin" w:eastAsia="IRNazanin"/>
          <w:color w:val="111111"/>
          <w:sz w:val="28"/>
          <w:sz w:val="28"/>
          <w:szCs w:val="28"/>
          <w:rtl w:val="true"/>
          <w:lang w:bidi="fa-IR"/>
        </w:rPr>
        <w:t>دست‌فروشی از جمله مشاغل اجتماعی و روش‌های کسب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هزینه خرید یا اجاره دکان و هم‌چنین هزینه‌های جانبی آن باعث می‌شود که عده‌ای فرصت انجام تبادلات اقتصادی را در بنگاه‌های کوچک یا بزرگ نیابند و از اماکن عمومی هم‌چون خیابان‌ها برای انجام کارهای بازرگانی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دست‌فروشان به علت پایین بودن هزینه‌هایشان، کالاهای خود را با قیمتی ارزان‌تر از بنگاه‌ها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می‌کنند و در نتیجه، اقبال عمومی برای خرید از آن‌ها در برخی موارد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عاملی برای ایجاد چالش میان صاحبان بنگاه‌ها و فروشندگان دوره گرد تبدیل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برای فقهای مسلمان از دیرباز این پرسش مطرح بوده </w:t>
      </w:r>
    </w:p>
    <w:p>
      <w:pPr>
        <w:pStyle w:val="BookText"/>
        <w:rPr/>
      </w:pPr>
      <w:r>
        <w:rPr>
          <w:rFonts w:ascii="IRNazanin" w:hAnsi="IRNazanin" w:eastAsia="IRNazanin"/>
          <w:color w:val="111111"/>
          <w:sz w:val="28"/>
          <w:sz w:val="28"/>
          <w:szCs w:val="28"/>
          <w:rtl w:val="true"/>
          <w:lang w:bidi="fa-IR"/>
        </w:rPr>
        <w:t>است که آیا می‌توان از خیابان برای خرید و فروش استفاده کرد؟</w:t>
      </w:r>
    </w:p>
    <w:p>
      <w:pPr>
        <w:pStyle w:val="BookText"/>
        <w:rPr/>
      </w:pPr>
      <w:r>
        <w:rPr>
          <w:rFonts w:ascii="IRNazanin" w:hAnsi="IRNazanin" w:eastAsia="IRNazanin"/>
          <w:color w:val="111111"/>
          <w:sz w:val="28"/>
          <w:sz w:val="28"/>
          <w:szCs w:val="28"/>
          <w:rtl w:val="true"/>
          <w:lang w:bidi="fa-IR"/>
        </w:rPr>
        <w:t xml:space="preserve">پیش از طرح پاسخ‌ها، توجه به این نکته ضروری است که هرچند در متون فقهی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معادل آن‌ها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با توجه به تفکیک</w:t>
      </w:r>
    </w:p>
    <w:p>
      <w:pPr>
        <w:pStyle w:val="BookText"/>
        <w:rPr/>
      </w:pPr>
      <w:r>
        <w:rPr>
          <w:rFonts w:ascii="IRNazanin" w:hAnsi="IRNazanin" w:eastAsia="IRNazanin"/>
          <w:color w:val="111111"/>
          <w:sz w:val="28"/>
          <w:sz w:val="28"/>
          <w:szCs w:val="28"/>
          <w:rtl w:val="true"/>
          <w:lang w:bidi="fa-IR"/>
        </w:rPr>
        <w:t>دو معبر پیاده‌رو و سواره‌رو در زمان ما، این بحث تنها به سطح خیابان اختصاص نداشته، در مورد پیاده‌روها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منابع فقهی، به پاسخ‌های کم و بیش مشابهی برمی‌خوریم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معبر وسیع باشد و آسیبی هم به عابران نرسد، خرید و فروش جایز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معبر وسیع باشد، خرید و فروش جایز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دست‌فروشان و برخی از عابران به سایر افرادی که از سطح گذرگاه استفاده می‌کنند، آسیبی وارد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خرید و فروش جایز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 گونه که مرحوم شهید ثانی نیز تصریح می‌کند، نظریه دوم، نظریه مشهور میان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معابر با عرض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توقف برای خرید و فروش باعث کندی عبور و مرور می‌شود، پهن کردن بساط و اقدام به فروش کالا جایز نیست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فتوای مشهور سخنی از آسیب نزدن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است، اما به نظر می‌رسد عدم ذکر آن به دلیل عدم اعتبار آن نبوده </w:t>
      </w:r>
    </w:p>
    <w:p>
      <w:pPr>
        <w:pStyle w:val="BookText"/>
        <w:rPr/>
      </w:pPr>
      <w:r>
        <w:rPr>
          <w:rFonts w:ascii="IRNazanin" w:hAnsi="IRNazanin" w:eastAsia="IRNazanin"/>
          <w:color w:val="111111"/>
          <w:sz w:val="28"/>
          <w:sz w:val="28"/>
          <w:szCs w:val="28"/>
          <w:rtl w:val="true"/>
          <w:lang w:bidi="fa-IR"/>
        </w:rPr>
        <w:t xml:space="preserve">است، بلکه مسلّم بودن اعتبار آن باعث عدم ذکرش گردیده است؛ چرا که شرط هر 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احکامی که موضوع</w:t>
      </w:r>
    </w:p>
    <w:p>
      <w:pPr>
        <w:pStyle w:val="BookText"/>
        <w:rPr/>
      </w:pPr>
      <w:r>
        <w:rPr>
          <w:rFonts w:ascii="IRNazanin" w:hAnsi="IRNazanin" w:eastAsia="IRNazanin"/>
          <w:color w:val="111111"/>
          <w:sz w:val="28"/>
          <w:sz w:val="28"/>
          <w:szCs w:val="28"/>
          <w:rtl w:val="true"/>
          <w:lang w:bidi="fa-IR"/>
        </w:rPr>
        <w:t xml:space="preserve">آن‌ها ضرر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ضرر بوده و به همین دلیل، قاعده لاضرر حاکم بر ادله احکام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بعید نیست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سوم،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اصطلاحی باشد و تضییق در عبور و مرور را نیز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توجیه درباره نظریه دوم و سوم، فتوای نخست جامع دو نظر دیگر به نظر می‌رسد و با آن چه پیش از این درباره بهره‌برداری از منافع غیر غالب گذرگاه‌های عمومی گفتیم، مطابقت دارد؛ زیرا پیش از این توضیح دادیم که از نظر بیشتر فقها، گذرگاه‌ها مکان‌های چند منظوره‌ای هستند که کاربرد غالب آن‌ها عبور و مرور است و استفاده از آن‌ها برای سایر امور، مشروط به آسیب نزدن به عابران و هم‌چنین عدم اختلال در امر آمد و 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جواز استفاده از معابر عمومی برای خرید و فروش معتقد هستند، برای اثبات این دیدگاه، به مرسوم بودن این کار در طول قرون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هم‌چنین پیدا کردن حق ارتفاق نسبت به دیگران</w:t>
      </w:r>
      <w:r>
        <w:rPr>
          <w:rStyle w:val="FootnoteAnchor"/>
          <w:rtl w:val="true"/>
        </w:rPr>
        <w:footnoteReference w:id="120"/>
      </w:r>
      <w:r>
        <w:rPr>
          <w:rFonts w:ascii="IRNazanin" w:hAnsi="IRNazanin" w:eastAsia="IRNazanin"/>
          <w:color w:val="111111"/>
          <w:sz w:val="28"/>
          <w:sz w:val="28"/>
          <w:szCs w:val="28"/>
          <w:rtl w:val="true"/>
          <w:lang w:bidi="fa-IR"/>
        </w:rPr>
        <w:t xml:space="preserve">استناد کرده‌اند؛ اما به نظر ما، گذرگاه‌های عمومی، اعم از خیابان، پیاده‌رو، زیرگذر، پل هوایی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مکان‌هایی برای تردد وسایل نقلیه و عابران پیاده هستند و هر گونه استفاده از آن‌ها در غیر از عبور و مرور جایز نیست، هرچند که سطح معبر وسیع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اختلالی در عبور و </w:t>
      </w:r>
    </w:p>
    <w:p>
      <w:pPr>
        <w:pStyle w:val="BookText"/>
        <w:rPr/>
      </w:pPr>
      <w:r>
        <w:rPr>
          <w:rFonts w:ascii="IRNazanin" w:hAnsi="IRNazanin" w:eastAsia="IRNazanin"/>
          <w:color w:val="111111"/>
          <w:sz w:val="28"/>
          <w:sz w:val="28"/>
          <w:szCs w:val="28"/>
          <w:rtl w:val="true"/>
          <w:lang w:bidi="fa-IR"/>
        </w:rPr>
        <w:t>مرور به وجود نیاید و آسیبی هم به افراد و سایل نقلیه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شهید ثانی از آن به عنوان نظریه غیر مشهور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درست‌تر به نظر می‌رسد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پیش‌آمدگی‌های ساختمانی در گذرها مصوب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 کردن بساط و گذاردن اشیاء و اوراق و یا ادوات کار و یا اجناسی برای فروش در پیاده‌رو گذرها و یا مقابل مغازه‌ها و خانه‌ها و مساجد ممنوع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عادت و عرف نیز مجوزی برای این کار نخواهد بود، زیرا بر فرض که چنین امری در زمان‌های گذشته مرسوم بوده باشد، با تحولی که امروزه در وسایل نقلیه و سرعت تردد آن‌ها و هم‌چنین تفکیک خیابان از پیاده‌رو صورت گرفته است، آن عادت و سیره موضوعیت خود را از دست داده، قابل استناد نخواهد بود؛ هم‌چنان که ادعای ایجاد حق ارتفاق نسبت به دیگران نیز پذیرفتنی نیست، زیرا گذرگاه‌های عمومی مکان‌هایی هستند تک‌منظوره و با کاربری خاص و حق ارتفاق تنها در راستای همین کاربرد قابل تصور است، نه نسبت به کاربردهای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خرید کالا از کسانی که در گذرگاه‌های عمومی اقدام به فروش کالاهای خود می‌کنند، جایز نخواهد بود، </w:t>
      </w:r>
      <w:r>
        <w:rPr>
          <w:rStyle w:val="FootnoteAnchor"/>
          <w:rtl w:val="true"/>
        </w:rPr>
        <w:footnoteReference w:id="123"/>
      </w:r>
      <w:r>
        <w:rPr>
          <w:rFonts w:ascii="IRNazanin" w:hAnsi="IRNazanin" w:eastAsia="IRNazanin"/>
          <w:color w:val="111111"/>
          <w:sz w:val="28"/>
          <w:sz w:val="28"/>
          <w:szCs w:val="28"/>
          <w:rtl w:val="true"/>
          <w:lang w:bidi="fa-IR"/>
        </w:rPr>
        <w:t>هرچند معامله انجام شده صحیح بوده، باطل نیست</w:t>
      </w:r>
      <w:r>
        <w:rPr>
          <w:rFonts w:eastAsia="IRNazanin" w:cs="IRNazanin"/>
          <w:color w:val="111111"/>
          <w:sz w:val="28"/>
          <w:szCs w:val="28"/>
          <w:rtl w:val="true"/>
          <w:lang w:bidi="fa-IR"/>
        </w:rPr>
        <w:t xml:space="preserve">. </w:t>
      </w:r>
      <w:bookmarkStart w:id="127" w:name="pg4409_30474"/>
    </w:p>
    <w:p>
      <w:pPr>
        <w:pStyle w:val="Heading3"/>
        <w:numPr>
          <w:ilvl w:val="2"/>
          <w:numId w:val="1"/>
        </w:numPr>
        <w:rPr/>
      </w:pPr>
      <w:bookmarkStart w:id="128" w:name="__RefHeading___Toc1562000_1479056682"/>
      <w:bookmarkStart w:id="129" w:name="_Toc45"/>
      <w:bookmarkEnd w:id="127"/>
      <w:bookmarkEnd w:id="128"/>
      <w:r>
        <w:rPr/>
        <w:t>5</w:t>
      </w:r>
      <w:r>
        <w:rPr>
          <w:rtl w:val="true"/>
        </w:rPr>
        <w:t xml:space="preserve">- </w:t>
      </w:r>
      <w:r>
        <w:rPr>
          <w:rtl w:val="true"/>
        </w:rPr>
        <w:t>اتراق کردن</w:t>
      </w:r>
      <w:bookmarkEnd w:id="129"/>
    </w:p>
    <w:p>
      <w:pPr>
        <w:pStyle w:val="Heading4"/>
        <w:numPr>
          <w:ilvl w:val="3"/>
          <w:numId w:val="1"/>
        </w:numPr>
        <w:rPr/>
      </w:pPr>
      <w:bookmarkStart w:id="130" w:name="__RefHeading___Toc1562002_1479056682"/>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یکی از مسایلی که در استفاده از معابر عمومی مطرح است،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نشستن در گذرگاه‌ها معمولاً به منظور خرید و فروش انجام می‌شود، ولی می‌توان آن را بدون این جهت نیز بررسی کرد</w:t>
      </w:r>
      <w:r>
        <w:rPr>
          <w:rFonts w:eastAsia="IRNazanin" w:cs="IRNazanin"/>
          <w:color w:val="111111"/>
          <w:sz w:val="28"/>
          <w:szCs w:val="28"/>
          <w:rtl w:val="true"/>
          <w:lang w:bidi="fa-IR"/>
        </w:rPr>
        <w:t>.</w:t>
      </w:r>
    </w:p>
    <w:p>
      <w:pPr>
        <w:pStyle w:val="Heading4"/>
        <w:numPr>
          <w:ilvl w:val="3"/>
          <w:numId w:val="1"/>
        </w:numPr>
        <w:rPr/>
      </w:pPr>
      <w:bookmarkStart w:id="132" w:name="__RefHeading___Toc1562004_1479056682"/>
      <w:bookmarkStart w:id="133" w:name="_Toc47"/>
      <w:bookmarkEnd w:id="132"/>
      <w:r>
        <w:rPr/>
        <w:t>1-5</w:t>
      </w:r>
      <w:r>
        <w:rPr>
          <w:rtl w:val="true"/>
        </w:rPr>
        <w:t xml:space="preserve">- </w:t>
      </w:r>
      <w:r>
        <w:rPr>
          <w:rtl w:val="true"/>
        </w:rPr>
        <w:t>حکم تکلیفی</w:t>
      </w:r>
      <w:bookmarkEnd w:id="133"/>
    </w:p>
    <w:p>
      <w:pPr>
        <w:pStyle w:val="BookText"/>
        <w:rPr/>
      </w:pPr>
      <w:r>
        <w:rPr>
          <w:rFonts w:ascii="IRNazanin" w:hAnsi="IRNazanin" w:eastAsia="IRNazanin"/>
          <w:color w:val="111111"/>
          <w:sz w:val="28"/>
          <w:sz w:val="28"/>
          <w:szCs w:val="28"/>
          <w:rtl w:val="true"/>
          <w:lang w:bidi="fa-IR"/>
        </w:rPr>
        <w:t xml:space="preserve">برخی از فقها بر این باورند که نشستن و اتراق کردن در معابر عمومی اگر برای عابران مزاحمتی ایجاد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 انگیزه‌ای که انجام شود، جایز خواهد بود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جای تردید نیست که اگر این نشستن در روند عبور و مرور اختلال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جایز نخواهد بود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مجاز نیست در مقابل گرفتن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بدون آن، حق چنین استفاده‌ای را به افراد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34" w:name="__RefHeading___Toc1562006_1479056682"/>
      <w:bookmarkStart w:id="135" w:name="_Toc48"/>
      <w:bookmarkEnd w:id="134"/>
      <w:r>
        <w:rPr/>
        <w:t>2-5</w:t>
      </w:r>
      <w:r>
        <w:rPr>
          <w:rtl w:val="true"/>
        </w:rPr>
        <w:t xml:space="preserve">- </w:t>
      </w:r>
      <w:r>
        <w:rPr>
          <w:rtl w:val="true"/>
        </w:rPr>
        <w:t>جابه‌جا کردن</w:t>
      </w:r>
      <w:bookmarkEnd w:id="135"/>
    </w:p>
    <w:p>
      <w:pPr>
        <w:pStyle w:val="BookText"/>
        <w:rPr/>
      </w:pPr>
      <w:r>
        <w:rPr>
          <w:rFonts w:ascii="IRNazanin" w:hAnsi="IRNazanin" w:eastAsia="IRNazanin"/>
          <w:color w:val="111111"/>
          <w:sz w:val="28"/>
          <w:sz w:val="28"/>
          <w:szCs w:val="28"/>
          <w:rtl w:val="true"/>
          <w:lang w:bidi="fa-IR"/>
        </w:rPr>
        <w:t>اگر نشستن فردی در کنار گذرگاه برای دیگران مزاحمتی ایجاد نکند، آیا می‌توان او را از جای خود بلند کرد؟</w:t>
      </w:r>
    </w:p>
    <w:p>
      <w:pPr>
        <w:pStyle w:val="BookText"/>
        <w:rPr/>
      </w:pPr>
      <w:r>
        <w:rPr>
          <w:rFonts w:ascii="IRNazanin" w:hAnsi="IRNazanin" w:eastAsia="IRNazanin"/>
          <w:color w:val="111111"/>
          <w:sz w:val="28"/>
          <w:sz w:val="28"/>
          <w:szCs w:val="28"/>
          <w:rtl w:val="true"/>
          <w:lang w:bidi="fa-IR"/>
        </w:rPr>
        <w:t>گروهی از فقها معتقدند در چنین فرضی که نشستن فرد نه خطری برای دیگران ایجاد می‌کند و نه در امر آمد و شد خللی وارد می‌سازد، نمی‌توان او را از جای خود بلند کرد</w:t>
      </w:r>
      <w:r>
        <w:rPr>
          <w:rFonts w:eastAsia="IRNazanin" w:cs="IRNazanin"/>
          <w:color w:val="111111"/>
          <w:sz w:val="28"/>
          <w:szCs w:val="28"/>
          <w:rtl w:val="true"/>
          <w:lang w:bidi="fa-IR"/>
        </w:rPr>
        <w:t>.</w:t>
      </w:r>
      <w:r>
        <w:rPr>
          <w:rStyle w:val="FootnoteAnchor"/>
          <w:rtl w:val="true"/>
        </w:rPr>
        <w:footnoteReference w:id="12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الاحکام، </w:t>
      </w:r>
      <w:r>
        <w:rPr>
          <w:rFonts w:eastAsia="IRNazanin" w:cs="IRNazanin"/>
          <w:color w:val="111111"/>
          <w:sz w:val="28"/>
          <w:szCs w:val="28"/>
          <w:lang w:bidi="fa-IR"/>
        </w:rPr>
        <w:t>242</w:t>
      </w:r>
      <w:r>
        <w:rPr>
          <w:rFonts w:eastAsia="IRNazanin" w:cs="IRNazanin"/>
          <w:color w:val="111111"/>
          <w:sz w:val="28"/>
          <w:szCs w:val="28"/>
          <w:rtl w:val="true"/>
          <w:lang w:bidi="fa-IR"/>
        </w:rPr>
        <w:t>.</w:t>
      </w:r>
      <w:bookmarkStart w:id="136" w:name="pg4409_30475"/>
    </w:p>
    <w:p>
      <w:pPr>
        <w:pStyle w:val="BookText"/>
        <w:rPr/>
      </w:pPr>
      <w:bookmarkEnd w:id="136"/>
      <w:r>
        <w:rPr>
          <w:rFonts w:ascii="IRNazanin" w:hAnsi="IRNazanin" w:eastAsia="IRNazanin"/>
          <w:color w:val="111111"/>
          <w:sz w:val="28"/>
          <w:sz w:val="28"/>
          <w:szCs w:val="28"/>
          <w:rtl w:val="true"/>
          <w:lang w:bidi="fa-IR"/>
        </w:rPr>
        <w:t>در این حالت، عابر مجاز نیست مسیر حرکت خود را به گونه‌ای انتخاب کند که از محلی که آن فرد نشسته است، عبور کند، چرا که هر</w:t>
      </w:r>
    </w:p>
    <w:p>
      <w:pPr>
        <w:pStyle w:val="BookText"/>
        <w:rPr/>
      </w:pPr>
      <w:r>
        <w:rPr>
          <w:rFonts w:ascii="IRNazanin" w:hAnsi="IRNazanin" w:eastAsia="IRNazanin"/>
          <w:color w:val="111111"/>
          <w:sz w:val="28"/>
          <w:sz w:val="28"/>
          <w:szCs w:val="28"/>
          <w:rtl w:val="true"/>
          <w:lang w:bidi="fa-IR"/>
        </w:rPr>
        <w:t>دوی آن‌ها به یک اندازه حق استفاده از معابر عمومی را دارند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الدمشقیة، </w:t>
      </w:r>
      <w:r>
        <w:rPr>
          <w:rFonts w:eastAsia="IRNazanin" w:cs="IRNazanin"/>
          <w:color w:val="111111"/>
          <w:sz w:val="28"/>
          <w:szCs w:val="28"/>
          <w:lang w:bidi="fa-IR"/>
        </w:rPr>
        <w:t>7/181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عابر بخواهد با سرسختی از محل نشستن دیگری عبور کند و این عبور خسارتی به دنبال داشته باشد، ممکن است بگوییم 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نقلیه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زیرا نشستن از جمله انواع بهره‌برداری از گذرگاه‌های عمومی است، و ممکن است بگوییم فردی که نشسته است، مسئول پرداخت خسارت است، چرا که غرض اصلی از تأسیس معابر عمومی، عبور و مرور 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37" w:name="__RefHeading___Toc1562008_1479056682"/>
      <w:bookmarkStart w:id="138" w:name="_Toc49"/>
      <w:bookmarkEnd w:id="137"/>
      <w:r>
        <w:rPr/>
        <w:t>3-5</w:t>
      </w:r>
      <w:r>
        <w:rPr>
          <w:rtl w:val="true"/>
        </w:rPr>
        <w:t xml:space="preserve">- </w:t>
      </w:r>
      <w:r>
        <w:rPr>
          <w:rtl w:val="true"/>
        </w:rPr>
        <w:t>اختلاف در گزینش مکان</w:t>
      </w:r>
      <w:bookmarkEnd w:id="138"/>
    </w:p>
    <w:p>
      <w:pPr>
        <w:pStyle w:val="BookText"/>
        <w:rPr/>
      </w:pPr>
      <w:r>
        <w:rPr>
          <w:rFonts w:ascii="IRNazanin" w:hAnsi="IRNazanin" w:eastAsia="IRNazanin"/>
          <w:color w:val="111111"/>
          <w:sz w:val="28"/>
          <w:sz w:val="28"/>
          <w:szCs w:val="28"/>
          <w:rtl w:val="true"/>
          <w:lang w:bidi="fa-IR"/>
        </w:rPr>
        <w:t>در فرضی که نشستن در گذرگاه را به شرط عدم مزاحمت، عملی مشروع بدانیم، این پرسش به وجود می‌آید که اگر دو یا چند نفر مایل باشند در یک مکان خاص بنشینند، کدام‌یک از این حق برخوردارند؟</w:t>
      </w:r>
    </w:p>
    <w:p>
      <w:pPr>
        <w:pStyle w:val="BookText"/>
        <w:rPr/>
      </w:pPr>
      <w:r>
        <w:rPr>
          <w:rFonts w:ascii="IRNazanin" w:hAnsi="IRNazanin" w:eastAsia="IRNazanin"/>
          <w:color w:val="111111"/>
          <w:sz w:val="28"/>
          <w:sz w:val="28"/>
          <w:szCs w:val="28"/>
          <w:rtl w:val="true"/>
          <w:lang w:bidi="fa-IR"/>
        </w:rPr>
        <w:t xml:space="preserve">برخی از فقها معتقدند در صورتی که امکان نشستن هر دوی آن‌ها در آن مکان نباشد، </w:t>
      </w:r>
      <w:r>
        <w:rPr>
          <w:rStyle w:val="FootnoteAnchor"/>
          <w:rtl w:val="true"/>
        </w:rPr>
        <w:footnoteReference w:id="129"/>
      </w:r>
      <w:r>
        <w:rPr>
          <w:rFonts w:ascii="IRNazanin" w:hAnsi="IRNazanin" w:eastAsia="IRNazanin"/>
          <w:color w:val="111111"/>
          <w:sz w:val="28"/>
          <w:sz w:val="28"/>
          <w:szCs w:val="28"/>
          <w:rtl w:val="true"/>
          <w:lang w:bidi="fa-IR"/>
        </w:rPr>
        <w:t>برای انتخاب این که چه کسی حق نشستن در آن مکان را دارد، باید میان آن‌ها قرعه انداخت</w:t>
      </w:r>
      <w:r>
        <w:rPr>
          <w:rFonts w:eastAsia="IRNazanin" w:cs="IRNazanin"/>
          <w:color w:val="111111"/>
          <w:sz w:val="28"/>
          <w:szCs w:val="28"/>
          <w:rtl w:val="true"/>
          <w:lang w:bidi="fa-IR"/>
        </w:rPr>
        <w:t>.</w:t>
      </w:r>
      <w:r>
        <w:rPr>
          <w:rStyle w:val="FootnoteAnchor"/>
          <w:rtl w:val="true"/>
        </w:rPr>
        <w:footnoteReference w:id="13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فرض، این پرسش مطرح می‌شود که اگر فردی که </w:t>
      </w:r>
    </w:p>
    <w:p>
      <w:pPr>
        <w:pStyle w:val="BookText"/>
        <w:rPr/>
      </w:pPr>
      <w:r>
        <w:rPr>
          <w:rFonts w:ascii="IRNazanin" w:hAnsi="IRNazanin" w:eastAsia="IRNazanin"/>
          <w:color w:val="111111"/>
          <w:sz w:val="28"/>
          <w:sz w:val="28"/>
          <w:szCs w:val="28"/>
          <w:rtl w:val="true"/>
          <w:lang w:bidi="fa-IR"/>
        </w:rPr>
        <w:t>نشسته است، برای انجام کاری از جای خود بلند شود، آیا دیگری حق دارد در جای وی بنشیند؟</w:t>
      </w:r>
    </w:p>
    <w:p>
      <w:pPr>
        <w:pStyle w:val="BookText"/>
        <w:rPr/>
      </w:pPr>
      <w:r>
        <w:rPr>
          <w:rFonts w:ascii="IRNazanin" w:hAnsi="IRNazanin" w:eastAsia="IRNazanin"/>
          <w:color w:val="111111"/>
          <w:sz w:val="28"/>
          <w:sz w:val="28"/>
          <w:szCs w:val="28"/>
          <w:rtl w:val="true"/>
          <w:lang w:bidi="fa-IR"/>
        </w:rPr>
        <w:t>در پاسخ به این سؤال گفته شده است که با برخاستن، حق شخص</w:t>
      </w:r>
    </w:p>
    <w:p>
      <w:pPr>
        <w:pStyle w:val="BookText"/>
        <w:rPr/>
      </w:pPr>
      <w:r>
        <w:rPr>
          <w:rFonts w:ascii="IRNazanin" w:hAnsi="IRNazanin" w:eastAsia="IRNazanin"/>
          <w:color w:val="111111"/>
          <w:sz w:val="28"/>
          <w:sz w:val="28"/>
          <w:szCs w:val="28"/>
          <w:rtl w:val="true"/>
          <w:lang w:bidi="fa-IR"/>
        </w:rPr>
        <w:t xml:space="preserve">در استفاده از آن مکان از بین می‌رود، مگر آن که پیش از ترک محل، توشه یا بخشی از لوازم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مکان باقی بگذارد که در این صورت، نسبت به دیگران، در استفاده از آن مکان اولویت خواهد داشت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اما به نظر برخی، صرفِ به جا گذاشتن توشه برای اثبات حق استفاده از آن مکان کافی نیست، بلکه می‌باید شخص قصد بازگشت هم داشته باشد، زیرا عدم قصد بازگشت، به مفهوم اعراض از حق خود است، هرچند توشه‌ای هم از خود به جا گذاشته باشد؛ افزون بر این که این حق به مقتضای روایت طلحة بن زید، تا انتهای همان روز باقی است و با فرا رسیدن شب، دیگر حقی برای استفاده از آن مکان باقی نمی‌ماند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سوق المسلمین کمسجدهم، فمن سبق إلی مکان فهو أحق به إلی اللیل، </w:t>
      </w:r>
      <w:r>
        <w:rPr>
          <w:rStyle w:val="FootnoteAnchor"/>
          <w:rtl w:val="true"/>
        </w:rPr>
        <w:footnoteReference w:id="133"/>
      </w:r>
      <w:r>
        <w:rPr>
          <w:rFonts w:ascii="IRNazanin" w:hAnsi="IRNazanin" w:eastAsia="IRNazanin"/>
          <w:color w:val="111111"/>
          <w:sz w:val="28"/>
          <w:sz w:val="28"/>
          <w:szCs w:val="28"/>
          <w:rtl w:val="true"/>
          <w:lang w:bidi="fa-IR"/>
        </w:rPr>
        <w:t>بازار مسلمانان همچون مسجد آن‌ها است، هرکس زودتر به مکانی برسد، حق او برای استفاده از آن مکان تا شب بیش از دیگران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احتمال وجود دارد که بگوییم داوری در این باره به مدت زمان ترک مکان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زمان طولانی باشد، حق وی در استفاده از آن مکان از بین خواهد رفت و چنان‌چه زمان کوتاه باشد، این </w:t>
      </w:r>
      <w:bookmarkStart w:id="139" w:name="pg4409_30477"/>
    </w:p>
    <w:p>
      <w:pPr>
        <w:pStyle w:val="BookText"/>
        <w:rPr/>
      </w:pPr>
      <w:bookmarkEnd w:id="139"/>
      <w:r>
        <w:rPr>
          <w:rFonts w:ascii="IRNazanin" w:hAnsi="IRNazanin" w:eastAsia="IRNazanin"/>
          <w:color w:val="111111"/>
          <w:sz w:val="28"/>
          <w:sz w:val="28"/>
          <w:szCs w:val="28"/>
          <w:rtl w:val="true"/>
          <w:lang w:bidi="fa-IR"/>
        </w:rPr>
        <w:t>حق هم‌چنان باقی خواهد بود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40" w:name="__RefHeading___Toc1562010_1479056682"/>
      <w:bookmarkStart w:id="141" w:name="_Toc50"/>
      <w:bookmarkEnd w:id="140"/>
      <w:r>
        <w:rPr/>
        <w:t>4-5</w:t>
      </w:r>
      <w:r>
        <w:rPr>
          <w:rtl w:val="true"/>
        </w:rPr>
        <w:t xml:space="preserve">- </w:t>
      </w:r>
      <w:r>
        <w:rPr>
          <w:rtl w:val="true"/>
        </w:rPr>
        <w:t>ایجاد آفتاب‌گیر</w:t>
      </w:r>
      <w:bookmarkEnd w:id="141"/>
    </w:p>
    <w:p>
      <w:pPr>
        <w:pStyle w:val="BookText"/>
        <w:rPr/>
      </w:pPr>
      <w:r>
        <w:rPr>
          <w:rFonts w:ascii="IRNazanin" w:hAnsi="IRNazanin" w:eastAsia="IRNazanin"/>
          <w:color w:val="111111"/>
          <w:sz w:val="28"/>
          <w:sz w:val="28"/>
          <w:szCs w:val="28"/>
          <w:rtl w:val="true"/>
          <w:lang w:bidi="fa-IR"/>
        </w:rPr>
        <w:t>کسی که در کنار یک گذر می‌نشیند، در شرایط مختلف آب و هوایی، نیازمند وسایلی است که او را از سرما و گرما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فقهی، این پرسش مطرح شده است که آیا چنین کسی حق دارد برای دور ماندن از تابش مستقیم آفتاب بر سر خود، با پارچه یا چیزی شبیه به آن، آفتاب‌گیر بسازد؟</w:t>
      </w:r>
    </w:p>
    <w:p>
      <w:pPr>
        <w:pStyle w:val="BookText"/>
        <w:rPr/>
      </w:pPr>
      <w:r>
        <w:rPr>
          <w:rFonts w:ascii="IRNazanin" w:hAnsi="IRNazanin" w:eastAsia="IRNazanin"/>
          <w:color w:val="111111"/>
          <w:sz w:val="28"/>
          <w:sz w:val="28"/>
          <w:szCs w:val="28"/>
          <w:rtl w:val="true"/>
          <w:lang w:bidi="fa-IR"/>
        </w:rPr>
        <w:t>با توجه به مبانی گذشته، پاسخ این سؤال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در عبور و مرور اختلال ایجاد نکند و باعث آسیب دیدن عابران نیز نشود، جایز خواهد بود و در غیر این صورت، جایز نبوده، باید برچیده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درباره بهره‌مندی از سایر امکانات گرمایشی و سرمایشی، هرچند در متون فقهی سخنی به میان نیامده است، به نظر می‌رسد که حکم آن‌ها نیز مشخص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نظرات بالا، جواز استفاده از گذرگاه‌های عمومی در غیر از آمد و شد است که با تردید در صحت آن، باقی مطالب نیز اعتبار </w:t>
      </w:r>
    </w:p>
    <w:p>
      <w:pPr>
        <w:pStyle w:val="BookText"/>
        <w:rPr/>
      </w:pPr>
      <w:r>
        <w:rPr>
          <w:rFonts w:ascii="IRNazanin" w:hAnsi="IRNazanin" w:eastAsia="IRNazanin"/>
          <w:color w:val="111111"/>
          <w:sz w:val="28"/>
          <w:sz w:val="28"/>
          <w:szCs w:val="28"/>
          <w:rtl w:val="true"/>
          <w:lang w:bidi="fa-IR"/>
        </w:rPr>
        <w:t>خود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از این گذشت، گذرگاه‌ها مکان‌هایی هستند تنها برای عبور و مرور وسایل نقلیه و عابران پیاده و آن چه از جمله لوازم</w:t>
      </w:r>
    </w:p>
    <w:p>
      <w:pPr>
        <w:pStyle w:val="BookText"/>
        <w:rPr/>
      </w:pPr>
      <w:r>
        <w:rPr>
          <w:rFonts w:ascii="IRNazanin" w:hAnsi="IRNazanin" w:eastAsia="IRNazanin"/>
          <w:color w:val="111111"/>
          <w:sz w:val="28"/>
          <w:sz w:val="28"/>
          <w:szCs w:val="28"/>
          <w:rtl w:val="true"/>
          <w:lang w:bidi="fa-IR"/>
        </w:rPr>
        <w:t>عقلی یا عادی این کار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گونه استفاده از آن‌ها در غیر از عبور و مرور جایز نبوده، حرام است، هرچند برای دیگران مزاحمتی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تردیدی نداریم که باید فردی را که کنار خیابان یا پیاده‌رو اتراق کرده است، از جای خود بلند کرد؛ اما این وظیفه بر عهده نهادهای دولتی است، نه تک تک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هیچ‌یک از افراد حق ندارند در معابر عمومی برای یکدیگر ایجاد مزاحمت کنند و در صورت ایجاد، هر کدام که عمدا به دیگری خسارت وارد کند،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دیگر جایی برای طرح مسئله تمایل چند نفر برای نشستن در مکانی خاص و تعارض آن‌ها باقی نمی‌ماند تا برای حل آن، نیازمند قرعه باشیم، چرا که هیچ‌یک حق چنین کاری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طرح بحث اولویت شخص در استفاده از مکانی که توشه خود را در آن باقی گذاشته و آن جا را ترک کرده است نیز بی‌معناست، زیرا وقتی در حدوث حقی نداشته باشد، به طریق اولی، در بقا نیز چنین حقی وجود نخواهد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 گذاشتن لوازم خود در یک مکان، هیچ‌گونه حقی برای استفاده دوباره از آن مکان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طرح این گونه مباحث، ناشی از هم‌سان پنداشتن بازار و خیابان است و حال آن که از نظر حقوقی، میان آن‌ها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مکانی است عمومی که با هدف عبور و مرور به وجود آمده است، اما بازار مکانی است عمومی که با هدف دادوستد شکل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غالب در بازارهای گذشته این بوده است که هرکسی با پهن کردن بساط خود، کالا یا کالاهایی را به مشتریان می‌فروخته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سیستمی، حضور پیوسته فرد در یک مکان در خلال هفته‌ها یا ماه‌ها می‌تواند زمینه این پرسش را فراهم کند که آیا او در مقایسه با دیگران، برای استفاده از آن مکان اولویتی پیدا کرده است؟ هم‌چنین ممکن است شخص برای صرف غذا، دست‌شویی، آوردن کالا و نظایر آن‌ها محل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قابل طرح است که آیا به جا گذاشتن وسایل خود در یک مکان که عادتا نشانه بازگشت دوباره است، حق استفاده از آن مکان را هم‌چنان برای وی محفوظ می‌دارد؟</w:t>
      </w:r>
    </w:p>
    <w:p>
      <w:pPr>
        <w:pStyle w:val="BookText"/>
        <w:rPr/>
      </w:pPr>
      <w:r>
        <w:rPr>
          <w:rFonts w:ascii="IRNazanin" w:hAnsi="IRNazanin" w:eastAsia="IRNazanin"/>
          <w:color w:val="111111"/>
          <w:sz w:val="28"/>
          <w:sz w:val="28"/>
          <w:szCs w:val="28"/>
          <w:rtl w:val="true"/>
          <w:lang w:bidi="fa-IR"/>
        </w:rPr>
        <w:t>بسیار روشن است که در چنین بازاری همه نقاط از ارزش یکسانی برخوردار نیستند، زیرا ساختار مکان، فاصله آن با شهر و فاصله آن با ورودی و خروجی بازار می‌تواند در میزان مرغوبیت مکان و جذب مشتری اثرگذار باشد؛ بنابراین، جای این پرسش خواهد بود که در صورت تمایل چند نفر برای استفاده از یک مکان، چه باید کرد؟</w:t>
      </w:r>
    </w:p>
    <w:p>
      <w:pPr>
        <w:pStyle w:val="BookText"/>
        <w:rPr/>
      </w:pPr>
      <w:r>
        <w:rPr>
          <w:rFonts w:ascii="IRNazanin" w:hAnsi="IRNazanin" w:eastAsia="IRNazanin"/>
          <w:color w:val="111111"/>
          <w:sz w:val="28"/>
          <w:sz w:val="28"/>
          <w:szCs w:val="28"/>
          <w:rtl w:val="true"/>
          <w:lang w:bidi="fa-IR"/>
        </w:rPr>
        <w:t>این پرسش‌ها از این جهت به وجود می‌آید که بازار مکانی برای خرید و فروش کالاست و هر فروشنده‌ای حق دارد از آن مکان به این منظور استفاده کند؛ اما در مورد خیابان اساسا چنین حقی برای هیچکس وجود ندارد تا به دنبال آن، مباحثی که پیش از این گذشت، قابل 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همین جهت است که استناد به حدیث طلحة بن زید برای اثبات جواز استفاده از خیابان و هم‌چنین میزان</w:t>
      </w:r>
    </w:p>
    <w:p>
      <w:pPr>
        <w:pStyle w:val="BookText"/>
        <w:rPr/>
      </w:pPr>
      <w:r>
        <w:rPr>
          <w:rFonts w:ascii="IRNazanin" w:hAnsi="IRNazanin" w:eastAsia="IRNazanin"/>
          <w:color w:val="111111"/>
          <w:sz w:val="28"/>
          <w:sz w:val="28"/>
          <w:szCs w:val="28"/>
          <w:rtl w:val="true"/>
          <w:lang w:bidi="fa-IR"/>
        </w:rPr>
        <w:t>امتداد این حق،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دیگر نمی‌توان به تعریفی که محقق کرکی از بازار کرده است،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بازار چنین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بالسوق المواضع التی یجلس بها للبیع و الشراء من المباح و ما </w:t>
      </w:r>
    </w:p>
    <w:p>
      <w:pPr>
        <w:pStyle w:val="BookText"/>
        <w:rPr/>
      </w:pPr>
      <w:r>
        <w:rPr>
          <w:rFonts w:ascii="IRNazanin" w:hAnsi="IRNazanin" w:eastAsia="IRNazanin"/>
          <w:color w:val="111111"/>
          <w:sz w:val="28"/>
          <w:sz w:val="28"/>
          <w:szCs w:val="28"/>
          <w:rtl w:val="true"/>
          <w:lang w:bidi="fa-IR"/>
        </w:rPr>
        <w:t>جری مجراه من الأسواق الموقوفة أو المأذون فیها عاما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همان گونه که ملاحظه می‌شود، از نظر ایشان، به هر مکان مباحی که افراد برای خرید و فروش در آن جا می‌نشینند،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حال آن که چنین نیست، زیرا این که در اماکن عمومی هم می‌شود خرید و فروش کرد، غیر از آن است که به این مکان‌ها بازار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مباحث حقوقی‌ای که تا کنون پیرامون نشستن در معابر عمومی مطرح شد، این عمل از نظر اخلاقی نیز کار ستوده‌ای به حساب نمی‌آید، چرا که حضور بدون دلیل در معابر می‌تواند بستر مناسبی برای پیدایش برخی از ناهنجاری‌ها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صلی‌الله‌علیه‌و‌آله در این باره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الجلوس فی الطرقات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لنا بدٌّ من مجالسنا نتحدث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أبیتم إلاّ المجلس فأعطوا الطریق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البصر و کفّ الأذی و ردّ السّلام و الأمر بالمعروف و النهی عن المنکر؛</w:t>
      </w:r>
      <w:r>
        <w:rPr>
          <w:rStyle w:val="FootnoteAnchor"/>
          <w:rtl w:val="true"/>
        </w:rPr>
        <w:footnoteReference w:id="137"/>
      </w:r>
      <w:r>
        <w:rPr>
          <w:rFonts w:ascii="IRNazanin" w:hAnsi="IRNazanin" w:eastAsia="IRNazanin"/>
          <w:color w:val="111111"/>
          <w:sz w:val="28"/>
          <w:sz w:val="28"/>
          <w:szCs w:val="28"/>
          <w:rtl w:val="true"/>
          <w:lang w:bidi="fa-IR"/>
        </w:rPr>
        <w:t>از نشستن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چاره‌ای نداریم از این که در راه بنشینیم و با یکدیگر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نشستن چشم‌پوشی نمی‌کنید، دست‌کم حق راه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راه چیست؟ </w:t>
      </w:r>
      <w:bookmarkStart w:id="142" w:name="pg4409_30481"/>
    </w:p>
    <w:p>
      <w:pPr>
        <w:pStyle w:val="BookText"/>
        <w:rPr/>
      </w:pPr>
      <w:bookmarkEnd w:id="142"/>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گناه فرو بستن، آزار نرساندن، پاسخ سلام دادن و امر به معروف و نهی از منکر</w:t>
      </w:r>
      <w:r>
        <w:rPr>
          <w:rFonts w:eastAsia="IRNazanin" w:cs="IRNazanin"/>
          <w:color w:val="111111"/>
          <w:sz w:val="28"/>
          <w:szCs w:val="28"/>
          <w:rtl w:val="true"/>
          <w:lang w:bidi="fa-IR"/>
        </w:rPr>
        <w:t>.</w:t>
      </w:r>
    </w:p>
    <w:p>
      <w:pPr>
        <w:pStyle w:val="Heading3"/>
        <w:numPr>
          <w:ilvl w:val="2"/>
          <w:numId w:val="1"/>
        </w:numPr>
        <w:rPr/>
      </w:pPr>
      <w:bookmarkStart w:id="143" w:name="__RefHeading___Toc1562012_1479056682"/>
      <w:bookmarkStart w:id="144" w:name="_Toc51"/>
      <w:bookmarkEnd w:id="143"/>
      <w:r>
        <w:rPr/>
        <w:t>6</w:t>
      </w:r>
      <w:r>
        <w:rPr>
          <w:rtl w:val="true"/>
        </w:rPr>
        <w:t xml:space="preserve">- </w:t>
      </w:r>
      <w:r>
        <w:rPr>
          <w:rtl w:val="true"/>
        </w:rPr>
        <w:t>ایجاد لغزندگی</w:t>
      </w:r>
      <w:bookmarkEnd w:id="144"/>
    </w:p>
    <w:p>
      <w:pPr>
        <w:pStyle w:val="BookText"/>
        <w:rPr/>
      </w:pPr>
      <w:r>
        <w:rPr>
          <w:rFonts w:ascii="IRNazanin" w:hAnsi="IRNazanin" w:eastAsia="IRNazanin"/>
          <w:color w:val="111111"/>
          <w:sz w:val="28"/>
          <w:sz w:val="28"/>
          <w:szCs w:val="28"/>
          <w:rtl w:val="true"/>
          <w:lang w:bidi="fa-IR"/>
        </w:rPr>
        <w:t>لغزنده کردن سطح معابر که می‌تواند برای وسایل نقلیه یا عابران خطرساز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لغزندگی را می‌توان به شکل‌های مختلفی ایجاد کرد، در متون فقهی تنها به یکی از آن‌ها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فقها این پرسش مطرح بوده است که اگر کسی با پاشیدن آب بر سطح معابر، مسیر حرکت وسایل نقلیه یا عابران پیاده را لغزنده کند، آیا در برابر این عمل، مسئولیتی دارد و ضامن جبران خسارت افراد خواهد بود؟</w:t>
      </w:r>
    </w:p>
    <w:p>
      <w:pPr>
        <w:pStyle w:val="BookText"/>
        <w:rPr/>
      </w:pPr>
      <w:r>
        <w:rPr>
          <w:rFonts w:ascii="IRNazanin" w:hAnsi="IRNazanin" w:eastAsia="IRNazanin"/>
          <w:color w:val="111111"/>
          <w:sz w:val="28"/>
          <w:sz w:val="28"/>
          <w:szCs w:val="28"/>
          <w:rtl w:val="true"/>
          <w:lang w:bidi="fa-IR"/>
        </w:rPr>
        <w:t>تا آن جا که بررسی‌های ما نشان می‌دهد، در این مسئله نظرات مختلفی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دارد؛</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سود و مصلحت شخصی خود چنین کند، مسئولیت دارد، اما اگر به جهت مصالح عمومی باشد و به حد نیاز نیز</w:t>
      </w:r>
    </w:p>
    <w:p>
      <w:pPr>
        <w:pStyle w:val="BookText"/>
        <w:rPr/>
      </w:pPr>
      <w:r>
        <w:rPr>
          <w:rFonts w:ascii="IRNazanin" w:hAnsi="IRNazanin" w:eastAsia="IRNazanin"/>
          <w:color w:val="111111"/>
          <w:sz w:val="28"/>
          <w:sz w:val="28"/>
          <w:szCs w:val="28"/>
          <w:rtl w:val="true"/>
          <w:lang w:bidi="fa-IR"/>
        </w:rPr>
        <w:t>اکتفا کرده باشد، مسؤولیت نخواهد داشت؛</w:t>
      </w:r>
      <w:r>
        <w:rPr>
          <w:rStyle w:val="FootnoteAnchor"/>
          <w:rtl w:val="true"/>
        </w:rPr>
        <w:footnoteReference w:id="1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عابر عمدا در مسیر لغزنده حرکت کند، کسی که معبر را لغزنده کرده، مسئولیت ندارد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با ملاحظه همین جهت باشد که در منابع فقهی، بحث نصب </w:t>
      </w:r>
    </w:p>
    <w:p>
      <w:pPr>
        <w:pStyle w:val="BookText"/>
        <w:rPr/>
      </w:pPr>
      <w:r>
        <w:rPr>
          <w:rFonts w:ascii="IRNazanin" w:hAnsi="IRNazanin" w:eastAsia="IRNazanin"/>
          <w:color w:val="111111"/>
          <w:sz w:val="28"/>
          <w:sz w:val="28"/>
          <w:szCs w:val="28"/>
          <w:rtl w:val="true"/>
          <w:lang w:bidi="fa-IR"/>
        </w:rPr>
        <w:t xml:space="preserve">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ریزش آب آن در سطح معبر مطرح شده است و در روایت سکونی، خسارت ناشی از آن را بر عهده کسی دانسته شده که اقدام به نصب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أخرج میزابا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المسلمین فأصاب شیئا فعطب فهو له ضامنٌ؛</w:t>
      </w:r>
      <w:r>
        <w:rPr>
          <w:rStyle w:val="FootnoteAnchor"/>
          <w:rtl w:val="true"/>
        </w:rPr>
        <w:footnoteReference w:id="141"/>
      </w:r>
      <w:r>
        <w:rPr>
          <w:rFonts w:ascii="IRNazanin" w:hAnsi="IRNazanin" w:eastAsia="IRNazanin"/>
          <w:color w:val="111111"/>
          <w:sz w:val="28"/>
          <w:sz w:val="28"/>
          <w:szCs w:val="28"/>
          <w:rtl w:val="true"/>
          <w:lang w:bidi="fa-IR"/>
        </w:rPr>
        <w:t xml:space="preserve">هرکس در گذرگاه‌های عمومی ناودان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واسطه آن آسیبی ببیند،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ایجاد لغزندگی برای منافع شخصی، هم‌چون آب‌پاشی بیش از حد مقابل درِ دکان، منزل، مدرسه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نبوده، مسئولیت خسارت افراد بر عهده کسی است که اقدام به این کار کرده است؛ اما انجام این کار برای مصالح عمومی، هم‌چون شست‌وشوی معابر توسط شهرداری، هرچند جایز است، جواز انجام آن، از بین برنده مسئولیت و ضمان ناشی از آن نیست، مگر در جایی که عابران پیاده یا وسایل نقلیه از روی عمد و بدون توجه به اخطارهای موجود، با عبور از روی این سطوح، خسارت ببینند که در این صورت، جبران خسارت آن‌ها بر عهده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یکی از راه‌های ایجاد لغزندگی در سطح معابر آب پاشیدن است، اما شاید بتوان تخلیه زباله را نیز از جمله این راه‌ها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تخلیه زباله در سطح معابر، از نظر بهداشتی، کار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این باره می‌فرمایند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تؤوا التراب خلف الباب، فإنّه مأوی الشیطان؛</w:t>
      </w:r>
      <w:r>
        <w:rPr>
          <w:rStyle w:val="FootnoteAnchor"/>
          <w:rtl w:val="true"/>
        </w:rPr>
        <w:footnoteReference w:id="142"/>
      </w:r>
      <w:r>
        <w:rPr>
          <w:rFonts w:ascii="IRNazanin" w:hAnsi="IRNazanin" w:eastAsia="IRNazanin"/>
          <w:color w:val="111111"/>
          <w:sz w:val="28"/>
          <w:sz w:val="28"/>
          <w:szCs w:val="28"/>
          <w:rtl w:val="true"/>
          <w:lang w:bidi="fa-IR"/>
        </w:rPr>
        <w:t xml:space="preserve">خاک‌روبه را پشت درِ منزل نگذارید، چرا که جایگاه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جان‌داران موذی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چون تخلیه زباله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نخاله‌های ساختمانی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معابر باعث می‌شود که وسایل نقلیه و عابران پیاده در هنگام حرکت، تعادل خود را از دست بدهند و آسیب ببینند، این کار حرام خواهد بود و فرد یا افرادی که چنین بکنند، مسئول جبران خسارت آسیب‌دیدگان هستند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توجه به این نکته نیز لازم است که این عمل از آن جهت که باعث سد معبر می‌شود و در رفت و آمد مردم اختلال ایجاد می‌کند یا از آن جهت که استفاده غیر مجاز از معابر عمومی به شمار می‌آید نیز می‌تواند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آئین‌نامه پیش‌آمدگی‌های ساختمانی در گذرها 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 خاک حاصل از بنّایی در پیاده‌رو یا شوسه ممنوع و</w:t>
      </w:r>
    </w:p>
    <w:p>
      <w:pPr>
        <w:pStyle w:val="BookText"/>
        <w:rPr/>
      </w:pPr>
      <w:r>
        <w:rPr>
          <w:rFonts w:ascii="IRNazanin" w:hAnsi="IRNazanin" w:eastAsia="IRNazanin"/>
          <w:color w:val="111111"/>
          <w:sz w:val="28"/>
          <w:sz w:val="28"/>
          <w:szCs w:val="28"/>
          <w:rtl w:val="true"/>
          <w:lang w:bidi="fa-IR"/>
        </w:rPr>
        <w:t>باید به محلی که شهرداری معین می‌نماید، حمل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راهنمایی و رانندگی، این موضوع با اطلاق بیشتری بیان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ریختن شیشه، بطری، میخ، سیم حلبی، مایعات لزج و به طور کلی هر چیزی که باعث سد راه و ایجاد خطر و انحراف وسایل نقلیه از مسیر حرکت باشد، بر روی راه‌ها ممنوع است</w:t>
      </w:r>
      <w:r>
        <w:rPr>
          <w:rFonts w:eastAsia="IRNazanin" w:cs="IRNazanin"/>
          <w:color w:val="111111"/>
          <w:sz w:val="28"/>
          <w:szCs w:val="28"/>
          <w:rtl w:val="true"/>
          <w:lang w:bidi="fa-IR"/>
        </w:rPr>
        <w:t>.</w:t>
      </w:r>
      <w:r>
        <w:rPr>
          <w:rStyle w:val="FootnoteAnchor"/>
          <w:rtl w:val="true"/>
        </w:rPr>
        <w:footnoteReference w:id="145"/>
      </w:r>
      <w:bookmarkStart w:id="145" w:name="pg4409_30484"/>
    </w:p>
    <w:p>
      <w:pPr>
        <w:pStyle w:val="Heading2"/>
        <w:numPr>
          <w:ilvl w:val="1"/>
          <w:numId w:val="1"/>
        </w:numPr>
        <w:rPr/>
      </w:pPr>
      <w:bookmarkStart w:id="146" w:name="__RefHeading___Toc1562014_1479056682"/>
      <w:bookmarkStart w:id="147" w:name="_Toc52"/>
      <w:bookmarkEnd w:id="145"/>
      <w:bookmarkEnd w:id="146"/>
      <w:r>
        <w:rPr>
          <w:rtl w:val="true"/>
        </w:rPr>
        <w:t>نتایج</w:t>
      </w:r>
      <w:bookmarkEnd w:id="147"/>
    </w:p>
    <w:p>
      <w:pPr>
        <w:pStyle w:val="BookText"/>
        <w:rPr/>
      </w:pPr>
      <w:r>
        <w:rPr>
          <w:rFonts w:ascii="IRNazanin" w:hAnsi="IRNazanin" w:eastAsia="IRNazanin"/>
          <w:color w:val="111111"/>
          <w:sz w:val="28"/>
          <w:sz w:val="28"/>
          <w:szCs w:val="28"/>
          <w:rtl w:val="true"/>
          <w:lang w:bidi="fa-IR"/>
        </w:rPr>
        <w:t>با توجه به توضیحاتی که پیش از این درباره کاربری گذرگاه‌های عمومی دادیم، به این نتایج می‌توان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عابران پیاده مجاز نیستند برای عبور و مرور از سطح خیابان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موتور سیکلت، دوچرخه و هرگونه وسیله نقلیه دیگر در پیاده‌رو مجاز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پارک هر نوع وسیله نقلیه در پیاده‌رو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پارک خودرو در کنار خیابان مجاز باشد، اخذ حق پارکینگ از صاحبان خودرو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مجاز نیست با گرفتن جریمه، عوارض و مانند آن، به شهروندان اجازه دهد از معابر عمومی برای کاری غیر از عبور و مرور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اتراق کردن در معابر عمومی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پهن کردن بساط در معابر به منظور فروش کالا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از فروشندگانی که در معابر عمومی اقدام به فروش کالا </w:t>
      </w:r>
    </w:p>
    <w:p>
      <w:pPr>
        <w:pStyle w:val="BookText"/>
        <w:rPr/>
      </w:pPr>
      <w:r>
        <w:rPr>
          <w:rFonts w:ascii="IRNazanin" w:hAnsi="IRNazanin" w:eastAsia="IRNazanin"/>
          <w:color w:val="111111"/>
          <w:sz w:val="28"/>
          <w:sz w:val="28"/>
          <w:szCs w:val="28"/>
          <w:rtl w:val="true"/>
          <w:lang w:bidi="fa-IR"/>
        </w:rPr>
        <w:t>می‌کنند،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یا نصب دکه، کیوسک در معابر عمومی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مغازه‌ها مجاز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گذاشتن میز و صندلی، از فضای پیاده‌رو به سود خود استفاده کنند، هرچند باعث سد معبر نگردد و به کسی هم آسیب وارد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کالاهای خود را برای عرضه به مشتری در سطح معابر نگهداری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یا بخشی از ویترین خود را در داخل معابر بگذارند؛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نصب سایه‌بان، به حریم هوایی معابر تجاوز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مالکان خانه‌ها مجاز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ایجاد پیش‌آمدگی، تمام یا بخشی از فضای هوایی پیاده‌رو را اشغال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 باران و فاضلاب خانه خود را به سطح معابر عمومی انتقال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زباله و نخاله‌های ساختمانی خود را در معابر عمومی بریزند یا انباشت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مسدود کردن تمام یا بخشی از معابر عمومی برای برپایی نماز به صورت فردی و جمعی یا برای برگزاری مراسم مذهبی یا توزیع نذورات همچون غذا، چای، شیر، شربت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bookmarkStart w:id="148" w:name="pg4409_30486"/>
    </w:p>
    <w:p>
      <w:pPr>
        <w:pStyle w:val="Heading2"/>
        <w:numPr>
          <w:ilvl w:val="1"/>
          <w:numId w:val="1"/>
        </w:numPr>
        <w:rPr/>
      </w:pPr>
      <w:bookmarkStart w:id="149" w:name="__RefHeading___Toc1562016_1479056682"/>
      <w:bookmarkStart w:id="150" w:name="_Toc53"/>
      <w:bookmarkEnd w:id="148"/>
      <w:bookmarkEnd w:id="149"/>
      <w:r>
        <w:rPr>
          <w:rtl w:val="true"/>
        </w:rPr>
        <w:t>کتاب نامه</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محمد بن علی، الوسیلة الی نیل الفضیلة، تحقیق محمد حسون، قم، کتابخانه آیة الله مرعشی نجفی، </w:t>
      </w:r>
      <w:r>
        <w:rPr>
          <w:rFonts w:eastAsia="IRNazanin" w:cs="IRNazanin"/>
          <w:color w:val="111111"/>
          <w:sz w:val="28"/>
          <w:szCs w:val="28"/>
          <w:lang w:bidi="fa-IR"/>
        </w:rPr>
        <w:t>1408/1988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زهره حلی، حمزة بن علی، غنیة النّزوع الی علمی الاصول و الفروع، تحقیق ابراهیم بهادری، قم، مؤسسه امام صادق، </w:t>
      </w:r>
      <w:r>
        <w:rPr>
          <w:rFonts w:eastAsia="IRNazanin" w:cs="IRNazanin"/>
          <w:color w:val="111111"/>
          <w:sz w:val="28"/>
          <w:szCs w:val="28"/>
          <w:lang w:bidi="fa-IR"/>
        </w:rPr>
        <w:t>1417/1996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عبدالله بن احمد، الشرح الکبیر،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 بیروت،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عبدالله بن احمد، المغنی،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 بیروت،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نووی، محیی الدین بن شرف، المجموع فی شرح المهذّب،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 بی جا،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نووی، یحیی بن شرف، روضة الطالبین، تحقیق عادل احمد عبد الموجود،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 بیروت، دار 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سجستانی، سلیمان بن اشعث، سنن ابی‌داود، تحقیق سعید محمد اللّحام،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بیروت، دار الفکر، </w:t>
      </w:r>
      <w:r>
        <w:rPr>
          <w:rFonts w:eastAsia="IRNazanin" w:cs="IRNazanin"/>
          <w:color w:val="111111"/>
          <w:sz w:val="28"/>
          <w:szCs w:val="28"/>
          <w:lang w:bidi="fa-IR"/>
        </w:rPr>
        <w:t>1410/1990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ملا احمد، مجمع الفائدة و البرهان فی شرح ارشاد الاذهان، تحقیق مجتبی عراقی و دیگران،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جلد، قم، مؤسسه نشر اسلامی، </w:t>
      </w:r>
      <w:r>
        <w:rPr>
          <w:rFonts w:eastAsia="IRNazanin" w:cs="IRNazanin"/>
          <w:color w:val="111111"/>
          <w:sz w:val="28"/>
          <w:szCs w:val="28"/>
          <w:lang w:bidi="fa-IR"/>
        </w:rPr>
        <w:t>1403/1983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شیخ الشریعة، قاعدة لاضرر، قم، مؤسسه نشر اسلامی،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الحطاب الرعینی، محمد بن محمد، مواهب الجلیل بشرح مختصر خلیل، تحقیق زکریا عمیرات،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بیروت، دار 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شیخ محمد، تسدید القواعد فی حاشیة الفرائد، بی جا، افست،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زکریا بن محمد، فتح الوهاب بشرح منهج الطلاب،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بیروت، دار </w:t>
      </w:r>
    </w:p>
    <w:p>
      <w:pPr>
        <w:pStyle w:val="BookText"/>
        <w:rPr/>
      </w:pPr>
      <w:r>
        <w:rPr>
          <w:rFonts w:ascii="IRNazanin" w:hAnsi="IRNazanin" w:eastAsia="IRNazanin"/>
          <w:color w:val="111111"/>
          <w:sz w:val="28"/>
          <w:sz w:val="28"/>
          <w:szCs w:val="28"/>
          <w:rtl w:val="true"/>
          <w:lang w:bidi="fa-IR"/>
        </w:rPr>
        <w:t xml:space="preserve">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المکاسب، تبریز، انتشارات 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الحدائق الناضرة فی احکام العترة الطّاهرة، تحقیق محمد تقی ایروانی،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 قم، مؤسسه نشر اسلامی، </w:t>
      </w:r>
      <w:r>
        <w:rPr>
          <w:rFonts w:eastAsia="IRNazanin" w:cs="IRNazanin"/>
          <w:color w:val="111111"/>
          <w:sz w:val="28"/>
          <w:szCs w:val="28"/>
          <w:lang w:bidi="fa-IR"/>
        </w:rPr>
        <w:t>1404/1984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 الفکر،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بهوتی، منصور بن یونس، کشاف القناع،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جلد، بیروت، دار 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بن حسن، شرائع الإسلام فی مسائل الحلال و الحرام،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تهران، انتشارات استقلال، چاپ دوم، </w:t>
      </w:r>
      <w:r>
        <w:rPr>
          <w:rFonts w:eastAsia="IRNazanin" w:cs="IRNazanin"/>
          <w:color w:val="111111"/>
          <w:sz w:val="28"/>
          <w:szCs w:val="28"/>
          <w:lang w:bidi="fa-IR"/>
        </w:rPr>
        <w:t>1409/1988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تحریر الاحکام،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مشهد، مؤسسه آل البیت علیهم‌السلام، چاپ سنگی،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تذکرة الفقهاء،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مکتبة المرتضویة لاحیاء الآثار الجعفریة،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قواعد الأحکام فی معرفة الحلال و الحرام،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قم، مؤسسه نشر اسلامی، </w:t>
      </w:r>
      <w:r>
        <w:rPr>
          <w:rFonts w:eastAsia="IRNazanin" w:cs="IRNazanin"/>
          <w:color w:val="111111"/>
          <w:sz w:val="28"/>
          <w:szCs w:val="28"/>
          <w:lang w:bidi="fa-IR"/>
        </w:rPr>
        <w:t>1413/1992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محمد بن حسن، ایضاح الفوائد فی شرح اشکالات القواعد،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قم، انتشارات علمیه، </w:t>
      </w:r>
      <w:r>
        <w:rPr>
          <w:rFonts w:eastAsia="IRNazanin" w:cs="IRNazanin"/>
          <w:color w:val="111111"/>
          <w:sz w:val="28"/>
          <w:szCs w:val="28"/>
          <w:lang w:bidi="fa-IR"/>
        </w:rPr>
        <w:t>1387/1967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یحیی بن سعید، الجامع للشرائع، قم، مؤسسه سیّد الشهداء علیه‌السلام، </w:t>
      </w:r>
      <w:r>
        <w:rPr>
          <w:rFonts w:eastAsia="IRNazanin" w:cs="IRNazanin"/>
          <w:color w:val="111111"/>
          <w:sz w:val="28"/>
          <w:szCs w:val="28"/>
          <w:lang w:bidi="fa-IR"/>
        </w:rPr>
        <w:t>1405/1985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 کاظم، حاشیة کتاب فرائد الاُصول،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قم، انتشارات بصیرتی،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 کاظم، کفایة الاُصول،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تهران، انتشارات علمیه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تحریر الوسیلة،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نجف، مطبعه آداب،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منهاج الصالحین،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قم، مدینة العلم، چاپ بیست و هشتم،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عبدالکریم بن محمد، فتح العزیز فی شرح الوجیز،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 بی‌جا، 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محمد حسین، منهاج الصالحین،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کویت، مکتبة الالفین، چاپ دوم، </w:t>
      </w:r>
      <w:r>
        <w:rPr>
          <w:rFonts w:eastAsia="IRNazanin" w:cs="IRNazanin"/>
          <w:color w:val="111111"/>
          <w:sz w:val="28"/>
          <w:szCs w:val="28"/>
          <w:lang w:bidi="fa-IR"/>
        </w:rPr>
        <w:t>1416/1994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سید محمد صادق، فقه الصّادق فی شرح التّبصرة،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جلد، قم، مؤسسه دار </w:t>
      </w:r>
    </w:p>
    <w:p>
      <w:pPr>
        <w:pStyle w:val="BookText"/>
        <w:rPr/>
      </w:pPr>
      <w:r>
        <w:rPr>
          <w:rFonts w:ascii="IRNazanin" w:hAnsi="IRNazanin" w:eastAsia="IRNazanin"/>
          <w:color w:val="111111"/>
          <w:sz w:val="28"/>
          <w:sz w:val="28"/>
          <w:szCs w:val="28"/>
          <w:rtl w:val="true"/>
          <w:lang w:bidi="fa-IR"/>
        </w:rPr>
        <w:t xml:space="preserve">الکتاب، چاپ سوم، </w:t>
      </w:r>
      <w:r>
        <w:rPr>
          <w:rFonts w:eastAsia="IRNazanin" w:cs="IRNazanin"/>
          <w:color w:val="111111"/>
          <w:sz w:val="28"/>
          <w:szCs w:val="28"/>
          <w:lang w:bidi="fa-IR"/>
        </w:rPr>
        <w:t>1412/1991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محمد امین، کلمة التقوی،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جلد، بی‌جا، بی‌نا، چاپ سوم،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شمس الدین، المبسوط،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بیروت، دار المعرفة،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سیدعلی، منهاج الصالحین،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قم، مکتبة آیة الله</w:t>
      </w:r>
    </w:p>
    <w:p>
      <w:pPr>
        <w:pStyle w:val="BookText"/>
        <w:rPr/>
      </w:pPr>
      <w:r>
        <w:rPr>
          <w:rFonts w:ascii="IRNazanin" w:hAnsi="IRNazanin" w:eastAsia="IRNazanin"/>
          <w:color w:val="111111"/>
          <w:sz w:val="28"/>
          <w:sz w:val="28"/>
          <w:szCs w:val="28"/>
          <w:rtl w:val="true"/>
          <w:lang w:bidi="fa-IR"/>
        </w:rPr>
        <w:t xml:space="preserve">السیستانی،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شربینی، محمد، مغنی المحتاج الی معرفة معانی الفاظ المنهاج،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بیروت، دار احیاء التراث العربی، </w:t>
      </w:r>
      <w:r>
        <w:rPr>
          <w:rFonts w:eastAsia="IRNazanin" w:cs="IRNazanin"/>
          <w:color w:val="111111"/>
          <w:sz w:val="28"/>
          <w:szCs w:val="28"/>
          <w:lang w:bidi="fa-IR"/>
        </w:rPr>
        <w:t>1377/1958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شروانی، عبدالحمید، حواشی الشروانی،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من لایحضره الفقیه، تصحیح علی اکبر غفاری،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قم، جامعه مدرسین، چاپ دوم، </w:t>
      </w:r>
      <w:r>
        <w:rPr>
          <w:rFonts w:eastAsia="IRNazanin" w:cs="IRNazanin"/>
          <w:color w:val="111111"/>
          <w:sz w:val="28"/>
          <w:szCs w:val="28"/>
          <w:lang w:bidi="fa-IR"/>
        </w:rPr>
        <w:t>1404/1984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التّبیان فی تفسیر القرآن، تحقیق احمد حبیب قیصر العاملی،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بیروت، دار احیاء التّراث العربی، </w:t>
      </w:r>
      <w:r>
        <w:rPr>
          <w:rFonts w:eastAsia="IRNazanin" w:cs="IRNazanin"/>
          <w:color w:val="111111"/>
          <w:sz w:val="28"/>
          <w:szCs w:val="28"/>
          <w:lang w:bidi="fa-IR"/>
        </w:rPr>
        <w:t>1409/1989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الخلاف، تحقیق سید علی خراسانی،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جلد، قم، مؤسسه نشر اسلامی، </w:t>
      </w:r>
      <w:r>
        <w:rPr>
          <w:rFonts w:eastAsia="IRNazanin" w:cs="IRNazanin"/>
          <w:color w:val="111111"/>
          <w:sz w:val="28"/>
          <w:szCs w:val="28"/>
          <w:lang w:bidi="fa-IR"/>
        </w:rPr>
        <w:t>1407/1987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المبسوط فی فقه الامامیة، تحقیق محمد تقی کشفی،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تهران، المکتبة المرتضویة، </w:t>
      </w:r>
      <w:r>
        <w:rPr>
          <w:rFonts w:eastAsia="IRNazanin" w:cs="IRNazanin"/>
          <w:color w:val="111111"/>
          <w:sz w:val="28"/>
          <w:szCs w:val="28"/>
          <w:lang w:bidi="fa-IR"/>
        </w:rPr>
        <w:t>1387/1967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الأحکام فی شرح المقنعة، تصحیح علی آخوندی،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تهران، دار الکتب الإسلامیة، چاپ چهارم، </w:t>
      </w:r>
      <w:r>
        <w:rPr>
          <w:rFonts w:eastAsia="IRNazanin" w:cs="IRNazanin"/>
          <w:color w:val="111111"/>
          <w:sz w:val="28"/>
          <w:szCs w:val="28"/>
          <w:lang w:bidi="fa-IR"/>
        </w:rPr>
        <w:t>1406/1968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بن علی، الرّوضة البهیة فی شرح اللّمعة الدّمشقیة،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قم، انتشارات داوری، چاپ دوم، </w:t>
      </w:r>
      <w:r>
        <w:rPr>
          <w:rFonts w:eastAsia="IRNazanin" w:cs="IRNazanin"/>
          <w:color w:val="111111"/>
          <w:sz w:val="28"/>
          <w:szCs w:val="28"/>
          <w:lang w:bidi="fa-IR"/>
        </w:rPr>
        <w:t>1398/1978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بن علی، مسالک الافهام الی تنقیح شرائع الاسلام،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جلد، قم، مؤسسه المعارف الاسلامیة، </w:t>
      </w:r>
      <w:r>
        <w:rPr>
          <w:rFonts w:eastAsia="IRNazanin" w:cs="IRNazanin"/>
          <w:color w:val="111111"/>
          <w:sz w:val="28"/>
          <w:szCs w:val="28"/>
          <w:lang w:bidi="fa-IR"/>
        </w:rPr>
        <w:t>1413/1993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مکی، الدروس الشرعیة فی فقه الامامیة،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قم، مؤسسه نشر اسلامی،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محمد بن حسن، کشف اللّثام،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قم، کتاب‌خانه</w:t>
      </w:r>
    </w:p>
    <w:p>
      <w:pPr>
        <w:pStyle w:val="BookText"/>
        <w:rPr/>
      </w:pPr>
      <w:r>
        <w:rPr>
          <w:rFonts w:ascii="IRNazanin" w:hAnsi="IRNazanin" w:eastAsia="IRNazanin"/>
          <w:color w:val="111111"/>
          <w:sz w:val="28"/>
          <w:sz w:val="28"/>
          <w:szCs w:val="28"/>
          <w:rtl w:val="true"/>
          <w:lang w:bidi="fa-IR"/>
        </w:rPr>
        <w:t xml:space="preserve">آیة الله مرعشی نجفی، </w:t>
      </w:r>
      <w:r>
        <w:rPr>
          <w:rFonts w:eastAsia="IRNazanin" w:cs="IRNazanin"/>
          <w:color w:val="111111"/>
          <w:sz w:val="28"/>
          <w:szCs w:val="28"/>
          <w:lang w:bidi="fa-IR"/>
        </w:rPr>
        <w:t>1405/1984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قشیری نیشابوری، مسلم بن حجاج،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w:t>
      </w:r>
    </w:p>
    <w:p>
      <w:pPr>
        <w:pStyle w:val="BookText"/>
        <w:rPr/>
      </w:pPr>
      <w:r>
        <w:rPr>
          <w:rFonts w:ascii="IRNazanin" w:hAnsi="IRNazanin" w:eastAsia="IRNazanin"/>
          <w:color w:val="111111"/>
          <w:sz w:val="28"/>
          <w:sz w:val="28"/>
          <w:szCs w:val="28"/>
          <w:rtl w:val="true"/>
          <w:lang w:bidi="fa-IR"/>
        </w:rPr>
        <w:t>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سبزواری، علی بن محمد، جامع الخلاف و الوفاق بین الامامیة و بین ائمة الحجاز و العراق، تحقیق حسین حسینی بیرجندی، قم، زمینه‌سازان ظهور امام عصر علیه‌السلام، </w:t>
      </w:r>
      <w:r>
        <w:rPr>
          <w:rFonts w:eastAsia="IRNazanin" w:cs="IRNazanin"/>
          <w:color w:val="111111"/>
          <w:sz w:val="28"/>
          <w:szCs w:val="28"/>
          <w:lang w:bidi="fa-IR"/>
        </w:rPr>
        <w:t>1421/2001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علی بن حسین، جامع المقاصد فی شرح القواعد،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جلد، قم، مؤسسه آل البیت علیهم‌السلام، </w:t>
      </w:r>
      <w:r>
        <w:rPr>
          <w:rFonts w:eastAsia="IRNazanin" w:cs="IRNazanin"/>
          <w:color w:val="111111"/>
          <w:sz w:val="28"/>
          <w:szCs w:val="28"/>
          <w:lang w:bidi="fa-IR"/>
        </w:rPr>
        <w:t>1408/1987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تحقیق علی اکبر غفاری،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تهران، دار الکتب الاسلامیة، چاپ سوم، </w:t>
      </w:r>
      <w:r>
        <w:rPr>
          <w:rFonts w:eastAsia="IRNazanin" w:cs="IRNazanin"/>
          <w:color w:val="111111"/>
          <w:sz w:val="28"/>
          <w:szCs w:val="28"/>
          <w:lang w:bidi="fa-IR"/>
        </w:rPr>
        <w:t>1388/1968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سید محمد رضا، هدایة العباد،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قم، دار القرآن،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میر عبدالفتاح، العناوین الفقهیّة،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قم، مؤسسه نشر اسلامی، </w:t>
      </w:r>
      <w:r>
        <w:rPr>
          <w:rFonts w:eastAsia="IRNazanin" w:cs="IRNazanin"/>
          <w:color w:val="111111"/>
          <w:sz w:val="28"/>
          <w:szCs w:val="28"/>
          <w:lang w:bidi="fa-IR"/>
        </w:rPr>
        <w:t>1417/1997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احمد، شرح الازهار،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صنعاء، غمضان،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القواعد الفقهیة،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قم، مدرسه امیر المؤمنین، چاپ سوم،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جهانگیر، مجموعه قوانین و مقررات مربوط به شهر و شهرداری، تهران، نشر دیدار،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عاملی، محمد بن علی، مدارک الاحکام فی شرح شرائع الاسلام،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قم، مؤسسة آل البیت،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سبزواری، محمد باقر، کفایة الاحکام، اصفهان، مدرسه صدر</w:t>
      </w:r>
    </w:p>
    <w:p>
      <w:pPr>
        <w:pStyle w:val="BookText"/>
        <w:rPr/>
      </w:pPr>
      <w:r>
        <w:rPr>
          <w:rFonts w:ascii="IRNazanin" w:hAnsi="IRNazanin" w:eastAsia="IRNazanin"/>
          <w:color w:val="111111"/>
          <w:sz w:val="28"/>
          <w:sz w:val="28"/>
          <w:szCs w:val="28"/>
          <w:rtl w:val="true"/>
          <w:lang w:bidi="fa-IR"/>
        </w:rPr>
        <w:t>نبوی، چاپ سنگی،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فی شرح شرائع الاسلام، تحقیق عباس قوچانی،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جلد، دار الکتب الإسلامیة، چاپ سوم، </w:t>
      </w:r>
      <w:r>
        <w:rPr>
          <w:rFonts w:eastAsia="IRNazanin" w:cs="IRNazanin"/>
          <w:color w:val="111111"/>
          <w:sz w:val="28"/>
          <w:szCs w:val="28"/>
          <w:lang w:bidi="fa-IR"/>
        </w:rPr>
        <w:t>1409/1988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احمد، عوائد الایّام فی بیان قواعد الاحکام و مهمات مسائل الحلال و الحرام، قم، مکتبه بصیرتی، چاپ سوم، </w:t>
      </w:r>
      <w:r>
        <w:rPr>
          <w:rFonts w:eastAsia="IRNazanin" w:cs="IRNazanin"/>
          <w:color w:val="111111"/>
          <w:sz w:val="28"/>
          <w:szCs w:val="28"/>
          <w:lang w:bidi="fa-IR"/>
        </w:rPr>
        <w:t>1408/1987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مسالک الافهام الی تنقیح شرائع الاسلام، </w:t>
      </w:r>
      <w:r>
        <w:rPr>
          <w:rFonts w:eastAsia="IRNazanin" w:cs="IRNazanin"/>
          <w:b w:val="false"/>
          <w:bCs w:val="false"/>
          <w:i w:val="false"/>
          <w:iCs w:val="false"/>
          <w:color w:val="333333"/>
          <w:sz w:val="20"/>
          <w:szCs w:val="20"/>
        </w:rPr>
        <w:t>12/428</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این نوشتار در صدد بیان حدود و شرایط استفاده از راه‌ها و پیاده‌روها هستیم، مباحث آن را درباره آبراه‌ها نیز می‌توانیم صادق بدانیم؛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منهاج الصالحین،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روحانی، منهاج الصالحین،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سیستانی، منهاج الصالحین،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تفصیلی مشهد،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الی علمی الاصول و الفروع،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جامع الخلاف و الوفاق،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الی معرفة معانی الفاظ المنهاج،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حواشی الشروانی، </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الامامیة،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الروضة البهیة فی شرح اللمعة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تصور شود که دو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فقها ناظر به یک قید است، چرا که تنگ شدن خیابان معمولاً باعث آسیب دیدن عابران نیز می‌شود، ولی باید توجه کرد که این دو عنوان مستقل از یکدیگر بوده، نسبت میان آن‌ها عموم من 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تعدد را محقق کرکی چنین توضیح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لایتقیّد إلاّ بعدم الإضرار و التضییق علی المارّة، فحینئذ یحرم، لأنّ حق الاستطراق هو المطلوب الأصلی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فی شرح القواعد،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الدروس الشرعیة فی فقه الامامیة،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فتح العزیز فی شرح الوجیز،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جواهر الکلام فی شرح شرائع الاسلام،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الروضة البهیة فی شرح اللمعة الدمشقیة،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xml:space="preserve">؛ مسالک الافهام الی تنقیح شرائع الاسلام،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فتح الوهاب بشرح منهج الطلاب،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مکارم، القواعد الفقهیة،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اشکالات القواعد،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عدمه، لأنّ شرع الطریق لمصلحة الاستطراق فی غیرها؛ و الأقوی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فی شرح القواعد،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مشترکه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فقهی رایج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فی مسائل الحلال و الحرام،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قوانین و مقررات راهنمایی و رانندگی،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قوانین و مقررات راهنمایی و رانندگی،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قوانین و مقررات راهنمایی و رانندگی،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نجفی لوازم استفاده از معابر عمومی را چنین توضیح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جمیع ما یعرض للمستطرق من المرافق التی یحتاجها فی استطراقه من جلوس و وقوف و نحوهما لا فرق بینها و بین الاستطراق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یحتاج إلیه من کانت باب داره إلی الطریق من إدخال الأحمال و الدواب و نحوها باعتبار أن ذلک کلّه من توابع استطراقه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لم یکن کذلک، بل کان مرفقا لا من حیث الاستطراق کالجلوس للبیع و نحوه، فلاریب فی تقدّم حقّ الاستطراق علیه عند التعارض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الکلام فی شرح شرائع الاسلام،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منهاج الصالحین،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منهاج الصالحین،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سیستانی، منهاج الصالحین،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قوانین و مقررات راهنمایی و رانندگی،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قوانین و مقررات راهنمایی و رانندگی،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القواعد الفقهیة،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فی شرح التبصرة،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الفقهیة،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شیخ الشریعة اصفهانی، قاعدة لاضرر،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حاشیه کتاب فرائد الاصول،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القواعد فی حاشیة الفرائد،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لایجوز لأحد بناء دکّة و لا غرس شجرة فی الطریق المسلوک إن ضیّق الطریق و ضرّ بالمارّة اجماعا لقوله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فی معرفة الحلال و الحرام،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فتح العزیز فی شرح</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مدارک الاحکام فی شرح شرائع الاسلام،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احکام العترة الطاهرة،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مبانی فقهی قاعده لاحرج،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القواعد الفقهیة،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عوائد الایام،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فی شرح المقنعة،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قوانین و مقررات راهنمایی و رانندگی،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11/309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فی شرح الوجیز،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الامامیة،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الدروس الشرعیة فی فقه الامامیة،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فی معرفة الحلال و الحرام،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ایضاح الفوائد فی شرح اشکالات 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الدروس الشرعیة فی فقه الامامیة،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الروضة البهیة فی شرح اللمعة الدمشقیة،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الامامیة،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المجموع فی شرح المهذب، </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فی شرح المقنعة،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فی معرفة الحلال و الحرام،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دادن بحث به گذرگاه‌های عمومی از آن جهت است که از نظر فقها،</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الروشن و الجناح یشترکان فی إخراج خشب من حائط المالک إلی الطریق</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جناح؛ قواعد الاحکام فی معرفة الحلال و الحرام،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ایضاح الفوائد فی شرح اشکالات القواعد،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جناح، ساباط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و ساباط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w:t>
      </w:r>
      <w:r>
        <w:rPr>
          <w:rFonts w:eastAsia="IRNazanin" w:cs="IRNazanin"/>
          <w:b w:val="false"/>
          <w:bCs w:val="false"/>
          <w:i w:val="false"/>
          <w:iCs w:val="false"/>
          <w:color w:val="333333"/>
          <w:sz w:val="20"/>
          <w:szCs w:val="20"/>
        </w:rPr>
        <w:t>13/396</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احکام العترة الطاهرة، </w:t>
      </w:r>
      <w:r>
        <w:rPr>
          <w:rFonts w:eastAsia="IRNazanin" w:cs="IRNazanin"/>
          <w:b w:val="false"/>
          <w:bCs w:val="false"/>
          <w:i w:val="false"/>
          <w:iCs w:val="false"/>
          <w:color w:val="333333"/>
          <w:sz w:val="20"/>
          <w:szCs w:val="20"/>
        </w:rPr>
        <w:t>21/118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الامامیة،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فتح العزیز فی شرح الوجیز،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المبسوط فی فقه الامامیة،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جامع الخلاف و الوفاق،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جامع الخلاف و الوفاق،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غنیة النزوع الی علمی الاصول و الفروع،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ساباط، جناح، روشن؛ الدروس الشرعیة فی فقه الامامیة،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فی شرح الوجیز،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مسالک الافهام الی تنقیح شرائع الاسلام،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غنیة النزوع الی علمی الاصول و الفروع،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المجموع فی شرح المهذب،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دیگر مجالی برای این سخن باقی نمی‌ماند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 فی ذلک کلّه هو إباحة الهواء و أنّه غیر مملوک هنا للمارّة و لا لغیرهم، فلامانع من التصرّف فیه إلاّ علی وجه یتضرّر به المارّة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احکام العترة الطاهرة،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غنیة النزوع الی علمی الاصول و الفروع،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جامع الخلاف و الوفاق،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الوسیلة الی نیل الفضیلة،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غنیة النزوع الی علمی الاصول و الفروع،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جامع الخلاف و الوفاق،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قواعد الاحکام فی معرفة الحلال و الحرام،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الامامیة،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فی شرح الوجیز، </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تفصیلی مشهد،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قرن‌ها پیش، حفاری با انگیزه‌های عمومی را چنین توضیح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أراد حفرها للمسلمین و نفعهم أو لینتفع بها الطریق بأن یحفرها لیستقی الناس من مائها و یشرب منه المارّة أو لینزل فیها ماء المطر عن الطریق، فإن تضرّر بها المسلمون أو کان الدرب ضیقا أو یحفرها فی ممرّ النّاس بحیث یخاف سقوط انسان فیها أو دابّة أو یضیق علیهم ممرّهم لم یجز ذلک، لأنّ ضررها أکثر من نفعها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حفرها فی زاویة من طریق واسع و جعل علیها ما یمنع الوقوع فیها، فالأقرب الجواز لأنّه نفع لا ضرر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الی نیل الفضیلة،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قواعد الاحکام فی معرفة الحلال و الحرام،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ارشاد الاذهان‌ة،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العباد،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خویی، منهاج الصالحین،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روحانی، منهاج الصالحین،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سیستانی، منهاج الصالحین،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دیگر جایی برای حکم به جواز حفر چاه بالوعه در سطح معابر عمومی به استنادِ داشتن حق ارتفاق باقی نمی‌ماند؛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شماره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فی معرفة الحلال و الحرام،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w:t>
      </w:r>
      <w:r>
        <w:rPr>
          <w:rFonts w:eastAsia="IRNazanin" w:cs="IRNazanin"/>
          <w:b w:val="false"/>
          <w:bCs w:val="false"/>
          <w:i w:val="false"/>
          <w:iCs w:val="false"/>
          <w:color w:val="333333"/>
          <w:sz w:val="20"/>
          <w:szCs w:val="20"/>
        </w:rPr>
        <w:t>12/430</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مکارم، القواعد الفقهیة،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فی معرفة الحلال و الحرام،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مسالک الافهام الی تنقیح شرائع الاسلام، </w:t>
      </w:r>
      <w:r>
        <w:rPr>
          <w:rFonts w:eastAsia="IRNazanin" w:cs="IRNazanin"/>
          <w:b w:val="false"/>
          <w:bCs w:val="false"/>
          <w:i w:val="false"/>
          <w:iCs w:val="false"/>
          <w:color w:val="333333"/>
          <w:sz w:val="20"/>
          <w:szCs w:val="20"/>
        </w:rPr>
        <w:t>12/430</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مکارم، القواعد الفقهیة،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فی شرح القواعد،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کفایة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الامامیة،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الروضة البهیة فی شرح اللمعة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فی معرفة الحلال و الحرام،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فی معرفة الحلال و الحرام،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الدروس الشرعیة فی فقه الامامیة،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الامامیة،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الروضة البهیة فی شرح اللمعة الدمشقیة،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فی معرفة الحلال و الحرام،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ایضاح الفوائد فی شرح اشکالات 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الدروس الشرعیة فی فقه الامامیة،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الروضة البهیة فی شرح اللمعة الدمشقیة، </w:t>
      </w:r>
      <w:r>
        <w:rPr>
          <w:rFonts w:eastAsia="IRNazanin" w:cs="IRNazanin"/>
          <w:b w:val="false"/>
          <w:bCs w:val="false"/>
          <w:i w:val="false"/>
          <w:iCs w:val="false"/>
          <w:color w:val="333333"/>
          <w:sz w:val="20"/>
          <w:szCs w:val="20"/>
        </w:rPr>
        <w:t>7/183</w:t>
      </w:r>
      <w:r>
        <w:rPr>
          <w:rFonts w:ascii="IRNazanin" w:hAnsi="IRNazanin" w:eastAsia="IRNazanin"/>
          <w:b w:val="false"/>
          <w:b w:val="false"/>
          <w:bCs w:val="false"/>
          <w:i w:val="false"/>
          <w:i w:val="false"/>
          <w:iCs w:val="false"/>
          <w:color w:val="333333"/>
          <w:sz w:val="20"/>
          <w:sz w:val="20"/>
          <w:szCs w:val="20"/>
          <w:rtl w:val="true"/>
        </w:rPr>
        <w:t xml:space="preserve">؛ مسالک الافهام الی تنقیح شرائع الاسلام، </w:t>
      </w:r>
      <w:r>
        <w:rPr>
          <w:rFonts w:eastAsia="IRNazanin" w:cs="IRNazanin"/>
          <w:b w:val="false"/>
          <w:bCs w:val="false"/>
          <w:i w:val="false"/>
          <w:iCs w:val="false"/>
          <w:color w:val="333333"/>
          <w:sz w:val="20"/>
          <w:szCs w:val="20"/>
        </w:rPr>
        <w:t>12/429</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جواهر الکلام فی شرح شرائع الاسلام،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فتح الوهاب بشرح منهج الطلاب،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فی شرح القواعد،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الی معرفة معانی الفاظ المنهاج،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الی معرفة معانی الفاظ المنهاج،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شهر و شهرداری،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قوانین و مقررات راهنمایی و رانندگی،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14072</Words>
  <Characters>58972</Characters>
  <CharactersWithSpaces>72388</CharactersWithSpaces>
  <Paragraphs>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2026-08-18T12:17:54Z</dcterms:created>
  <dc:creator>ghaemiyeh.com</dc:creator>
  <dc:description/>
  <dc:language>en-US</dc:language>
  <cp:lastModifiedBy/>
  <dcterms:modified xsi:type="dcterms:W3CDTF">2026-08-18T15:47:57Z</dcterms:modified>
  <cp:revision>1</cp:revision>
  <dc:subject/>
  <dc:title>حقوق گذرگاه ها و سد معبر در فقه اسلامی</dc:title>
</cp:coreProperties>
</file>

<file path=docProps/custom.xml><?xml version="1.0" encoding="utf-8"?>
<Properties xmlns="http://schemas.openxmlformats.org/officeDocument/2006/custom-properties" xmlns:vt="http://schemas.openxmlformats.org/officeDocument/2006/docPropsVTypes"/>
</file>